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outlineLvl w:val="9"/>
        <w:rPr>
          <w:rFonts w:hint="eastAsia" w:ascii="黑体" w:hAnsi="黑体" w:eastAsia="黑体" w:cs="黑体"/>
          <w:color w:val="auto"/>
          <w:highlight w:val="none"/>
        </w:rPr>
      </w:pPr>
    </w:p>
    <w:p>
      <w:pPr>
        <w:pStyle w:val="19"/>
        <w:ind w:left="0"/>
        <w:rPr>
          <w:rFonts w:hint="eastAsia" w:ascii="黑体" w:hAnsi="黑体" w:eastAsia="黑体" w:cs="黑体"/>
          <w:color w:val="auto"/>
          <w:sz w:val="20"/>
          <w:highlight w:val="none"/>
        </w:rPr>
      </w:pPr>
    </w:p>
    <w:p>
      <w:pPr>
        <w:pStyle w:val="19"/>
        <w:ind w:left="0"/>
        <w:rPr>
          <w:rFonts w:hint="eastAsia" w:ascii="黑体" w:hAnsi="黑体" w:eastAsia="黑体" w:cs="黑体"/>
          <w:color w:val="auto"/>
          <w:sz w:val="20"/>
          <w:highlight w:val="none"/>
        </w:rPr>
      </w:pPr>
    </w:p>
    <w:p>
      <w:pPr>
        <w:spacing w:line="360" w:lineRule="auto"/>
        <w:jc w:val="both"/>
        <w:rPr>
          <w:rFonts w:hint="eastAsia" w:ascii="黑体" w:hAnsi="黑体" w:eastAsia="黑体" w:cs="黑体"/>
          <w:b/>
          <w:color w:val="auto"/>
          <w:sz w:val="44"/>
          <w:szCs w:val="44"/>
          <w:highlight w:val="none"/>
        </w:rPr>
      </w:pPr>
    </w:p>
    <w:p>
      <w:pPr>
        <w:spacing w:line="360" w:lineRule="auto"/>
        <w:jc w:val="center"/>
        <w:rPr>
          <w:rFonts w:hint="eastAsia" w:ascii="黑体" w:hAnsi="黑体" w:eastAsia="黑体" w:cs="黑体"/>
          <w:b/>
          <w:color w:val="auto"/>
          <w:sz w:val="40"/>
          <w:szCs w:val="40"/>
          <w:highlight w:val="none"/>
          <w:lang w:eastAsia="zh-CN"/>
        </w:rPr>
      </w:pPr>
      <w:r>
        <w:rPr>
          <w:rFonts w:hint="eastAsia" w:ascii="黑体" w:hAnsi="黑体" w:eastAsia="黑体" w:cs="黑体"/>
          <w:b/>
          <w:color w:val="auto"/>
          <w:sz w:val="40"/>
          <w:szCs w:val="40"/>
          <w:highlight w:val="none"/>
          <w:lang w:eastAsia="zh-CN"/>
        </w:rPr>
        <w:t>轮台县卫生健康委员会核酸检测实验室医疗设备采购项目</w:t>
      </w:r>
    </w:p>
    <w:p>
      <w:pPr>
        <w:spacing w:line="360" w:lineRule="auto"/>
        <w:jc w:val="center"/>
        <w:rPr>
          <w:rFonts w:hint="eastAsia" w:ascii="黑体" w:hAnsi="黑体" w:eastAsia="黑体" w:cs="黑体"/>
          <w:b/>
          <w:color w:val="auto"/>
          <w:sz w:val="44"/>
          <w:szCs w:val="44"/>
          <w:highlight w:val="none"/>
        </w:rPr>
      </w:pPr>
      <w:r>
        <w:rPr>
          <w:rFonts w:hint="eastAsia" w:ascii="黑体" w:hAnsi="黑体" w:eastAsia="黑体" w:cs="黑体"/>
          <w:b/>
          <w:color w:val="auto"/>
          <w:sz w:val="44"/>
          <w:szCs w:val="44"/>
          <w:highlight w:val="none"/>
        </w:rPr>
        <w:t>招标文件</w:t>
      </w:r>
    </w:p>
    <w:p>
      <w:pPr>
        <w:pStyle w:val="8"/>
        <w:jc w:val="center"/>
        <w:rPr>
          <w:rFonts w:hint="eastAsia" w:ascii="黑体" w:hAnsi="黑体" w:eastAsia="黑体" w:cs="黑体"/>
          <w:lang w:val="en-US" w:eastAsia="zh-CN"/>
        </w:rPr>
      </w:pPr>
    </w:p>
    <w:p>
      <w:pPr>
        <w:jc w:val="center"/>
        <w:rPr>
          <w:rFonts w:hint="eastAsia" w:ascii="黑体" w:hAnsi="黑体" w:eastAsia="黑体" w:cs="黑体"/>
          <w:b/>
          <w:color w:val="auto"/>
          <w:sz w:val="48"/>
          <w:szCs w:val="48"/>
          <w:highlight w:val="none"/>
        </w:rPr>
      </w:pPr>
    </w:p>
    <w:p>
      <w:pPr>
        <w:pStyle w:val="19"/>
        <w:ind w:left="0"/>
        <w:rPr>
          <w:rFonts w:hint="eastAsia" w:ascii="黑体" w:hAnsi="黑体" w:eastAsia="黑体" w:cs="黑体"/>
          <w:color w:val="auto"/>
          <w:sz w:val="20"/>
          <w:highlight w:val="none"/>
        </w:rPr>
      </w:pPr>
    </w:p>
    <w:p>
      <w:pPr>
        <w:pStyle w:val="19"/>
        <w:ind w:left="0"/>
        <w:rPr>
          <w:rFonts w:hint="eastAsia" w:ascii="黑体" w:hAnsi="黑体" w:eastAsia="黑体" w:cs="黑体"/>
          <w:color w:val="auto"/>
          <w:sz w:val="20"/>
          <w:highlight w:val="none"/>
        </w:rPr>
      </w:pPr>
    </w:p>
    <w:p>
      <w:pPr>
        <w:pStyle w:val="19"/>
        <w:ind w:left="0"/>
        <w:rPr>
          <w:rFonts w:hint="eastAsia" w:ascii="黑体" w:hAnsi="黑体" w:eastAsia="黑体" w:cs="黑体"/>
          <w:color w:val="auto"/>
          <w:sz w:val="20"/>
          <w:highlight w:val="none"/>
        </w:rPr>
      </w:pPr>
    </w:p>
    <w:p>
      <w:pPr>
        <w:pStyle w:val="19"/>
        <w:ind w:left="0"/>
        <w:rPr>
          <w:rFonts w:hint="eastAsia" w:ascii="黑体" w:hAnsi="黑体" w:eastAsia="黑体" w:cs="黑体"/>
          <w:color w:val="auto"/>
          <w:sz w:val="20"/>
          <w:highlight w:val="none"/>
        </w:rPr>
      </w:pPr>
    </w:p>
    <w:p>
      <w:pPr>
        <w:pStyle w:val="19"/>
        <w:spacing w:before="14"/>
        <w:ind w:left="0"/>
        <w:rPr>
          <w:rFonts w:hint="eastAsia" w:ascii="黑体" w:hAnsi="黑体" w:eastAsia="黑体" w:cs="黑体"/>
          <w:color w:val="auto"/>
          <w:sz w:val="28"/>
          <w:highlight w:val="none"/>
        </w:rPr>
      </w:pPr>
    </w:p>
    <w:p>
      <w:pPr>
        <w:pStyle w:val="19"/>
        <w:ind w:left="0"/>
        <w:rPr>
          <w:rFonts w:hint="eastAsia" w:ascii="黑体" w:hAnsi="黑体" w:eastAsia="黑体" w:cs="黑体"/>
          <w:color w:val="auto"/>
          <w:sz w:val="20"/>
          <w:highlight w:val="none"/>
        </w:rPr>
      </w:pPr>
    </w:p>
    <w:p>
      <w:pPr>
        <w:pStyle w:val="19"/>
        <w:ind w:left="0"/>
        <w:rPr>
          <w:rFonts w:hint="eastAsia" w:ascii="黑体" w:hAnsi="黑体" w:eastAsia="黑体" w:cs="黑体"/>
          <w:color w:val="auto"/>
          <w:sz w:val="20"/>
          <w:highlight w:val="none"/>
        </w:rPr>
      </w:pPr>
    </w:p>
    <w:p>
      <w:pPr>
        <w:pStyle w:val="19"/>
        <w:ind w:left="0"/>
        <w:rPr>
          <w:rFonts w:hint="eastAsia" w:ascii="黑体" w:hAnsi="黑体" w:eastAsia="黑体" w:cs="黑体"/>
          <w:color w:val="auto"/>
          <w:sz w:val="20"/>
          <w:highlight w:val="none"/>
        </w:rPr>
      </w:pPr>
    </w:p>
    <w:p>
      <w:pPr>
        <w:pStyle w:val="19"/>
        <w:ind w:left="0"/>
        <w:rPr>
          <w:rFonts w:hint="eastAsia" w:ascii="黑体" w:hAnsi="黑体" w:eastAsia="黑体" w:cs="黑体"/>
          <w:color w:val="auto"/>
          <w:sz w:val="20"/>
          <w:highlight w:val="none"/>
        </w:rPr>
      </w:pPr>
    </w:p>
    <w:p>
      <w:pPr>
        <w:pStyle w:val="19"/>
        <w:ind w:left="0"/>
        <w:rPr>
          <w:rFonts w:hint="eastAsia" w:ascii="黑体" w:hAnsi="黑体" w:eastAsia="黑体" w:cs="黑体"/>
          <w:color w:val="auto"/>
          <w:sz w:val="20"/>
          <w:highlight w:val="none"/>
        </w:rPr>
      </w:pPr>
    </w:p>
    <w:p>
      <w:pPr>
        <w:pStyle w:val="19"/>
        <w:ind w:left="0"/>
        <w:rPr>
          <w:rFonts w:hint="eastAsia" w:ascii="黑体" w:hAnsi="黑体" w:eastAsia="黑体" w:cs="黑体"/>
          <w:color w:val="auto"/>
          <w:sz w:val="20"/>
          <w:highlight w:val="none"/>
        </w:rPr>
      </w:pPr>
    </w:p>
    <w:p>
      <w:pPr>
        <w:pStyle w:val="19"/>
        <w:ind w:left="0"/>
        <w:rPr>
          <w:rFonts w:hint="eastAsia" w:ascii="黑体" w:hAnsi="黑体" w:eastAsia="黑体" w:cs="黑体"/>
          <w:color w:val="auto"/>
          <w:sz w:val="20"/>
          <w:highlight w:val="none"/>
        </w:rPr>
      </w:pPr>
    </w:p>
    <w:p>
      <w:pPr>
        <w:pStyle w:val="19"/>
        <w:ind w:left="0"/>
        <w:rPr>
          <w:rFonts w:hint="eastAsia" w:ascii="黑体" w:hAnsi="黑体" w:eastAsia="黑体" w:cs="黑体"/>
          <w:color w:val="auto"/>
          <w:sz w:val="20"/>
          <w:highlight w:val="none"/>
        </w:rPr>
      </w:pPr>
    </w:p>
    <w:p>
      <w:pPr>
        <w:pStyle w:val="19"/>
        <w:ind w:left="0"/>
        <w:rPr>
          <w:rFonts w:hint="eastAsia" w:ascii="黑体" w:hAnsi="黑体" w:eastAsia="黑体" w:cs="黑体"/>
          <w:color w:val="auto"/>
          <w:sz w:val="20"/>
          <w:highlight w:val="none"/>
        </w:rPr>
      </w:pPr>
    </w:p>
    <w:p>
      <w:pPr>
        <w:pStyle w:val="19"/>
        <w:ind w:left="0"/>
        <w:rPr>
          <w:rFonts w:hint="eastAsia" w:ascii="黑体" w:hAnsi="黑体" w:eastAsia="黑体" w:cs="黑体"/>
          <w:color w:val="auto"/>
          <w:sz w:val="20"/>
          <w:highlight w:val="none"/>
        </w:rPr>
      </w:pPr>
    </w:p>
    <w:p>
      <w:pPr>
        <w:pStyle w:val="19"/>
        <w:ind w:left="0"/>
        <w:rPr>
          <w:rFonts w:hint="eastAsia" w:ascii="黑体" w:hAnsi="黑体" w:eastAsia="黑体" w:cs="黑体"/>
          <w:color w:val="auto"/>
          <w:sz w:val="20"/>
          <w:highlight w:val="none"/>
        </w:rPr>
      </w:pPr>
    </w:p>
    <w:p>
      <w:pPr>
        <w:pStyle w:val="19"/>
        <w:spacing w:before="7"/>
        <w:ind w:left="0"/>
        <w:rPr>
          <w:rFonts w:hint="eastAsia" w:ascii="黑体" w:hAnsi="黑体" w:eastAsia="黑体" w:cs="黑体"/>
          <w:color w:val="auto"/>
          <w:highlight w:val="none"/>
        </w:rPr>
      </w:pPr>
    </w:p>
    <w:p>
      <w:pPr>
        <w:widowControl/>
        <w:spacing w:line="360" w:lineRule="auto"/>
        <w:ind w:left="2879" w:leftChars="763" w:right="565" w:rightChars="257" w:hanging="1200" w:hangingChars="500"/>
        <w:jc w:val="left"/>
        <w:rPr>
          <w:rFonts w:hint="eastAsia" w:ascii="黑体" w:hAnsi="黑体" w:eastAsia="黑体" w:cs="黑体"/>
          <w:color w:val="auto"/>
          <w:sz w:val="24"/>
          <w:szCs w:val="24"/>
          <w:highlight w:val="none"/>
          <w:lang w:eastAsia="zh-CN"/>
        </w:rPr>
      </w:pPr>
      <w:bookmarkStart w:id="0" w:name="_Toc26945"/>
      <w:bookmarkStart w:id="1" w:name="_Toc11923"/>
      <w:r>
        <w:rPr>
          <w:rFonts w:hint="eastAsia" w:ascii="黑体" w:hAnsi="黑体" w:eastAsia="黑体" w:cs="黑体"/>
          <w:color w:val="auto"/>
          <w:sz w:val="24"/>
          <w:szCs w:val="24"/>
          <w:highlight w:val="none"/>
        </w:rPr>
        <w:t>项目名称：</w:t>
      </w:r>
      <w:bookmarkEnd w:id="0"/>
      <w:bookmarkEnd w:id="1"/>
      <w:r>
        <w:rPr>
          <w:rFonts w:hint="eastAsia" w:ascii="黑体" w:hAnsi="黑体" w:eastAsia="黑体" w:cs="黑体"/>
          <w:color w:val="auto"/>
          <w:sz w:val="24"/>
          <w:szCs w:val="24"/>
          <w:highlight w:val="none"/>
          <w:lang w:eastAsia="zh-CN"/>
        </w:rPr>
        <w:t>轮台县卫生健康委员会核酸检测实验室医疗设备采购项目</w:t>
      </w:r>
    </w:p>
    <w:p>
      <w:pPr>
        <w:pStyle w:val="15"/>
        <w:spacing w:line="360" w:lineRule="auto"/>
        <w:ind w:firstLine="1680" w:firstLineChars="7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项目编号：XJANZFCG-2022-00</w:t>
      </w:r>
      <w:r>
        <w:rPr>
          <w:rFonts w:hint="eastAsia" w:ascii="黑体" w:hAnsi="黑体" w:eastAsia="黑体" w:cs="黑体"/>
          <w:color w:val="auto"/>
          <w:sz w:val="24"/>
          <w:szCs w:val="24"/>
          <w:highlight w:val="none"/>
          <w:lang w:val="en-US" w:eastAsia="zh-CN"/>
        </w:rPr>
        <w:t>6</w:t>
      </w:r>
    </w:p>
    <w:p>
      <w:pPr>
        <w:widowControl/>
        <w:spacing w:line="360" w:lineRule="auto"/>
        <w:ind w:right="565" w:rightChars="257" w:firstLine="1680" w:firstLineChars="7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w:t>
      </w:r>
      <w:r>
        <w:rPr>
          <w:rFonts w:hint="eastAsia" w:ascii="黑体" w:hAnsi="黑体" w:eastAsia="黑体" w:cs="黑体"/>
          <w:color w:val="auto"/>
          <w:sz w:val="24"/>
          <w:szCs w:val="24"/>
          <w:highlight w:val="none"/>
          <w:lang w:val="en-US"/>
        </w:rPr>
        <w:t xml:space="preserve">  </w:t>
      </w:r>
      <w:r>
        <w:rPr>
          <w:rFonts w:hint="eastAsia" w:ascii="黑体" w:hAnsi="黑体" w:eastAsia="黑体" w:cs="黑体"/>
          <w:color w:val="auto"/>
          <w:sz w:val="24"/>
          <w:szCs w:val="24"/>
          <w:highlight w:val="none"/>
        </w:rPr>
        <w:t>购</w:t>
      </w:r>
      <w:r>
        <w:rPr>
          <w:rFonts w:hint="eastAsia" w:ascii="黑体" w:hAnsi="黑体" w:eastAsia="黑体" w:cs="黑体"/>
          <w:color w:val="auto"/>
          <w:sz w:val="24"/>
          <w:szCs w:val="24"/>
          <w:highlight w:val="none"/>
          <w:lang w:val="en-US"/>
        </w:rPr>
        <w:t xml:space="preserve"> </w:t>
      </w:r>
      <w:r>
        <w:rPr>
          <w:rFonts w:hint="eastAsia" w:ascii="黑体" w:hAnsi="黑体" w:eastAsia="黑体" w:cs="黑体"/>
          <w:color w:val="auto"/>
          <w:sz w:val="24"/>
          <w:szCs w:val="24"/>
          <w:highlight w:val="none"/>
        </w:rPr>
        <w:t>人：轮台县卫生健康委员会</w:t>
      </w:r>
    </w:p>
    <w:p>
      <w:pPr>
        <w:widowControl/>
        <w:spacing w:line="360" w:lineRule="auto"/>
        <w:ind w:right="565" w:rightChars="257" w:firstLine="1680" w:firstLineChars="7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代理机构：新疆安航工程项目管理有限公司</w:t>
      </w:r>
    </w:p>
    <w:p>
      <w:pPr>
        <w:widowControl/>
        <w:spacing w:line="360" w:lineRule="auto"/>
        <w:ind w:right="565" w:rightChars="257" w:firstLine="1680" w:firstLineChars="700"/>
        <w:jc w:val="both"/>
        <w:rPr>
          <w:rFonts w:hint="eastAsia" w:ascii="黑体" w:hAnsi="黑体" w:eastAsia="黑体" w:cs="黑体"/>
          <w:color w:val="auto"/>
          <w:sz w:val="24"/>
          <w:szCs w:val="24"/>
          <w:highlight w:val="none"/>
          <w:lang w:val="en-US" w:eastAsia="zh-CN"/>
        </w:rPr>
        <w:sectPr>
          <w:footerReference r:id="rId3" w:type="default"/>
          <w:type w:val="continuous"/>
          <w:pgSz w:w="11910" w:h="16850"/>
          <w:pgMar w:top="720" w:right="567" w:bottom="720" w:left="567" w:header="879" w:footer="1066" w:gutter="0"/>
          <w:pgNumType w:start="1"/>
          <w:cols w:space="720" w:num="1"/>
          <w:docGrid w:linePitch="299" w:charSpace="0"/>
        </w:sectPr>
      </w:pPr>
      <w:r>
        <w:rPr>
          <w:rFonts w:hint="eastAsia" w:ascii="黑体" w:hAnsi="黑体" w:eastAsia="黑体" w:cs="黑体"/>
          <w:color w:val="auto"/>
          <w:sz w:val="24"/>
          <w:szCs w:val="24"/>
          <w:highlight w:val="none"/>
          <w:lang w:val="en-US" w:eastAsia="zh-CN"/>
        </w:rPr>
        <w:t>日    期：2022年5月</w:t>
      </w:r>
    </w:p>
    <w:sdt>
      <w:sdtPr>
        <w:rPr>
          <w:rFonts w:hint="eastAsia" w:ascii="黑体" w:hAnsi="黑体" w:eastAsia="黑体" w:cs="黑体"/>
          <w:sz w:val="28"/>
          <w:szCs w:val="28"/>
          <w:lang w:val="zh-CN" w:eastAsia="zh-CN" w:bidi="zh-CN"/>
        </w:rPr>
        <w:id w:val="147458594"/>
        <w15:color w:val="DBDBDB"/>
        <w:docPartObj>
          <w:docPartGallery w:val="Table of Contents"/>
          <w:docPartUnique/>
        </w:docPartObj>
      </w:sdtPr>
      <w:sdtEndPr>
        <w:rPr>
          <w:rFonts w:hint="eastAsia" w:ascii="黑体" w:hAnsi="黑体" w:eastAsia="黑体" w:cs="黑体"/>
          <w:b w:val="0"/>
          <w:bCs w:val="0"/>
          <w:color w:val="auto"/>
          <w:kern w:val="36"/>
          <w:sz w:val="24"/>
          <w:szCs w:val="24"/>
          <w:highlight w:val="none"/>
          <w:lang w:val="zh-CN" w:eastAsia="zh-CN" w:bidi="zh-CN"/>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28"/>
              <w:szCs w:val="28"/>
            </w:rPr>
          </w:pPr>
          <w:bookmarkStart w:id="2" w:name="_bookmark0"/>
          <w:bookmarkEnd w:id="2"/>
          <w:bookmarkStart w:id="3" w:name="_bookmark1"/>
          <w:bookmarkEnd w:id="3"/>
          <w:bookmarkStart w:id="4" w:name="第二章_投标供应商须知前附表"/>
          <w:bookmarkEnd w:id="4"/>
          <w:bookmarkStart w:id="5" w:name="第一章_投标邀请（招标公告）"/>
          <w:bookmarkEnd w:id="5"/>
          <w:r>
            <w:rPr>
              <w:rFonts w:hint="eastAsia" w:ascii="黑体" w:hAnsi="黑体" w:eastAsia="黑体" w:cs="黑体"/>
              <w:sz w:val="28"/>
              <w:szCs w:val="28"/>
            </w:rPr>
            <w:t>目录</w:t>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color w:val="auto"/>
              <w:kern w:val="36"/>
              <w:sz w:val="24"/>
              <w:szCs w:val="24"/>
              <w:highlight w:val="none"/>
              <w:lang w:eastAsia="zh-CN"/>
            </w:rPr>
            <w:instrText xml:space="preserve">TOC \o "1-1" \h \u </w:instrText>
          </w:r>
          <w:r>
            <w:rPr>
              <w:rFonts w:hint="eastAsia" w:ascii="黑体" w:hAnsi="黑体" w:eastAsia="黑体" w:cs="黑体"/>
              <w:b w:val="0"/>
              <w:bCs w:val="0"/>
              <w:color w:val="auto"/>
              <w:kern w:val="36"/>
              <w:sz w:val="24"/>
              <w:szCs w:val="24"/>
              <w:highlight w:val="none"/>
              <w:lang w:eastAsia="zh-CN"/>
            </w:rPr>
            <w:fldChar w:fldCharType="separate"/>
          </w: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_Toc15961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kern w:val="36"/>
              <w:sz w:val="24"/>
              <w:szCs w:val="24"/>
              <w:highlight w:val="none"/>
            </w:rPr>
            <w:t>公开</w:t>
          </w:r>
          <w:r>
            <w:rPr>
              <w:rFonts w:hint="eastAsia" w:ascii="黑体" w:hAnsi="黑体" w:eastAsia="黑体" w:cs="黑体"/>
              <w:b w:val="0"/>
              <w:bCs w:val="0"/>
              <w:kern w:val="36"/>
              <w:sz w:val="24"/>
              <w:szCs w:val="24"/>
              <w:highlight w:val="none"/>
              <w:lang w:val="en-US" w:eastAsia="zh-CN"/>
            </w:rPr>
            <w:t>招</w:t>
          </w:r>
          <w:r>
            <w:rPr>
              <w:rFonts w:hint="eastAsia" w:ascii="黑体" w:hAnsi="黑体" w:eastAsia="黑体" w:cs="黑体"/>
              <w:b w:val="0"/>
              <w:bCs w:val="0"/>
              <w:kern w:val="36"/>
              <w:sz w:val="24"/>
              <w:szCs w:val="24"/>
              <w:highlight w:val="none"/>
            </w:rPr>
            <w:t>标公告</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_Toc15961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_Toc3447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sz w:val="24"/>
              <w:szCs w:val="24"/>
              <w:highlight w:val="none"/>
            </w:rPr>
            <w:t>一、项目基本情况</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_Toc3447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_Toc23438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sz w:val="24"/>
              <w:szCs w:val="24"/>
              <w:highlight w:val="none"/>
            </w:rPr>
            <w:t>二、投标人资格要求</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_Toc23438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_Toc28517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sz w:val="24"/>
              <w:szCs w:val="24"/>
              <w:highlight w:val="none"/>
            </w:rPr>
            <w:t>三、本项目需落实的政策</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_Toc28517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_Toc26685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sz w:val="24"/>
              <w:szCs w:val="24"/>
              <w:highlight w:val="none"/>
            </w:rPr>
            <w:t>四、投标报名时间及地点</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_Toc26685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2</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_Toc5075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sz w:val="24"/>
              <w:szCs w:val="24"/>
              <w:highlight w:val="none"/>
            </w:rPr>
            <w:t>第二章 投标供应商须知前附表</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_Toc5075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3</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_Toc19953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sz w:val="24"/>
              <w:szCs w:val="24"/>
              <w:highlight w:val="none"/>
            </w:rPr>
            <w:t>第三章 投标供应商须知</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_Toc19953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9</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_Toc5817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sz w:val="24"/>
              <w:szCs w:val="24"/>
              <w:highlight w:val="none"/>
            </w:rPr>
            <w:t>第四章 评标办法</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_Toc5817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27</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_Toc18985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sz w:val="24"/>
              <w:szCs w:val="24"/>
            </w:rPr>
            <w:t>第五章</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政府采购合同</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_Toc18985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31</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_Toc23023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sz w:val="24"/>
              <w:szCs w:val="24"/>
            </w:rPr>
            <w:t xml:space="preserve">第六章 </w:t>
          </w:r>
          <w:r>
            <w:rPr>
              <w:rFonts w:hint="eastAsia" w:ascii="黑体" w:hAnsi="黑体" w:eastAsia="黑体" w:cs="黑体"/>
              <w:b w:val="0"/>
              <w:bCs w:val="0"/>
              <w:sz w:val="24"/>
              <w:szCs w:val="24"/>
              <w:highlight w:val="none"/>
            </w:rPr>
            <w:t>采购货物需求及货物参数</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_Toc23023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43</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_Toc11479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4"/>
              <w:szCs w:val="24"/>
            </w:rPr>
            <w:t>设备技术要求及主要性能参数</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_Toc11479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45</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_Toc22729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sz w:val="24"/>
              <w:szCs w:val="24"/>
              <w:highlight w:val="none"/>
            </w:rPr>
            <w:t>第七章</w:t>
          </w:r>
          <w:r>
            <w:rPr>
              <w:rFonts w:hint="eastAsia" w:ascii="黑体" w:hAnsi="黑体" w:eastAsia="黑体" w:cs="黑体"/>
              <w:b w:val="0"/>
              <w:bCs w:val="0"/>
              <w:sz w:val="24"/>
              <w:szCs w:val="24"/>
              <w:highlight w:val="none"/>
              <w:lang w:val="en-US" w:eastAsia="zh-CN"/>
            </w:rPr>
            <w:t xml:space="preserve">  </w:t>
          </w:r>
          <w:r>
            <w:rPr>
              <w:rFonts w:hint="eastAsia" w:ascii="黑体" w:hAnsi="黑体" w:eastAsia="黑体" w:cs="黑体"/>
              <w:b w:val="0"/>
              <w:bCs w:val="0"/>
              <w:sz w:val="24"/>
              <w:szCs w:val="24"/>
              <w:highlight w:val="none"/>
            </w:rPr>
            <w:t>投标文件格式</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_Toc22729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50</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_Toc31490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kern w:val="0"/>
              <w:sz w:val="24"/>
              <w:szCs w:val="24"/>
              <w:lang w:val="zh-CN" w:bidi="zh-CN"/>
            </w:rPr>
            <w:t>1</w:t>
          </w:r>
          <w:r>
            <w:rPr>
              <w:rFonts w:hint="eastAsia" w:ascii="黑体" w:hAnsi="黑体" w:eastAsia="黑体" w:cs="黑体"/>
              <w:b w:val="0"/>
              <w:bCs w:val="0"/>
              <w:kern w:val="0"/>
              <w:sz w:val="24"/>
              <w:szCs w:val="24"/>
              <w:lang w:val="en-US" w:eastAsia="zh-CN" w:bidi="zh-CN"/>
            </w:rPr>
            <w:t xml:space="preserve"> </w:t>
          </w:r>
          <w:r>
            <w:rPr>
              <w:rFonts w:hint="eastAsia" w:ascii="黑体" w:hAnsi="黑体" w:eastAsia="黑体" w:cs="黑体"/>
              <w:b w:val="0"/>
              <w:bCs w:val="0"/>
              <w:kern w:val="0"/>
              <w:sz w:val="24"/>
              <w:szCs w:val="24"/>
              <w:lang w:val="zh-CN" w:bidi="zh-CN"/>
            </w:rPr>
            <w:t>营业执照副本；</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_Toc31490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58</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_Toc31702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kern w:val="0"/>
              <w:sz w:val="24"/>
              <w:szCs w:val="24"/>
              <w:lang w:val="zh-CN" w:bidi="zh-CN"/>
            </w:rPr>
            <w:t>2</w:t>
          </w:r>
          <w:r>
            <w:rPr>
              <w:rFonts w:hint="eastAsia" w:ascii="黑体" w:hAnsi="黑体" w:eastAsia="黑体" w:cs="黑体"/>
              <w:b w:val="0"/>
              <w:bCs w:val="0"/>
              <w:kern w:val="0"/>
              <w:sz w:val="24"/>
              <w:szCs w:val="24"/>
              <w:lang w:val="en-US" w:eastAsia="zh-CN" w:bidi="zh-CN"/>
            </w:rPr>
            <w:t xml:space="preserve"> </w:t>
          </w:r>
          <w:r>
            <w:rPr>
              <w:rFonts w:hint="eastAsia" w:ascii="黑体" w:hAnsi="黑体" w:eastAsia="黑体" w:cs="黑体"/>
              <w:b w:val="0"/>
              <w:bCs w:val="0"/>
              <w:kern w:val="0"/>
              <w:sz w:val="24"/>
              <w:szCs w:val="24"/>
              <w:lang w:val="zh-CN" w:bidi="zh-CN"/>
            </w:rPr>
            <w:t>法定代表人身份证和相关资格证明文件；</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_Toc31702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58</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_Toc6245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kern w:val="0"/>
              <w:sz w:val="24"/>
              <w:szCs w:val="24"/>
              <w:lang w:val="zh-CN" w:bidi="zh-CN"/>
            </w:rPr>
            <w:t>3</w:t>
          </w:r>
          <w:r>
            <w:rPr>
              <w:rFonts w:hint="eastAsia" w:ascii="黑体" w:hAnsi="黑体" w:eastAsia="黑体" w:cs="黑体"/>
              <w:b w:val="0"/>
              <w:bCs w:val="0"/>
              <w:kern w:val="0"/>
              <w:sz w:val="24"/>
              <w:szCs w:val="24"/>
              <w:lang w:val="en-US" w:eastAsia="zh-CN" w:bidi="zh-CN"/>
            </w:rPr>
            <w:t xml:space="preserve"> </w:t>
          </w:r>
          <w:r>
            <w:rPr>
              <w:rFonts w:hint="eastAsia" w:ascii="黑体" w:hAnsi="黑体" w:eastAsia="黑体" w:cs="黑体"/>
              <w:b w:val="0"/>
              <w:bCs w:val="0"/>
              <w:kern w:val="0"/>
              <w:sz w:val="24"/>
              <w:szCs w:val="24"/>
              <w:lang w:val="zh-CN" w:bidi="zh-CN"/>
            </w:rPr>
            <w:t>缴税、社保证明材料；</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_Toc6245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58</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_Toc16898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kern w:val="0"/>
              <w:sz w:val="24"/>
              <w:szCs w:val="24"/>
              <w:lang w:val="zh-CN" w:bidi="zh-CN"/>
            </w:rPr>
            <w:t>4 具有健全会计制度的证明材料；</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_Toc16898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58</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_Toc29181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kern w:val="0"/>
              <w:sz w:val="24"/>
              <w:szCs w:val="24"/>
              <w:lang w:val="zh-CN" w:bidi="zh-CN"/>
            </w:rPr>
            <w:t>5 资格要求中要求其他证明材料；</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_Toc29181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58</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_Toc7054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kern w:val="0"/>
              <w:sz w:val="24"/>
              <w:szCs w:val="24"/>
              <w:lang w:val="zh-CN" w:bidi="zh-CN"/>
            </w:rPr>
            <w:t>6 节能产品认证证书（如有）；</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_Toc7054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58</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_Toc29315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kern w:val="0"/>
              <w:sz w:val="24"/>
              <w:szCs w:val="24"/>
              <w:lang w:val="zh-CN" w:bidi="zh-CN"/>
            </w:rPr>
            <w:t>7 环保产品认证证书（如有）；</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_Toc29315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58</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_Toc12824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kern w:val="0"/>
              <w:sz w:val="24"/>
              <w:szCs w:val="24"/>
              <w:lang w:val="zh-CN" w:bidi="zh-CN"/>
            </w:rPr>
            <w:t>8 开户许可证；</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_Toc12824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58</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_Toc10156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kern w:val="0"/>
              <w:sz w:val="24"/>
              <w:szCs w:val="24"/>
              <w:lang w:val="zh-CN" w:bidi="zh-CN"/>
            </w:rPr>
            <w:t>9</w:t>
          </w:r>
          <w:r>
            <w:rPr>
              <w:rFonts w:hint="eastAsia" w:ascii="黑体" w:hAnsi="黑体" w:eastAsia="黑体" w:cs="黑体"/>
              <w:b w:val="0"/>
              <w:bCs w:val="0"/>
              <w:kern w:val="0"/>
              <w:sz w:val="24"/>
              <w:szCs w:val="24"/>
              <w:lang w:val="en-US" w:eastAsia="zh-CN" w:bidi="zh-CN"/>
            </w:rPr>
            <w:t xml:space="preserve"> </w:t>
          </w:r>
          <w:r>
            <w:rPr>
              <w:rFonts w:hint="eastAsia" w:ascii="黑体" w:hAnsi="黑体" w:eastAsia="黑体" w:cs="黑体"/>
              <w:b w:val="0"/>
              <w:bCs w:val="0"/>
              <w:kern w:val="0"/>
              <w:sz w:val="24"/>
              <w:szCs w:val="24"/>
              <w:lang w:val="zh-CN" w:bidi="zh-CN"/>
            </w:rPr>
            <w:t>其他相关证明资料。</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_Toc10156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58</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_Toc25833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4"/>
              <w:szCs w:val="24"/>
            </w:rPr>
            <w:t>监狱企业证明文件</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_Toc25833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59</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_Toc25203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sz w:val="24"/>
              <w:szCs w:val="24"/>
            </w:rPr>
            <w:t>2.残疾人福利性单位声明函</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_Toc25203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59</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_Toc23680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sz w:val="24"/>
              <w:szCs w:val="24"/>
            </w:rPr>
            <w:t>3.中小企业申明函</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_Toc23680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59</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_Toc7947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sz w:val="24"/>
              <w:szCs w:val="24"/>
            </w:rPr>
            <w:t>投标单位(供应商)反商业贿赂承诺书</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_Toc7947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60</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pStyle w:val="29"/>
            <w:tabs>
              <w:tab w:val="right" w:leader="dot" w:pos="9750"/>
            </w:tabs>
            <w:spacing w:line="240" w:lineRule="auto"/>
            <w:rPr>
              <w:rFonts w:hint="eastAsia" w:ascii="黑体" w:hAnsi="黑体" w:eastAsia="黑体" w:cs="黑体"/>
              <w:b w:val="0"/>
              <w:bCs w:val="0"/>
              <w:sz w:val="24"/>
              <w:szCs w:val="24"/>
            </w:rPr>
          </w:pPr>
          <w:r>
            <w:rPr>
              <w:rFonts w:hint="eastAsia" w:ascii="黑体" w:hAnsi="黑体" w:eastAsia="黑体" w:cs="黑体"/>
              <w:b w:val="0"/>
              <w:bCs w:val="0"/>
              <w:color w:val="auto"/>
              <w:kern w:val="36"/>
              <w:sz w:val="24"/>
              <w:szCs w:val="24"/>
              <w:highlight w:val="none"/>
              <w:lang w:eastAsia="zh-CN"/>
            </w:rPr>
            <w:fldChar w:fldCharType="begin"/>
          </w:r>
          <w:r>
            <w:rPr>
              <w:rFonts w:hint="eastAsia" w:ascii="黑体" w:hAnsi="黑体" w:eastAsia="黑体" w:cs="黑体"/>
              <w:b w:val="0"/>
              <w:bCs w:val="0"/>
              <w:kern w:val="36"/>
              <w:sz w:val="24"/>
              <w:szCs w:val="24"/>
              <w:highlight w:val="none"/>
              <w:lang w:eastAsia="zh-CN"/>
            </w:rPr>
            <w:instrText xml:space="preserve"> HYPERLINK \l _Toc27464 </w:instrText>
          </w:r>
          <w:r>
            <w:rPr>
              <w:rFonts w:hint="eastAsia" w:ascii="黑体" w:hAnsi="黑体" w:eastAsia="黑体" w:cs="黑体"/>
              <w:b w:val="0"/>
              <w:bCs w:val="0"/>
              <w:kern w:val="36"/>
              <w:sz w:val="24"/>
              <w:szCs w:val="24"/>
              <w:highlight w:val="none"/>
              <w:lang w:eastAsia="zh-CN"/>
            </w:rPr>
            <w:fldChar w:fldCharType="separate"/>
          </w:r>
          <w:r>
            <w:rPr>
              <w:rFonts w:hint="eastAsia" w:ascii="黑体" w:hAnsi="黑体" w:eastAsia="黑体" w:cs="黑体"/>
              <w:b w:val="0"/>
              <w:bCs w:val="0"/>
              <w:sz w:val="24"/>
              <w:szCs w:val="24"/>
              <w:highlight w:val="none"/>
            </w:rPr>
            <w:t>第八章评分标准</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_Toc27464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61</w:t>
          </w:r>
          <w:r>
            <w:rPr>
              <w:rFonts w:hint="eastAsia" w:ascii="黑体" w:hAnsi="黑体" w:eastAsia="黑体" w:cs="黑体"/>
              <w:b w:val="0"/>
              <w:bCs w:val="0"/>
              <w:sz w:val="24"/>
              <w:szCs w:val="24"/>
            </w:rPr>
            <w:fldChar w:fldCharType="end"/>
          </w:r>
          <w:r>
            <w:rPr>
              <w:rFonts w:hint="eastAsia" w:ascii="黑体" w:hAnsi="黑体" w:eastAsia="黑体" w:cs="黑体"/>
              <w:b w:val="0"/>
              <w:bCs w:val="0"/>
              <w:color w:val="auto"/>
              <w:kern w:val="36"/>
              <w:sz w:val="24"/>
              <w:szCs w:val="24"/>
              <w:highlight w:val="none"/>
              <w:lang w:eastAsia="zh-CN"/>
            </w:rPr>
            <w:fldChar w:fldCharType="end"/>
          </w:r>
        </w:p>
        <w:p>
          <w:pPr>
            <w:spacing w:after="240" w:afterLines="100" w:line="240" w:lineRule="auto"/>
            <w:ind w:right="567"/>
            <w:jc w:val="center"/>
            <w:outlineLvl w:val="9"/>
            <w:rPr>
              <w:rFonts w:hint="eastAsia" w:ascii="黑体" w:hAnsi="黑体" w:eastAsia="黑体" w:cs="黑体"/>
              <w:b w:val="0"/>
              <w:bCs w:val="0"/>
              <w:color w:val="auto"/>
              <w:kern w:val="36"/>
              <w:sz w:val="24"/>
              <w:szCs w:val="24"/>
              <w:highlight w:val="none"/>
              <w:lang w:eastAsia="zh-CN"/>
            </w:rPr>
            <w:sectPr>
              <w:footerReference r:id="rId4" w:type="default"/>
              <w:pgSz w:w="11910" w:h="16850"/>
              <w:pgMar w:top="1440" w:right="1080" w:bottom="1440" w:left="1080" w:header="877" w:footer="1068" w:gutter="0"/>
              <w:pgNumType w:start="1"/>
              <w:cols w:space="720" w:num="1"/>
            </w:sectPr>
          </w:pPr>
          <w:r>
            <w:rPr>
              <w:rFonts w:hint="eastAsia" w:ascii="黑体" w:hAnsi="黑体" w:eastAsia="黑体" w:cs="黑体"/>
              <w:b w:val="0"/>
              <w:bCs w:val="0"/>
              <w:color w:val="auto"/>
              <w:kern w:val="36"/>
              <w:sz w:val="24"/>
              <w:szCs w:val="24"/>
              <w:highlight w:val="none"/>
              <w:lang w:eastAsia="zh-CN"/>
            </w:rPr>
            <w:fldChar w:fldCharType="end"/>
          </w:r>
        </w:p>
      </w:sdtContent>
    </w:sdt>
    <w:p>
      <w:pPr>
        <w:spacing w:after="240" w:afterLines="100" w:line="600" w:lineRule="exact"/>
        <w:ind w:right="567"/>
        <w:jc w:val="center"/>
        <w:outlineLvl w:val="0"/>
        <w:rPr>
          <w:rFonts w:hint="eastAsia" w:ascii="黑体" w:hAnsi="黑体" w:eastAsia="黑体" w:cs="黑体"/>
          <w:b/>
          <w:bCs/>
          <w:color w:val="auto"/>
          <w:kern w:val="36"/>
          <w:sz w:val="32"/>
          <w:szCs w:val="32"/>
          <w:highlight w:val="none"/>
        </w:rPr>
      </w:pPr>
      <w:bookmarkStart w:id="6" w:name="_Toc15961"/>
      <w:r>
        <w:rPr>
          <w:rFonts w:hint="eastAsia" w:ascii="黑体" w:hAnsi="黑体" w:eastAsia="黑体" w:cs="黑体"/>
          <w:b/>
          <w:bCs/>
          <w:color w:val="auto"/>
          <w:kern w:val="36"/>
          <w:sz w:val="36"/>
          <w:szCs w:val="36"/>
          <w:highlight w:val="none"/>
          <w:lang w:eastAsia="zh-CN"/>
        </w:rPr>
        <w:t>轮台县卫生健康委员会核酸检测实验室医疗设备采购项目</w:t>
      </w:r>
      <w:r>
        <w:rPr>
          <w:rFonts w:hint="eastAsia" w:ascii="黑体" w:hAnsi="黑体" w:eastAsia="黑体" w:cs="黑体"/>
          <w:b/>
          <w:bCs/>
          <w:color w:val="auto"/>
          <w:kern w:val="36"/>
          <w:sz w:val="36"/>
          <w:szCs w:val="36"/>
          <w:highlight w:val="none"/>
        </w:rPr>
        <w:t>公开</w:t>
      </w:r>
      <w:r>
        <w:rPr>
          <w:rFonts w:hint="eastAsia" w:ascii="黑体" w:hAnsi="黑体" w:eastAsia="黑体" w:cs="黑体"/>
          <w:b/>
          <w:bCs/>
          <w:color w:val="auto"/>
          <w:kern w:val="36"/>
          <w:sz w:val="36"/>
          <w:szCs w:val="36"/>
          <w:highlight w:val="none"/>
          <w:lang w:val="en-US" w:eastAsia="zh-CN"/>
        </w:rPr>
        <w:t>招</w:t>
      </w:r>
      <w:r>
        <w:rPr>
          <w:rFonts w:hint="eastAsia" w:ascii="黑体" w:hAnsi="黑体" w:eastAsia="黑体" w:cs="黑体"/>
          <w:b/>
          <w:bCs/>
          <w:color w:val="auto"/>
          <w:kern w:val="36"/>
          <w:sz w:val="36"/>
          <w:szCs w:val="36"/>
          <w:highlight w:val="none"/>
        </w:rPr>
        <w:t>标公告</w:t>
      </w:r>
      <w:bookmarkEnd w:id="6"/>
    </w:p>
    <w:p>
      <w:pPr>
        <w:spacing w:line="460" w:lineRule="exact"/>
        <w:ind w:firstLine="480" w:firstLineChars="200"/>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u w:val="single"/>
          <w:lang w:eastAsia="zh-CN"/>
        </w:rPr>
        <w:t>新疆安航工程项目管理有限公司</w:t>
      </w:r>
      <w:r>
        <w:rPr>
          <w:rFonts w:hint="eastAsia" w:ascii="黑体" w:hAnsi="黑体" w:eastAsia="黑体" w:cs="黑体"/>
          <w:color w:val="auto"/>
          <w:sz w:val="24"/>
          <w:szCs w:val="24"/>
          <w:highlight w:val="none"/>
        </w:rPr>
        <w:t>受</w:t>
      </w:r>
      <w:r>
        <w:rPr>
          <w:rFonts w:hint="eastAsia" w:ascii="黑体" w:hAnsi="黑体" w:eastAsia="黑体" w:cs="黑体"/>
          <w:color w:val="auto"/>
          <w:sz w:val="24"/>
          <w:szCs w:val="24"/>
          <w:highlight w:val="none"/>
          <w:u w:val="single"/>
        </w:rPr>
        <w:t>轮台县卫生健康委员会</w:t>
      </w:r>
      <w:r>
        <w:rPr>
          <w:rFonts w:hint="eastAsia" w:ascii="黑体" w:hAnsi="黑体" w:eastAsia="黑体" w:cs="黑体"/>
          <w:color w:val="auto"/>
          <w:sz w:val="24"/>
          <w:szCs w:val="24"/>
          <w:highlight w:val="none"/>
        </w:rPr>
        <w:t>委托，对</w:t>
      </w:r>
      <w:r>
        <w:rPr>
          <w:rFonts w:hint="eastAsia" w:ascii="黑体" w:hAnsi="黑体" w:eastAsia="黑体" w:cs="黑体"/>
          <w:color w:val="auto"/>
          <w:sz w:val="24"/>
          <w:szCs w:val="24"/>
          <w:highlight w:val="none"/>
          <w:u w:val="single"/>
          <w:lang w:eastAsia="zh-CN"/>
        </w:rPr>
        <w:t>轮台县卫生健康委员会核酸检测实验室医疗设备采购项目</w:t>
      </w:r>
      <w:r>
        <w:rPr>
          <w:rFonts w:hint="eastAsia" w:ascii="黑体" w:hAnsi="黑体" w:eastAsia="黑体" w:cs="黑体"/>
          <w:color w:val="auto"/>
          <w:sz w:val="24"/>
          <w:szCs w:val="24"/>
          <w:highlight w:val="none"/>
        </w:rPr>
        <w:t>进行公开招标，现邀请合格的投标人参加本项目投标。</w:t>
      </w:r>
    </w:p>
    <w:p>
      <w:pPr>
        <w:spacing w:line="460" w:lineRule="exact"/>
        <w:outlineLvl w:val="0"/>
        <w:rPr>
          <w:rFonts w:hint="eastAsia" w:ascii="黑体" w:hAnsi="黑体" w:eastAsia="黑体" w:cs="黑体"/>
          <w:b/>
          <w:color w:val="auto"/>
          <w:sz w:val="24"/>
          <w:szCs w:val="24"/>
          <w:highlight w:val="none"/>
        </w:rPr>
      </w:pPr>
      <w:bookmarkStart w:id="7" w:name="_Toc3447"/>
      <w:r>
        <w:rPr>
          <w:rFonts w:hint="eastAsia" w:ascii="黑体" w:hAnsi="黑体" w:eastAsia="黑体" w:cs="黑体"/>
          <w:b/>
          <w:color w:val="auto"/>
          <w:sz w:val="24"/>
          <w:szCs w:val="24"/>
          <w:highlight w:val="none"/>
        </w:rPr>
        <w:t>一、项目基本情况</w:t>
      </w:r>
      <w:bookmarkEnd w:id="7"/>
    </w:p>
    <w:p>
      <w:pPr>
        <w:spacing w:line="46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1、项目名称：</w:t>
      </w:r>
      <w:r>
        <w:rPr>
          <w:rFonts w:hint="eastAsia" w:ascii="黑体" w:hAnsi="黑体" w:eastAsia="黑体" w:cs="黑体"/>
          <w:color w:val="auto"/>
          <w:sz w:val="24"/>
          <w:szCs w:val="24"/>
          <w:highlight w:val="none"/>
          <w:lang w:eastAsia="zh-CN"/>
        </w:rPr>
        <w:t>轮台县卫生健康委员会核酸检测实验室医疗设备采购项目</w:t>
      </w:r>
    </w:p>
    <w:p>
      <w:pPr>
        <w:spacing w:line="460" w:lineRule="exac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2、项目编号：</w:t>
      </w:r>
      <w:r>
        <w:rPr>
          <w:rFonts w:hint="eastAsia" w:ascii="黑体" w:hAnsi="黑体" w:eastAsia="黑体" w:cs="黑体"/>
          <w:color w:val="auto"/>
          <w:sz w:val="24"/>
          <w:szCs w:val="24"/>
          <w:highlight w:val="none"/>
          <w:lang w:eastAsia="zh-CN"/>
        </w:rPr>
        <w:t>XJAHZFCG-2022-006</w:t>
      </w:r>
    </w:p>
    <w:p>
      <w:pPr>
        <w:spacing w:line="46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3、采购单位：</w:t>
      </w:r>
      <w:r>
        <w:rPr>
          <w:rFonts w:hint="eastAsia" w:ascii="黑体" w:hAnsi="黑体" w:eastAsia="黑体" w:cs="黑体"/>
          <w:color w:val="auto"/>
          <w:sz w:val="24"/>
          <w:szCs w:val="24"/>
          <w:highlight w:val="none"/>
          <w:lang w:eastAsia="zh-CN"/>
        </w:rPr>
        <w:t>轮台县卫生健康委员会</w:t>
      </w:r>
    </w:p>
    <w:p>
      <w:pPr>
        <w:spacing w:line="46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4、代理机构：</w:t>
      </w:r>
      <w:r>
        <w:rPr>
          <w:rFonts w:hint="eastAsia" w:ascii="黑体" w:hAnsi="黑体" w:eastAsia="黑体" w:cs="黑体"/>
          <w:color w:val="auto"/>
          <w:sz w:val="24"/>
          <w:szCs w:val="24"/>
          <w:highlight w:val="none"/>
          <w:lang w:eastAsia="zh-CN"/>
        </w:rPr>
        <w:t>新疆安航工程项目管理有限公司</w:t>
      </w:r>
    </w:p>
    <w:p>
      <w:pPr>
        <w:rPr>
          <w:rFonts w:hint="eastAsia" w:ascii="黑体" w:hAnsi="黑体" w:eastAsia="黑体" w:cs="黑体"/>
          <w:color w:val="auto"/>
          <w:sz w:val="24"/>
          <w:szCs w:val="24"/>
          <w:highlight w:val="none"/>
        </w:rPr>
      </w:pPr>
    </w:p>
    <w:p>
      <w:pP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5、采购内容：</w:t>
      </w:r>
      <w:r>
        <w:rPr>
          <w:rFonts w:hint="eastAsia" w:ascii="黑体" w:hAnsi="黑体" w:eastAsia="黑体" w:cs="黑体"/>
          <w:color w:val="auto"/>
          <w:sz w:val="24"/>
          <w:szCs w:val="24"/>
          <w:highlight w:val="none"/>
          <w:lang w:val="en-US" w:eastAsia="zh-CN"/>
        </w:rPr>
        <w:t>临床检验专用冰箱、试管架、混匀振荡器、八联管离心机、微孔板离心机、医用洁净工作台、生物安全柜、立式压力蒸汽灭菌器、多用途恒温箱（干式恒温箱）、全自动医用PCR分析系统、全自动医用PCR分析系统</w:t>
      </w:r>
    </w:p>
    <w:p>
      <w:pPr>
        <w:rPr>
          <w:rFonts w:hint="eastAsia" w:ascii="黑体" w:hAnsi="黑体" w:eastAsia="黑体" w:cs="黑体"/>
          <w:color w:val="auto"/>
          <w:sz w:val="24"/>
          <w:szCs w:val="24"/>
          <w:highlight w:val="none"/>
          <w:lang w:val="en-US" w:eastAsia="zh-CN"/>
        </w:rPr>
      </w:pPr>
    </w:p>
    <w:p>
      <w:pP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5.1招标内容及要求：（详见第六章采购货物需求及货物参数）</w:t>
      </w:r>
    </w:p>
    <w:p>
      <w:pPr>
        <w:pStyle w:val="41"/>
        <w:ind w:left="0" w:leftChars="0" w:firstLine="0" w:firstLineChars="0"/>
        <w:rPr>
          <w:rFonts w:hint="eastAsia" w:ascii="黑体" w:hAnsi="黑体" w:eastAsia="黑体" w:cs="黑体"/>
          <w:sz w:val="24"/>
          <w:szCs w:val="24"/>
          <w:lang w:val="en-US" w:eastAsia="zh-CN"/>
        </w:rPr>
      </w:pPr>
    </w:p>
    <w:p>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6、服务地点：</w:t>
      </w:r>
      <w:r>
        <w:rPr>
          <w:rFonts w:hint="eastAsia" w:ascii="黑体" w:hAnsi="黑体" w:eastAsia="黑体" w:cs="黑体"/>
          <w:color w:val="auto"/>
          <w:sz w:val="24"/>
          <w:szCs w:val="24"/>
          <w:highlight w:val="none"/>
          <w:lang w:val="en-US"/>
        </w:rPr>
        <w:t>采购单位</w:t>
      </w:r>
      <w:r>
        <w:rPr>
          <w:rFonts w:hint="eastAsia" w:ascii="黑体" w:hAnsi="黑体" w:eastAsia="黑体" w:cs="黑体"/>
          <w:color w:val="auto"/>
          <w:sz w:val="24"/>
          <w:szCs w:val="24"/>
          <w:highlight w:val="none"/>
        </w:rPr>
        <w:t>指定地点</w:t>
      </w:r>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7、预算总金额：</w:t>
      </w:r>
      <w:r>
        <w:rPr>
          <w:rFonts w:hint="eastAsia" w:ascii="黑体" w:hAnsi="黑体" w:eastAsia="黑体" w:cs="黑体"/>
          <w:color w:val="auto"/>
          <w:sz w:val="24"/>
          <w:szCs w:val="24"/>
          <w:highlight w:val="none"/>
          <w:lang w:val="en-US" w:eastAsia="zh-CN"/>
        </w:rPr>
        <w:t>794万</w:t>
      </w:r>
      <w:r>
        <w:rPr>
          <w:rFonts w:hint="eastAsia" w:ascii="黑体" w:hAnsi="黑体" w:eastAsia="黑体" w:cs="黑体"/>
          <w:color w:val="auto"/>
          <w:sz w:val="24"/>
          <w:szCs w:val="24"/>
          <w:highlight w:val="none"/>
        </w:rPr>
        <w:t>元</w:t>
      </w:r>
    </w:p>
    <w:p>
      <w:pPr>
        <w:spacing w:line="460" w:lineRule="exac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8、资金来源：县级资金</w:t>
      </w:r>
    </w:p>
    <w:p>
      <w:pPr>
        <w:spacing w:line="460" w:lineRule="exact"/>
        <w:outlineLvl w:val="0"/>
        <w:rPr>
          <w:rFonts w:hint="eastAsia" w:ascii="黑体" w:hAnsi="黑体" w:eastAsia="黑体" w:cs="黑体"/>
          <w:b/>
          <w:color w:val="auto"/>
          <w:sz w:val="24"/>
          <w:szCs w:val="24"/>
          <w:highlight w:val="none"/>
        </w:rPr>
      </w:pPr>
      <w:bookmarkStart w:id="8" w:name="_Toc23438"/>
      <w:r>
        <w:rPr>
          <w:rFonts w:hint="eastAsia" w:ascii="黑体" w:hAnsi="黑体" w:eastAsia="黑体" w:cs="黑体"/>
          <w:b/>
          <w:color w:val="auto"/>
          <w:sz w:val="24"/>
          <w:szCs w:val="24"/>
          <w:highlight w:val="none"/>
        </w:rPr>
        <w:t>二、投标人资格要求</w:t>
      </w:r>
      <w:bookmarkEnd w:id="8"/>
    </w:p>
    <w:p>
      <w:pPr>
        <w:pStyle w:val="224"/>
        <w:spacing w:line="288" w:lineRule="auto"/>
        <w:ind w:left="480" w:hanging="480" w:hangingChars="200"/>
        <w:rPr>
          <w:rFonts w:hint="eastAsia" w:ascii="黑体" w:hAnsi="黑体" w:eastAsia="黑体" w:cs="黑体"/>
          <w:color w:val="auto"/>
          <w:sz w:val="24"/>
          <w:szCs w:val="24"/>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rPr>
        <w:t>符合《中华人民共和国政府采购法》第二十二条的规定。国内工商登记注册，有能力完成本项目的全部要求的供应商；</w:t>
      </w:r>
    </w:p>
    <w:p>
      <w:pPr>
        <w:pStyle w:val="224"/>
        <w:spacing w:line="288" w:lineRule="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2、投标人资质要求： </w:t>
      </w:r>
    </w:p>
    <w:p>
      <w:pPr>
        <w:pStyle w:val="54"/>
        <w:spacing w:line="288" w:lineRule="auto"/>
        <w:ind w:left="0" w:leftChars="0" w:firstLine="0" w:firstLineChars="0"/>
        <w:rPr>
          <w:rFonts w:hint="eastAsia" w:ascii="黑体" w:hAnsi="黑体" w:eastAsia="黑体" w:cs="黑体"/>
          <w:color w:val="auto"/>
          <w:sz w:val="24"/>
          <w:szCs w:val="24"/>
          <w:u w:val="none"/>
        </w:rPr>
      </w:pPr>
      <w:r>
        <w:rPr>
          <w:rFonts w:hint="eastAsia" w:ascii="黑体" w:hAnsi="黑体" w:eastAsia="黑体" w:cs="黑体"/>
          <w:color w:val="auto"/>
          <w:sz w:val="24"/>
          <w:szCs w:val="24"/>
        </w:rPr>
        <w:t>（1）</w:t>
      </w:r>
      <w:r>
        <w:rPr>
          <w:rFonts w:hint="eastAsia" w:ascii="黑体" w:hAnsi="黑体" w:eastAsia="黑体" w:cs="黑体"/>
          <w:color w:val="auto"/>
          <w:sz w:val="24"/>
          <w:szCs w:val="24"/>
          <w:u w:val="none"/>
        </w:rPr>
        <w:t>单位负责人为同一人或者存在直接控股、管理关系的不同供应商不得参加本项目的投标；</w:t>
      </w:r>
    </w:p>
    <w:p>
      <w:pPr>
        <w:pStyle w:val="54"/>
        <w:numPr>
          <w:ilvl w:val="0"/>
          <w:numId w:val="6"/>
        </w:numPr>
        <w:spacing w:line="288" w:lineRule="auto"/>
        <w:ind w:firstLineChars="0"/>
        <w:rPr>
          <w:rFonts w:hint="eastAsia" w:ascii="黑体" w:hAnsi="黑体" w:eastAsia="黑体" w:cs="黑体"/>
          <w:color w:val="auto"/>
          <w:sz w:val="24"/>
          <w:szCs w:val="24"/>
          <w:u w:val="none"/>
        </w:rPr>
      </w:pPr>
      <w:r>
        <w:rPr>
          <w:rFonts w:hint="eastAsia" w:ascii="黑体" w:hAnsi="黑体" w:eastAsia="黑体" w:cs="黑体"/>
          <w:color w:val="auto"/>
          <w:sz w:val="24"/>
          <w:szCs w:val="24"/>
          <w:u w:val="none"/>
        </w:rPr>
        <w:t>供应商未列入失信被执行人、重大税收违法案件当事人名单、政府采购严重违法失信行为记录名单（财库[2016]125号）。</w:t>
      </w:r>
    </w:p>
    <w:p>
      <w:pPr>
        <w:pStyle w:val="54"/>
        <w:numPr>
          <w:ilvl w:val="0"/>
          <w:numId w:val="6"/>
        </w:numPr>
        <w:spacing w:line="288" w:lineRule="auto"/>
        <w:ind w:firstLineChars="0"/>
        <w:rPr>
          <w:rFonts w:hint="eastAsia" w:ascii="黑体" w:hAnsi="黑体" w:eastAsia="黑体" w:cs="黑体"/>
          <w:color w:val="auto"/>
          <w:sz w:val="24"/>
          <w:szCs w:val="24"/>
          <w:u w:val="none"/>
          <w:lang w:val="en-US" w:eastAsia="zh-CN"/>
        </w:rPr>
      </w:pPr>
      <w:r>
        <w:rPr>
          <w:rFonts w:hint="eastAsia" w:ascii="黑体" w:hAnsi="黑体" w:eastAsia="黑体" w:cs="黑体"/>
          <w:color w:val="auto"/>
          <w:sz w:val="24"/>
          <w:szCs w:val="24"/>
          <w:u w:val="none"/>
          <w:lang w:val="en-US" w:eastAsia="zh-CN"/>
        </w:rPr>
        <w:t>具有独立承担民事责任的能力，合法经营具备工商营业执照、组织机构代码证（三证合一企业无需提供）、税务登记证（三证合一企业无需提供）；</w:t>
      </w:r>
    </w:p>
    <w:p>
      <w:pPr>
        <w:pStyle w:val="54"/>
        <w:numPr>
          <w:ilvl w:val="0"/>
          <w:numId w:val="6"/>
        </w:numPr>
        <w:spacing w:line="288" w:lineRule="auto"/>
        <w:ind w:firstLineChars="0"/>
        <w:rPr>
          <w:rFonts w:hint="eastAsia" w:ascii="黑体" w:hAnsi="黑体" w:eastAsia="黑体" w:cs="黑体"/>
          <w:color w:val="auto"/>
          <w:sz w:val="24"/>
          <w:szCs w:val="24"/>
          <w:u w:val="none"/>
        </w:rPr>
      </w:pPr>
      <w:r>
        <w:rPr>
          <w:rFonts w:hint="eastAsia" w:ascii="黑体" w:hAnsi="黑体" w:eastAsia="黑体" w:cs="黑体"/>
          <w:color w:val="auto"/>
          <w:sz w:val="24"/>
          <w:szCs w:val="24"/>
          <w:u w:val="none"/>
          <w:lang w:val="en-US" w:eastAsia="zh-CN"/>
        </w:rPr>
        <w:t>具有有效的医疗器械经营许可证供应商须具有医疗器械经营许可证</w:t>
      </w:r>
      <w:r>
        <w:rPr>
          <w:rFonts w:hint="eastAsia" w:ascii="黑体" w:hAnsi="黑体" w:eastAsia="黑体" w:cs="黑体"/>
          <w:color w:val="auto"/>
          <w:sz w:val="24"/>
          <w:szCs w:val="24"/>
          <w:u w:val="none"/>
        </w:rPr>
        <w:t>（二类医疗器械须提供医疗器械备案凭证）</w:t>
      </w:r>
      <w:r>
        <w:rPr>
          <w:rFonts w:hint="eastAsia" w:ascii="黑体" w:hAnsi="黑体" w:eastAsia="黑体" w:cs="黑体"/>
          <w:color w:val="auto"/>
          <w:sz w:val="24"/>
          <w:szCs w:val="24"/>
          <w:u w:val="none"/>
          <w:lang w:val="en-US" w:eastAsia="zh-CN"/>
        </w:rPr>
        <w:t>(或按照国家食品药品监督管理部门规定实行备案管理的，出具备案证明文件)；货物制造商须具备医疗器械生产许可证；货物制造商所投产品须具备医疗器械注册证（含登记表）(或按照国家食品药品监督管理部门规定实行备案管理的，出具备案证明文件)</w:t>
      </w:r>
    </w:p>
    <w:p>
      <w:pPr>
        <w:pStyle w:val="54"/>
        <w:numPr>
          <w:ilvl w:val="0"/>
          <w:numId w:val="6"/>
        </w:numPr>
        <w:spacing w:line="288" w:lineRule="auto"/>
        <w:ind w:firstLineChars="0"/>
        <w:rPr>
          <w:rFonts w:hint="eastAsia" w:ascii="黑体" w:hAnsi="黑体" w:eastAsia="黑体" w:cs="黑体"/>
          <w:color w:val="auto"/>
          <w:sz w:val="24"/>
          <w:szCs w:val="24"/>
          <w:u w:val="none"/>
        </w:rPr>
      </w:pPr>
      <w:r>
        <w:rPr>
          <w:rFonts w:hint="eastAsia" w:ascii="黑体" w:hAnsi="黑体" w:eastAsia="黑体" w:cs="黑体"/>
          <w:color w:val="auto"/>
          <w:sz w:val="24"/>
          <w:szCs w:val="24"/>
          <w:u w:val="none"/>
          <w:lang w:val="en-US" w:eastAsia="zh-CN"/>
        </w:rPr>
        <w:t>具有良好信誉和财务状况，在经营活动中没有违法记录。</w:t>
      </w:r>
    </w:p>
    <w:p>
      <w:pPr>
        <w:numPr>
          <w:ilvl w:val="0"/>
          <w:numId w:val="7"/>
        </w:numPr>
        <w:spacing w:line="460" w:lineRule="exact"/>
        <w:rPr>
          <w:rFonts w:hint="eastAsia" w:ascii="黑体" w:hAnsi="黑体" w:eastAsia="黑体" w:cs="黑体"/>
          <w:color w:val="auto"/>
          <w:sz w:val="24"/>
          <w:szCs w:val="24"/>
          <w:u w:val="none"/>
          <w:lang w:val="en-US" w:eastAsia="zh-CN"/>
        </w:rPr>
      </w:pPr>
      <w:r>
        <w:rPr>
          <w:rFonts w:hint="eastAsia" w:ascii="黑体" w:hAnsi="黑体" w:eastAsia="黑体" w:cs="黑体"/>
          <w:color w:val="auto"/>
          <w:sz w:val="24"/>
          <w:szCs w:val="24"/>
          <w:u w:val="none"/>
          <w:lang w:val="en-US" w:eastAsia="zh-CN"/>
        </w:rPr>
        <w:t>本项目</w:t>
      </w:r>
      <w:r>
        <w:rPr>
          <w:rFonts w:hint="eastAsia" w:ascii="黑体" w:hAnsi="黑体" w:eastAsia="黑体" w:cs="黑体"/>
          <w:b/>
          <w:bCs/>
          <w:color w:val="auto"/>
          <w:sz w:val="24"/>
          <w:szCs w:val="24"/>
          <w:u w:val="none"/>
          <w:lang w:val="en-US" w:eastAsia="zh-CN"/>
        </w:rPr>
        <w:t>不接受</w:t>
      </w:r>
      <w:r>
        <w:rPr>
          <w:rFonts w:hint="eastAsia" w:ascii="黑体" w:hAnsi="黑体" w:eastAsia="黑体" w:cs="黑体"/>
          <w:color w:val="auto"/>
          <w:sz w:val="24"/>
          <w:szCs w:val="24"/>
          <w:u w:val="none"/>
          <w:lang w:val="en-US" w:eastAsia="zh-CN"/>
        </w:rPr>
        <w:t>联合体投标</w:t>
      </w:r>
    </w:p>
    <w:p>
      <w:pPr>
        <w:pStyle w:val="8"/>
        <w:numPr>
          <w:ilvl w:val="0"/>
          <w:numId w:val="0"/>
        </w:numPr>
        <w:rPr>
          <w:rFonts w:hint="eastAsia" w:ascii="黑体" w:hAnsi="黑体" w:eastAsia="黑体" w:cs="黑体"/>
          <w:b/>
          <w:bCs/>
          <w:sz w:val="28"/>
          <w:szCs w:val="21"/>
        </w:rPr>
      </w:pPr>
      <w:r>
        <w:rPr>
          <w:rFonts w:hint="eastAsia" w:ascii="黑体" w:hAnsi="黑体" w:eastAsia="黑体" w:cs="黑体"/>
          <w:b/>
          <w:bCs/>
          <w:sz w:val="28"/>
          <w:szCs w:val="21"/>
        </w:rPr>
        <w:t>未通过资格审查的投标人不进入评标；通过资格审查的投标人少于不足三家的， 不得评标。</w:t>
      </w:r>
    </w:p>
    <w:p>
      <w:pPr>
        <w:spacing w:line="460" w:lineRule="exact"/>
        <w:outlineLvl w:val="0"/>
        <w:rPr>
          <w:rFonts w:hint="eastAsia" w:ascii="黑体" w:hAnsi="黑体" w:eastAsia="黑体" w:cs="黑体"/>
          <w:color w:val="auto"/>
          <w:sz w:val="24"/>
          <w:szCs w:val="24"/>
          <w:highlight w:val="none"/>
        </w:rPr>
      </w:pPr>
      <w:bookmarkStart w:id="9" w:name="_Toc28517"/>
      <w:r>
        <w:rPr>
          <w:rFonts w:hint="eastAsia" w:ascii="黑体" w:hAnsi="黑体" w:eastAsia="黑体" w:cs="黑体"/>
          <w:color w:val="auto"/>
          <w:sz w:val="24"/>
          <w:szCs w:val="24"/>
          <w:highlight w:val="none"/>
        </w:rPr>
        <w:t>三、本项目需落实的政策</w:t>
      </w:r>
      <w:bookmarkEnd w:id="9"/>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（1）、《关于印发《政府采购促进中小企业发展暂行办法》的通知》（财库【2011】181号）；</w:t>
      </w:r>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（2）、《财政部、司法部关于政府采购支持监狱企业发展有关问题的通知》（财库【2014】68号）；</w:t>
      </w:r>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（3）、《关于促进残疾人就业政府采购政策的通知》（财库【2017】141号）等。 注：投标商所投产品应优先选择《财政部国家发展改革委关于调整公布第二十四期节能产品政府采购清单的通知》（财库〔2018〕73号）、《财政部环境保护部关于调整公布第二十二期环境标志产品政府采购清单的通知》（财库〔2018〕70号）目录内的产品（须提供节能、环保认证证书复印件加盖公章）。 </w:t>
      </w:r>
    </w:p>
    <w:p>
      <w:pPr>
        <w:pStyle w:val="54"/>
        <w:keepNext w:val="0"/>
        <w:keepLines w:val="0"/>
        <w:pageBreakBefore w:val="0"/>
        <w:widowControl w:val="0"/>
        <w:numPr>
          <w:ilvl w:val="0"/>
          <w:numId w:val="0"/>
        </w:numPr>
        <w:tabs>
          <w:tab w:val="left" w:pos="1479"/>
        </w:tabs>
        <w:kinsoku/>
        <w:wordWrap/>
        <w:overflowPunct/>
        <w:topLinePunct w:val="0"/>
        <w:autoSpaceDE w:val="0"/>
        <w:autoSpaceDN w:val="0"/>
        <w:bidi w:val="0"/>
        <w:adjustRightInd w:val="0"/>
        <w:snapToGrid w:val="0"/>
        <w:spacing w:before="161" w:after="0" w:line="360" w:lineRule="auto"/>
        <w:ind w:right="0" w:rightChars="0"/>
        <w:jc w:val="left"/>
        <w:textAlignment w:val="auto"/>
        <w:rPr>
          <w:rFonts w:hint="eastAsia" w:ascii="黑体" w:hAnsi="黑体" w:eastAsia="黑体" w:cs="黑体"/>
          <w:color w:val="auto"/>
          <w:sz w:val="24"/>
          <w:szCs w:val="24"/>
          <w:lang w:eastAsia="zh-CN"/>
        </w:rPr>
      </w:pPr>
      <w:bookmarkStart w:id="10" w:name="_Toc26685"/>
      <w:r>
        <w:rPr>
          <w:rFonts w:hint="eastAsia" w:ascii="黑体" w:hAnsi="黑体" w:eastAsia="黑体" w:cs="黑体"/>
          <w:b/>
          <w:color w:val="auto"/>
          <w:sz w:val="24"/>
          <w:szCs w:val="24"/>
          <w:highlight w:val="none"/>
        </w:rPr>
        <w:t>四、</w:t>
      </w:r>
      <w:r>
        <w:rPr>
          <w:rFonts w:hint="eastAsia" w:ascii="黑体" w:hAnsi="黑体" w:eastAsia="黑体" w:cs="黑体"/>
          <w:color w:val="auto"/>
          <w:sz w:val="24"/>
          <w:szCs w:val="24"/>
        </w:rPr>
        <w:t>同时</w:t>
      </w:r>
      <w:r>
        <w:rPr>
          <w:rFonts w:hint="eastAsia" w:ascii="黑体" w:hAnsi="黑体" w:eastAsia="黑体" w:cs="黑体"/>
          <w:color w:val="auto"/>
          <w:sz w:val="24"/>
          <w:szCs w:val="24"/>
          <w:lang w:eastAsia="zh-CN"/>
        </w:rPr>
        <w:t>将</w:t>
      </w:r>
      <w:r>
        <w:rPr>
          <w:rFonts w:hint="eastAsia" w:ascii="黑体" w:hAnsi="黑体" w:eastAsia="黑体" w:cs="黑体"/>
          <w:color w:val="auto"/>
          <w:sz w:val="24"/>
          <w:szCs w:val="24"/>
        </w:rPr>
        <w:t>以下资质证明材料</w:t>
      </w:r>
      <w:r>
        <w:rPr>
          <w:rFonts w:hint="eastAsia" w:ascii="黑体" w:hAnsi="黑体" w:eastAsia="黑体" w:cs="黑体"/>
          <w:color w:val="auto"/>
          <w:sz w:val="24"/>
          <w:szCs w:val="24"/>
          <w:lang w:eastAsia="zh-CN"/>
        </w:rPr>
        <w:t>在新疆政府采购网上上传报名：</w:t>
      </w:r>
    </w:p>
    <w:p>
      <w:pPr>
        <w:pStyle w:val="54"/>
        <w:keepNext w:val="0"/>
        <w:keepLines w:val="0"/>
        <w:pageBreakBefore w:val="0"/>
        <w:widowControl w:val="0"/>
        <w:numPr>
          <w:ilvl w:val="0"/>
          <w:numId w:val="0"/>
        </w:numPr>
        <w:tabs>
          <w:tab w:val="left" w:pos="1712"/>
        </w:tabs>
        <w:kinsoku/>
        <w:wordWrap/>
        <w:overflowPunct/>
        <w:topLinePunct w:val="0"/>
        <w:autoSpaceDE w:val="0"/>
        <w:autoSpaceDN w:val="0"/>
        <w:bidi w:val="0"/>
        <w:adjustRightInd w:val="0"/>
        <w:snapToGrid w:val="0"/>
        <w:spacing w:before="90" w:after="0" w:line="240" w:lineRule="auto"/>
        <w:ind w:right="0" w:rightChars="0" w:firstLine="480" w:firstLineChars="200"/>
        <w:jc w:val="left"/>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1、</w:t>
      </w:r>
      <w:r>
        <w:rPr>
          <w:rFonts w:hint="eastAsia" w:ascii="黑体" w:hAnsi="黑体" w:eastAsia="黑体" w:cs="黑体"/>
          <w:color w:val="auto"/>
          <w:sz w:val="24"/>
          <w:szCs w:val="24"/>
        </w:rPr>
        <w:t>营业执照副本</w:t>
      </w:r>
      <w:r>
        <w:rPr>
          <w:rFonts w:hint="eastAsia" w:ascii="黑体" w:hAnsi="黑体" w:eastAsia="黑体" w:cs="黑体"/>
          <w:color w:val="auto"/>
          <w:sz w:val="24"/>
          <w:szCs w:val="24"/>
          <w:lang w:val="en-US" w:eastAsia="zh-CN"/>
        </w:rPr>
        <w:t>扫描件（需加盖公章）</w:t>
      </w:r>
      <w:r>
        <w:rPr>
          <w:rFonts w:hint="eastAsia" w:ascii="黑体" w:hAnsi="黑体" w:eastAsia="黑体" w:cs="黑体"/>
          <w:color w:val="auto"/>
          <w:sz w:val="24"/>
          <w:szCs w:val="24"/>
        </w:rPr>
        <w:t>；</w:t>
      </w:r>
    </w:p>
    <w:p>
      <w:pPr>
        <w:pStyle w:val="54"/>
        <w:keepNext w:val="0"/>
        <w:keepLines w:val="0"/>
        <w:pageBreakBefore w:val="0"/>
        <w:widowControl w:val="0"/>
        <w:numPr>
          <w:ilvl w:val="0"/>
          <w:numId w:val="0"/>
        </w:numPr>
        <w:tabs>
          <w:tab w:val="left" w:pos="1718"/>
        </w:tabs>
        <w:kinsoku/>
        <w:wordWrap/>
        <w:overflowPunct/>
        <w:topLinePunct w:val="0"/>
        <w:autoSpaceDE w:val="0"/>
        <w:autoSpaceDN w:val="0"/>
        <w:bidi w:val="0"/>
        <w:adjustRightInd w:val="0"/>
        <w:snapToGrid w:val="0"/>
        <w:spacing w:before="160" w:after="0" w:line="364" w:lineRule="auto"/>
        <w:ind w:right="-50" w:rightChars="0" w:firstLine="480" w:firstLineChars="200"/>
        <w:jc w:val="left"/>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2、</w:t>
      </w:r>
      <w:r>
        <w:rPr>
          <w:rFonts w:hint="eastAsia" w:ascii="黑体" w:hAnsi="黑体" w:eastAsia="黑体" w:cs="黑体"/>
          <w:color w:val="auto"/>
          <w:sz w:val="24"/>
          <w:szCs w:val="24"/>
        </w:rPr>
        <w:t>法人授权委托书原件或具有同等法律效力的证明材料及被授权人《居民身份证》</w:t>
      </w:r>
      <w:r>
        <w:rPr>
          <w:rFonts w:hint="eastAsia" w:ascii="黑体" w:hAnsi="黑体" w:eastAsia="黑体" w:cs="黑体"/>
          <w:color w:val="auto"/>
          <w:sz w:val="24"/>
          <w:szCs w:val="24"/>
          <w:lang w:val="en-US" w:eastAsia="zh-CN"/>
        </w:rPr>
        <w:t>或复印件（需加盖公章）</w:t>
      </w:r>
      <w:r>
        <w:rPr>
          <w:rFonts w:hint="eastAsia" w:ascii="黑体" w:hAnsi="黑体" w:eastAsia="黑体" w:cs="黑体"/>
          <w:color w:val="auto"/>
          <w:sz w:val="24"/>
          <w:szCs w:val="24"/>
          <w:lang w:eastAsia="zh-CN"/>
        </w:rPr>
        <w:t>；</w:t>
      </w:r>
    </w:p>
    <w:p>
      <w:pPr>
        <w:pStyle w:val="54"/>
        <w:keepNext w:val="0"/>
        <w:keepLines w:val="0"/>
        <w:pageBreakBefore w:val="0"/>
        <w:widowControl w:val="0"/>
        <w:numPr>
          <w:ilvl w:val="0"/>
          <w:numId w:val="0"/>
        </w:numPr>
        <w:tabs>
          <w:tab w:val="left" w:pos="1719"/>
        </w:tabs>
        <w:kinsoku/>
        <w:wordWrap/>
        <w:overflowPunct/>
        <w:topLinePunct w:val="0"/>
        <w:autoSpaceDE w:val="0"/>
        <w:autoSpaceDN w:val="0"/>
        <w:bidi w:val="0"/>
        <w:adjustRightInd w:val="0"/>
        <w:snapToGrid w:val="0"/>
        <w:spacing w:before="2" w:after="0" w:line="240" w:lineRule="auto"/>
        <w:ind w:right="0" w:rightChars="0" w:firstLine="480" w:firstLineChars="200"/>
        <w:jc w:val="left"/>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3、</w:t>
      </w:r>
      <w:r>
        <w:rPr>
          <w:rFonts w:hint="eastAsia" w:ascii="黑体" w:hAnsi="黑体" w:eastAsia="黑体" w:cs="黑体"/>
          <w:color w:val="auto"/>
          <w:kern w:val="0"/>
          <w:sz w:val="24"/>
          <w:szCs w:val="24"/>
          <w:lang w:eastAsia="zh-CN"/>
        </w:rPr>
        <w:t>通过</w:t>
      </w:r>
      <w:r>
        <w:rPr>
          <w:rFonts w:hint="eastAsia" w:ascii="黑体" w:hAnsi="黑体" w:eastAsia="黑体" w:cs="黑体"/>
          <w:color w:val="auto"/>
          <w:kern w:val="0"/>
          <w:sz w:val="24"/>
          <w:szCs w:val="24"/>
        </w:rPr>
        <w:t>“信用中国”</w:t>
      </w:r>
      <w:r>
        <w:rPr>
          <w:rFonts w:hint="eastAsia" w:ascii="黑体" w:hAnsi="黑体" w:eastAsia="黑体" w:cs="黑体"/>
          <w:color w:val="auto"/>
          <w:kern w:val="0"/>
          <w:sz w:val="24"/>
          <w:szCs w:val="24"/>
          <w:lang w:eastAsia="zh-CN"/>
        </w:rPr>
        <w:t>、</w:t>
      </w:r>
      <w:r>
        <w:rPr>
          <w:rFonts w:hint="eastAsia" w:ascii="黑体" w:hAnsi="黑体" w:eastAsia="黑体" w:cs="黑体"/>
          <w:color w:val="auto"/>
          <w:kern w:val="0"/>
          <w:sz w:val="24"/>
          <w:szCs w:val="24"/>
        </w:rPr>
        <w:t>“中国政府采购网”</w:t>
      </w:r>
      <w:r>
        <w:rPr>
          <w:rFonts w:hint="eastAsia" w:ascii="黑体" w:hAnsi="黑体" w:eastAsia="黑体" w:cs="黑体"/>
          <w:color w:val="auto"/>
          <w:kern w:val="0"/>
          <w:sz w:val="24"/>
          <w:szCs w:val="24"/>
          <w:lang w:eastAsia="zh-CN"/>
        </w:rPr>
        <w:t>渠道查询的加盖公章的主体信用记录网页截图（</w:t>
      </w:r>
      <w:r>
        <w:rPr>
          <w:rFonts w:hint="eastAsia" w:ascii="黑体" w:hAnsi="黑体" w:eastAsia="黑体" w:cs="黑体"/>
          <w:color w:val="auto"/>
          <w:kern w:val="0"/>
          <w:sz w:val="24"/>
          <w:szCs w:val="24"/>
          <w:lang w:val="en-US" w:eastAsia="zh-CN"/>
        </w:rPr>
        <w:t>时间节点为开标前20日内</w:t>
      </w:r>
      <w:r>
        <w:rPr>
          <w:rFonts w:hint="eastAsia" w:ascii="黑体" w:hAnsi="黑体" w:eastAsia="黑体" w:cs="黑体"/>
          <w:color w:val="auto"/>
          <w:kern w:val="0"/>
          <w:sz w:val="24"/>
          <w:szCs w:val="24"/>
          <w:lang w:eastAsia="zh-CN"/>
        </w:rPr>
        <w:t>）</w:t>
      </w:r>
      <w:r>
        <w:rPr>
          <w:rFonts w:hint="eastAsia" w:ascii="黑体" w:hAnsi="黑体" w:eastAsia="黑体" w:cs="黑体"/>
          <w:color w:val="auto"/>
          <w:sz w:val="24"/>
          <w:szCs w:val="24"/>
          <w:lang w:eastAsia="zh-CN"/>
        </w:rPr>
        <w:t>；</w:t>
      </w:r>
    </w:p>
    <w:p>
      <w:pPr>
        <w:pStyle w:val="54"/>
        <w:numPr>
          <w:ilvl w:val="0"/>
          <w:numId w:val="0"/>
        </w:numPr>
        <w:spacing w:line="288" w:lineRule="auto"/>
        <w:ind w:leftChars="0" w:firstLine="480" w:firstLineChars="200"/>
        <w:rPr>
          <w:rFonts w:hint="eastAsia" w:ascii="黑体" w:hAnsi="黑体" w:eastAsia="黑体" w:cs="黑体"/>
          <w:color w:val="auto"/>
          <w:sz w:val="24"/>
          <w:szCs w:val="24"/>
          <w:lang w:eastAsia="zh-CN"/>
        </w:rPr>
      </w:pPr>
      <w:r>
        <w:rPr>
          <w:rFonts w:hint="eastAsia" w:ascii="黑体" w:hAnsi="黑体" w:eastAsia="黑体" w:cs="黑体"/>
          <w:color w:val="auto"/>
          <w:sz w:val="24"/>
          <w:szCs w:val="24"/>
          <w:u w:val="none"/>
          <w:lang w:val="en-US" w:eastAsia="zh-CN"/>
        </w:rPr>
        <w:t>4、具有有效的医疗器械经营许可证供应商须具有医疗器械经营许可证</w:t>
      </w:r>
      <w:r>
        <w:rPr>
          <w:rFonts w:hint="eastAsia" w:ascii="黑体" w:hAnsi="黑体" w:eastAsia="黑体" w:cs="黑体"/>
          <w:color w:val="auto"/>
          <w:sz w:val="24"/>
          <w:szCs w:val="24"/>
          <w:u w:val="none"/>
        </w:rPr>
        <w:t>（二类医疗器械须提供医疗器械备案凭证）</w:t>
      </w:r>
      <w:r>
        <w:rPr>
          <w:rFonts w:hint="eastAsia" w:ascii="黑体" w:hAnsi="黑体" w:eastAsia="黑体" w:cs="黑体"/>
          <w:color w:val="auto"/>
          <w:sz w:val="24"/>
          <w:szCs w:val="24"/>
          <w:u w:val="none"/>
          <w:lang w:val="en-US" w:eastAsia="zh-CN"/>
        </w:rPr>
        <w:t>(或按照国家食品药品监督管理部门规定实行备案管理的，出具备案证明文件)；货物制造商须具备医疗器械生产许可证；货物制造商所投产品须具备医疗器械注册证（含登记表）(或按照国家食品药品监督管理部门规定实行备案管理的，出具备案证明文件)；</w:t>
      </w:r>
    </w:p>
    <w:p>
      <w:pPr>
        <w:spacing w:line="460" w:lineRule="exact"/>
        <w:outlineLvl w:val="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lang w:val="en-US" w:eastAsia="zh-CN"/>
        </w:rPr>
        <w:t>五、</w:t>
      </w:r>
      <w:r>
        <w:rPr>
          <w:rFonts w:hint="eastAsia" w:ascii="黑体" w:hAnsi="黑体" w:eastAsia="黑体" w:cs="黑体"/>
          <w:b/>
          <w:color w:val="auto"/>
          <w:sz w:val="24"/>
          <w:szCs w:val="24"/>
          <w:highlight w:val="none"/>
        </w:rPr>
        <w:t>投标报名时间及地点</w:t>
      </w:r>
      <w:bookmarkEnd w:id="10"/>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1、报名及购买公开招标文件时间：202</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06</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01</w:t>
      </w:r>
      <w:r>
        <w:rPr>
          <w:rFonts w:hint="eastAsia" w:ascii="黑体" w:hAnsi="黑体" w:eastAsia="黑体" w:cs="黑体"/>
          <w:color w:val="auto"/>
          <w:sz w:val="24"/>
          <w:szCs w:val="24"/>
          <w:highlight w:val="none"/>
        </w:rPr>
        <w:t>日起至202</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06</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09</w:t>
      </w:r>
      <w:r>
        <w:rPr>
          <w:rFonts w:hint="eastAsia" w:ascii="黑体" w:hAnsi="黑体" w:eastAsia="黑体" w:cs="黑体"/>
          <w:color w:val="auto"/>
          <w:sz w:val="24"/>
          <w:szCs w:val="24"/>
          <w:highlight w:val="none"/>
        </w:rPr>
        <w:t>日【北京时间上午10:</w:t>
      </w:r>
      <w:r>
        <w:rPr>
          <w:rFonts w:hint="eastAsia" w:ascii="黑体" w:hAnsi="黑体" w:eastAsia="黑体" w:cs="黑体"/>
          <w:color w:val="auto"/>
          <w:sz w:val="24"/>
          <w:szCs w:val="24"/>
          <w:highlight w:val="none"/>
          <w:lang w:val="en-US" w:eastAsia="zh-CN"/>
        </w:rPr>
        <w:t>0</w:t>
      </w:r>
      <w:r>
        <w:rPr>
          <w:rFonts w:hint="eastAsia" w:ascii="黑体" w:hAnsi="黑体" w:eastAsia="黑体" w:cs="黑体"/>
          <w:color w:val="auto"/>
          <w:sz w:val="24"/>
          <w:szCs w:val="24"/>
          <w:highlight w:val="none"/>
        </w:rPr>
        <w:t>0-</w:t>
      </w:r>
      <w:r>
        <w:rPr>
          <w:rFonts w:hint="eastAsia" w:ascii="黑体" w:hAnsi="黑体" w:eastAsia="黑体" w:cs="黑体"/>
          <w:color w:val="auto"/>
          <w:sz w:val="24"/>
          <w:szCs w:val="24"/>
          <w:highlight w:val="none"/>
          <w:lang w:val="en-US" w:eastAsia="zh-CN"/>
        </w:rPr>
        <w:t>14:0</w:t>
      </w:r>
      <w:r>
        <w:rPr>
          <w:rFonts w:hint="eastAsia" w:ascii="黑体" w:hAnsi="黑体" w:eastAsia="黑体" w:cs="黑体"/>
          <w:color w:val="auto"/>
          <w:sz w:val="24"/>
          <w:szCs w:val="24"/>
          <w:highlight w:val="none"/>
        </w:rPr>
        <w:t>0时及下午16:00-</w:t>
      </w:r>
      <w:r>
        <w:rPr>
          <w:rFonts w:hint="eastAsia" w:ascii="黑体" w:hAnsi="黑体" w:eastAsia="黑体" w:cs="黑体"/>
          <w:color w:val="auto"/>
          <w:sz w:val="24"/>
          <w:szCs w:val="24"/>
          <w:highlight w:val="none"/>
          <w:lang w:val="en-US" w:eastAsia="zh-CN"/>
        </w:rPr>
        <w:t>20:0</w:t>
      </w:r>
      <w:r>
        <w:rPr>
          <w:rFonts w:hint="eastAsia" w:ascii="黑体" w:hAnsi="黑体" w:eastAsia="黑体" w:cs="黑体"/>
          <w:color w:val="auto"/>
          <w:sz w:val="24"/>
          <w:szCs w:val="24"/>
          <w:highlight w:val="none"/>
        </w:rPr>
        <w:t>0时（节假日除外)】</w:t>
      </w:r>
    </w:p>
    <w:p>
      <w:pPr>
        <w:spacing w:line="46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val="en-US"/>
        </w:rPr>
        <w:t>获取</w:t>
      </w:r>
      <w:r>
        <w:rPr>
          <w:rFonts w:hint="eastAsia" w:ascii="黑体" w:hAnsi="黑体" w:eastAsia="黑体" w:cs="黑体"/>
          <w:color w:val="auto"/>
          <w:sz w:val="24"/>
          <w:szCs w:val="24"/>
          <w:highlight w:val="none"/>
        </w:rPr>
        <w:t>招标文件地点：</w:t>
      </w:r>
      <w:r>
        <w:rPr>
          <w:rFonts w:hint="eastAsia" w:ascii="黑体" w:hAnsi="黑体" w:eastAsia="黑体" w:cs="黑体"/>
          <w:color w:val="auto"/>
          <w:sz w:val="24"/>
          <w:szCs w:val="24"/>
          <w:highlight w:val="none"/>
          <w:lang w:val="en-US" w:eastAsia="zh-CN"/>
        </w:rPr>
        <w:t>政采云线上获取</w:t>
      </w:r>
      <w:r>
        <w:rPr>
          <w:rFonts w:hint="eastAsia" w:ascii="黑体" w:hAnsi="黑体" w:eastAsia="黑体" w:cs="黑体"/>
          <w:color w:val="auto"/>
          <w:sz w:val="24"/>
          <w:szCs w:val="24"/>
          <w:highlight w:val="none"/>
        </w:rPr>
        <w:t>。</w:t>
      </w:r>
    </w:p>
    <w:p>
      <w:pPr>
        <w:spacing w:line="460" w:lineRule="exac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3、招标文件售价：</w:t>
      </w:r>
      <w:r>
        <w:rPr>
          <w:rFonts w:hint="eastAsia" w:ascii="黑体" w:hAnsi="黑体" w:eastAsia="黑体" w:cs="黑体"/>
          <w:color w:val="auto"/>
          <w:sz w:val="24"/>
          <w:szCs w:val="24"/>
          <w:highlight w:val="none"/>
          <w:lang w:val="en-US" w:eastAsia="zh-CN"/>
        </w:rPr>
        <w:t>0元</w:t>
      </w:r>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4、投标截止时间及开标时间：202</w:t>
      </w:r>
      <w:r>
        <w:rPr>
          <w:rFonts w:hint="eastAsia" w:ascii="黑体" w:hAnsi="黑体" w:eastAsia="黑体" w:cs="黑体"/>
          <w:color w:val="auto"/>
          <w:sz w:val="24"/>
          <w:szCs w:val="24"/>
          <w:highlight w:val="none"/>
          <w:lang w:val="en-US"/>
        </w:rPr>
        <w:t>1</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06</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21</w:t>
      </w:r>
      <w:r>
        <w:rPr>
          <w:rFonts w:hint="eastAsia" w:ascii="黑体" w:hAnsi="黑体" w:eastAsia="黑体" w:cs="黑体"/>
          <w:color w:val="auto"/>
          <w:sz w:val="24"/>
          <w:szCs w:val="24"/>
          <w:highlight w:val="none"/>
        </w:rPr>
        <w:t>日上午1</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0</w:t>
      </w:r>
      <w:r>
        <w:rPr>
          <w:rFonts w:hint="eastAsia" w:ascii="黑体" w:hAnsi="黑体" w:eastAsia="黑体" w:cs="黑体"/>
          <w:color w:val="auto"/>
          <w:sz w:val="24"/>
          <w:szCs w:val="24"/>
          <w:highlight w:val="none"/>
        </w:rPr>
        <w:t>0(北京时间)；</w:t>
      </w:r>
    </w:p>
    <w:p>
      <w:pPr>
        <w:spacing w:line="460" w:lineRule="exac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5、开标地点:库尔勒市萨依巴格街道滨河社区居委会人民东路06号</w:t>
      </w:r>
    </w:p>
    <w:p>
      <w:pPr>
        <w:spacing w:line="460" w:lineRule="exact"/>
        <w:outlineLvl w:val="0"/>
        <w:rPr>
          <w:rFonts w:hint="eastAsia" w:ascii="黑体" w:hAnsi="黑体" w:eastAsia="黑体" w:cs="黑体"/>
          <w:b/>
          <w:color w:val="auto"/>
          <w:sz w:val="24"/>
          <w:szCs w:val="24"/>
          <w:highlight w:val="none"/>
        </w:rPr>
      </w:pPr>
      <w:bookmarkStart w:id="11" w:name="_Toc5263"/>
      <w:r>
        <w:rPr>
          <w:rFonts w:hint="eastAsia" w:ascii="黑体" w:hAnsi="黑体" w:eastAsia="黑体" w:cs="黑体"/>
          <w:b/>
          <w:color w:val="auto"/>
          <w:sz w:val="24"/>
          <w:szCs w:val="24"/>
          <w:highlight w:val="none"/>
        </w:rPr>
        <w:t>五、联系方式</w:t>
      </w:r>
      <w:bookmarkEnd w:id="11"/>
    </w:p>
    <w:p>
      <w:pPr>
        <w:spacing w:line="460" w:lineRule="exact"/>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1、采购单位：轮台县卫生健康委员会</w:t>
      </w:r>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联系人：凯丽比努尔                    联系电话：15739806607</w:t>
      </w:r>
    </w:p>
    <w:p>
      <w:pPr>
        <w:spacing w:line="46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2、招标代理机构：</w:t>
      </w:r>
      <w:r>
        <w:rPr>
          <w:rFonts w:hint="eastAsia" w:ascii="黑体" w:hAnsi="黑体" w:eastAsia="黑体" w:cs="黑体"/>
          <w:color w:val="auto"/>
          <w:sz w:val="24"/>
          <w:szCs w:val="24"/>
          <w:highlight w:val="none"/>
          <w:lang w:eastAsia="zh-CN"/>
        </w:rPr>
        <w:t>新疆安航工程项目管理有限公司</w:t>
      </w:r>
    </w:p>
    <w:p>
      <w:pPr>
        <w:spacing w:line="460" w:lineRule="exac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联系人：</w:t>
      </w:r>
      <w:r>
        <w:rPr>
          <w:rFonts w:hint="eastAsia" w:ascii="黑体" w:hAnsi="黑体" w:eastAsia="黑体" w:cs="黑体"/>
          <w:color w:val="auto"/>
          <w:sz w:val="24"/>
          <w:szCs w:val="24"/>
          <w:highlight w:val="none"/>
          <w:lang w:val="en-US" w:eastAsia="zh-CN"/>
        </w:rPr>
        <w:t>张 硕</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lang w:val="en-US" w:eastAsia="zh-CN"/>
        </w:rPr>
        <w:t>13667522055</w:t>
      </w:r>
    </w:p>
    <w:p>
      <w:pPr>
        <w:spacing w:line="460" w:lineRule="exact"/>
        <w:rPr>
          <w:rFonts w:hint="eastAsia" w:ascii="黑体" w:hAnsi="黑体" w:eastAsia="黑体" w:cs="黑体"/>
          <w:sz w:val="24"/>
          <w:szCs w:val="24"/>
          <w:lang w:val="en-US" w:eastAsia="zh-CN"/>
        </w:rPr>
      </w:pP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 xml:space="preserve">    </w:t>
      </w:r>
    </w:p>
    <w:p>
      <w:pPr>
        <w:spacing w:line="460" w:lineRule="exact"/>
        <w:ind w:firstLine="3120" w:firstLineChars="13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新疆安航工程项目管理有限公司</w:t>
      </w:r>
    </w:p>
    <w:p>
      <w:pPr>
        <w:spacing w:line="460" w:lineRule="exact"/>
        <w:jc w:val="center"/>
        <w:outlineLvl w:val="0"/>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 xml:space="preserve">                                         </w:t>
      </w:r>
      <w:bookmarkStart w:id="12" w:name="_Toc19056"/>
      <w:bookmarkStart w:id="13" w:name="_Toc28472"/>
      <w:r>
        <w:rPr>
          <w:rFonts w:hint="eastAsia" w:ascii="黑体" w:hAnsi="黑体" w:eastAsia="黑体" w:cs="黑体"/>
          <w:color w:val="auto"/>
          <w:sz w:val="24"/>
          <w:szCs w:val="24"/>
          <w:highlight w:val="none"/>
        </w:rPr>
        <w:t>202</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31</w:t>
      </w:r>
      <w:r>
        <w:rPr>
          <w:rFonts w:hint="eastAsia" w:ascii="黑体" w:hAnsi="黑体" w:eastAsia="黑体" w:cs="黑体"/>
          <w:color w:val="auto"/>
          <w:sz w:val="24"/>
          <w:szCs w:val="24"/>
          <w:highlight w:val="none"/>
        </w:rPr>
        <w:t>日</w:t>
      </w:r>
      <w:bookmarkEnd w:id="12"/>
      <w:bookmarkEnd w:id="13"/>
    </w:p>
    <w:p>
      <w:pPr>
        <w:rPr>
          <w:rFonts w:hint="eastAsia" w:ascii="黑体" w:hAnsi="黑体" w:eastAsia="黑体" w:cs="黑体"/>
          <w:b/>
          <w:color w:val="auto"/>
          <w:highlight w:val="none"/>
        </w:rPr>
      </w:pPr>
      <w:bookmarkStart w:id="14" w:name="_Toc5075"/>
      <w:r>
        <w:rPr>
          <w:rFonts w:hint="eastAsia" w:ascii="黑体" w:hAnsi="黑体" w:eastAsia="黑体" w:cs="黑体"/>
          <w:b/>
          <w:color w:val="auto"/>
          <w:highlight w:val="none"/>
        </w:rPr>
        <w:br w:type="page"/>
      </w:r>
    </w:p>
    <w:p>
      <w:pPr>
        <w:pStyle w:val="5"/>
        <w:spacing w:line="511" w:lineRule="exact"/>
        <w:jc w:val="center"/>
        <w:rPr>
          <w:rFonts w:hint="eastAsia" w:ascii="黑体" w:hAnsi="黑体" w:eastAsia="黑体" w:cs="黑体"/>
          <w:b/>
          <w:color w:val="auto"/>
          <w:highlight w:val="none"/>
        </w:rPr>
      </w:pPr>
      <w:r>
        <w:rPr>
          <w:rFonts w:hint="eastAsia" w:ascii="黑体" w:hAnsi="黑体" w:eastAsia="黑体" w:cs="黑体"/>
          <w:b/>
          <w:color w:val="auto"/>
          <w:highlight w:val="none"/>
        </w:rPr>
        <w:t>第二章 投标供应商须知前附表</w:t>
      </w:r>
      <w:bookmarkEnd w:id="14"/>
    </w:p>
    <w:p>
      <w:pPr>
        <w:pStyle w:val="19"/>
        <w:spacing w:before="4" w:line="511" w:lineRule="exact"/>
        <w:ind w:left="0"/>
        <w:rPr>
          <w:rFonts w:hint="eastAsia" w:ascii="黑体" w:hAnsi="黑体" w:eastAsia="黑体" w:cs="黑体"/>
          <w:color w:val="auto"/>
          <w:sz w:val="7"/>
          <w:highlight w:val="none"/>
        </w:rPr>
      </w:pPr>
    </w:p>
    <w:tbl>
      <w:tblPr>
        <w:tblStyle w:val="42"/>
        <w:tblW w:w="102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440"/>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tcPr>
          <w:p>
            <w:pPr>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条款号</w:t>
            </w:r>
          </w:p>
        </w:tc>
        <w:tc>
          <w:tcPr>
            <w:tcW w:w="2440" w:type="dxa"/>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条款名称</w:t>
            </w:r>
          </w:p>
        </w:tc>
        <w:tc>
          <w:tcPr>
            <w:tcW w:w="6893" w:type="dxa"/>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873" w:type="dxa"/>
          </w:tcPr>
          <w:p>
            <w:pPr>
              <w:spacing w:line="511" w:lineRule="exact"/>
              <w:ind w:left="-2" w:leftChars="-8" w:hanging="16" w:hangingChars="7"/>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w:t>
            </w:r>
          </w:p>
        </w:tc>
        <w:tc>
          <w:tcPr>
            <w:tcW w:w="2440" w:type="dxa"/>
          </w:tcPr>
          <w:p>
            <w:pPr>
              <w:spacing w:line="511" w:lineRule="exact"/>
              <w:jc w:val="center"/>
              <w:rPr>
                <w:rFonts w:hint="eastAsia" w:ascii="黑体" w:hAnsi="黑体" w:eastAsia="黑体" w:cs="黑体"/>
                <w:color w:val="auto"/>
                <w:sz w:val="24"/>
                <w:szCs w:val="24"/>
                <w:highlight w:val="none"/>
              </w:rPr>
            </w:pPr>
          </w:p>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招标人</w:t>
            </w:r>
          </w:p>
        </w:tc>
        <w:tc>
          <w:tcPr>
            <w:tcW w:w="6893" w:type="dxa"/>
          </w:tcPr>
          <w:p>
            <w:pPr>
              <w:widowControl/>
              <w:spacing w:line="360" w:lineRule="auto"/>
              <w:ind w:right="565" w:rightChars="257"/>
              <w:jc w:val="both"/>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名称：</w:t>
            </w:r>
            <w:r>
              <w:rPr>
                <w:rFonts w:hint="eastAsia" w:ascii="黑体" w:hAnsi="黑体" w:eastAsia="黑体" w:cs="黑体"/>
                <w:color w:val="auto"/>
                <w:sz w:val="24"/>
                <w:szCs w:val="24"/>
                <w:highlight w:val="none"/>
                <w:lang w:eastAsia="zh-CN"/>
              </w:rPr>
              <w:t>轮台县卫生健康委员会</w:t>
            </w:r>
          </w:p>
          <w:p>
            <w:pPr>
              <w:widowControl/>
              <w:spacing w:line="360" w:lineRule="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地址：</w:t>
            </w:r>
            <w:r>
              <w:rPr>
                <w:rFonts w:hint="eastAsia" w:ascii="黑体" w:hAnsi="黑体" w:eastAsia="黑体" w:cs="黑体"/>
                <w:color w:val="auto"/>
                <w:sz w:val="24"/>
                <w:szCs w:val="24"/>
                <w:highlight w:val="none"/>
                <w:lang w:val="en-US" w:eastAsia="zh-CN"/>
              </w:rPr>
              <w:t>轮台县</w:t>
            </w:r>
          </w:p>
          <w:p>
            <w:pPr>
              <w:widowControl/>
              <w:spacing w:line="360" w:lineRule="auto"/>
              <w:rPr>
                <w:rFonts w:hint="eastAsia" w:ascii="黑体" w:hAnsi="黑体" w:eastAsia="黑体" w:cs="黑体"/>
                <w:color w:val="auto"/>
                <w:spacing w:val="-3"/>
                <w:sz w:val="24"/>
                <w:szCs w:val="24"/>
                <w:highlight w:val="none"/>
                <w:lang w:eastAsia="zh-CN"/>
              </w:rPr>
            </w:pPr>
            <w:r>
              <w:rPr>
                <w:rFonts w:hint="eastAsia" w:ascii="黑体" w:hAnsi="黑体" w:eastAsia="黑体" w:cs="黑体"/>
                <w:color w:val="auto"/>
                <w:sz w:val="24"/>
                <w:szCs w:val="24"/>
                <w:highlight w:val="none"/>
              </w:rPr>
              <w:t>联系人：</w:t>
            </w:r>
            <w:r>
              <w:rPr>
                <w:rFonts w:hint="eastAsia" w:ascii="黑体" w:hAnsi="黑体" w:eastAsia="黑体" w:cs="黑体"/>
                <w:color w:val="auto"/>
                <w:sz w:val="24"/>
                <w:szCs w:val="24"/>
                <w:highlight w:val="none"/>
                <w:lang w:eastAsia="zh-CN"/>
              </w:rPr>
              <w:t>凯丽比努尔</w:t>
            </w:r>
          </w:p>
          <w:p>
            <w:pPr>
              <w:widowControl/>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电话：</w:t>
            </w:r>
            <w:r>
              <w:rPr>
                <w:rFonts w:hint="eastAsia" w:ascii="黑体" w:hAnsi="黑体" w:eastAsia="黑体" w:cs="黑体"/>
                <w:color w:val="auto"/>
                <w:sz w:val="24"/>
                <w:szCs w:val="24"/>
                <w:highlight w:val="none"/>
                <w:lang w:eastAsia="zh-CN"/>
              </w:rPr>
              <w:t>15739806607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w:t>
            </w:r>
          </w:p>
        </w:tc>
        <w:tc>
          <w:tcPr>
            <w:tcW w:w="2440" w:type="dxa"/>
          </w:tcPr>
          <w:p>
            <w:pPr>
              <w:spacing w:line="511" w:lineRule="exact"/>
              <w:jc w:val="center"/>
              <w:rPr>
                <w:rFonts w:hint="eastAsia" w:ascii="黑体" w:hAnsi="黑体" w:eastAsia="黑体" w:cs="黑体"/>
                <w:color w:val="auto"/>
                <w:sz w:val="24"/>
                <w:szCs w:val="24"/>
                <w:highlight w:val="none"/>
              </w:rPr>
            </w:pPr>
          </w:p>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招标代理机构</w:t>
            </w:r>
          </w:p>
        </w:tc>
        <w:tc>
          <w:tcPr>
            <w:tcW w:w="6893" w:type="dxa"/>
          </w:tcPr>
          <w:p>
            <w:pPr>
              <w:widowControl/>
              <w:spacing w:line="360" w:lineRule="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名称：</w:t>
            </w:r>
            <w:r>
              <w:rPr>
                <w:rFonts w:hint="eastAsia" w:ascii="黑体" w:hAnsi="黑体" w:eastAsia="黑体" w:cs="黑体"/>
                <w:color w:val="auto"/>
                <w:sz w:val="24"/>
                <w:szCs w:val="24"/>
                <w:highlight w:val="none"/>
                <w:lang w:eastAsia="zh-CN"/>
              </w:rPr>
              <w:t>新疆安航工程项目管理有限公司</w:t>
            </w:r>
          </w:p>
          <w:p>
            <w:pPr>
              <w:widowControl/>
              <w:spacing w:line="360" w:lineRule="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地址：</w:t>
            </w:r>
            <w:r>
              <w:rPr>
                <w:rFonts w:hint="eastAsia" w:ascii="黑体" w:hAnsi="黑体" w:eastAsia="黑体" w:cs="黑体"/>
                <w:color w:val="auto"/>
                <w:sz w:val="24"/>
                <w:szCs w:val="24"/>
                <w:highlight w:val="none"/>
                <w:lang w:val="en-US" w:eastAsia="zh-CN"/>
              </w:rPr>
              <w:t>库尔勒豪景大厦</w:t>
            </w:r>
          </w:p>
          <w:p>
            <w:p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联系人:</w:t>
            </w:r>
            <w:r>
              <w:rPr>
                <w:rFonts w:hint="eastAsia" w:ascii="黑体" w:hAnsi="黑体" w:eastAsia="黑体" w:cs="黑体"/>
                <w:color w:val="auto"/>
                <w:spacing w:val="-3"/>
                <w:sz w:val="24"/>
                <w:szCs w:val="24"/>
                <w:highlight w:val="none"/>
                <w:lang w:val="en-US" w:eastAsia="zh-CN"/>
              </w:rPr>
              <w:t>张硕</w:t>
            </w:r>
            <w:r>
              <w:rPr>
                <w:rFonts w:hint="eastAsia" w:ascii="黑体" w:hAnsi="黑体" w:eastAsia="黑体" w:cs="黑体"/>
                <w:color w:val="auto"/>
                <w:spacing w:val="-3"/>
                <w:sz w:val="24"/>
                <w:szCs w:val="24"/>
                <w:highlight w:val="none"/>
              </w:rPr>
              <w:t xml:space="preserve">   </w:t>
            </w:r>
            <w:r>
              <w:rPr>
                <w:rFonts w:hint="eastAsia" w:ascii="黑体" w:hAnsi="黑体" w:eastAsia="黑体" w:cs="黑体"/>
                <w:color w:val="auto"/>
                <w:sz w:val="24"/>
                <w:szCs w:val="24"/>
                <w:highlight w:val="none"/>
              </w:rPr>
              <w:t xml:space="preserve">  </w:t>
            </w:r>
          </w:p>
          <w:p>
            <w:pPr>
              <w:spacing w:line="360" w:lineRule="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联系方式：</w:t>
            </w:r>
            <w:r>
              <w:rPr>
                <w:rFonts w:hint="eastAsia" w:ascii="黑体" w:hAnsi="黑体" w:eastAsia="黑体" w:cs="黑体"/>
                <w:color w:val="auto"/>
                <w:sz w:val="24"/>
                <w:szCs w:val="24"/>
                <w:highlight w:val="none"/>
                <w:lang w:val="en-US" w:eastAsia="zh-CN"/>
              </w:rPr>
              <w:t>13667522055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w:t>
            </w:r>
          </w:p>
        </w:tc>
        <w:tc>
          <w:tcPr>
            <w:tcW w:w="2440" w:type="dxa"/>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招标项目名称</w:t>
            </w:r>
          </w:p>
        </w:tc>
        <w:tc>
          <w:tcPr>
            <w:tcW w:w="6893" w:type="dxa"/>
          </w:tcPr>
          <w:p>
            <w:pPr>
              <w:spacing w:line="511"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轮台县卫生健康委员会核酸检测实验室医疗设备采购项目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w:t>
            </w:r>
          </w:p>
        </w:tc>
        <w:tc>
          <w:tcPr>
            <w:tcW w:w="2440" w:type="dxa"/>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资金来源</w:t>
            </w:r>
          </w:p>
        </w:tc>
        <w:tc>
          <w:tcPr>
            <w:tcW w:w="6893" w:type="dxa"/>
          </w:tcPr>
          <w:p>
            <w:pPr>
              <w:spacing w:line="511" w:lineRule="exac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县级资金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w:t>
            </w:r>
          </w:p>
        </w:tc>
        <w:tc>
          <w:tcPr>
            <w:tcW w:w="2440" w:type="dxa"/>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预算价</w:t>
            </w:r>
          </w:p>
        </w:tc>
        <w:tc>
          <w:tcPr>
            <w:tcW w:w="6893" w:type="dxa"/>
          </w:tcPr>
          <w:p>
            <w:pPr>
              <w:spacing w:line="511" w:lineRule="exac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794万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w:t>
            </w:r>
          </w:p>
        </w:tc>
        <w:tc>
          <w:tcPr>
            <w:tcW w:w="2440" w:type="dxa"/>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资金落实情况</w:t>
            </w:r>
          </w:p>
        </w:tc>
        <w:tc>
          <w:tcPr>
            <w:tcW w:w="6893" w:type="dxa"/>
          </w:tcPr>
          <w:p>
            <w:pPr>
              <w:spacing w:line="511"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已</w:t>
            </w:r>
            <w:r>
              <w:rPr>
                <w:rFonts w:hint="eastAsia" w:ascii="黑体" w:hAnsi="黑体" w:eastAsia="黑体" w:cs="黑体"/>
                <w:color w:val="auto"/>
                <w:sz w:val="24"/>
                <w:szCs w:val="24"/>
                <w:highlight w:val="no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vAlign w:val="center"/>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7</w:t>
            </w:r>
          </w:p>
        </w:tc>
        <w:tc>
          <w:tcPr>
            <w:tcW w:w="2440" w:type="dxa"/>
            <w:vAlign w:val="center"/>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付款方式</w:t>
            </w:r>
          </w:p>
        </w:tc>
        <w:tc>
          <w:tcPr>
            <w:tcW w:w="6893" w:type="dxa"/>
          </w:tcPr>
          <w:p>
            <w:pPr>
              <w:spacing w:line="511" w:lineRule="exac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签订合同起至货到验收合格后支付总合同价款95%，质保金为</w:t>
            </w:r>
            <w:r>
              <w:rPr>
                <w:rFonts w:hint="eastAsia" w:ascii="黑体" w:hAnsi="黑体" w:eastAsia="黑体" w:cs="黑体"/>
                <w:color w:val="auto"/>
                <w:sz w:val="24"/>
                <w:szCs w:val="24"/>
                <w:highlight w:val="none"/>
              </w:rPr>
              <w:t>总合同价</w:t>
            </w:r>
            <w:r>
              <w:rPr>
                <w:rFonts w:hint="eastAsia" w:ascii="黑体" w:hAnsi="黑体" w:eastAsia="黑体" w:cs="黑体"/>
                <w:color w:val="auto"/>
                <w:sz w:val="24"/>
                <w:szCs w:val="24"/>
                <w:highlight w:val="none"/>
                <w:lang w:val="en-US" w:eastAsia="zh-CN"/>
              </w:rPr>
              <w:t>的5%，质保期为叁年，质保期内若产生质保问题将扣除所有质保金（总合同价的5%）质保期满叁年后支付质保金</w:t>
            </w:r>
            <w:r>
              <w:rPr>
                <w:rFonts w:hint="eastAsia" w:ascii="黑体" w:hAnsi="黑体" w:eastAsia="黑体" w:cs="黑体"/>
                <w:color w:val="auto"/>
                <w:sz w:val="24"/>
                <w:szCs w:val="24"/>
                <w:highlight w:val="none"/>
              </w:rPr>
              <w:t>总合同价</w:t>
            </w:r>
            <w:r>
              <w:rPr>
                <w:rFonts w:hint="eastAsia" w:ascii="黑体" w:hAnsi="黑体" w:eastAsia="黑体" w:cs="黑体"/>
                <w:color w:val="auto"/>
                <w:sz w:val="24"/>
                <w:szCs w:val="24"/>
                <w:highlight w:val="none"/>
                <w:lang w:val="en-US" w:eastAsia="zh-CN"/>
              </w:rPr>
              <w:t>的5</w:t>
            </w:r>
            <w:r>
              <w:rPr>
                <w:rFonts w:hint="eastAsia" w:ascii="黑体" w:hAnsi="黑体" w:eastAsia="黑体" w:cs="黑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8</w:t>
            </w:r>
          </w:p>
        </w:tc>
        <w:tc>
          <w:tcPr>
            <w:tcW w:w="2440" w:type="dxa"/>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招标范围</w:t>
            </w:r>
          </w:p>
        </w:tc>
        <w:tc>
          <w:tcPr>
            <w:tcW w:w="6893" w:type="dxa"/>
          </w:tcPr>
          <w:p>
            <w:pPr>
              <w:spacing w:line="511" w:lineRule="exact"/>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临床检验专用冰箱、试管架、混匀振荡器、八联管离心机、微孔板离心机、医用洁净工作台、生物安全柜、立式压力蒸汽灭菌器、多用途恒温箱（</w:t>
            </w:r>
            <w:bookmarkStart w:id="165" w:name="_GoBack"/>
            <w:bookmarkEnd w:id="165"/>
            <w:r>
              <w:rPr>
                <w:rFonts w:hint="eastAsia" w:ascii="黑体" w:hAnsi="黑体" w:eastAsia="黑体" w:cs="黑体"/>
                <w:color w:val="auto"/>
                <w:sz w:val="24"/>
                <w:szCs w:val="24"/>
                <w:highlight w:val="none"/>
                <w:lang w:val="en-US" w:eastAsia="zh-CN"/>
              </w:rPr>
              <w:t>干式恒温箱）、全自动医用PCR分析系统、全自动医用PCR分析系统设备采购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9</w:t>
            </w:r>
          </w:p>
        </w:tc>
        <w:tc>
          <w:tcPr>
            <w:tcW w:w="2440" w:type="dxa"/>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交货安装期</w:t>
            </w:r>
          </w:p>
        </w:tc>
        <w:tc>
          <w:tcPr>
            <w:tcW w:w="6893" w:type="dxa"/>
            <w:vAlign w:val="center"/>
          </w:tcPr>
          <w:p>
            <w:pPr>
              <w:spacing w:line="511"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中标后签订合同之日起10日内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10</w:t>
            </w:r>
          </w:p>
        </w:tc>
        <w:tc>
          <w:tcPr>
            <w:tcW w:w="2440" w:type="dxa"/>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交货地点</w:t>
            </w:r>
          </w:p>
        </w:tc>
        <w:tc>
          <w:tcPr>
            <w:tcW w:w="6893" w:type="dxa"/>
          </w:tcPr>
          <w:p>
            <w:pPr>
              <w:tabs>
                <w:tab w:val="left" w:pos="1344"/>
              </w:tabs>
              <w:spacing w:line="511"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rPr>
              <w:t>采购单位</w:t>
            </w:r>
            <w:r>
              <w:rPr>
                <w:rFonts w:hint="eastAsia" w:ascii="黑体" w:hAnsi="黑体" w:eastAsia="黑体" w:cs="黑体"/>
                <w:color w:val="auto"/>
                <w:sz w:val="24"/>
                <w:szCs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11</w:t>
            </w:r>
          </w:p>
        </w:tc>
        <w:tc>
          <w:tcPr>
            <w:tcW w:w="2440" w:type="dxa"/>
          </w:tcPr>
          <w:p>
            <w:pPr>
              <w:spacing w:line="511" w:lineRule="exact"/>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评标方法</w:t>
            </w:r>
          </w:p>
        </w:tc>
        <w:tc>
          <w:tcPr>
            <w:tcW w:w="6893" w:type="dxa"/>
          </w:tcPr>
          <w:p>
            <w:pPr>
              <w:spacing w:line="511" w:lineRule="exac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vAlign w:val="center"/>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12</w:t>
            </w:r>
          </w:p>
        </w:tc>
        <w:tc>
          <w:tcPr>
            <w:tcW w:w="2440" w:type="dxa"/>
            <w:vAlign w:val="center"/>
          </w:tcPr>
          <w:p>
            <w:pPr>
              <w:overflowPunct w:val="0"/>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验收标准</w:t>
            </w:r>
          </w:p>
        </w:tc>
        <w:tc>
          <w:tcPr>
            <w:tcW w:w="6893" w:type="dxa"/>
            <w:vAlign w:val="center"/>
          </w:tcPr>
          <w:p>
            <w:pPr>
              <w:overflowPunct w:val="0"/>
              <w:spacing w:line="511"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rPr>
              <w:t>应与产品原始样本技术资料及标书技术文件一致，符合我国有关技术规范和技术标准，如提供货物验收不合格，所有损失由供货方自己承担。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73" w:type="dxa"/>
            <w:vAlign w:val="center"/>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13</w:t>
            </w:r>
          </w:p>
        </w:tc>
        <w:tc>
          <w:tcPr>
            <w:tcW w:w="2440" w:type="dxa"/>
            <w:vAlign w:val="top"/>
          </w:tcPr>
          <w:p>
            <w:pPr>
              <w:spacing w:line="511" w:lineRule="exact"/>
              <w:jc w:val="center"/>
              <w:rPr>
                <w:rFonts w:hint="eastAsia" w:ascii="黑体" w:hAnsi="黑体" w:eastAsia="黑体" w:cs="黑体"/>
                <w:color w:val="auto"/>
                <w:sz w:val="24"/>
                <w:szCs w:val="24"/>
                <w:highlight w:val="none"/>
                <w:lang w:val="en-US" w:eastAsia="zh-CN" w:bidi="zh-CN"/>
              </w:rPr>
            </w:pPr>
            <w:r>
              <w:rPr>
                <w:rFonts w:hint="eastAsia" w:ascii="黑体" w:hAnsi="黑体" w:eastAsia="黑体" w:cs="黑体"/>
                <w:color w:val="auto"/>
                <w:sz w:val="24"/>
                <w:szCs w:val="24"/>
                <w:highlight w:val="none"/>
              </w:rPr>
              <w:t>联合体投标</w:t>
            </w:r>
          </w:p>
        </w:tc>
        <w:tc>
          <w:tcPr>
            <w:tcW w:w="6893" w:type="dxa"/>
            <w:vAlign w:val="top"/>
          </w:tcPr>
          <w:p>
            <w:pPr>
              <w:spacing w:line="511" w:lineRule="exact"/>
              <w:rPr>
                <w:rFonts w:hint="eastAsia" w:ascii="黑体" w:hAnsi="黑体" w:eastAsia="黑体" w:cs="黑体"/>
                <w:color w:val="auto"/>
                <w:sz w:val="24"/>
                <w:szCs w:val="24"/>
                <w:highlight w:val="none"/>
                <w:lang w:val="en-US" w:eastAsia="zh-CN" w:bidi="zh-CN"/>
              </w:rPr>
            </w:pPr>
            <w:r>
              <w:rPr>
                <w:rFonts w:hint="eastAsia" w:ascii="黑体" w:hAnsi="黑体" w:eastAsia="黑体" w:cs="黑体"/>
                <w:color w:val="auto"/>
                <w:sz w:val="24"/>
                <w:szCs w:val="24"/>
                <w:highlight w:val="none"/>
              </w:rPr>
              <w:sym w:font="Wingdings" w:char="00FE"/>
            </w:r>
            <w:r>
              <w:rPr>
                <w:rFonts w:hint="eastAsia" w:ascii="黑体" w:hAnsi="黑体" w:eastAsia="黑体" w:cs="黑体"/>
                <w:color w:val="auto"/>
                <w:sz w:val="24"/>
                <w:szCs w:val="24"/>
                <w:highlight w:val="none"/>
              </w:rPr>
              <w:t>不接受</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873" w:type="dxa"/>
            <w:vAlign w:val="center"/>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14</w:t>
            </w:r>
          </w:p>
        </w:tc>
        <w:tc>
          <w:tcPr>
            <w:tcW w:w="2440" w:type="dxa"/>
            <w:vAlign w:val="center"/>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招标文件领取</w:t>
            </w:r>
          </w:p>
        </w:tc>
        <w:tc>
          <w:tcPr>
            <w:tcW w:w="6893" w:type="dxa"/>
          </w:tcPr>
          <w:p>
            <w:pPr>
              <w:spacing w:line="409" w:lineRule="exac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供应商登陆政采云平http://www.zcygov.cn/在线申请获取（登录政府采购云平台→项目采购→获取招标文件→申请，审核通过后可下载招标文件，如有操作性问题，可与政采云在线客服进行咨询，咨询电话：400-881-7190）。 </w:t>
            </w:r>
          </w:p>
          <w:p>
            <w:pPr>
              <w:spacing w:line="409" w:lineRule="exac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本次招标不提供纸质版招标文件。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873" w:type="dxa"/>
            <w:vAlign w:val="center"/>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15</w:t>
            </w:r>
          </w:p>
        </w:tc>
        <w:tc>
          <w:tcPr>
            <w:tcW w:w="2440" w:type="dxa"/>
            <w:vAlign w:val="center"/>
          </w:tcPr>
          <w:p>
            <w:pPr>
              <w:overflowPunct w:val="0"/>
              <w:spacing w:line="440" w:lineRule="exact"/>
              <w:jc w:val="center"/>
              <w:rPr>
                <w:rFonts w:hint="eastAsia" w:ascii="黑体" w:hAnsi="黑体" w:eastAsia="黑体" w:cs="黑体"/>
                <w:bCs/>
                <w:sz w:val="24"/>
                <w:szCs w:val="24"/>
                <w:lang w:val="en-US" w:eastAsia="zh-CN" w:bidi="zh-CN"/>
              </w:rPr>
            </w:pPr>
            <w:r>
              <w:rPr>
                <w:rFonts w:hint="eastAsia" w:ascii="黑体" w:hAnsi="黑体" w:eastAsia="黑体" w:cs="黑体"/>
                <w:bCs/>
                <w:sz w:val="24"/>
                <w:szCs w:val="24"/>
                <w:lang w:val="en-US" w:eastAsia="zh-CN"/>
              </w:rPr>
              <w:t>标前准备</w:t>
            </w:r>
          </w:p>
        </w:tc>
        <w:tc>
          <w:tcPr>
            <w:tcW w:w="6893" w:type="dxa"/>
            <w:vAlign w:val="center"/>
          </w:tcPr>
          <w:p>
            <w:pPr>
              <w:overflowPunct w:val="0"/>
              <w:spacing w:line="440" w:lineRule="exact"/>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1、本项目实行网上投标，采用电子投标文件。若供应商参与投标，自行承担投标一切费用。</w:t>
            </w:r>
          </w:p>
          <w:p>
            <w:pPr>
              <w:overflowPunct w:val="0"/>
              <w:spacing w:line="440" w:lineRule="exact"/>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overflowPunct w:val="0"/>
              <w:spacing w:line="440" w:lineRule="exact"/>
              <w:rPr>
                <w:rFonts w:hint="eastAsia" w:ascii="黑体" w:hAnsi="黑体" w:eastAsia="黑体" w:cs="黑体"/>
                <w:bCs/>
                <w:sz w:val="24"/>
                <w:szCs w:val="24"/>
                <w:lang w:val="en-US" w:eastAsia="zh-CN" w:bidi="zh-CN"/>
              </w:rPr>
            </w:pPr>
            <w:r>
              <w:rPr>
                <w:rFonts w:hint="eastAsia" w:ascii="黑体" w:hAnsi="黑体" w:eastAsia="黑体" w:cs="黑体"/>
                <w:bCs/>
                <w:sz w:val="24"/>
                <w:szCs w:val="24"/>
                <w:lang w:val="en-US" w:eastAsia="zh-CN"/>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黑体" w:hAnsi="黑体" w:eastAsia="黑体" w:cs="黑体"/>
                <w:bCs/>
                <w:sz w:val="24"/>
                <w:szCs w:val="24"/>
                <w:lang w:val="en-US" w:eastAsia="zh-CN"/>
              </w:rPr>
              <w:fldChar w:fldCharType="begin"/>
            </w:r>
            <w:r>
              <w:rPr>
                <w:rFonts w:hint="eastAsia" w:ascii="黑体" w:hAnsi="黑体" w:eastAsia="黑体" w:cs="黑体"/>
                <w:bCs/>
                <w:sz w:val="24"/>
                <w:szCs w:val="24"/>
                <w:lang w:val="en-US" w:eastAsia="zh-CN"/>
              </w:rPr>
              <w:instrText xml:space="preserve"> HYPERLINK "http://www.ccgp-xinjiang.gov.cn/" </w:instrText>
            </w:r>
            <w:r>
              <w:rPr>
                <w:rFonts w:hint="eastAsia" w:ascii="黑体" w:hAnsi="黑体" w:eastAsia="黑体" w:cs="黑体"/>
                <w:bCs/>
                <w:sz w:val="24"/>
                <w:szCs w:val="24"/>
                <w:lang w:val="en-US" w:eastAsia="zh-CN"/>
              </w:rPr>
              <w:fldChar w:fldCharType="separate"/>
            </w:r>
            <w:r>
              <w:rPr>
                <w:rFonts w:hint="eastAsia" w:ascii="黑体" w:hAnsi="黑体" w:eastAsia="黑体" w:cs="黑体"/>
                <w:bCs/>
                <w:sz w:val="24"/>
                <w:szCs w:val="24"/>
                <w:lang w:val="en-US" w:eastAsia="zh-CN"/>
              </w:rPr>
              <w:t>http://www.ccgp-xinjiang.gov.cn/</w:t>
            </w:r>
            <w:r>
              <w:rPr>
                <w:rFonts w:hint="eastAsia" w:ascii="黑体" w:hAnsi="黑体" w:eastAsia="黑体" w:cs="黑体"/>
                <w:bCs/>
                <w:sz w:val="24"/>
                <w:szCs w:val="24"/>
                <w:lang w:val="en-US" w:eastAsia="zh-CN"/>
              </w:rPr>
              <w:fldChar w:fldCharType="end"/>
            </w:r>
            <w:r>
              <w:rPr>
                <w:rFonts w:hint="eastAsia" w:ascii="黑体" w:hAnsi="黑体" w:eastAsia="黑体" w:cs="黑体"/>
                <w:bCs/>
                <w:sz w:val="24"/>
                <w:szCs w:val="24"/>
                <w:lang w:val="en-US" w:eastAsia="zh-CN"/>
              </w:rPr>
              <w:t>）下载专区查看，如有问题可拨打政采云客户服务热线400-881-7190进行咨询。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873" w:type="dxa"/>
            <w:vAlign w:val="center"/>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16</w:t>
            </w:r>
          </w:p>
        </w:tc>
        <w:tc>
          <w:tcPr>
            <w:tcW w:w="2440" w:type="dxa"/>
            <w:vAlign w:val="center"/>
          </w:tcPr>
          <w:p>
            <w:pPr>
              <w:overflowPunct w:val="0"/>
              <w:spacing w:line="440" w:lineRule="exact"/>
              <w:rPr>
                <w:rFonts w:hint="eastAsia" w:ascii="黑体" w:hAnsi="黑体" w:eastAsia="黑体" w:cs="黑体"/>
                <w:bCs/>
                <w:color w:val="auto"/>
                <w:sz w:val="24"/>
                <w:szCs w:val="24"/>
                <w:lang w:val="en-US" w:eastAsia="zh-CN" w:bidi="zh-CN"/>
              </w:rPr>
            </w:pPr>
            <w:r>
              <w:rPr>
                <w:rFonts w:hint="eastAsia" w:ascii="黑体" w:hAnsi="黑体" w:eastAsia="黑体" w:cs="黑体"/>
                <w:bCs/>
                <w:color w:val="auto"/>
                <w:sz w:val="24"/>
                <w:szCs w:val="24"/>
                <w:lang w:val="en-US" w:eastAsia="zh-CN"/>
              </w:rPr>
              <w:t>开标地点及投标文件递交</w:t>
            </w:r>
          </w:p>
        </w:tc>
        <w:tc>
          <w:tcPr>
            <w:tcW w:w="6893" w:type="dxa"/>
            <w:vAlign w:val="center"/>
          </w:tcPr>
          <w:p>
            <w:pPr>
              <w:overflowPunct w:val="0"/>
              <w:spacing w:line="440" w:lineRule="exact"/>
              <w:rPr>
                <w:rFonts w:hint="eastAsia" w:ascii="黑体" w:hAnsi="黑体" w:eastAsia="黑体" w:cs="黑体"/>
                <w:bCs/>
                <w:color w:val="auto"/>
                <w:sz w:val="24"/>
                <w:szCs w:val="24"/>
                <w:lang w:val="en-US" w:eastAsia="zh-CN" w:bidi="zh-CN"/>
              </w:rPr>
            </w:pPr>
            <w:r>
              <w:rPr>
                <w:rFonts w:hint="eastAsia" w:ascii="黑体" w:hAnsi="黑体" w:eastAsia="黑体" w:cs="黑体"/>
                <w:bCs/>
                <w:color w:val="auto"/>
                <w:sz w:val="24"/>
                <w:szCs w:val="24"/>
                <w:lang w:val="en-US" w:eastAsia="zh-CN"/>
              </w:rPr>
              <w:t>投标人应于2022年06月21日11:00时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17</w:t>
            </w:r>
          </w:p>
        </w:tc>
        <w:tc>
          <w:tcPr>
            <w:tcW w:w="2440" w:type="dxa"/>
            <w:vAlign w:val="center"/>
          </w:tcPr>
          <w:p>
            <w:pPr>
              <w:overflowPunct w:val="0"/>
              <w:spacing w:line="440" w:lineRule="exact"/>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招标文件解密时间</w:t>
            </w:r>
          </w:p>
          <w:p>
            <w:pPr>
              <w:overflowPunct w:val="0"/>
              <w:spacing w:line="440" w:lineRule="exact"/>
              <w:rPr>
                <w:rFonts w:hint="eastAsia" w:ascii="黑体" w:hAnsi="黑体" w:eastAsia="黑体" w:cs="黑体"/>
                <w:bCs/>
                <w:color w:val="auto"/>
                <w:sz w:val="24"/>
                <w:szCs w:val="24"/>
                <w:lang w:val="en-US" w:eastAsia="zh-CN" w:bidi="zh-CN"/>
              </w:rPr>
            </w:pPr>
          </w:p>
        </w:tc>
        <w:tc>
          <w:tcPr>
            <w:tcW w:w="6893" w:type="dxa"/>
            <w:vAlign w:val="center"/>
          </w:tcPr>
          <w:p>
            <w:pPr>
              <w:overflowPunct w:val="0"/>
              <w:spacing w:line="440" w:lineRule="exact"/>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开标时间后30分钟内（2022年06月21日上午10:30-11：00前）供应商可以登录“政采云”平台，用“项目采购-开标评标”功能进行解密投标文件。若供应商在规定时间内（2022年06月21日上午11:00前）</w:t>
            </w:r>
          </w:p>
          <w:p>
            <w:pPr>
              <w:overflowPunct w:val="0"/>
              <w:spacing w:line="440" w:lineRule="exact"/>
              <w:rPr>
                <w:rFonts w:hint="eastAsia" w:ascii="黑体" w:hAnsi="黑体" w:eastAsia="黑体" w:cs="黑体"/>
                <w:bCs/>
                <w:color w:val="auto"/>
                <w:sz w:val="24"/>
                <w:szCs w:val="24"/>
                <w:lang w:val="en-US" w:eastAsia="zh-CN" w:bidi="zh-CN"/>
              </w:rPr>
            </w:pPr>
            <w:r>
              <w:rPr>
                <w:rFonts w:hint="eastAsia" w:ascii="黑体" w:hAnsi="黑体" w:eastAsia="黑体" w:cs="黑体"/>
                <w:bCs/>
                <w:color w:val="auto"/>
                <w:sz w:val="24"/>
                <w:szCs w:val="24"/>
                <w:lang w:val="en-US" w:eastAsia="zh-CN"/>
              </w:rPr>
              <w:t>未按时解密的，视为投标文件撤回。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18</w:t>
            </w:r>
          </w:p>
        </w:tc>
        <w:tc>
          <w:tcPr>
            <w:tcW w:w="2440" w:type="dxa"/>
            <w:vAlign w:val="center"/>
          </w:tcPr>
          <w:p>
            <w:pPr>
              <w:overflowPunct w:val="0"/>
              <w:spacing w:line="440" w:lineRule="exact"/>
              <w:rPr>
                <w:rFonts w:hint="eastAsia" w:ascii="黑体" w:hAnsi="黑体" w:eastAsia="黑体" w:cs="黑体"/>
                <w:color w:val="auto"/>
                <w:sz w:val="24"/>
                <w:szCs w:val="24"/>
                <w:highlight w:val="none"/>
                <w:lang w:val="en-US"/>
              </w:rPr>
            </w:pPr>
            <w:r>
              <w:rPr>
                <w:rFonts w:hint="eastAsia" w:ascii="黑体" w:hAnsi="黑体" w:eastAsia="黑体" w:cs="黑体"/>
                <w:bCs/>
                <w:color w:val="auto"/>
                <w:sz w:val="24"/>
                <w:szCs w:val="24"/>
                <w:lang w:val="en-US" w:eastAsia="zh-CN"/>
              </w:rPr>
              <w:t>投标人开标现场要求</w:t>
            </w:r>
          </w:p>
        </w:tc>
        <w:tc>
          <w:tcPr>
            <w:tcW w:w="6893" w:type="dxa"/>
            <w:vAlign w:val="center"/>
          </w:tcPr>
          <w:p>
            <w:pPr>
              <w:overflowPunct w:val="0"/>
              <w:spacing w:line="440" w:lineRule="exact"/>
              <w:rPr>
                <w:rFonts w:hint="eastAsia" w:ascii="黑体" w:hAnsi="黑体" w:eastAsia="黑体" w:cs="黑体"/>
                <w:color w:val="auto"/>
                <w:sz w:val="24"/>
                <w:szCs w:val="24"/>
                <w:highlight w:val="none"/>
                <w:lang w:val="en-US"/>
              </w:rPr>
            </w:pPr>
            <w:r>
              <w:rPr>
                <w:rFonts w:hint="eastAsia" w:ascii="黑体" w:hAnsi="黑体" w:eastAsia="黑体" w:cs="黑体"/>
                <w:bCs/>
                <w:color w:val="auto"/>
                <w:sz w:val="24"/>
                <w:szCs w:val="24"/>
                <w:lang w:val="en-US" w:eastAsia="zh-CN"/>
              </w:rPr>
              <w:t>投标单位不用现场投标，按规定时间上传电子投标书即可。（投标结束后投标供应商在5天内将投标文件（一正三副）递交至库尔勒豪景大厦9楼办公室；联系人：张硕、联系电话：13667522055）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73" w:type="dxa"/>
            <w:vAlign w:val="center"/>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19</w:t>
            </w:r>
          </w:p>
        </w:tc>
        <w:tc>
          <w:tcPr>
            <w:tcW w:w="2440" w:type="dxa"/>
            <w:vAlign w:val="center"/>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最高投标限价</w:t>
            </w:r>
          </w:p>
        </w:tc>
        <w:tc>
          <w:tcPr>
            <w:tcW w:w="6893" w:type="dxa"/>
          </w:tcPr>
          <w:p>
            <w:pPr>
              <w:spacing w:line="511" w:lineRule="exact"/>
              <w:rPr>
                <w:rFonts w:hint="eastAsia" w:ascii="黑体" w:hAnsi="黑体" w:eastAsia="黑体" w:cs="黑体"/>
                <w:sz w:val="24"/>
                <w:szCs w:val="24"/>
                <w:lang w:val="en-US"/>
              </w:rPr>
            </w:pPr>
            <w:r>
              <w:rPr>
                <w:rFonts w:hint="eastAsia" w:ascii="黑体" w:hAnsi="黑体" w:eastAsia="黑体" w:cs="黑体"/>
                <w:sz w:val="24"/>
                <w:szCs w:val="24"/>
              </w:rPr>
              <w:t>□无</w:t>
            </w:r>
            <w:r>
              <w:rPr>
                <w:rFonts w:hint="eastAsia" w:ascii="黑体" w:hAnsi="黑体" w:eastAsia="黑体" w:cs="黑体"/>
                <w:sz w:val="24"/>
                <w:szCs w:val="24"/>
              </w:rPr>
              <w:sym w:font="Wingdings" w:char="00FE"/>
            </w:r>
            <w:r>
              <w:rPr>
                <w:rFonts w:hint="eastAsia" w:ascii="黑体" w:hAnsi="黑体" w:eastAsia="黑体" w:cs="黑体"/>
                <w:sz w:val="24"/>
                <w:szCs w:val="24"/>
              </w:rPr>
              <w:t>有，最高投标限价：本项目预算价：</w:t>
            </w:r>
            <w:r>
              <w:rPr>
                <w:rFonts w:hint="eastAsia" w:ascii="黑体" w:hAnsi="黑体" w:eastAsia="黑体" w:cs="黑体"/>
                <w:sz w:val="24"/>
                <w:szCs w:val="24"/>
                <w:lang w:val="en-US" w:eastAsia="zh-CN"/>
              </w:rPr>
              <w:t>794</w:t>
            </w:r>
            <w:r>
              <w:rPr>
                <w:rFonts w:hint="eastAsia" w:ascii="黑体" w:hAnsi="黑体" w:eastAsia="黑体" w:cs="黑体"/>
                <w:sz w:val="24"/>
                <w:szCs w:val="24"/>
                <w:lang w:val="en-US"/>
              </w:rPr>
              <w:t>万</w:t>
            </w:r>
            <w:r>
              <w:rPr>
                <w:rFonts w:hint="eastAsia" w:ascii="黑体" w:hAnsi="黑体" w:eastAsia="黑体" w:cs="黑体"/>
                <w:sz w:val="24"/>
                <w:szCs w:val="24"/>
              </w:rPr>
              <w:t>元</w:t>
            </w:r>
            <w:r>
              <w:rPr>
                <w:rFonts w:hint="eastAsia" w:ascii="黑体" w:hAnsi="黑体" w:eastAsia="黑体" w:cs="黑体"/>
                <w:sz w:val="24"/>
                <w:szCs w:val="24"/>
                <w:lang w:val="en-US"/>
              </w:rPr>
              <w:t xml:space="preserve"> </w:t>
            </w:r>
          </w:p>
          <w:p>
            <w:pPr>
              <w:pStyle w:val="17"/>
              <w:rPr>
                <w:rFonts w:hint="eastAsia" w:ascii="黑体" w:hAnsi="黑体" w:eastAsia="黑体" w:cs="黑体"/>
                <w:sz w:val="24"/>
                <w:szCs w:val="24"/>
              </w:rPr>
            </w:pPr>
            <w:r>
              <w:rPr>
                <w:rFonts w:hint="eastAsia" w:ascii="黑体" w:hAnsi="黑体" w:eastAsia="黑体" w:cs="黑体"/>
                <w:b/>
                <w:bCs/>
                <w:color w:val="auto"/>
                <w:sz w:val="24"/>
                <w:szCs w:val="24"/>
                <w:highlight w:val="none"/>
                <w:lang w:val="en-US" w:eastAsia="zh-CN"/>
              </w:rPr>
              <w:t>注：1、</w:t>
            </w:r>
            <w:r>
              <w:rPr>
                <w:rFonts w:hint="eastAsia" w:ascii="黑体" w:hAnsi="黑体" w:eastAsia="黑体" w:cs="黑体"/>
                <w:b/>
                <w:bCs/>
                <w:color w:val="auto"/>
                <w:sz w:val="24"/>
                <w:szCs w:val="24"/>
                <w:highlight w:val="none"/>
                <w:lang w:val="zh-CN"/>
              </w:rPr>
              <w:t>最终报价应以产品</w:t>
            </w:r>
            <w:r>
              <w:rPr>
                <w:rFonts w:hint="eastAsia" w:ascii="黑体" w:hAnsi="黑体" w:eastAsia="黑体" w:cs="黑体"/>
                <w:b/>
                <w:bCs/>
                <w:color w:val="auto"/>
                <w:sz w:val="24"/>
                <w:szCs w:val="24"/>
                <w:highlight w:val="none"/>
                <w:lang w:val="en-US" w:eastAsia="zh-CN"/>
              </w:rPr>
              <w:t>生产制造费</w:t>
            </w:r>
            <w:r>
              <w:rPr>
                <w:rFonts w:hint="eastAsia" w:ascii="黑体" w:hAnsi="黑体" w:eastAsia="黑体" w:cs="黑体"/>
                <w:b/>
                <w:bCs/>
                <w:color w:val="auto"/>
                <w:sz w:val="24"/>
                <w:szCs w:val="24"/>
                <w:highlight w:val="none"/>
                <w:lang w:val="zh-CN" w:eastAsia="zh-CN"/>
              </w:rPr>
              <w:t>、</w:t>
            </w:r>
            <w:r>
              <w:rPr>
                <w:rFonts w:hint="eastAsia" w:ascii="黑体" w:hAnsi="黑体" w:eastAsia="黑体" w:cs="黑体"/>
                <w:b/>
                <w:bCs/>
                <w:color w:val="auto"/>
                <w:sz w:val="24"/>
                <w:szCs w:val="24"/>
                <w:highlight w:val="none"/>
                <w:lang w:val="zh-CN"/>
              </w:rPr>
              <w:t>材料费、</w:t>
            </w:r>
            <w:r>
              <w:rPr>
                <w:rFonts w:hint="eastAsia" w:ascii="黑体" w:hAnsi="黑体" w:eastAsia="黑体" w:cs="黑体"/>
                <w:b/>
                <w:bCs/>
                <w:color w:val="auto"/>
                <w:sz w:val="24"/>
                <w:szCs w:val="24"/>
                <w:highlight w:val="none"/>
                <w:lang w:val="zh-CN" w:eastAsia="zh-CN"/>
              </w:rPr>
              <w:t>包装费、</w:t>
            </w:r>
            <w:r>
              <w:rPr>
                <w:rFonts w:hint="eastAsia" w:ascii="黑体" w:hAnsi="黑体" w:eastAsia="黑体" w:cs="黑体"/>
                <w:b/>
                <w:bCs/>
                <w:color w:val="auto"/>
                <w:sz w:val="24"/>
                <w:szCs w:val="24"/>
                <w:highlight w:val="none"/>
                <w:lang w:val="en-US" w:eastAsia="zh-CN"/>
              </w:rPr>
              <w:t>检验费、检测费、加工费、</w:t>
            </w:r>
            <w:r>
              <w:rPr>
                <w:rFonts w:hint="eastAsia" w:ascii="黑体" w:hAnsi="黑体" w:eastAsia="黑体" w:cs="黑体"/>
                <w:b/>
                <w:bCs/>
                <w:color w:val="auto"/>
                <w:sz w:val="24"/>
                <w:szCs w:val="24"/>
                <w:highlight w:val="none"/>
                <w:lang w:val="zh-CN"/>
              </w:rPr>
              <w:t>运输费（包括从货物发出地到合同指定实际交货地之间的所有费用）、装卸费、</w:t>
            </w:r>
            <w:r>
              <w:rPr>
                <w:rFonts w:hint="eastAsia" w:ascii="黑体" w:hAnsi="黑体" w:eastAsia="黑体" w:cs="黑体"/>
                <w:b/>
                <w:bCs/>
                <w:color w:val="auto"/>
                <w:sz w:val="24"/>
                <w:szCs w:val="24"/>
                <w:highlight w:val="none"/>
                <w:lang w:val="en-US" w:eastAsia="zh-CN"/>
              </w:rPr>
              <w:t>备品备件、</w:t>
            </w:r>
            <w:r>
              <w:rPr>
                <w:rFonts w:hint="eastAsia" w:ascii="黑体" w:hAnsi="黑体" w:eastAsia="黑体" w:cs="黑体"/>
                <w:b/>
                <w:bCs/>
                <w:color w:val="auto"/>
                <w:sz w:val="24"/>
                <w:szCs w:val="24"/>
                <w:highlight w:val="none"/>
                <w:lang w:val="zh-CN" w:eastAsia="zh-CN"/>
              </w:rPr>
              <w:t>损耗费、税金、质保售后</w:t>
            </w:r>
            <w:r>
              <w:rPr>
                <w:rFonts w:hint="eastAsia" w:ascii="黑体" w:hAnsi="黑体" w:eastAsia="黑体" w:cs="黑体"/>
                <w:b/>
                <w:bCs/>
                <w:color w:val="auto"/>
                <w:sz w:val="24"/>
                <w:szCs w:val="24"/>
                <w:highlight w:val="none"/>
                <w:lang w:val="en-US" w:eastAsia="zh-CN"/>
              </w:rPr>
              <w:t>及相应的配套服务等所</w:t>
            </w:r>
            <w:r>
              <w:rPr>
                <w:rFonts w:hint="eastAsia" w:ascii="黑体" w:hAnsi="黑体" w:eastAsia="黑体" w:cs="黑体"/>
                <w:b/>
                <w:bCs/>
                <w:color w:val="auto"/>
                <w:sz w:val="24"/>
                <w:szCs w:val="24"/>
                <w:highlight w:val="none"/>
                <w:lang w:val="zh-CN" w:eastAsia="zh-CN"/>
              </w:rPr>
              <w:t>产生的全部费用。中标后不因市场因素价格变化而作任何变动，投标人必须按投标人须知、投标书、投标承诺及合同条款、技术规范标准及现场要求为准，任何投标时估算错误或漏项的风险，一律由投标人承担。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20</w:t>
            </w:r>
          </w:p>
        </w:tc>
        <w:tc>
          <w:tcPr>
            <w:tcW w:w="2440" w:type="dxa"/>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投标有效期</w:t>
            </w:r>
          </w:p>
        </w:tc>
        <w:tc>
          <w:tcPr>
            <w:tcW w:w="6893" w:type="dxa"/>
          </w:tcPr>
          <w:p>
            <w:pPr>
              <w:spacing w:line="511"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3" w:type="dxa"/>
            <w:vAlign w:val="center"/>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21</w:t>
            </w:r>
          </w:p>
        </w:tc>
        <w:tc>
          <w:tcPr>
            <w:tcW w:w="2440" w:type="dxa"/>
            <w:vAlign w:val="center"/>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投标保证金</w:t>
            </w:r>
          </w:p>
        </w:tc>
        <w:tc>
          <w:tcPr>
            <w:tcW w:w="6893" w:type="dxa"/>
          </w:tcPr>
          <w:p>
            <w:pPr>
              <w:spacing w:line="460" w:lineRule="exact"/>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val="en-US" w:eastAsia="zh-CN"/>
              </w:rPr>
              <w:t>投标</w:t>
            </w:r>
            <w:r>
              <w:rPr>
                <w:rFonts w:hint="eastAsia" w:ascii="黑体" w:hAnsi="黑体" w:eastAsia="黑体" w:cs="黑体"/>
                <w:b/>
                <w:bCs/>
                <w:color w:val="auto"/>
                <w:sz w:val="24"/>
                <w:szCs w:val="24"/>
                <w:highlight w:val="none"/>
              </w:rPr>
              <w:t>保证金缴纳</w:t>
            </w:r>
            <w:r>
              <w:rPr>
                <w:rFonts w:hint="eastAsia" w:ascii="黑体" w:hAnsi="黑体" w:eastAsia="黑体" w:cs="黑体"/>
                <w:b/>
                <w:bCs/>
                <w:color w:val="auto"/>
                <w:sz w:val="24"/>
                <w:szCs w:val="24"/>
                <w:highlight w:val="none"/>
                <w:lang w:eastAsia="zh-CN"/>
              </w:rPr>
              <w:t>：</w:t>
            </w:r>
          </w:p>
          <w:p>
            <w:pPr>
              <w:spacing w:line="460" w:lineRule="exact"/>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单位名称：</w:t>
            </w:r>
            <w:r>
              <w:rPr>
                <w:rFonts w:hint="eastAsia" w:ascii="黑体" w:hAnsi="黑体" w:eastAsia="黑体" w:cs="黑体"/>
                <w:color w:val="auto"/>
                <w:sz w:val="24"/>
                <w:szCs w:val="24"/>
                <w:highlight w:val="none"/>
                <w:lang w:eastAsia="zh-CN"/>
              </w:rPr>
              <w:t>新疆安航工程项目管理有限公司</w:t>
            </w:r>
            <w:r>
              <w:rPr>
                <w:rFonts w:hint="eastAsia" w:ascii="黑体" w:hAnsi="黑体" w:eastAsia="黑体" w:cs="黑体"/>
                <w:color w:val="auto"/>
                <w:sz w:val="24"/>
                <w:szCs w:val="24"/>
                <w:highlight w:val="none"/>
                <w:lang w:val="en-US" w:eastAsia="zh-CN"/>
              </w:rPr>
              <w:t>巴州分公司</w:t>
            </w:r>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开户行：中国工商银行股份有限公司轮台支行</w:t>
            </w:r>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账号：3010 0271 0920 0110 770</w:t>
            </w:r>
          </w:p>
          <w:p>
            <w:pPr>
              <w:spacing w:line="460" w:lineRule="exact"/>
              <w:rPr>
                <w:rFonts w:hint="eastAsia" w:ascii="黑体" w:hAnsi="黑体" w:eastAsia="黑体" w:cs="黑体"/>
                <w:b/>
                <w:bCs/>
                <w:color w:val="auto"/>
                <w:sz w:val="24"/>
                <w:szCs w:val="24"/>
                <w:highlight w:val="none"/>
                <w:lang w:val="en-US"/>
              </w:rPr>
            </w:pPr>
            <w:r>
              <w:rPr>
                <w:rFonts w:hint="eastAsia" w:ascii="黑体" w:hAnsi="黑体" w:eastAsia="黑体" w:cs="黑体"/>
                <w:b/>
                <w:bCs/>
                <w:color w:val="auto"/>
                <w:sz w:val="24"/>
                <w:szCs w:val="24"/>
                <w:highlight w:val="none"/>
                <w:lang w:val="en-US"/>
              </w:rPr>
              <w:t>保证金金额：</w:t>
            </w:r>
            <w:r>
              <w:rPr>
                <w:rFonts w:hint="eastAsia" w:ascii="黑体" w:hAnsi="黑体" w:eastAsia="黑体" w:cs="黑体"/>
                <w:b/>
                <w:bCs/>
                <w:color w:val="auto"/>
                <w:sz w:val="24"/>
                <w:szCs w:val="24"/>
                <w:highlight w:val="none"/>
                <w:lang w:val="en-US" w:eastAsia="zh-CN"/>
              </w:rPr>
              <w:t>85000</w:t>
            </w:r>
            <w:r>
              <w:rPr>
                <w:rFonts w:hint="eastAsia" w:ascii="黑体" w:hAnsi="黑体" w:eastAsia="黑体" w:cs="黑体"/>
                <w:b/>
                <w:bCs/>
                <w:color w:val="auto"/>
                <w:sz w:val="24"/>
                <w:szCs w:val="24"/>
                <w:highlight w:val="none"/>
                <w:lang w:val="en-US"/>
              </w:rPr>
              <w:t>元（</w:t>
            </w:r>
            <w:r>
              <w:rPr>
                <w:rFonts w:hint="eastAsia" w:ascii="黑体" w:hAnsi="黑体" w:eastAsia="黑体" w:cs="黑体"/>
                <w:b/>
                <w:bCs/>
                <w:color w:val="auto"/>
                <w:sz w:val="24"/>
                <w:szCs w:val="24"/>
                <w:highlight w:val="none"/>
                <w:lang w:val="en-US" w:eastAsia="zh-CN"/>
              </w:rPr>
              <w:t>捌万伍仟元整</w:t>
            </w:r>
            <w:r>
              <w:rPr>
                <w:rFonts w:hint="eastAsia" w:ascii="黑体" w:hAnsi="黑体" w:eastAsia="黑体" w:cs="黑体"/>
                <w:b/>
                <w:bCs/>
                <w:color w:val="auto"/>
                <w:sz w:val="24"/>
                <w:szCs w:val="24"/>
                <w:highlight w:val="none"/>
                <w:lang w:val="en-US"/>
              </w:rPr>
              <w:t>）</w:t>
            </w:r>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（汇保证金款项时必须注明项目名称</w:t>
            </w:r>
            <w:r>
              <w:rPr>
                <w:rFonts w:hint="eastAsia" w:ascii="黑体" w:hAnsi="黑体" w:eastAsia="黑体" w:cs="黑体"/>
                <w:color w:val="auto"/>
                <w:sz w:val="24"/>
                <w:szCs w:val="24"/>
                <w:highlight w:val="none"/>
                <w:lang w:val="en-US" w:eastAsia="zh-CN"/>
              </w:rPr>
              <w:t>或</w:t>
            </w:r>
            <w:r>
              <w:rPr>
                <w:rFonts w:hint="eastAsia" w:ascii="黑体" w:hAnsi="黑体" w:eastAsia="黑体" w:cs="黑体"/>
                <w:color w:val="auto"/>
                <w:sz w:val="24"/>
                <w:szCs w:val="24"/>
                <w:highlight w:val="none"/>
              </w:rPr>
              <w:t>编号）</w:t>
            </w:r>
          </w:p>
          <w:p>
            <w:pPr>
              <w:pStyle w:val="41"/>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z w:val="24"/>
                <w:szCs w:val="24"/>
                <w:highlight w:val="none"/>
                <w:lang w:val="en-US" w:eastAsia="zh-CN"/>
              </w:rPr>
              <w:t>项目名称：轮台县卫生健康委员会核酸检测实验室医疗设备采购项目）</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项目编号：XJAHZFCG-2022-006</w:t>
            </w:r>
            <w:r>
              <w:rPr>
                <w:rFonts w:hint="eastAsia" w:ascii="黑体" w:hAnsi="黑体" w:eastAsia="黑体" w:cs="黑体"/>
                <w:color w:val="auto"/>
                <w:sz w:val="24"/>
                <w:szCs w:val="24"/>
                <w:highlight w:val="none"/>
                <w:lang w:eastAsia="zh-CN"/>
              </w:rPr>
              <w:t>）</w:t>
            </w:r>
          </w:p>
          <w:p>
            <w:pPr>
              <w:spacing w:line="460" w:lineRule="exac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联系人：</w:t>
            </w:r>
            <w:r>
              <w:rPr>
                <w:rFonts w:hint="eastAsia" w:ascii="黑体" w:hAnsi="黑体" w:eastAsia="黑体" w:cs="黑体"/>
                <w:color w:val="auto"/>
                <w:sz w:val="24"/>
                <w:szCs w:val="24"/>
                <w:highlight w:val="none"/>
                <w:lang w:val="en-US" w:eastAsia="zh-CN"/>
              </w:rPr>
              <w:t>张硕</w:t>
            </w:r>
            <w:r>
              <w:rPr>
                <w:rFonts w:hint="eastAsia" w:ascii="黑体" w:hAnsi="黑体" w:eastAsia="黑体" w:cs="黑体"/>
                <w:color w:val="auto"/>
                <w:sz w:val="24"/>
                <w:szCs w:val="24"/>
                <w:highlight w:val="none"/>
              </w:rPr>
              <w:t xml:space="preserve">    联系电话：</w:t>
            </w:r>
            <w:r>
              <w:rPr>
                <w:rFonts w:hint="eastAsia" w:ascii="黑体" w:hAnsi="黑体" w:eastAsia="黑体" w:cs="黑体"/>
                <w:color w:val="auto"/>
                <w:sz w:val="24"/>
                <w:szCs w:val="24"/>
                <w:highlight w:val="none"/>
                <w:lang w:val="en-US" w:eastAsia="zh-CN"/>
              </w:rPr>
              <w:t>13667522055</w:t>
            </w:r>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保证金的退还：中标通知书发出之日起5个工作日内退还未中标人的投标保证金（未中标人须出具收到我公司退还投标保证金收据方可退还，逾期退还的后果自负），自采购合同签订之日起5个工作日内退还中标人的投标保证金。</w:t>
            </w:r>
          </w:p>
          <w:p>
            <w:pPr>
              <w:pStyle w:val="263"/>
              <w:spacing w:after="200" w:line="360" w:lineRule="auto"/>
              <w:rPr>
                <w:rFonts w:hint="eastAsia" w:ascii="黑体" w:hAnsi="黑体" w:eastAsia="黑体" w:cs="黑体"/>
                <w:color w:val="auto"/>
                <w:sz w:val="24"/>
                <w:szCs w:val="24"/>
                <w:highlight w:val="none"/>
                <w:lang w:val="en-US" w:eastAsia="zh-CN"/>
              </w:rPr>
            </w:pPr>
          </w:p>
          <w:p>
            <w:pPr>
              <w:pStyle w:val="263"/>
              <w:spacing w:after="200"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注：</w:t>
            </w:r>
            <w:r>
              <w:rPr>
                <w:rFonts w:hint="eastAsia" w:ascii="黑体" w:hAnsi="黑体" w:eastAsia="黑体" w:cs="黑体"/>
                <w:color w:val="auto"/>
                <w:kern w:val="0"/>
                <w:sz w:val="24"/>
                <w:szCs w:val="24"/>
                <w:highlight w:val="none"/>
              </w:rPr>
              <w:t>到账截止时间：</w:t>
            </w:r>
            <w:bookmarkStart w:id="15" w:name="EB961a54d590dd4901836fe4678f9cafb9"/>
            <w:bookmarkEnd w:id="15"/>
            <w:r>
              <w:rPr>
                <w:rFonts w:hint="eastAsia" w:ascii="黑体" w:hAnsi="黑体" w:eastAsia="黑体" w:cs="黑体"/>
                <w:color w:val="auto"/>
                <w:kern w:val="0"/>
                <w:sz w:val="24"/>
                <w:szCs w:val="24"/>
                <w:highlight w:val="none"/>
                <w:lang w:val="en-US" w:eastAsia="zh-CN"/>
              </w:rPr>
              <w:t>2022年06月20日下午20：00分</w:t>
            </w:r>
            <w:r>
              <w:rPr>
                <w:rFonts w:hint="eastAsia" w:ascii="黑体" w:hAnsi="黑体" w:eastAsia="黑体" w:cs="黑体"/>
                <w:color w:val="auto"/>
                <w:sz w:val="24"/>
                <w:szCs w:val="24"/>
                <w:highlight w:val="none"/>
              </w:rPr>
              <w:t>投标人应在投标截止时间前提交投标保证金，并确保投标保证金在截止时间前</w:t>
            </w:r>
            <w:r>
              <w:rPr>
                <w:rFonts w:hint="eastAsia" w:ascii="黑体" w:hAnsi="黑体" w:eastAsia="黑体" w:cs="黑体"/>
                <w:color w:val="auto"/>
                <w:sz w:val="24"/>
                <w:szCs w:val="24"/>
                <w:highlight w:val="none"/>
                <w:lang w:val="en-US" w:eastAsia="zh-CN"/>
              </w:rPr>
              <w:t>到达新疆安航工程项目管理有限公司巴州分公司</w:t>
            </w:r>
            <w:r>
              <w:rPr>
                <w:rFonts w:hint="eastAsia" w:ascii="黑体" w:hAnsi="黑体" w:eastAsia="黑体" w:cs="黑体"/>
                <w:color w:val="auto"/>
                <w:sz w:val="24"/>
                <w:szCs w:val="24"/>
                <w:highlight w:val="none"/>
              </w:rPr>
              <w:t>。</w:t>
            </w:r>
          </w:p>
          <w:p>
            <w:pPr>
              <w:pStyle w:val="263"/>
              <w:numPr>
                <w:ilvl w:val="0"/>
                <w:numId w:val="8"/>
              </w:numPr>
              <w:spacing w:after="200"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以电汇或转账形式汇缴至</w:t>
            </w:r>
            <w:r>
              <w:rPr>
                <w:rFonts w:hint="eastAsia" w:ascii="黑体" w:hAnsi="黑体" w:eastAsia="黑体" w:cs="黑体"/>
                <w:b/>
                <w:bCs/>
                <w:color w:val="auto"/>
                <w:sz w:val="24"/>
                <w:szCs w:val="24"/>
                <w:highlight w:val="none"/>
                <w:lang w:val="en-US" w:eastAsia="zh-CN"/>
              </w:rPr>
              <w:t>新疆安航工程项目管理有限公司巴州分公司</w:t>
            </w:r>
            <w:r>
              <w:rPr>
                <w:rFonts w:hint="eastAsia" w:ascii="黑体" w:hAnsi="黑体" w:eastAsia="黑体" w:cs="黑体"/>
                <w:b/>
                <w:bCs/>
                <w:color w:val="auto"/>
                <w:sz w:val="24"/>
                <w:szCs w:val="24"/>
                <w:highlight w:val="none"/>
              </w:rPr>
              <w:t>账户。</w:t>
            </w:r>
          </w:p>
          <w:p>
            <w:pPr>
              <w:pStyle w:val="263"/>
              <w:numPr>
                <w:ilvl w:val="0"/>
                <w:numId w:val="0"/>
              </w:numPr>
              <w:spacing w:after="200" w:line="360" w:lineRule="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投标保证金必须从企业法人基本存款账户缴纳至招标代理机构给定的账户并在用途栏注明项目名称，因未注明项目名称及标段造成的后果由投标单位自行承担。以个人、企业的办事处、分公司、子公司名义或从他人账户、投标人企业的其他账户缴纳的投标保证金无效。投标保证金缴纳成功后至新疆安航工程项目管理有限公司换取收据。</w:t>
            </w:r>
          </w:p>
          <w:p>
            <w:pPr>
              <w:spacing w:line="24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投标保证金必须以现金或网银转账的形式由投标人的基本账户汇出(个体工商户除外)，并汇入至</w:t>
            </w:r>
            <w:r>
              <w:rPr>
                <w:rFonts w:hint="eastAsia" w:ascii="黑体" w:hAnsi="黑体" w:eastAsia="黑体" w:cs="黑体"/>
                <w:color w:val="auto"/>
                <w:sz w:val="24"/>
                <w:szCs w:val="24"/>
                <w:highlight w:val="none"/>
                <w:lang w:eastAsia="zh-CN"/>
              </w:rPr>
              <w:t>新疆安航工程项目管理有限公司</w:t>
            </w:r>
            <w:r>
              <w:rPr>
                <w:rFonts w:hint="eastAsia" w:ascii="黑体" w:hAnsi="黑体" w:eastAsia="黑体" w:cs="黑体"/>
                <w:color w:val="auto"/>
                <w:sz w:val="24"/>
                <w:szCs w:val="24"/>
                <w:highlight w:val="none"/>
              </w:rPr>
              <w:t>指定账户。投标人不按上述以上要求提交投标保证金或投标保证金未至指定账户的投标将被拒绝。</w:t>
            </w:r>
            <w:r>
              <w:rPr>
                <w:rFonts w:hint="eastAsia" w:ascii="黑体" w:hAnsi="黑体" w:eastAsia="黑体" w:cs="黑体"/>
                <w:color w:val="auto"/>
                <w:sz w:val="24"/>
                <w:szCs w:val="24"/>
                <w:highlight w:val="none"/>
              </w:rPr>
              <w:br w:type="textWrapping"/>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投标人需自行评估因异地、跨行、公休日等因素造成的投标保证金到账延迟风险，并承担相应责任。</w:t>
            </w:r>
          </w:p>
          <w:p>
            <w:pPr>
              <w:spacing w:line="240"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投标保证金的提交以</w:t>
            </w:r>
            <w:r>
              <w:rPr>
                <w:rFonts w:hint="eastAsia" w:ascii="黑体" w:hAnsi="黑体" w:eastAsia="黑体" w:cs="黑体"/>
                <w:color w:val="auto"/>
                <w:sz w:val="24"/>
                <w:szCs w:val="24"/>
                <w:highlight w:val="none"/>
                <w:lang w:eastAsia="zh-CN"/>
              </w:rPr>
              <w:t>新疆安航工程项目管理有限公司</w:t>
            </w:r>
            <w:r>
              <w:rPr>
                <w:rFonts w:hint="eastAsia" w:ascii="黑体" w:hAnsi="黑体" w:eastAsia="黑体" w:cs="黑体"/>
                <w:color w:val="auto"/>
                <w:sz w:val="24"/>
                <w:szCs w:val="24"/>
                <w:highlight w:val="none"/>
              </w:rPr>
              <w:t>账户到账时间为准。</w:t>
            </w:r>
            <w:r>
              <w:rPr>
                <w:rFonts w:hint="eastAsia" w:ascii="黑体" w:hAnsi="黑体" w:eastAsia="黑体" w:cs="黑体"/>
                <w:color w:val="auto"/>
                <w:sz w:val="24"/>
                <w:szCs w:val="24"/>
                <w:highlight w:val="none"/>
                <w:lang w:val="en-US" w:eastAsia="zh-CN"/>
              </w:rPr>
              <w:t>  </w:t>
            </w:r>
          </w:p>
          <w:p>
            <w:pPr>
              <w:pStyle w:val="254"/>
              <w:spacing w:after="200" w:line="24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lang w:val="en-US" w:eastAsia="zh-CN"/>
              </w:rPr>
              <w:t>注：</w:t>
            </w:r>
            <w:r>
              <w:rPr>
                <w:rFonts w:hint="eastAsia" w:ascii="黑体" w:hAnsi="黑体" w:eastAsia="黑体" w:cs="黑体"/>
                <w:b/>
                <w:bCs/>
                <w:color w:val="auto"/>
                <w:sz w:val="24"/>
                <w:szCs w:val="24"/>
                <w:highlight w:val="none"/>
              </w:rPr>
              <w:t>（1）在缴纳投标保证金时需填写项目名称。（备注栏注明本项目名称，因未注明附言造成的投标保证金无法确认到账，后果投标人自负）</w:t>
            </w:r>
          </w:p>
          <w:p>
            <w:pPr>
              <w:pStyle w:val="254"/>
              <w:spacing w:after="200" w:line="240" w:lineRule="auto"/>
              <w:ind w:firstLine="482" w:firstLineChars="200"/>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（2）投标保证金缴纳只接受投标企业基本帐户对公转帐，其他以私人名义或现金缴纳等存入、汇款方式均视为无效投标保证金。</w:t>
            </w:r>
          </w:p>
          <w:p>
            <w:pPr>
              <w:pStyle w:val="254"/>
              <w:spacing w:after="200" w:line="240" w:lineRule="auto"/>
              <w:ind w:firstLine="482" w:firstLineChars="200"/>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（3）</w:t>
            </w:r>
            <w:r>
              <w:rPr>
                <w:rFonts w:hint="eastAsia" w:ascii="黑体" w:hAnsi="黑体" w:eastAsia="黑体" w:cs="黑体"/>
                <w:b/>
                <w:bCs/>
                <w:color w:val="auto"/>
                <w:sz w:val="24"/>
                <w:szCs w:val="24"/>
                <w:highlight w:val="none"/>
                <w:lang w:val="en-US" w:eastAsia="zh-CN"/>
              </w:rPr>
              <w:t>投标人</w:t>
            </w:r>
            <w:r>
              <w:rPr>
                <w:rFonts w:hint="eastAsia" w:ascii="黑体" w:hAnsi="黑体" w:eastAsia="黑体" w:cs="黑体"/>
                <w:b/>
                <w:bCs/>
                <w:color w:val="auto"/>
                <w:sz w:val="24"/>
                <w:szCs w:val="24"/>
                <w:highlight w:val="none"/>
              </w:rPr>
              <w:t>领取收据时，需携带营业执照复印件加盖公章、开户许可证复印件加盖公章，汇款凭证。到换取收据。</w:t>
            </w:r>
          </w:p>
          <w:p>
            <w:pPr>
              <w:pStyle w:val="254"/>
              <w:spacing w:after="200" w:line="24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退</w:t>
            </w:r>
            <w:r>
              <w:rPr>
                <w:rFonts w:hint="eastAsia" w:ascii="黑体" w:hAnsi="黑体" w:eastAsia="黑体" w:cs="黑体"/>
                <w:b/>
                <w:bCs/>
                <w:color w:val="auto"/>
                <w:sz w:val="24"/>
                <w:szCs w:val="24"/>
                <w:highlight w:val="none"/>
                <w:lang w:val="en-US" w:eastAsia="zh-CN"/>
              </w:rPr>
              <w:t>还</w:t>
            </w:r>
            <w:r>
              <w:rPr>
                <w:rFonts w:hint="eastAsia" w:ascii="黑体" w:hAnsi="黑体" w:eastAsia="黑体" w:cs="黑体"/>
                <w:b/>
                <w:bCs/>
                <w:color w:val="auto"/>
                <w:sz w:val="24"/>
                <w:szCs w:val="24"/>
                <w:highlight w:val="none"/>
              </w:rPr>
              <w:t>保证金流程：</w:t>
            </w:r>
          </w:p>
          <w:p>
            <w:pPr>
              <w:pStyle w:val="254"/>
              <w:numPr>
                <w:ilvl w:val="0"/>
                <w:numId w:val="9"/>
              </w:numPr>
              <w:spacing w:after="200" w:line="240" w:lineRule="auto"/>
              <w:ind w:firstLine="482" w:firstLineChars="200"/>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未中标单位： 需提供贵公司另外开具收款收据，加盖财务章，及贵公司开户许可证复印件加盖公章。</w:t>
            </w:r>
          </w:p>
          <w:p>
            <w:pPr>
              <w:pStyle w:val="254"/>
              <w:numPr>
                <w:ilvl w:val="0"/>
                <w:numId w:val="0"/>
              </w:numPr>
              <w:spacing w:after="200" w:line="240" w:lineRule="auto"/>
              <w:ind w:firstLine="482" w:firstLineChars="200"/>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lang w:eastAsia="zh-CN"/>
              </w:rPr>
              <w:t>（</w:t>
            </w:r>
            <w:r>
              <w:rPr>
                <w:rFonts w:hint="eastAsia" w:ascii="黑体" w:hAnsi="黑体" w:eastAsia="黑体" w:cs="黑体"/>
                <w:b/>
                <w:bCs/>
                <w:color w:val="auto"/>
                <w:sz w:val="24"/>
                <w:szCs w:val="24"/>
                <w:highlight w:val="none"/>
                <w:lang w:val="en-US" w:eastAsia="zh-CN"/>
              </w:rPr>
              <w:t>2</w:t>
            </w:r>
            <w:r>
              <w:rPr>
                <w:rFonts w:hint="eastAsia" w:ascii="黑体" w:hAnsi="黑体" w:eastAsia="黑体" w:cs="黑体"/>
                <w:b/>
                <w:bCs/>
                <w:color w:val="auto"/>
                <w:sz w:val="24"/>
                <w:szCs w:val="24"/>
                <w:highlight w:val="none"/>
                <w:lang w:eastAsia="zh-CN"/>
              </w:rPr>
              <w:t>）</w:t>
            </w:r>
            <w:r>
              <w:rPr>
                <w:rFonts w:hint="eastAsia" w:ascii="黑体" w:hAnsi="黑体" w:eastAsia="黑体" w:cs="黑体"/>
                <w:b/>
                <w:bCs/>
                <w:color w:val="auto"/>
                <w:sz w:val="24"/>
                <w:szCs w:val="24"/>
                <w:highlight w:val="none"/>
              </w:rPr>
              <w:t>中标单位：需提供贵公司另外开具收款收据</w:t>
            </w:r>
            <w:r>
              <w:rPr>
                <w:rFonts w:hint="eastAsia" w:ascii="黑体" w:hAnsi="黑体" w:eastAsia="黑体" w:cs="黑体"/>
                <w:b/>
                <w:bCs/>
                <w:color w:val="auto"/>
                <w:sz w:val="24"/>
                <w:szCs w:val="24"/>
                <w:highlight w:val="none"/>
                <w:lang w:eastAsia="zh-CN"/>
              </w:rPr>
              <w:t>（</w:t>
            </w:r>
            <w:r>
              <w:rPr>
                <w:rFonts w:hint="eastAsia" w:ascii="黑体" w:hAnsi="黑体" w:eastAsia="黑体" w:cs="黑体"/>
                <w:b/>
                <w:bCs/>
                <w:color w:val="auto"/>
                <w:sz w:val="24"/>
                <w:szCs w:val="24"/>
                <w:highlight w:val="none"/>
              </w:rPr>
              <w:t>加盖财务章</w:t>
            </w:r>
            <w:r>
              <w:rPr>
                <w:rFonts w:hint="eastAsia" w:ascii="黑体" w:hAnsi="黑体" w:eastAsia="黑体" w:cs="黑体"/>
                <w:b/>
                <w:bCs/>
                <w:color w:val="auto"/>
                <w:sz w:val="24"/>
                <w:szCs w:val="24"/>
                <w:highlight w:val="none"/>
                <w:lang w:eastAsia="zh-CN"/>
              </w:rPr>
              <w:t>）</w:t>
            </w:r>
            <w:r>
              <w:rPr>
                <w:rFonts w:hint="eastAsia" w:ascii="黑体" w:hAnsi="黑体" w:eastAsia="黑体" w:cs="黑体"/>
                <w:b/>
                <w:bCs/>
                <w:color w:val="auto"/>
                <w:sz w:val="24"/>
                <w:szCs w:val="24"/>
                <w:highlight w:val="none"/>
                <w:lang w:val="en-US" w:eastAsia="zh-CN"/>
              </w:rPr>
              <w:t>及政府采购合同1份</w:t>
            </w:r>
            <w:r>
              <w:rPr>
                <w:rFonts w:hint="eastAsia" w:ascii="黑体" w:hAnsi="黑体" w:eastAsia="黑体" w:cs="黑体"/>
                <w:b/>
                <w:bCs/>
                <w:color w:val="auto"/>
                <w:sz w:val="24"/>
                <w:szCs w:val="24"/>
                <w:highlight w:val="none"/>
              </w:rPr>
              <w:t>（合同原件/复印件加盖中标单位骑缝章，公章）</w:t>
            </w:r>
          </w:p>
          <w:p>
            <w:pPr>
              <w:pStyle w:val="254"/>
              <w:spacing w:line="240" w:lineRule="auto"/>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注：中标单位缴纳代理服务费，如需申请开增值税专用发票，请提供贵单位的纸质版开票信息加盖公章。所开具的专票如需备注，请在开票信息上写下备注的内容。（如不写备注要求，开具的专票有误，后果投标单位自负）</w:t>
            </w:r>
          </w:p>
          <w:p>
            <w:pPr>
              <w:pStyle w:val="17"/>
              <w:rPr>
                <w:rFonts w:hint="eastAsia" w:ascii="黑体" w:hAnsi="黑体" w:eastAsia="黑体" w:cs="黑体"/>
                <w:sz w:val="24"/>
                <w:szCs w:val="24"/>
                <w:lang w:val="en-US" w:eastAsia="zh-CN"/>
              </w:rPr>
            </w:pPr>
            <w:r>
              <w:rPr>
                <w:rFonts w:hint="eastAsia" w:ascii="黑体" w:hAnsi="黑体" w:eastAsia="黑体" w:cs="黑体"/>
                <w:b/>
                <w:bCs/>
                <w:color w:val="auto"/>
                <w:sz w:val="24"/>
                <w:szCs w:val="24"/>
                <w:highlight w:val="none"/>
              </w:rPr>
              <w:t>如需办理保证金退还及相关业务请与我单位财务部门联系。</w:t>
            </w:r>
          </w:p>
          <w:p>
            <w:pPr>
              <w:spacing w:line="460" w:lineRule="exact"/>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3" w:type="dxa"/>
            <w:vAlign w:val="center"/>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22</w:t>
            </w:r>
          </w:p>
        </w:tc>
        <w:tc>
          <w:tcPr>
            <w:tcW w:w="2440" w:type="dxa"/>
            <w:vAlign w:val="center"/>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其他可以不予退还投标保证金的情形</w:t>
            </w:r>
          </w:p>
        </w:tc>
        <w:tc>
          <w:tcPr>
            <w:tcW w:w="6893" w:type="dxa"/>
          </w:tcPr>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发生以下情况投标保证金不予退还；</w:t>
            </w:r>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（一）供应商在提交投标文件截止时间后撤回投标文件的；</w:t>
            </w:r>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（二）供应商在投标文件中提供虚假材料的；</w:t>
            </w:r>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（三）除因不可抗力或招标文件、询价通知书认可的情形以外，成交供应商不与采购人签订合同的；</w:t>
            </w:r>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（四）供应商与采购人、其他供应商或者采购代理机构恶意串通的；</w:t>
            </w:r>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（五）采购文件规定的其他情形。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23</w:t>
            </w:r>
          </w:p>
        </w:tc>
        <w:tc>
          <w:tcPr>
            <w:tcW w:w="2440" w:type="dxa"/>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资格审查资料的特殊要求</w:t>
            </w:r>
          </w:p>
        </w:tc>
        <w:tc>
          <w:tcPr>
            <w:tcW w:w="6893" w:type="dxa"/>
          </w:tcPr>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sym w:font="Wingdings" w:char="00A8"/>
            </w:r>
            <w:r>
              <w:rPr>
                <w:rFonts w:hint="eastAsia" w:ascii="黑体" w:hAnsi="黑体" w:eastAsia="黑体" w:cs="黑体"/>
                <w:color w:val="auto"/>
                <w:sz w:val="24"/>
                <w:szCs w:val="24"/>
                <w:highlight w:val="none"/>
              </w:rPr>
              <w:t>无</w:t>
            </w:r>
          </w:p>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有，具体要求：</w:t>
            </w:r>
            <w:r>
              <w:rPr>
                <w:rFonts w:hint="eastAsia" w:ascii="黑体" w:hAnsi="黑体" w:eastAsia="黑体" w:cs="黑体"/>
                <w:color w:val="auto"/>
                <w:sz w:val="24"/>
                <w:szCs w:val="24"/>
                <w:u w:val="none"/>
                <w:lang w:val="en-US" w:eastAsia="zh-CN"/>
              </w:rPr>
              <w:t>具有有效的医疗器械经营许可证供应商须具有医疗器械经营许可证</w:t>
            </w:r>
            <w:r>
              <w:rPr>
                <w:rFonts w:hint="eastAsia" w:ascii="黑体" w:hAnsi="黑体" w:eastAsia="黑体" w:cs="黑体"/>
                <w:color w:val="auto"/>
                <w:sz w:val="24"/>
                <w:szCs w:val="24"/>
                <w:u w:val="none"/>
              </w:rPr>
              <w:t>（</w:t>
            </w:r>
            <w:r>
              <w:rPr>
                <w:rFonts w:hint="eastAsia" w:ascii="黑体" w:hAnsi="黑体" w:eastAsia="黑体" w:cs="黑体"/>
                <w:color w:val="auto"/>
                <w:sz w:val="24"/>
                <w:szCs w:val="24"/>
                <w:u w:val="none"/>
                <w:lang w:val="en-US" w:eastAsia="zh-CN"/>
              </w:rPr>
              <w:t>第</w:t>
            </w:r>
            <w:r>
              <w:rPr>
                <w:rFonts w:hint="eastAsia" w:ascii="黑体" w:hAnsi="黑体" w:eastAsia="黑体" w:cs="黑体"/>
                <w:color w:val="auto"/>
                <w:sz w:val="24"/>
                <w:szCs w:val="24"/>
                <w:u w:val="none"/>
              </w:rPr>
              <w:t>二类医疗器械须提供医疗器械备案凭证）</w:t>
            </w:r>
            <w:r>
              <w:rPr>
                <w:rFonts w:hint="eastAsia" w:ascii="黑体" w:hAnsi="黑体" w:eastAsia="黑体" w:cs="黑体"/>
                <w:color w:val="auto"/>
                <w:sz w:val="24"/>
                <w:szCs w:val="24"/>
                <w:u w:val="none"/>
                <w:lang w:val="en-US" w:eastAsia="zh-CN"/>
              </w:rPr>
              <w:t>(或按照国家食品药品监督管理部门规定实行备案管理的，出具备案证明文件)；货物制造商须具备医疗器械生产许可证；货物制造商所投产品须具备医疗器械注册证（含登记表）(或按照国家食品药品监督管理部门规定实行备案管理的，出具备案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24</w:t>
            </w:r>
          </w:p>
        </w:tc>
        <w:tc>
          <w:tcPr>
            <w:tcW w:w="2440" w:type="dxa"/>
            <w:vAlign w:val="center"/>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近年财务状况的年份要求</w:t>
            </w:r>
          </w:p>
        </w:tc>
        <w:tc>
          <w:tcPr>
            <w:tcW w:w="6893" w:type="dxa"/>
            <w:vAlign w:val="center"/>
          </w:tcPr>
          <w:p>
            <w:pPr>
              <w:spacing w:line="460" w:lineRule="exact"/>
              <w:jc w:val="both"/>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供应商在人员、设备、资金等方面具备相应的履约能力，没有处于被责令停业、采购资格被取消或暂停、财产被接管、冻结、破产状态；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25</w:t>
            </w:r>
          </w:p>
        </w:tc>
        <w:tc>
          <w:tcPr>
            <w:tcW w:w="2440" w:type="dxa"/>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备选投标方案</w:t>
            </w:r>
          </w:p>
        </w:tc>
        <w:tc>
          <w:tcPr>
            <w:tcW w:w="6893" w:type="dxa"/>
          </w:tcPr>
          <w:p>
            <w:pPr>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sym w:font="Wingdings" w:char="00FE"/>
            </w:r>
            <w:r>
              <w:rPr>
                <w:rFonts w:hint="eastAsia" w:ascii="黑体" w:hAnsi="黑体" w:eastAsia="黑体" w:cs="黑体"/>
                <w:color w:val="auto"/>
                <w:sz w:val="24"/>
                <w:szCs w:val="24"/>
                <w:highlight w:val="none"/>
              </w:rPr>
              <w:t>不允许□允许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73" w:type="dxa"/>
            <w:vAlign w:val="center"/>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26</w:t>
            </w:r>
          </w:p>
        </w:tc>
        <w:tc>
          <w:tcPr>
            <w:tcW w:w="2440" w:type="dxa"/>
            <w:vAlign w:val="center"/>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投标截止时间</w:t>
            </w:r>
          </w:p>
        </w:tc>
        <w:tc>
          <w:tcPr>
            <w:tcW w:w="6893" w:type="dxa"/>
            <w:vAlign w:val="center"/>
          </w:tcPr>
          <w:p>
            <w:pPr>
              <w:spacing w:line="511" w:lineRule="exact"/>
              <w:jc w:val="both"/>
              <w:rPr>
                <w:rFonts w:hint="eastAsia"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rPr>
              <w:t>20</w:t>
            </w:r>
            <w:r>
              <w:rPr>
                <w:rFonts w:hint="eastAsia" w:ascii="黑体" w:hAnsi="黑体" w:eastAsia="黑体" w:cs="黑体"/>
                <w:color w:val="auto"/>
                <w:sz w:val="24"/>
                <w:szCs w:val="24"/>
                <w:highlight w:val="none"/>
                <w:lang w:val="en-US" w:eastAsia="zh-CN"/>
              </w:rPr>
              <w:t>22</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06</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21</w:t>
            </w:r>
            <w:r>
              <w:rPr>
                <w:rFonts w:hint="eastAsia" w:ascii="黑体" w:hAnsi="黑体" w:eastAsia="黑体" w:cs="黑体"/>
                <w:color w:val="auto"/>
                <w:sz w:val="24"/>
                <w:szCs w:val="24"/>
                <w:highlight w:val="none"/>
              </w:rPr>
              <w:t>日上午1</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0</w:t>
            </w:r>
            <w:r>
              <w:rPr>
                <w:rFonts w:hint="eastAsia" w:ascii="黑体" w:hAnsi="黑体" w:eastAsia="黑体" w:cs="黑体"/>
                <w:color w:val="auto"/>
                <w:sz w:val="24"/>
                <w:szCs w:val="24"/>
                <w:highlight w:val="none"/>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27</w:t>
            </w:r>
          </w:p>
        </w:tc>
        <w:tc>
          <w:tcPr>
            <w:tcW w:w="2440" w:type="dxa"/>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开标时间</w:t>
            </w:r>
          </w:p>
        </w:tc>
        <w:tc>
          <w:tcPr>
            <w:tcW w:w="6893" w:type="dxa"/>
          </w:tcPr>
          <w:p>
            <w:pPr>
              <w:widowControl/>
              <w:spacing w:line="511" w:lineRule="exact"/>
              <w:rPr>
                <w:rFonts w:hint="eastAsia"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rPr>
              <w:t>20</w:t>
            </w:r>
            <w:r>
              <w:rPr>
                <w:rFonts w:hint="eastAsia" w:ascii="黑体" w:hAnsi="黑体" w:eastAsia="黑体" w:cs="黑体"/>
                <w:color w:val="auto"/>
                <w:sz w:val="24"/>
                <w:szCs w:val="24"/>
                <w:highlight w:val="none"/>
                <w:lang w:val="en-US" w:eastAsia="zh-CN"/>
              </w:rPr>
              <w:t>22</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06</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21</w:t>
            </w:r>
            <w:r>
              <w:rPr>
                <w:rFonts w:hint="eastAsia" w:ascii="黑体" w:hAnsi="黑体" w:eastAsia="黑体" w:cs="黑体"/>
                <w:color w:val="auto"/>
                <w:sz w:val="24"/>
                <w:szCs w:val="24"/>
                <w:highlight w:val="none"/>
              </w:rPr>
              <w:t>日上午1</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0</w:t>
            </w:r>
            <w:r>
              <w:rPr>
                <w:rFonts w:hint="eastAsia" w:ascii="黑体" w:hAnsi="黑体" w:eastAsia="黑体" w:cs="黑体"/>
                <w:color w:val="auto"/>
                <w:sz w:val="24"/>
                <w:szCs w:val="24"/>
                <w:highlight w:val="none"/>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28</w:t>
            </w:r>
          </w:p>
        </w:tc>
        <w:tc>
          <w:tcPr>
            <w:tcW w:w="2440" w:type="dxa"/>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中标候选人公告媒介及期限</w:t>
            </w:r>
          </w:p>
        </w:tc>
        <w:tc>
          <w:tcPr>
            <w:tcW w:w="6893" w:type="dxa"/>
          </w:tcPr>
          <w:p>
            <w:pPr>
              <w:spacing w:line="511" w:lineRule="exac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公告媒介：</w:t>
            </w:r>
            <w:r>
              <w:rPr>
                <w:rFonts w:hint="eastAsia" w:ascii="黑体" w:hAnsi="黑体" w:eastAsia="黑体" w:cs="黑体"/>
                <w:color w:val="auto"/>
                <w:sz w:val="24"/>
                <w:szCs w:val="24"/>
                <w:highlight w:val="none"/>
                <w:lang w:val="en-US" w:eastAsia="zh-CN"/>
              </w:rPr>
              <w:t>新疆政府采购网</w:t>
            </w:r>
          </w:p>
          <w:p>
            <w:pPr>
              <w:spacing w:line="511"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公告期限：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3</w:t>
            </w:r>
            <w:r>
              <w:rPr>
                <w:rFonts w:hint="eastAsia" w:ascii="黑体" w:hAnsi="黑体" w:eastAsia="黑体" w:cs="黑体"/>
                <w:color w:val="auto"/>
                <w:sz w:val="24"/>
                <w:szCs w:val="24"/>
                <w:highlight w:val="none"/>
                <w:u w:val="single"/>
                <w:lang w:val="en-US"/>
              </w:rPr>
              <w:t xml:space="preserve"> </w:t>
            </w:r>
            <w:r>
              <w:rPr>
                <w:rFonts w:hint="eastAsia" w:ascii="黑体" w:hAnsi="黑体" w:eastAsia="黑体" w:cs="黑体"/>
                <w:color w:val="auto"/>
                <w:sz w:val="24"/>
                <w:szCs w:val="24"/>
                <w:highlight w:val="none"/>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73" w:type="dxa"/>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29</w:t>
            </w:r>
          </w:p>
        </w:tc>
        <w:tc>
          <w:tcPr>
            <w:tcW w:w="2440" w:type="dxa"/>
            <w:vAlign w:val="center"/>
          </w:tcPr>
          <w:p>
            <w:pPr>
              <w:overflowPunct w:val="0"/>
              <w:spacing w:line="440" w:lineRule="exact"/>
              <w:rPr>
                <w:rFonts w:hint="eastAsia" w:ascii="黑体" w:hAnsi="黑体" w:eastAsia="黑体" w:cs="黑体"/>
                <w:bCs/>
                <w:color w:val="auto"/>
                <w:sz w:val="24"/>
                <w:szCs w:val="24"/>
                <w:lang w:val="en-US" w:eastAsia="zh-CN" w:bidi="zh-CN"/>
              </w:rPr>
            </w:pPr>
            <w:r>
              <w:rPr>
                <w:rFonts w:hint="eastAsia" w:ascii="黑体" w:hAnsi="黑体" w:eastAsia="黑体" w:cs="黑体"/>
                <w:bCs/>
                <w:color w:val="auto"/>
                <w:sz w:val="24"/>
                <w:szCs w:val="24"/>
                <w:lang w:val="en-US" w:eastAsia="zh-CN"/>
              </w:rPr>
              <w:t>评审专家的确定方式</w:t>
            </w:r>
          </w:p>
        </w:tc>
        <w:tc>
          <w:tcPr>
            <w:tcW w:w="6893" w:type="dxa"/>
            <w:vAlign w:val="center"/>
          </w:tcPr>
          <w:p>
            <w:pPr>
              <w:overflowPunct w:val="0"/>
              <w:spacing w:line="440" w:lineRule="exact"/>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招标采购单位依法组建专家小组共__</w:t>
            </w:r>
            <w:r>
              <w:rPr>
                <w:rFonts w:hint="eastAsia" w:ascii="黑体" w:hAnsi="黑体" w:eastAsia="黑体" w:cs="黑体"/>
                <w:bCs/>
                <w:color w:val="auto"/>
                <w:sz w:val="24"/>
                <w:szCs w:val="24"/>
                <w:u w:val="single"/>
                <w:lang w:val="en-US" w:eastAsia="zh-CN"/>
              </w:rPr>
              <w:t xml:space="preserve">5 </w:t>
            </w:r>
            <w:r>
              <w:rPr>
                <w:rFonts w:hint="eastAsia" w:ascii="黑体" w:hAnsi="黑体" w:eastAsia="黑体" w:cs="黑体"/>
                <w:bCs/>
                <w:color w:val="auto"/>
                <w:sz w:val="24"/>
                <w:szCs w:val="24"/>
                <w:lang w:val="en-US" w:eastAsia="zh-CN"/>
              </w:rPr>
              <w:t xml:space="preserve">人组成，其中采购人代表 </w:t>
            </w:r>
            <w:r>
              <w:rPr>
                <w:rFonts w:hint="eastAsia" w:ascii="黑体" w:hAnsi="黑体" w:eastAsia="黑体" w:cs="黑体"/>
                <w:bCs/>
                <w:color w:val="auto"/>
                <w:sz w:val="24"/>
                <w:szCs w:val="24"/>
                <w:u w:val="single"/>
                <w:lang w:val="en-US" w:eastAsia="zh-CN"/>
              </w:rPr>
              <w:t xml:space="preserve"> 1  </w:t>
            </w:r>
            <w:r>
              <w:rPr>
                <w:rFonts w:hint="eastAsia" w:ascii="黑体" w:hAnsi="黑体" w:eastAsia="黑体" w:cs="黑体"/>
                <w:bCs/>
                <w:color w:val="auto"/>
                <w:sz w:val="24"/>
                <w:szCs w:val="24"/>
                <w:lang w:val="en-US" w:eastAsia="zh-CN"/>
              </w:rPr>
              <w:t>人和政采云评标专家库中抽取专家评委__4 人。</w:t>
            </w:r>
          </w:p>
          <w:p>
            <w:pPr>
              <w:overflowPunct w:val="0"/>
              <w:spacing w:line="440" w:lineRule="exact"/>
              <w:rPr>
                <w:rFonts w:hint="eastAsia" w:ascii="黑体" w:hAnsi="黑体" w:eastAsia="黑体" w:cs="黑体"/>
                <w:bCs/>
                <w:color w:val="auto"/>
                <w:sz w:val="24"/>
                <w:szCs w:val="24"/>
                <w:lang w:val="en-US" w:eastAsia="zh-CN" w:bidi="zh-CN"/>
              </w:rPr>
            </w:pPr>
            <w:r>
              <w:rPr>
                <w:rFonts w:hint="eastAsia" w:ascii="黑体" w:hAnsi="黑体" w:eastAsia="黑体" w:cs="黑体"/>
                <w:bCs/>
                <w:color w:val="auto"/>
                <w:sz w:val="24"/>
                <w:szCs w:val="24"/>
                <w:lang w:val="en-US" w:eastAsia="zh-CN"/>
              </w:rPr>
              <w:t>小组确定方式：从采购专家库中随机抽取确定。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73" w:type="dxa"/>
            <w:vAlign w:val="center"/>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30</w:t>
            </w:r>
          </w:p>
        </w:tc>
        <w:tc>
          <w:tcPr>
            <w:tcW w:w="2440" w:type="dxa"/>
            <w:vAlign w:val="center"/>
          </w:tcPr>
          <w:p>
            <w:pPr>
              <w:spacing w:line="511"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履约保证金</w:t>
            </w:r>
          </w:p>
        </w:tc>
        <w:tc>
          <w:tcPr>
            <w:tcW w:w="6893" w:type="dxa"/>
          </w:tcPr>
          <w:p>
            <w:pPr>
              <w:spacing w:line="511" w:lineRule="exac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sym w:font="Wingdings" w:char="00A8"/>
            </w:r>
            <w:r>
              <w:rPr>
                <w:rFonts w:hint="eastAsia" w:ascii="黑体" w:hAnsi="黑体" w:eastAsia="黑体" w:cs="黑体"/>
                <w:color w:val="auto"/>
                <w:sz w:val="24"/>
                <w:szCs w:val="24"/>
                <w:highlight w:val="none"/>
              </w:rPr>
              <w:t>不要求</w:t>
            </w:r>
            <w:r>
              <w:rPr>
                <w:rFonts w:hint="eastAsia" w:ascii="黑体" w:hAnsi="黑体" w:eastAsia="黑体" w:cs="黑体"/>
                <w:color w:val="auto"/>
                <w:sz w:val="24"/>
                <w:szCs w:val="24"/>
                <w:highlight w:val="none"/>
              </w:rPr>
              <w:sym w:font="Wingdings" w:char="00FE"/>
            </w:r>
            <w:r>
              <w:rPr>
                <w:rFonts w:hint="eastAsia" w:ascii="黑体" w:hAnsi="黑体" w:eastAsia="黑体" w:cs="黑体"/>
                <w:color w:val="auto"/>
                <w:sz w:val="24"/>
                <w:szCs w:val="24"/>
                <w:highlight w:val="none"/>
              </w:rPr>
              <w:t>要求。履约保证金的形式：中标供应商签订合同之日后3日内需向业主方提交合同价款10%的履约保证金。货到验收合格设备启用后退还10%履约保证金。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73" w:type="dxa"/>
            <w:vAlign w:val="center"/>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31</w:t>
            </w:r>
          </w:p>
        </w:tc>
        <w:tc>
          <w:tcPr>
            <w:tcW w:w="2440" w:type="dxa"/>
            <w:vAlign w:val="center"/>
          </w:tcPr>
          <w:p>
            <w:pPr>
              <w:adjustRightInd w:val="0"/>
              <w:snapToGrid w:val="0"/>
              <w:spacing w:line="511" w:lineRule="exact"/>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招标代理服务费</w:t>
            </w:r>
          </w:p>
        </w:tc>
        <w:tc>
          <w:tcPr>
            <w:tcW w:w="6893" w:type="dxa"/>
          </w:tcPr>
          <w:p>
            <w:pPr>
              <w:spacing w:line="400" w:lineRule="exact"/>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rPr>
              <w:t>代理服务费按发改价格［2015］229号文件收取</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lang w:val="en-US" w:eastAsia="zh-CN"/>
              </w:rPr>
              <w:t>由中标单位支付。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73" w:type="dxa"/>
            <w:vAlign w:val="center"/>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32</w:t>
            </w:r>
          </w:p>
        </w:tc>
        <w:tc>
          <w:tcPr>
            <w:tcW w:w="2440" w:type="dxa"/>
            <w:vAlign w:val="center"/>
          </w:tcPr>
          <w:p>
            <w:pPr>
              <w:overflowPunct w:val="0"/>
              <w:spacing w:line="440" w:lineRule="exact"/>
              <w:jc w:val="left"/>
              <w:rPr>
                <w:rFonts w:hint="eastAsia" w:ascii="黑体" w:hAnsi="黑体" w:eastAsia="黑体" w:cs="黑体"/>
                <w:bCs/>
                <w:sz w:val="24"/>
                <w:szCs w:val="24"/>
                <w:lang w:val="en-US" w:eastAsia="zh-CN" w:bidi="zh-CN"/>
              </w:rPr>
            </w:pPr>
            <w:r>
              <w:rPr>
                <w:rFonts w:hint="eastAsia" w:ascii="黑体" w:hAnsi="黑体" w:eastAsia="黑体" w:cs="黑体"/>
                <w:bCs/>
                <w:sz w:val="24"/>
                <w:szCs w:val="24"/>
                <w:lang w:val="en-US" w:eastAsia="zh-CN"/>
              </w:rPr>
              <w:t>低于成本价不正当竞争预防措施</w:t>
            </w:r>
          </w:p>
        </w:tc>
        <w:tc>
          <w:tcPr>
            <w:tcW w:w="6893" w:type="dxa"/>
            <w:vAlign w:val="center"/>
          </w:tcPr>
          <w:p>
            <w:pPr>
              <w:overflowPunct w:val="0"/>
              <w:spacing w:line="440" w:lineRule="exact"/>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overflowPunct w:val="0"/>
              <w:spacing w:line="440" w:lineRule="exact"/>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overflowPunct w:val="0"/>
              <w:spacing w:line="440" w:lineRule="exact"/>
              <w:rPr>
                <w:rFonts w:hint="eastAsia" w:ascii="黑体" w:hAnsi="黑体" w:eastAsia="黑体" w:cs="黑体"/>
                <w:bCs/>
                <w:color w:val="auto"/>
                <w:sz w:val="24"/>
                <w:szCs w:val="24"/>
                <w:lang w:val="en-US" w:eastAsia="zh-CN" w:bidi="zh-CN"/>
              </w:rPr>
            </w:pPr>
            <w:r>
              <w:rPr>
                <w:rFonts w:hint="eastAsia" w:ascii="黑体" w:hAnsi="黑体" w:eastAsia="黑体" w:cs="黑体"/>
                <w:bCs/>
                <w:color w:val="auto"/>
                <w:sz w:val="24"/>
                <w:szCs w:val="24"/>
                <w:lang w:val="en-US" w:eastAsia="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73" w:type="dxa"/>
            <w:vAlign w:val="center"/>
          </w:tcPr>
          <w:p>
            <w:pPr>
              <w:spacing w:line="511"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33</w:t>
            </w:r>
          </w:p>
        </w:tc>
        <w:tc>
          <w:tcPr>
            <w:tcW w:w="2440" w:type="dxa"/>
            <w:vAlign w:val="center"/>
          </w:tcPr>
          <w:p>
            <w:pPr>
              <w:overflowPunct w:val="0"/>
              <w:spacing w:line="440" w:lineRule="exact"/>
              <w:jc w:val="left"/>
              <w:rPr>
                <w:rFonts w:hint="eastAsia" w:ascii="黑体" w:hAnsi="黑体" w:eastAsia="黑体" w:cs="黑体"/>
                <w:bCs/>
                <w:color w:val="auto"/>
                <w:sz w:val="24"/>
                <w:szCs w:val="24"/>
                <w:highlight w:val="none"/>
                <w:lang w:val="en-US" w:eastAsia="zh-CN"/>
              </w:rPr>
            </w:pPr>
            <w:r>
              <w:rPr>
                <w:rFonts w:hint="eastAsia" w:ascii="黑体" w:hAnsi="黑体" w:eastAsia="黑体" w:cs="黑体"/>
                <w:bCs/>
                <w:sz w:val="24"/>
                <w:szCs w:val="24"/>
                <w:lang w:val="en-US" w:eastAsia="zh-CN"/>
              </w:rPr>
              <w:t>政府采购政策支持</w:t>
            </w:r>
          </w:p>
        </w:tc>
        <w:tc>
          <w:tcPr>
            <w:tcW w:w="6893" w:type="dxa"/>
            <w:vAlign w:val="top"/>
          </w:tcPr>
          <w:p>
            <w:pPr>
              <w:overflowPunct w:val="0"/>
              <w:spacing w:line="440" w:lineRule="exact"/>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1、本项目为非专门面向中小企业（含中型、小型、微型企业）采购项目，根据《政府采购促进中小企业发展暂行办法》（财库[2011]181号）的规定，评标时将给予此类企业进行价格6%的优惠，监狱企业、残疾人福利性单位视同为小微企业，用优惠后的价格参与评审。</w:t>
            </w:r>
          </w:p>
          <w:p>
            <w:pPr>
              <w:overflowPunct w:val="0"/>
              <w:spacing w:line="440" w:lineRule="exact"/>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2、政府采购强制采购：标记★符号的节能产品：符合《节能产品政府采购清单》(最新一期)目录内的强制采购节能产品。</w:t>
            </w:r>
          </w:p>
          <w:p>
            <w:pPr>
              <w:overflowPunct w:val="0"/>
              <w:spacing w:line="440" w:lineRule="exact"/>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3、政府采购优先采购：(1)非标记★符号的节能产品；(2)环境标志产品；采购产品为《节能产品政府采购清单》(最新一期) 内非标记★符号的节能产品及《环境标志产品政府采购清单》(最新一期)内的产品：</w:t>
            </w:r>
          </w:p>
          <w:p>
            <w:pPr>
              <w:overflowPunct w:val="0"/>
              <w:spacing w:line="440" w:lineRule="exact"/>
              <w:rPr>
                <w:rFonts w:hint="eastAsia" w:ascii="黑体" w:hAnsi="黑体" w:eastAsia="黑体" w:cs="黑体"/>
                <w:color w:val="auto"/>
                <w:sz w:val="24"/>
                <w:szCs w:val="24"/>
                <w:highlight w:val="none"/>
              </w:rPr>
            </w:pPr>
            <w:r>
              <w:rPr>
                <w:rFonts w:hint="eastAsia" w:ascii="黑体" w:hAnsi="黑体" w:eastAsia="黑体" w:cs="黑体"/>
                <w:bCs/>
                <w:color w:val="auto"/>
                <w:sz w:val="24"/>
                <w:szCs w:val="24"/>
                <w:lang w:val="en-US" w:eastAsia="zh-CN"/>
              </w:rPr>
              <w:t>1、投标文件中对所供产品为节能、环境标志产品清单中的产品，在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折扣优惠。</w:t>
            </w:r>
          </w:p>
        </w:tc>
      </w:tr>
    </w:tbl>
    <w:p>
      <w:pPr>
        <w:spacing w:line="511" w:lineRule="exact"/>
        <w:rPr>
          <w:rFonts w:hint="eastAsia" w:ascii="黑体" w:hAnsi="黑体" w:eastAsia="黑体" w:cs="黑体"/>
          <w:color w:val="auto"/>
          <w:sz w:val="24"/>
          <w:highlight w:val="none"/>
        </w:rPr>
        <w:sectPr>
          <w:footerReference r:id="rId5" w:type="default"/>
          <w:pgSz w:w="11910" w:h="16850"/>
          <w:pgMar w:top="1440" w:right="1080" w:bottom="1440" w:left="1080" w:header="877" w:footer="1068" w:gutter="0"/>
          <w:pgNumType w:start="1"/>
          <w:cols w:space="720" w:num="1"/>
        </w:sectPr>
      </w:pPr>
    </w:p>
    <w:p>
      <w:pPr>
        <w:pStyle w:val="5"/>
        <w:spacing w:line="511" w:lineRule="exact"/>
        <w:jc w:val="center"/>
        <w:rPr>
          <w:rFonts w:hint="eastAsia" w:ascii="黑体" w:hAnsi="黑体" w:eastAsia="黑体" w:cs="黑体"/>
          <w:b/>
          <w:color w:val="auto"/>
          <w:highlight w:val="none"/>
        </w:rPr>
      </w:pPr>
      <w:bookmarkStart w:id="16" w:name="_bookmark2"/>
      <w:bookmarkEnd w:id="16"/>
      <w:bookmarkStart w:id="17" w:name="第三章_投标供应商须知"/>
      <w:bookmarkEnd w:id="17"/>
      <w:bookmarkStart w:id="18" w:name="_Toc19953"/>
      <w:r>
        <w:rPr>
          <w:rFonts w:hint="eastAsia" w:ascii="黑体" w:hAnsi="黑体" w:eastAsia="黑体" w:cs="黑体"/>
          <w:b/>
          <w:color w:val="auto"/>
          <w:highlight w:val="none"/>
        </w:rPr>
        <w:t>第三章 投标供应商须知</w:t>
      </w:r>
      <w:bookmarkEnd w:id="18"/>
    </w:p>
    <w:p>
      <w:pPr>
        <w:pStyle w:val="6"/>
        <w:tabs>
          <w:tab w:val="left" w:pos="1406"/>
        </w:tabs>
        <w:spacing w:before="139" w:line="511" w:lineRule="exact"/>
        <w:ind w:right="716"/>
        <w:rPr>
          <w:rFonts w:hint="eastAsia" w:ascii="黑体" w:hAnsi="黑体" w:eastAsia="黑体" w:cs="黑体"/>
          <w:b/>
          <w:bCs/>
          <w:color w:val="auto"/>
          <w:sz w:val="40"/>
          <w:szCs w:val="40"/>
          <w:highlight w:val="none"/>
        </w:rPr>
      </w:pPr>
      <w:bookmarkStart w:id="19" w:name="_bookmark3"/>
      <w:bookmarkEnd w:id="19"/>
      <w:bookmarkStart w:id="20" w:name="一．总____则"/>
      <w:bookmarkEnd w:id="20"/>
      <w:r>
        <w:rPr>
          <w:rFonts w:hint="eastAsia" w:ascii="黑体" w:hAnsi="黑体" w:eastAsia="黑体" w:cs="黑体"/>
          <w:b/>
          <w:bCs/>
          <w:color w:val="auto"/>
          <w:sz w:val="40"/>
          <w:szCs w:val="40"/>
          <w:highlight w:val="none"/>
        </w:rPr>
        <w:t>一．总</w:t>
      </w:r>
      <w:r>
        <w:rPr>
          <w:rFonts w:hint="eastAsia" w:ascii="黑体" w:hAnsi="黑体" w:eastAsia="黑体" w:cs="黑体"/>
          <w:b/>
          <w:bCs/>
          <w:color w:val="auto"/>
          <w:sz w:val="40"/>
          <w:szCs w:val="40"/>
          <w:highlight w:val="none"/>
        </w:rPr>
        <w:tab/>
      </w:r>
      <w:r>
        <w:rPr>
          <w:rFonts w:hint="eastAsia" w:ascii="黑体" w:hAnsi="黑体" w:eastAsia="黑体" w:cs="黑体"/>
          <w:b/>
          <w:bCs/>
          <w:color w:val="auto"/>
          <w:sz w:val="40"/>
          <w:szCs w:val="40"/>
          <w:highlight w:val="none"/>
        </w:rPr>
        <w:t>则</w:t>
      </w:r>
    </w:p>
    <w:p>
      <w:pPr>
        <w:pStyle w:val="54"/>
        <w:numPr>
          <w:ilvl w:val="0"/>
          <w:numId w:val="10"/>
        </w:numPr>
        <w:spacing w:before="66"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适用范围</w:t>
      </w:r>
    </w:p>
    <w:p>
      <w:pPr>
        <w:pStyle w:val="19"/>
        <w:numPr>
          <w:ilvl w:val="1"/>
          <w:numId w:val="10"/>
        </w:numPr>
        <w:spacing w:line="360" w:lineRule="auto"/>
        <w:rPr>
          <w:rFonts w:hint="eastAsia" w:ascii="黑体" w:hAnsi="黑体" w:eastAsia="黑体" w:cs="黑体"/>
          <w:color w:val="auto"/>
          <w:highlight w:val="none"/>
        </w:rPr>
      </w:pPr>
      <w:r>
        <w:rPr>
          <w:rFonts w:hint="eastAsia" w:ascii="黑体" w:hAnsi="黑体" w:eastAsia="黑体" w:cs="黑体"/>
          <w:color w:val="auto"/>
          <w:highlight w:val="none"/>
        </w:rPr>
        <w:t>本招标文件仅适用于本次公开招标所述的货物项目采购。</w:t>
      </w:r>
    </w:p>
    <w:p>
      <w:pPr>
        <w:pStyle w:val="54"/>
        <w:numPr>
          <w:ilvl w:val="0"/>
          <w:numId w:val="10"/>
        </w:numPr>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有关定义</w:t>
      </w:r>
    </w:p>
    <w:p>
      <w:pPr>
        <w:pStyle w:val="54"/>
        <w:numPr>
          <w:ilvl w:val="1"/>
          <w:numId w:val="11"/>
        </w:numPr>
        <w:tabs>
          <w:tab w:val="left" w:pos="1374"/>
        </w:tabs>
        <w:spacing w:line="360" w:lineRule="auto"/>
        <w:ind w:left="567" w:right="220" w:rightChars="100" w:firstLine="471"/>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采购人：系指本次采购项目的业主方。</w:t>
      </w:r>
    </w:p>
    <w:p>
      <w:pPr>
        <w:pStyle w:val="54"/>
        <w:numPr>
          <w:ilvl w:val="1"/>
          <w:numId w:val="11"/>
        </w:numPr>
        <w:tabs>
          <w:tab w:val="left" w:pos="1374"/>
        </w:tabs>
        <w:spacing w:line="360" w:lineRule="auto"/>
        <w:ind w:left="567" w:right="220" w:rightChars="100" w:firstLine="471"/>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委托人：系指本次采购项目的委托方。</w:t>
      </w:r>
    </w:p>
    <w:p>
      <w:pPr>
        <w:pStyle w:val="54"/>
        <w:numPr>
          <w:ilvl w:val="1"/>
          <w:numId w:val="11"/>
        </w:numPr>
        <w:tabs>
          <w:tab w:val="left" w:pos="1374"/>
        </w:tabs>
        <w:spacing w:line="360" w:lineRule="auto"/>
        <w:ind w:left="567" w:right="220" w:rightChars="100" w:firstLine="471"/>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采购机构：系指</w:t>
      </w:r>
      <w:r>
        <w:rPr>
          <w:rFonts w:hint="eastAsia" w:ascii="黑体" w:hAnsi="黑体" w:eastAsia="黑体" w:cs="黑体"/>
          <w:color w:val="auto"/>
          <w:spacing w:val="-12"/>
          <w:sz w:val="24"/>
          <w:szCs w:val="24"/>
          <w:highlight w:val="none"/>
          <w:lang w:eastAsia="zh-CN"/>
        </w:rPr>
        <w:t>新疆安航工程项目管理有限公司</w:t>
      </w:r>
      <w:r>
        <w:rPr>
          <w:rFonts w:hint="eastAsia" w:ascii="黑体" w:hAnsi="黑体" w:eastAsia="黑体" w:cs="黑体"/>
          <w:color w:val="auto"/>
          <w:spacing w:val="-12"/>
          <w:sz w:val="24"/>
          <w:szCs w:val="24"/>
          <w:highlight w:val="none"/>
        </w:rPr>
        <w:t>。</w:t>
      </w:r>
    </w:p>
    <w:p>
      <w:pPr>
        <w:pStyle w:val="54"/>
        <w:numPr>
          <w:ilvl w:val="1"/>
          <w:numId w:val="11"/>
        </w:numPr>
        <w:tabs>
          <w:tab w:val="left" w:pos="1374"/>
        </w:tabs>
        <w:spacing w:line="360" w:lineRule="auto"/>
        <w:ind w:left="567" w:right="220" w:rightChars="100" w:firstLine="471"/>
        <w:jc w:val="both"/>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投标供应商：系指响应招标、参加投标竞争的法人、其他组织或自然人。分支机构不得参加政府采购活动。</w:t>
      </w:r>
    </w:p>
    <w:p>
      <w:pPr>
        <w:pStyle w:val="54"/>
        <w:numPr>
          <w:ilvl w:val="1"/>
          <w:numId w:val="11"/>
        </w:numPr>
        <w:tabs>
          <w:tab w:val="left" w:pos="1374"/>
        </w:tabs>
        <w:spacing w:line="360" w:lineRule="auto"/>
        <w:ind w:left="567" w:right="220" w:rightChars="100" w:firstLine="471"/>
        <w:jc w:val="both"/>
        <w:rPr>
          <w:rFonts w:hint="eastAsia" w:ascii="黑体" w:hAnsi="黑体" w:eastAsia="黑体" w:cs="黑体"/>
          <w:color w:val="auto"/>
          <w:sz w:val="24"/>
          <w:szCs w:val="24"/>
          <w:highlight w:val="none"/>
        </w:rPr>
      </w:pPr>
      <w:r>
        <w:rPr>
          <w:rFonts w:hint="eastAsia" w:ascii="黑体" w:hAnsi="黑体" w:eastAsia="黑体" w:cs="黑体"/>
          <w:color w:val="auto"/>
          <w:spacing w:val="-12"/>
          <w:sz w:val="24"/>
          <w:szCs w:val="24"/>
          <w:highlight w:val="none"/>
        </w:rPr>
        <w:t>服务：系指除货物和工程以外的其他政府采购对象，包括咨询、调研、评估、规划、设计、监理、审计、保险、租赁、印刷、维修、物业管理等。</w:t>
      </w:r>
    </w:p>
    <w:p>
      <w:pPr>
        <w:pStyle w:val="54"/>
        <w:numPr>
          <w:ilvl w:val="1"/>
          <w:numId w:val="11"/>
        </w:numPr>
        <w:tabs>
          <w:tab w:val="left" w:pos="1374"/>
        </w:tabs>
        <w:spacing w:line="360" w:lineRule="auto"/>
        <w:ind w:left="567" w:right="220" w:rightChars="100"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本招标文件所要求的证书、认证、资质，均应当是有权机构颁发，且在有效期内的。</w:t>
      </w:r>
    </w:p>
    <w:p>
      <w:pPr>
        <w:pStyle w:val="54"/>
        <w:numPr>
          <w:ilvl w:val="1"/>
          <w:numId w:val="11"/>
        </w:numPr>
        <w:tabs>
          <w:tab w:val="left" w:pos="1383"/>
          <w:tab w:val="left" w:pos="1434"/>
        </w:tabs>
        <w:spacing w:before="5" w:line="360" w:lineRule="auto"/>
        <w:ind w:right="1239" w:firstLine="480"/>
        <w:jc w:val="both"/>
        <w:rPr>
          <w:rFonts w:hint="eastAsia" w:ascii="黑体" w:hAnsi="黑体" w:eastAsia="黑体" w:cs="黑体"/>
          <w:color w:val="auto"/>
          <w:spacing w:val="-10"/>
          <w:sz w:val="24"/>
          <w:szCs w:val="24"/>
          <w:highlight w:val="none"/>
        </w:rPr>
      </w:pPr>
      <w:r>
        <w:rPr>
          <w:rFonts w:hint="eastAsia" w:ascii="黑体" w:hAnsi="黑体" w:eastAsia="黑体" w:cs="黑体"/>
          <w:color w:val="auto"/>
          <w:w w:val="105"/>
          <w:sz w:val="24"/>
          <w:szCs w:val="24"/>
          <w:highlight w:val="none"/>
        </w:rPr>
        <w:t>时限（年份、月份等）</w:t>
      </w:r>
      <w:r>
        <w:rPr>
          <w:rFonts w:hint="eastAsia" w:ascii="黑体" w:hAnsi="黑体" w:eastAsia="黑体" w:cs="黑体"/>
          <w:color w:val="auto"/>
          <w:spacing w:val="1"/>
          <w:w w:val="105"/>
          <w:sz w:val="24"/>
          <w:szCs w:val="24"/>
          <w:highlight w:val="none"/>
        </w:rPr>
        <w:t>计算：系指从开标之日向前追溯</w:t>
      </w:r>
      <w:r>
        <w:rPr>
          <w:rFonts w:hint="eastAsia" w:ascii="黑体" w:hAnsi="黑体" w:eastAsia="黑体" w:cs="黑体"/>
          <w:color w:val="auto"/>
          <w:sz w:val="24"/>
          <w:szCs w:val="24"/>
          <w:highlight w:val="none"/>
        </w:rPr>
        <w:t>。</w:t>
      </w:r>
    </w:p>
    <w:p>
      <w:pPr>
        <w:pStyle w:val="54"/>
        <w:numPr>
          <w:ilvl w:val="1"/>
          <w:numId w:val="11"/>
        </w:numPr>
        <w:tabs>
          <w:tab w:val="left" w:pos="1383"/>
        </w:tabs>
        <w:spacing w:line="360" w:lineRule="auto"/>
        <w:ind w:left="567" w:right="220" w:rightChars="100"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业绩：除非本招标文件另有规定，业绩系指符合本招标文件规定且已服务完毕的或与最终用户签订的合同及招标文件要求的相关证明。仅对投标企业业绩予以认可。</w:t>
      </w:r>
    </w:p>
    <w:p>
      <w:pPr>
        <w:pStyle w:val="54"/>
        <w:numPr>
          <w:ilvl w:val="0"/>
          <w:numId w:val="10"/>
        </w:numPr>
        <w:spacing w:before="66"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投标费用</w:t>
      </w:r>
    </w:p>
    <w:p>
      <w:pPr>
        <w:pStyle w:val="19"/>
        <w:numPr>
          <w:ilvl w:val="1"/>
          <w:numId w:val="10"/>
        </w:numPr>
        <w:spacing w:line="360" w:lineRule="auto"/>
        <w:ind w:left="567" w:right="220" w:rightChars="100" w:firstLine="471"/>
        <w:rPr>
          <w:rFonts w:hint="eastAsia" w:ascii="黑体" w:hAnsi="黑体" w:eastAsia="黑体" w:cs="黑体"/>
          <w:color w:val="auto"/>
          <w:highlight w:val="none"/>
        </w:rPr>
      </w:pPr>
      <w:r>
        <w:rPr>
          <w:rFonts w:hint="eastAsia" w:ascii="黑体" w:hAnsi="黑体" w:eastAsia="黑体" w:cs="黑体"/>
          <w:color w:val="auto"/>
          <w:highlight w:val="none"/>
        </w:rPr>
        <w:t>无论投标结果如何，投标供应商应自行承担其编制与递交投标文件所涉及的一切费用。</w:t>
      </w:r>
    </w:p>
    <w:p>
      <w:pPr>
        <w:pStyle w:val="54"/>
        <w:numPr>
          <w:ilvl w:val="0"/>
          <w:numId w:val="10"/>
        </w:numPr>
        <w:spacing w:before="66"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合格的投标供应商</w:t>
      </w:r>
    </w:p>
    <w:p>
      <w:pPr>
        <w:pStyle w:val="54"/>
        <w:numPr>
          <w:ilvl w:val="1"/>
          <w:numId w:val="10"/>
        </w:numPr>
        <w:tabs>
          <w:tab w:val="left" w:pos="1383"/>
        </w:tabs>
        <w:spacing w:line="360" w:lineRule="auto"/>
        <w:ind w:right="220" w:rightChars="1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合格的投标供应商应符合招标文件载明的投标资格。</w:t>
      </w:r>
    </w:p>
    <w:p>
      <w:pPr>
        <w:pStyle w:val="54"/>
        <w:numPr>
          <w:ilvl w:val="1"/>
          <w:numId w:val="10"/>
        </w:numPr>
        <w:tabs>
          <w:tab w:val="left" w:pos="1383"/>
        </w:tabs>
        <w:spacing w:line="360" w:lineRule="auto"/>
        <w:ind w:right="220" w:rightChars="1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本招标文件仅对投标企业主体的业绩、获得荣誉等证明材料予以认可。</w:t>
      </w:r>
    </w:p>
    <w:p>
      <w:pPr>
        <w:pStyle w:val="54"/>
        <w:numPr>
          <w:ilvl w:val="1"/>
          <w:numId w:val="10"/>
        </w:numPr>
        <w:tabs>
          <w:tab w:val="left" w:pos="1383"/>
        </w:tabs>
        <w:spacing w:line="360" w:lineRule="auto"/>
        <w:ind w:right="220" w:rightChars="100"/>
        <w:rPr>
          <w:rFonts w:hint="eastAsia" w:ascii="黑体" w:hAnsi="黑体" w:eastAsia="黑体" w:cs="黑体"/>
          <w:color w:val="auto"/>
          <w:sz w:val="24"/>
          <w:szCs w:val="24"/>
          <w:highlight w:val="none"/>
        </w:rPr>
      </w:pPr>
      <w:r>
        <w:rPr>
          <w:rFonts w:hint="eastAsia" w:ascii="黑体" w:hAnsi="黑体" w:eastAsia="黑体" w:cs="黑体"/>
          <w:color w:val="auto"/>
          <w:spacing w:val="-5"/>
          <w:sz w:val="24"/>
          <w:szCs w:val="24"/>
          <w:highlight w:val="none"/>
        </w:rPr>
        <w:t>单位负责人为同一人或者存在直接控股、管理关系的不同供应商，不得参加同一合</w:t>
      </w:r>
      <w:r>
        <w:rPr>
          <w:rFonts w:hint="eastAsia" w:ascii="黑体" w:hAnsi="黑体" w:eastAsia="黑体" w:cs="黑体"/>
          <w:color w:val="auto"/>
          <w:sz w:val="24"/>
          <w:szCs w:val="24"/>
          <w:highlight w:val="none"/>
        </w:rPr>
        <w:t>同项下的政府采购活动。</w:t>
      </w:r>
    </w:p>
    <w:p>
      <w:pPr>
        <w:pStyle w:val="54"/>
        <w:numPr>
          <w:ilvl w:val="1"/>
          <w:numId w:val="10"/>
        </w:numPr>
        <w:tabs>
          <w:tab w:val="left" w:pos="1383"/>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pacing w:val="-12"/>
          <w:sz w:val="24"/>
          <w:szCs w:val="24"/>
          <w:highlight w:val="none"/>
        </w:rPr>
        <w:t>除单一来源采购项目外，为采购项目提供整体设计、规范编制或者项目管理、监理、检测等服务的供应商，不得再参加该采购项目的其他采购活动。</w:t>
      </w:r>
    </w:p>
    <w:p>
      <w:pPr>
        <w:pStyle w:val="224"/>
        <w:spacing w:line="360" w:lineRule="auto"/>
        <w:ind w:firstLine="480" w:firstLineChars="200"/>
        <w:rPr>
          <w:rFonts w:hint="eastAsia" w:ascii="黑体" w:hAnsi="黑体" w:eastAsia="黑体" w:cs="黑体"/>
          <w:b w:val="0"/>
          <w:bCs/>
          <w:color w:val="auto"/>
          <w:sz w:val="24"/>
          <w:szCs w:val="22"/>
          <w:highlight w:val="none"/>
        </w:rPr>
      </w:pPr>
      <w:r>
        <w:rPr>
          <w:rFonts w:hint="eastAsia" w:ascii="黑体" w:hAnsi="黑体" w:eastAsia="黑体" w:cs="黑体"/>
          <w:b w:val="0"/>
          <w:bCs/>
          <w:color w:val="auto"/>
          <w:sz w:val="24"/>
          <w:szCs w:val="22"/>
          <w:highlight w:val="none"/>
          <w:lang w:val="en-US" w:eastAsia="zh-CN"/>
        </w:rPr>
        <w:t>5、</w:t>
      </w:r>
      <w:r>
        <w:rPr>
          <w:rFonts w:hint="eastAsia" w:ascii="黑体" w:hAnsi="黑体" w:eastAsia="黑体" w:cs="黑体"/>
          <w:b w:val="0"/>
          <w:bCs/>
          <w:color w:val="auto"/>
          <w:sz w:val="24"/>
          <w:szCs w:val="22"/>
          <w:highlight w:val="none"/>
        </w:rPr>
        <w:t>纪律</w:t>
      </w:r>
    </w:p>
    <w:p>
      <w:pPr>
        <w:pStyle w:val="54"/>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line="360" w:lineRule="auto"/>
        <w:ind w:left="567" w:leftChars="0" w:right="567" w:rightChars="0" w:firstLine="177" w:firstLineChars="82"/>
        <w:jc w:val="both"/>
        <w:textAlignment w:val="auto"/>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5.1 投标人的投标行为应遵守中国的有关法律、法规和规章。</w:t>
      </w:r>
    </w:p>
    <w:p>
      <w:pPr>
        <w:pStyle w:val="54"/>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line="360" w:lineRule="auto"/>
        <w:ind w:left="567" w:leftChars="0" w:right="567" w:rightChars="0" w:firstLine="177" w:firstLineChars="82"/>
        <w:jc w:val="both"/>
        <w:textAlignment w:val="auto"/>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pPr>
        <w:pStyle w:val="54"/>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line="360" w:lineRule="auto"/>
        <w:ind w:left="567" w:leftChars="0" w:right="567" w:rightChars="0" w:firstLine="177" w:firstLineChars="82"/>
        <w:jc w:val="both"/>
        <w:textAlignment w:val="auto"/>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5.2.1 有下列情形之一的，属于投标人相互串通投标：</w:t>
      </w:r>
    </w:p>
    <w:p>
      <w:pPr>
        <w:pStyle w:val="54"/>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line="360" w:lineRule="auto"/>
        <w:ind w:left="567" w:leftChars="0" w:right="567" w:rightChars="0" w:firstLine="177" w:firstLineChars="82"/>
        <w:jc w:val="both"/>
        <w:textAlignment w:val="auto"/>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5.2.1.1 投标人之间协商投标报价等投标文件的实质性内容；</w:t>
      </w:r>
    </w:p>
    <w:p>
      <w:pPr>
        <w:pStyle w:val="54"/>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line="360" w:lineRule="auto"/>
        <w:ind w:left="567" w:leftChars="0" w:right="567" w:rightChars="0" w:firstLine="177" w:firstLineChars="82"/>
        <w:jc w:val="both"/>
        <w:textAlignment w:val="auto"/>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5.2.1.2 投标人之间约定中标人；</w:t>
      </w:r>
    </w:p>
    <w:p>
      <w:pPr>
        <w:pStyle w:val="54"/>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line="360" w:lineRule="auto"/>
        <w:ind w:left="567" w:leftChars="0" w:right="567" w:rightChars="0" w:firstLine="177" w:firstLineChars="82"/>
        <w:jc w:val="both"/>
        <w:textAlignment w:val="auto"/>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5.2.1.3 投标人之间约定部分投标人放弃投标或者中标；</w:t>
      </w:r>
    </w:p>
    <w:p>
      <w:pPr>
        <w:pStyle w:val="54"/>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line="360" w:lineRule="auto"/>
        <w:ind w:left="567" w:leftChars="0" w:right="567" w:rightChars="0" w:firstLine="177" w:firstLineChars="82"/>
        <w:jc w:val="both"/>
        <w:textAlignment w:val="auto"/>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5.2.1.4 属于同一集团、协会、商会等组织成员的投标人按照该组织要求协同投标；</w:t>
      </w:r>
    </w:p>
    <w:p>
      <w:pPr>
        <w:pStyle w:val="54"/>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line="360" w:lineRule="auto"/>
        <w:ind w:left="567" w:leftChars="0" w:right="567" w:rightChars="0" w:firstLine="177" w:firstLineChars="82"/>
        <w:jc w:val="both"/>
        <w:textAlignment w:val="auto"/>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5.2.1.5 投标人之间为谋取中标或者排斥特定投标人而采取的其他联合行动。</w:t>
      </w:r>
    </w:p>
    <w:p>
      <w:pPr>
        <w:pStyle w:val="54"/>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line="360" w:lineRule="auto"/>
        <w:ind w:left="567" w:leftChars="0" w:right="567" w:rightChars="0" w:firstLine="177" w:firstLineChars="82"/>
        <w:jc w:val="both"/>
        <w:textAlignment w:val="auto"/>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5.2.2 有下列情形之一的，视为投标人相互串通投标：</w:t>
      </w:r>
    </w:p>
    <w:p>
      <w:pPr>
        <w:pStyle w:val="54"/>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line="360" w:lineRule="auto"/>
        <w:ind w:left="567" w:leftChars="0" w:right="567" w:rightChars="0" w:firstLine="177" w:firstLineChars="82"/>
        <w:jc w:val="both"/>
        <w:textAlignment w:val="auto"/>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5.2.2.1 不同投标人的投标文件由同一单位或者个人编制；</w:t>
      </w:r>
    </w:p>
    <w:p>
      <w:pPr>
        <w:pStyle w:val="54"/>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line="360" w:lineRule="auto"/>
        <w:ind w:left="567" w:leftChars="0" w:right="567" w:rightChars="0" w:firstLine="177" w:firstLineChars="82"/>
        <w:jc w:val="both"/>
        <w:textAlignment w:val="auto"/>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5.2.2.2不同投标人的投标文件载明的项目管理成员为同一人；</w:t>
      </w:r>
    </w:p>
    <w:p>
      <w:pPr>
        <w:pStyle w:val="54"/>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line="360" w:lineRule="auto"/>
        <w:ind w:left="567" w:leftChars="0" w:right="567" w:rightChars="0" w:firstLine="177" w:firstLineChars="82"/>
        <w:jc w:val="both"/>
        <w:textAlignment w:val="auto"/>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5.2.2.3 不同投标人的投标文件异常一致或者投标报价呈规律性差异；</w:t>
      </w:r>
    </w:p>
    <w:p>
      <w:pPr>
        <w:pStyle w:val="54"/>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line="360" w:lineRule="auto"/>
        <w:ind w:left="567" w:leftChars="0" w:right="567" w:rightChars="0" w:firstLine="177" w:firstLineChars="82"/>
        <w:jc w:val="both"/>
        <w:textAlignment w:val="auto"/>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5.2.2.4 不同投标人的投标文件相互混装；</w:t>
      </w:r>
    </w:p>
    <w:p>
      <w:pPr>
        <w:pStyle w:val="54"/>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line="360" w:lineRule="auto"/>
        <w:ind w:left="567" w:leftChars="0" w:right="567" w:rightChars="0" w:firstLine="177" w:firstLineChars="82"/>
        <w:jc w:val="both"/>
        <w:textAlignment w:val="auto"/>
        <w:rPr>
          <w:rFonts w:hint="eastAsia"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rPr>
        <w:t>5.2.2.5 不同投标人的投标保证金从同一单位或者个人的账户转出；</w:t>
      </w:r>
    </w:p>
    <w:p>
      <w:pPr>
        <w:pStyle w:val="54"/>
        <w:numPr>
          <w:ilvl w:val="0"/>
          <w:numId w:val="0"/>
        </w:numPr>
        <w:spacing w:line="360" w:lineRule="auto"/>
        <w:ind w:firstLine="480" w:firstLineChars="200"/>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lang w:val="en-US" w:eastAsia="zh-CN"/>
        </w:rPr>
        <w:t>6、</w:t>
      </w:r>
      <w:r>
        <w:rPr>
          <w:rFonts w:hint="eastAsia" w:ascii="黑体" w:hAnsi="黑体" w:eastAsia="黑体" w:cs="黑体"/>
          <w:b w:val="0"/>
          <w:bCs w:val="0"/>
          <w:color w:val="auto"/>
          <w:sz w:val="24"/>
          <w:szCs w:val="24"/>
          <w:highlight w:val="none"/>
        </w:rPr>
        <w:t>知识产权</w:t>
      </w:r>
    </w:p>
    <w:p>
      <w:pPr>
        <w:pStyle w:val="54"/>
        <w:numPr>
          <w:ilvl w:val="1"/>
          <w:numId w:val="12"/>
        </w:numPr>
        <w:tabs>
          <w:tab w:val="left" w:pos="1383"/>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pacing w:val="-6"/>
          <w:sz w:val="24"/>
          <w:szCs w:val="24"/>
          <w:highlight w:val="none"/>
        </w:rPr>
        <w:t>投标供应商须保证，采购人在中华人民共和国境内使用投标货物、资料、技术、服</w:t>
      </w:r>
      <w:r>
        <w:rPr>
          <w:rFonts w:hint="eastAsia" w:ascii="黑体" w:hAnsi="黑体" w:eastAsia="黑体" w:cs="黑体"/>
          <w:color w:val="auto"/>
          <w:spacing w:val="-11"/>
          <w:sz w:val="24"/>
          <w:szCs w:val="24"/>
          <w:highlight w:val="none"/>
        </w:rPr>
        <w:t>务或其任何一部分时，享有不受限制的无偿使用权，不会产生因第三方提出侵犯其专利权、商标权或其它知识产权而引起的法律或经济纠纷。如投标供应商不拥有相应的知识产权，</w:t>
      </w:r>
      <w:r>
        <w:rPr>
          <w:rFonts w:hint="eastAsia" w:ascii="黑体" w:hAnsi="黑体" w:eastAsia="黑体" w:cs="黑体"/>
          <w:color w:val="auto"/>
          <w:spacing w:val="-14"/>
          <w:sz w:val="24"/>
          <w:szCs w:val="24"/>
          <w:highlight w:val="none"/>
        </w:rPr>
        <w:t>则在投标报价中必须包括合法获取该知识产权的一切相关费用。如因此导致采购人损失的， 投标供应商须承担全部赔偿责任。</w:t>
      </w:r>
    </w:p>
    <w:p>
      <w:pPr>
        <w:pStyle w:val="54"/>
        <w:numPr>
          <w:ilvl w:val="1"/>
          <w:numId w:val="12"/>
        </w:numPr>
        <w:tabs>
          <w:tab w:val="left" w:pos="1383"/>
        </w:tabs>
        <w:spacing w:line="360" w:lineRule="auto"/>
        <w:ind w:left="567" w:right="567" w:firstLine="471"/>
        <w:jc w:val="both"/>
        <w:rPr>
          <w:rFonts w:hint="eastAsia" w:ascii="黑体" w:hAnsi="黑体" w:eastAsia="黑体" w:cs="黑体"/>
          <w:color w:val="auto"/>
          <w:spacing w:val="-6"/>
          <w:sz w:val="24"/>
          <w:szCs w:val="24"/>
          <w:highlight w:val="none"/>
        </w:rPr>
      </w:pPr>
      <w:r>
        <w:rPr>
          <w:rFonts w:hint="eastAsia" w:ascii="黑体" w:hAnsi="黑体" w:eastAsia="黑体" w:cs="黑体"/>
          <w:color w:val="auto"/>
          <w:spacing w:val="-6"/>
          <w:sz w:val="24"/>
          <w:szCs w:val="24"/>
          <w:highlight w:val="none"/>
        </w:rPr>
        <w:t>投标供应商如欲在项目实施过程中采用自有知识成果的，使用该知识成果后，投标供应商须提供开发接口和开发手册等技术文档。</w:t>
      </w:r>
    </w:p>
    <w:p>
      <w:pPr>
        <w:pStyle w:val="54"/>
        <w:numPr>
          <w:ilvl w:val="0"/>
          <w:numId w:val="0"/>
        </w:numPr>
        <w:spacing w:line="360" w:lineRule="auto"/>
        <w:ind w:firstLine="480" w:firstLineChars="200"/>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lang w:val="en-US" w:eastAsia="zh-CN"/>
        </w:rPr>
        <w:t>7.</w:t>
      </w:r>
      <w:r>
        <w:rPr>
          <w:rFonts w:hint="eastAsia" w:ascii="黑体" w:hAnsi="黑体" w:eastAsia="黑体" w:cs="黑体"/>
          <w:b w:val="0"/>
          <w:bCs w:val="0"/>
          <w:color w:val="auto"/>
          <w:sz w:val="24"/>
          <w:szCs w:val="24"/>
          <w:highlight w:val="none"/>
        </w:rPr>
        <w:t>纪律与保密</w:t>
      </w:r>
    </w:p>
    <w:p>
      <w:pPr>
        <w:pStyle w:val="54"/>
        <w:numPr>
          <w:ilvl w:val="1"/>
          <w:numId w:val="13"/>
        </w:numPr>
        <w:tabs>
          <w:tab w:val="left" w:pos="1383"/>
        </w:tabs>
        <w:spacing w:line="360" w:lineRule="auto"/>
        <w:ind w:left="567" w:right="567" w:firstLine="471"/>
        <w:jc w:val="both"/>
        <w:rPr>
          <w:rFonts w:hint="eastAsia" w:ascii="黑体" w:hAnsi="黑体" w:eastAsia="黑体" w:cs="黑体"/>
          <w:color w:val="auto"/>
          <w:spacing w:val="-6"/>
          <w:sz w:val="24"/>
          <w:szCs w:val="24"/>
          <w:highlight w:val="none"/>
        </w:rPr>
      </w:pPr>
      <w:r>
        <w:rPr>
          <w:rFonts w:hint="eastAsia" w:ascii="黑体" w:hAnsi="黑体" w:eastAsia="黑体" w:cs="黑体"/>
          <w:color w:val="auto"/>
          <w:spacing w:val="-6"/>
          <w:sz w:val="24"/>
          <w:szCs w:val="24"/>
          <w:highlight w:val="none"/>
        </w:rPr>
        <w:t>投标供应商的投标行为应遵守中国的有关法律、法规和规章。</w:t>
      </w:r>
    </w:p>
    <w:p>
      <w:pPr>
        <w:pStyle w:val="54"/>
        <w:numPr>
          <w:ilvl w:val="1"/>
          <w:numId w:val="13"/>
        </w:numPr>
        <w:tabs>
          <w:tab w:val="left" w:pos="1383"/>
        </w:tabs>
        <w:spacing w:line="360" w:lineRule="auto"/>
        <w:ind w:left="567" w:right="567" w:firstLine="471"/>
        <w:jc w:val="both"/>
        <w:rPr>
          <w:rFonts w:hint="eastAsia" w:ascii="黑体" w:hAnsi="黑体" w:eastAsia="黑体" w:cs="黑体"/>
          <w:color w:val="auto"/>
          <w:spacing w:val="-6"/>
          <w:sz w:val="24"/>
          <w:szCs w:val="24"/>
          <w:highlight w:val="none"/>
        </w:rPr>
      </w:pPr>
      <w:r>
        <w:rPr>
          <w:rFonts w:hint="eastAsia" w:ascii="黑体" w:hAnsi="黑体" w:eastAsia="黑体" w:cs="黑体"/>
          <w:color w:val="auto"/>
          <w:spacing w:val="-6"/>
          <w:sz w:val="24"/>
          <w:szCs w:val="24"/>
          <w:highlight w:val="none"/>
        </w:rPr>
        <w:t>投标供应商不得相互串通投标报价，不得妨碍其他投标供应商的公平竞争，不得损害采购人或其他投标供应商的合法权益，投标供应商不得以向采购人、评标委员会成员行贿或者其他不正当手段谋取中标。</w:t>
      </w:r>
    </w:p>
    <w:p>
      <w:pPr>
        <w:pStyle w:val="54"/>
        <w:numPr>
          <w:ilvl w:val="1"/>
          <w:numId w:val="13"/>
        </w:numPr>
        <w:tabs>
          <w:tab w:val="left" w:pos="1383"/>
        </w:tabs>
        <w:spacing w:line="360" w:lineRule="auto"/>
        <w:ind w:left="567" w:right="567" w:firstLine="471"/>
        <w:jc w:val="both"/>
        <w:rPr>
          <w:rFonts w:hint="eastAsia" w:ascii="黑体" w:hAnsi="黑体" w:eastAsia="黑体" w:cs="黑体"/>
          <w:color w:val="auto"/>
          <w:spacing w:val="-6"/>
          <w:sz w:val="24"/>
          <w:szCs w:val="24"/>
          <w:highlight w:val="none"/>
        </w:rPr>
      </w:pPr>
      <w:r>
        <w:rPr>
          <w:rFonts w:hint="eastAsia" w:ascii="黑体" w:hAnsi="黑体" w:eastAsia="黑体" w:cs="黑体"/>
          <w:color w:val="auto"/>
          <w:spacing w:val="-6"/>
          <w:sz w:val="24"/>
          <w:szCs w:val="24"/>
          <w:highlight w:val="none"/>
        </w:rPr>
        <w:t>有下列情形之一的，视为投标供应商串通投标，其投标无效：</w:t>
      </w:r>
    </w:p>
    <w:p>
      <w:pPr>
        <w:pStyle w:val="54"/>
        <w:numPr>
          <w:ilvl w:val="1"/>
          <w:numId w:val="14"/>
        </w:numPr>
        <w:tabs>
          <w:tab w:val="left" w:pos="1383"/>
        </w:tabs>
        <w:spacing w:line="360" w:lineRule="auto"/>
        <w:ind w:left="567" w:right="567" w:firstLine="471"/>
        <w:jc w:val="both"/>
        <w:rPr>
          <w:rFonts w:hint="eastAsia" w:ascii="黑体" w:hAnsi="黑体" w:eastAsia="黑体" w:cs="黑体"/>
          <w:color w:val="auto"/>
          <w:spacing w:val="-6"/>
          <w:sz w:val="24"/>
          <w:szCs w:val="24"/>
          <w:highlight w:val="none"/>
        </w:rPr>
      </w:pPr>
      <w:r>
        <w:rPr>
          <w:rFonts w:hint="eastAsia" w:ascii="黑体" w:hAnsi="黑体" w:eastAsia="黑体" w:cs="黑体"/>
          <w:color w:val="auto"/>
          <w:spacing w:val="-6"/>
          <w:sz w:val="24"/>
          <w:szCs w:val="24"/>
          <w:highlight w:val="none"/>
        </w:rPr>
        <w:t>不同投标供应商的投标文件由同一单位或者个人编制；</w:t>
      </w:r>
    </w:p>
    <w:p>
      <w:pPr>
        <w:pStyle w:val="54"/>
        <w:numPr>
          <w:ilvl w:val="1"/>
          <w:numId w:val="15"/>
        </w:numPr>
        <w:tabs>
          <w:tab w:val="left" w:pos="1383"/>
        </w:tabs>
        <w:spacing w:line="360" w:lineRule="auto"/>
        <w:ind w:left="567" w:right="567" w:firstLine="471"/>
        <w:jc w:val="both"/>
        <w:rPr>
          <w:rFonts w:hint="eastAsia" w:ascii="黑体" w:hAnsi="黑体" w:eastAsia="黑体" w:cs="黑体"/>
          <w:color w:val="auto"/>
          <w:spacing w:val="-6"/>
          <w:sz w:val="24"/>
          <w:szCs w:val="24"/>
          <w:highlight w:val="none"/>
        </w:rPr>
      </w:pPr>
      <w:r>
        <w:rPr>
          <w:rFonts w:hint="eastAsia" w:ascii="黑体" w:hAnsi="黑体" w:eastAsia="黑体" w:cs="黑体"/>
          <w:color w:val="auto"/>
          <w:spacing w:val="-6"/>
          <w:sz w:val="24"/>
          <w:szCs w:val="24"/>
          <w:highlight w:val="none"/>
        </w:rPr>
        <w:t>不同投标供应商委托同一单位或者个人办理投标事宜；</w:t>
      </w:r>
    </w:p>
    <w:p>
      <w:pPr>
        <w:pStyle w:val="54"/>
        <w:numPr>
          <w:ilvl w:val="1"/>
          <w:numId w:val="16"/>
        </w:numPr>
        <w:tabs>
          <w:tab w:val="left" w:pos="1383"/>
        </w:tabs>
        <w:spacing w:line="360" w:lineRule="auto"/>
        <w:ind w:left="567" w:right="567" w:firstLine="471"/>
        <w:jc w:val="both"/>
        <w:rPr>
          <w:rFonts w:hint="eastAsia" w:ascii="黑体" w:hAnsi="黑体" w:eastAsia="黑体" w:cs="黑体"/>
          <w:color w:val="auto"/>
          <w:spacing w:val="-6"/>
          <w:sz w:val="24"/>
          <w:szCs w:val="24"/>
          <w:highlight w:val="none"/>
        </w:rPr>
      </w:pPr>
      <w:r>
        <w:rPr>
          <w:rFonts w:hint="eastAsia" w:ascii="黑体" w:hAnsi="黑体" w:eastAsia="黑体" w:cs="黑体"/>
          <w:color w:val="auto"/>
          <w:sz w:val="24"/>
          <w:szCs w:val="24"/>
          <w:highlight w:val="none"/>
        </w:rPr>
        <w:t>不同投标供应商的投标文件载明的项目管理成员或者联系人员为同一人；</w:t>
      </w:r>
    </w:p>
    <w:p>
      <w:pPr>
        <w:pStyle w:val="54"/>
        <w:numPr>
          <w:ilvl w:val="1"/>
          <w:numId w:val="17"/>
        </w:numPr>
        <w:tabs>
          <w:tab w:val="left" w:pos="1383"/>
        </w:tabs>
        <w:spacing w:line="360" w:lineRule="auto"/>
        <w:ind w:left="567" w:right="567" w:firstLine="471"/>
        <w:jc w:val="both"/>
        <w:rPr>
          <w:rFonts w:hint="eastAsia" w:ascii="黑体" w:hAnsi="黑体" w:eastAsia="黑体" w:cs="黑体"/>
          <w:color w:val="auto"/>
          <w:spacing w:val="-6"/>
          <w:sz w:val="24"/>
          <w:szCs w:val="24"/>
          <w:highlight w:val="none"/>
        </w:rPr>
      </w:pPr>
      <w:r>
        <w:rPr>
          <w:rFonts w:hint="eastAsia" w:ascii="黑体" w:hAnsi="黑体" w:eastAsia="黑体" w:cs="黑体"/>
          <w:color w:val="auto"/>
          <w:sz w:val="24"/>
          <w:szCs w:val="24"/>
          <w:highlight w:val="none"/>
        </w:rPr>
        <w:t>不同投标供应商的投标文件异常一致或者投标报价呈规律性差异；</w:t>
      </w:r>
    </w:p>
    <w:p>
      <w:pPr>
        <w:pStyle w:val="54"/>
        <w:numPr>
          <w:ilvl w:val="1"/>
          <w:numId w:val="18"/>
        </w:numPr>
        <w:tabs>
          <w:tab w:val="left" w:pos="1383"/>
        </w:tabs>
        <w:spacing w:line="360" w:lineRule="auto"/>
        <w:ind w:left="567" w:right="567" w:firstLine="471"/>
        <w:jc w:val="both"/>
        <w:rPr>
          <w:rFonts w:hint="eastAsia" w:ascii="黑体" w:hAnsi="黑体" w:eastAsia="黑体" w:cs="黑体"/>
          <w:color w:val="auto"/>
          <w:spacing w:val="-6"/>
          <w:sz w:val="24"/>
          <w:szCs w:val="24"/>
          <w:highlight w:val="none"/>
        </w:rPr>
      </w:pPr>
      <w:r>
        <w:rPr>
          <w:rFonts w:hint="eastAsia" w:ascii="黑体" w:hAnsi="黑体" w:eastAsia="黑体" w:cs="黑体"/>
          <w:color w:val="auto"/>
          <w:sz w:val="24"/>
          <w:szCs w:val="24"/>
          <w:highlight w:val="none"/>
        </w:rPr>
        <w:t>不同投标供应商的投标文件相互混装；</w:t>
      </w:r>
    </w:p>
    <w:p>
      <w:pPr>
        <w:pStyle w:val="54"/>
        <w:numPr>
          <w:ilvl w:val="1"/>
          <w:numId w:val="19"/>
        </w:numPr>
        <w:tabs>
          <w:tab w:val="left" w:pos="1383"/>
        </w:tabs>
        <w:spacing w:line="360" w:lineRule="auto"/>
        <w:ind w:left="567" w:right="567" w:firstLine="471"/>
        <w:jc w:val="both"/>
        <w:rPr>
          <w:rFonts w:hint="eastAsia" w:ascii="黑体" w:hAnsi="黑体" w:eastAsia="黑体" w:cs="黑体"/>
          <w:color w:val="auto"/>
          <w:spacing w:val="-6"/>
          <w:sz w:val="24"/>
          <w:szCs w:val="24"/>
          <w:highlight w:val="none"/>
        </w:rPr>
      </w:pPr>
      <w:r>
        <w:rPr>
          <w:rFonts w:hint="eastAsia" w:ascii="黑体" w:hAnsi="黑体" w:eastAsia="黑体" w:cs="黑体"/>
          <w:color w:val="auto"/>
          <w:sz w:val="24"/>
          <w:szCs w:val="24"/>
          <w:highlight w:val="none"/>
        </w:rPr>
        <w:t>不同投标供应商的投标保证金从同一单位或者个人的账户转出。</w:t>
      </w:r>
    </w:p>
    <w:p>
      <w:pPr>
        <w:pStyle w:val="54"/>
        <w:numPr>
          <w:ilvl w:val="1"/>
          <w:numId w:val="20"/>
        </w:numPr>
        <w:tabs>
          <w:tab w:val="left" w:pos="1383"/>
        </w:tabs>
        <w:spacing w:before="7"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pacing w:val="-6"/>
          <w:sz w:val="24"/>
          <w:szCs w:val="24"/>
          <w:highlight w:val="none"/>
        </w:rPr>
        <w:t>在确定中标供应商之前，投标供应商不得与采购人就投标价格、投标方案等实质性内容进行谈判，也不得私下接触评标委员会成员。</w:t>
      </w:r>
    </w:p>
    <w:p>
      <w:pPr>
        <w:pStyle w:val="54"/>
        <w:numPr>
          <w:ilvl w:val="1"/>
          <w:numId w:val="20"/>
        </w:numPr>
        <w:tabs>
          <w:tab w:val="left" w:pos="1383"/>
        </w:tabs>
        <w:spacing w:before="7"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pacing w:val="-5"/>
          <w:sz w:val="24"/>
          <w:szCs w:val="24"/>
          <w:highlight w:val="none"/>
        </w:rPr>
        <w:t>在确定中标供应商之前，投标供应商试图在投标文件审查、澄清、比较和评价时对评标委员会、采购人和招标代理机构</w:t>
      </w:r>
      <w:r>
        <w:rPr>
          <w:rFonts w:hint="eastAsia" w:ascii="黑体" w:hAnsi="黑体" w:eastAsia="黑体" w:cs="黑体"/>
          <w:color w:val="auto"/>
          <w:spacing w:val="-5"/>
          <w:sz w:val="24"/>
          <w:highlight w:val="none"/>
        </w:rPr>
        <w:t>施加任何影响都</w:t>
      </w:r>
      <w:r>
        <w:rPr>
          <w:rFonts w:hint="eastAsia" w:ascii="黑体" w:hAnsi="黑体" w:eastAsia="黑体" w:cs="黑体"/>
          <w:color w:val="auto"/>
          <w:spacing w:val="-5"/>
          <w:sz w:val="24"/>
          <w:szCs w:val="24"/>
          <w:highlight w:val="none"/>
        </w:rPr>
        <w:t>可能导致其投标无效。</w:t>
      </w:r>
    </w:p>
    <w:p>
      <w:pPr>
        <w:pStyle w:val="54"/>
        <w:numPr>
          <w:ilvl w:val="1"/>
          <w:numId w:val="20"/>
        </w:numPr>
        <w:tabs>
          <w:tab w:val="left" w:pos="1383"/>
        </w:tabs>
        <w:spacing w:before="7"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pacing w:val="-11"/>
          <w:sz w:val="24"/>
          <w:szCs w:val="24"/>
          <w:highlight w:val="none"/>
        </w:rPr>
        <w:t>由采购人向投标供应商提供的图纸、详细资料、样品、模型、模件和所有其它资料，被视为保密资料，仅被用于它所规定的用途。除非得到采购人的同意，不能向任何第三方透露。开标结束后，应采购人要求，投标供应商应归还所有从采购人处获得的保密资料。</w:t>
      </w:r>
    </w:p>
    <w:p>
      <w:pPr>
        <w:pStyle w:val="54"/>
        <w:numPr>
          <w:ilvl w:val="0"/>
          <w:numId w:val="0"/>
        </w:numPr>
        <w:spacing w:line="360" w:lineRule="auto"/>
        <w:ind w:left="1001" w:leftChars="0"/>
        <w:rPr>
          <w:rFonts w:hint="eastAsia" w:ascii="黑体" w:hAnsi="黑体" w:eastAsia="黑体" w:cs="黑体"/>
          <w:b w:val="0"/>
          <w:bCs w:val="0"/>
          <w:color w:val="auto"/>
          <w:sz w:val="24"/>
          <w:highlight w:val="none"/>
        </w:rPr>
      </w:pPr>
      <w:r>
        <w:rPr>
          <w:rFonts w:hint="eastAsia" w:ascii="黑体" w:hAnsi="黑体" w:eastAsia="黑体" w:cs="黑体"/>
          <w:b w:val="0"/>
          <w:bCs w:val="0"/>
          <w:color w:val="auto"/>
          <w:sz w:val="24"/>
          <w:highlight w:val="none"/>
          <w:lang w:val="en-US" w:eastAsia="zh-CN"/>
        </w:rPr>
        <w:t>8.</w:t>
      </w:r>
      <w:r>
        <w:rPr>
          <w:rFonts w:hint="eastAsia" w:ascii="黑体" w:hAnsi="黑体" w:eastAsia="黑体" w:cs="黑体"/>
          <w:b w:val="0"/>
          <w:bCs w:val="0"/>
          <w:color w:val="auto"/>
          <w:sz w:val="24"/>
          <w:highlight w:val="none"/>
        </w:rPr>
        <w:t>本项目不接受联合体投标</w:t>
      </w:r>
    </w:p>
    <w:p>
      <w:pPr>
        <w:pStyle w:val="54"/>
        <w:numPr>
          <w:ilvl w:val="1"/>
          <w:numId w:val="21"/>
        </w:numPr>
        <w:tabs>
          <w:tab w:val="left" w:pos="1383"/>
        </w:tabs>
        <w:spacing w:before="2"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pacing w:val="-4"/>
          <w:sz w:val="24"/>
          <w:szCs w:val="24"/>
          <w:highlight w:val="none"/>
        </w:rPr>
        <w:t>除非本项目明确要求接受联合体形式投标外，两个或两个以上供应商可以组成一个联合体投标，以一个投标供应商的身份投标（本项目不接受联合体投标）</w:t>
      </w:r>
    </w:p>
    <w:p>
      <w:pPr>
        <w:pStyle w:val="54"/>
        <w:numPr>
          <w:ilvl w:val="1"/>
          <w:numId w:val="21"/>
        </w:numPr>
        <w:tabs>
          <w:tab w:val="left" w:pos="1383"/>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以联合体形式参加投标的，联合体各方均应当符合《中华人民共和国政府采购法》第二十二条第一款规定的条件，根据采购项目的特殊要求规定投标供应商特定条件的，联合体各方中至少应当有一方符合。</w:t>
      </w:r>
    </w:p>
    <w:p>
      <w:pPr>
        <w:pStyle w:val="54"/>
        <w:numPr>
          <w:ilvl w:val="1"/>
          <w:numId w:val="21"/>
        </w:numPr>
        <w:tabs>
          <w:tab w:val="left" w:pos="1383"/>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pacing w:val="-5"/>
          <w:sz w:val="24"/>
          <w:szCs w:val="24"/>
          <w:highlight w:val="none"/>
        </w:rPr>
        <w:t>联合体各方之间应当签订联合体协议，明确约定联合体各方应当承担的工作和相应的责任并承诺承担连带责任。以联合体形式参加政府采购活动的，联合体各方不得再单独参加或者与其他供应商另外组成联合体参加同一合同项下的政府采购活动。</w:t>
      </w:r>
    </w:p>
    <w:p>
      <w:pPr>
        <w:pStyle w:val="54"/>
        <w:numPr>
          <w:ilvl w:val="1"/>
          <w:numId w:val="21"/>
        </w:numPr>
        <w:tabs>
          <w:tab w:val="left" w:pos="1383"/>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pacing w:val="-8"/>
          <w:sz w:val="24"/>
          <w:szCs w:val="24"/>
          <w:highlight w:val="none"/>
        </w:rPr>
        <w:t>联合体投标的，由联合体中的牵头人提交投标保证金，以一方名义提交保证金的，对联合体各方均具有约束力。</w:t>
      </w:r>
    </w:p>
    <w:p>
      <w:pPr>
        <w:pStyle w:val="54"/>
        <w:tabs>
          <w:tab w:val="left" w:pos="1383"/>
        </w:tabs>
        <w:spacing w:line="360" w:lineRule="auto"/>
        <w:ind w:left="1038" w:right="220" w:rightChars="100" w:firstLine="0"/>
        <w:jc w:val="both"/>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9.投标专用章的效力</w:t>
      </w:r>
    </w:p>
    <w:p>
      <w:pPr>
        <w:pStyle w:val="54"/>
        <w:numPr>
          <w:ilvl w:val="1"/>
          <w:numId w:val="22"/>
        </w:numPr>
        <w:tabs>
          <w:tab w:val="left" w:pos="1383"/>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pacing w:val="-3"/>
          <w:sz w:val="24"/>
          <w:szCs w:val="24"/>
          <w:highlight w:val="none"/>
        </w:rPr>
        <w:t>招标文件中明确要求加盖公章</w:t>
      </w:r>
      <w:r>
        <w:rPr>
          <w:rFonts w:hint="eastAsia" w:ascii="黑体" w:hAnsi="黑体" w:eastAsia="黑体" w:cs="黑体"/>
          <w:color w:val="auto"/>
          <w:spacing w:val="-5"/>
          <w:sz w:val="24"/>
          <w:szCs w:val="24"/>
          <w:highlight w:val="none"/>
        </w:rPr>
        <w:t>的，投标供应商必须加盖投标供应商公章</w:t>
      </w:r>
      <w:r>
        <w:rPr>
          <w:rFonts w:hint="eastAsia" w:ascii="黑体" w:hAnsi="黑体" w:eastAsia="黑体" w:cs="黑体"/>
          <w:color w:val="auto"/>
          <w:sz w:val="24"/>
          <w:szCs w:val="24"/>
          <w:highlight w:val="none"/>
        </w:rPr>
        <w:t>，否则将导致投标无效。</w:t>
      </w:r>
    </w:p>
    <w:p>
      <w:pPr>
        <w:pStyle w:val="54"/>
        <w:tabs>
          <w:tab w:val="left" w:pos="1383"/>
        </w:tabs>
        <w:spacing w:line="360" w:lineRule="auto"/>
        <w:ind w:left="1038" w:right="220" w:rightChars="100" w:firstLine="0"/>
        <w:jc w:val="both"/>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10.合同标的转让与分包</w:t>
      </w:r>
    </w:p>
    <w:p>
      <w:pPr>
        <w:keepNext w:val="0"/>
        <w:keepLines w:val="0"/>
        <w:pageBreakBefore w:val="0"/>
        <w:widowControl w:val="0"/>
        <w:tabs>
          <w:tab w:val="left" w:pos="1539"/>
        </w:tabs>
        <w:kinsoku/>
        <w:wordWrap/>
        <w:overflowPunct/>
        <w:topLinePunct w:val="0"/>
        <w:autoSpaceDE w:val="0"/>
        <w:autoSpaceDN w:val="0"/>
        <w:bidi w:val="0"/>
        <w:adjustRightInd/>
        <w:snapToGrid/>
        <w:spacing w:before="0" w:beforeLines="100" w:line="360" w:lineRule="auto"/>
        <w:ind w:left="638" w:leftChars="290" w:right="567" w:firstLine="163" w:firstLineChars="78"/>
        <w:jc w:val="both"/>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1"/>
          <w:szCs w:val="24"/>
          <w:highlight w:val="none"/>
        </w:rPr>
        <w:t>10.1</w:t>
      </w:r>
      <w:r>
        <w:rPr>
          <w:rFonts w:hint="eastAsia" w:ascii="黑体" w:hAnsi="黑体" w:eastAsia="黑体" w:cs="黑体"/>
          <w:color w:val="auto"/>
          <w:sz w:val="24"/>
          <w:szCs w:val="24"/>
          <w:highlight w:val="none"/>
        </w:rPr>
        <w:t>合同未约定或者未经采购人同意，中标供应商不得向他人转让中标项目，也不得将中标项目肢解后分别向他人转让。</w:t>
      </w:r>
    </w:p>
    <w:p>
      <w:pPr>
        <w:keepNext w:val="0"/>
        <w:keepLines w:val="0"/>
        <w:pageBreakBefore w:val="0"/>
        <w:widowControl w:val="0"/>
        <w:tabs>
          <w:tab w:val="left" w:pos="1539"/>
        </w:tabs>
        <w:kinsoku/>
        <w:wordWrap/>
        <w:overflowPunct/>
        <w:topLinePunct w:val="0"/>
        <w:autoSpaceDE w:val="0"/>
        <w:autoSpaceDN w:val="0"/>
        <w:bidi w:val="0"/>
        <w:adjustRightInd/>
        <w:snapToGrid/>
        <w:spacing w:before="0" w:beforeLines="100" w:line="360" w:lineRule="auto"/>
        <w:ind w:left="700" w:leftChars="318" w:right="567" w:firstLine="187" w:firstLineChars="78"/>
        <w:jc w:val="both"/>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10.2合同约定或者经采购人同意，中标供应商可以将中标项目的部分非主体、非关键性工作分包给他人完成。接受分包的人应当具备相应的资格条件，并不得再次分包。如果本项目允许分包，投标供应商根据采购项目的实际情况，拟在中标后将中标项目的非主体、非关键性工作交由他人完成的，应在投标文件中载明。</w:t>
      </w:r>
    </w:p>
    <w:p>
      <w:pPr>
        <w:keepNext w:val="0"/>
        <w:keepLines w:val="0"/>
        <w:pageBreakBefore w:val="0"/>
        <w:widowControl w:val="0"/>
        <w:tabs>
          <w:tab w:val="left" w:pos="1539"/>
        </w:tabs>
        <w:kinsoku/>
        <w:wordWrap/>
        <w:overflowPunct/>
        <w:topLinePunct w:val="0"/>
        <w:autoSpaceDE w:val="0"/>
        <w:autoSpaceDN w:val="0"/>
        <w:bidi w:val="0"/>
        <w:adjustRightInd/>
        <w:snapToGrid/>
        <w:spacing w:before="0" w:beforeLines="100" w:line="360" w:lineRule="auto"/>
        <w:ind w:left="700" w:leftChars="318" w:right="567" w:firstLine="187" w:firstLineChars="78"/>
        <w:jc w:val="both"/>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10.3中标供应商应当就分包项目向采购人负责，接受分包的人就分包项目承担连带责任。</w:t>
      </w:r>
    </w:p>
    <w:p>
      <w:pPr>
        <w:tabs>
          <w:tab w:val="left" w:pos="1539"/>
        </w:tabs>
        <w:spacing w:line="360" w:lineRule="auto"/>
        <w:ind w:right="220" w:rightChars="100" w:firstLine="960" w:firstLineChars="400"/>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11.采购信息的发布</w:t>
      </w:r>
    </w:p>
    <w:p>
      <w:pPr>
        <w:tabs>
          <w:tab w:val="left" w:pos="1539"/>
        </w:tabs>
        <w:spacing w:line="360" w:lineRule="auto"/>
        <w:ind w:right="220" w:rightChars="100" w:firstLine="840" w:firstLineChars="400"/>
        <w:rPr>
          <w:rFonts w:hint="eastAsia" w:ascii="黑体" w:hAnsi="黑体" w:eastAsia="黑体" w:cs="黑体"/>
          <w:color w:val="auto"/>
          <w:sz w:val="24"/>
          <w:szCs w:val="24"/>
          <w:highlight w:val="none"/>
        </w:rPr>
      </w:pPr>
      <w:r>
        <w:rPr>
          <w:rFonts w:hint="eastAsia" w:ascii="黑体" w:hAnsi="黑体" w:eastAsia="黑体" w:cs="黑体"/>
          <w:color w:val="auto"/>
          <w:sz w:val="21"/>
          <w:szCs w:val="24"/>
          <w:highlight w:val="none"/>
        </w:rPr>
        <w:t>11.1</w:t>
      </w:r>
      <w:r>
        <w:rPr>
          <w:rFonts w:hint="eastAsia" w:ascii="黑体" w:hAnsi="黑体" w:eastAsia="黑体" w:cs="黑体"/>
          <w:color w:val="auto"/>
          <w:sz w:val="24"/>
          <w:szCs w:val="24"/>
          <w:highlight w:val="none"/>
        </w:rPr>
        <w:t>与本次采购活动相关的信息，将在</w:t>
      </w:r>
      <w:r>
        <w:rPr>
          <w:rFonts w:hint="eastAsia" w:ascii="黑体" w:hAnsi="黑体" w:eastAsia="黑体" w:cs="黑体"/>
          <w:color w:val="auto"/>
          <w:sz w:val="24"/>
          <w:szCs w:val="24"/>
          <w:highlight w:val="none"/>
          <w:lang w:val="en-US" w:eastAsia="zh-CN"/>
        </w:rPr>
        <w:t>新疆政府采购网发布</w:t>
      </w:r>
      <w:r>
        <w:rPr>
          <w:rFonts w:hint="eastAsia" w:ascii="黑体" w:hAnsi="黑体" w:eastAsia="黑体" w:cs="黑体"/>
          <w:color w:val="auto"/>
          <w:w w:val="105"/>
          <w:sz w:val="24"/>
          <w:szCs w:val="24"/>
          <w:highlight w:val="none"/>
        </w:rPr>
        <w:t>。</w:t>
      </w:r>
    </w:p>
    <w:p>
      <w:pPr>
        <w:pStyle w:val="19"/>
        <w:spacing w:line="360" w:lineRule="auto"/>
        <w:ind w:left="1008"/>
        <w:rPr>
          <w:rFonts w:hint="eastAsia" w:ascii="黑体" w:hAnsi="黑体" w:eastAsia="黑体" w:cs="黑体"/>
          <w:color w:val="auto"/>
          <w:w w:val="105"/>
          <w:highlight w:val="none"/>
        </w:rPr>
      </w:pPr>
    </w:p>
    <w:p>
      <w:pPr>
        <w:pStyle w:val="19"/>
        <w:spacing w:line="360" w:lineRule="auto"/>
        <w:ind w:left="1008"/>
        <w:rPr>
          <w:rFonts w:hint="eastAsia" w:ascii="黑体" w:hAnsi="黑体" w:eastAsia="黑体" w:cs="黑体"/>
          <w:color w:val="auto"/>
          <w:w w:val="105"/>
          <w:highlight w:val="none"/>
        </w:rPr>
      </w:pPr>
    </w:p>
    <w:p>
      <w:pPr>
        <w:pStyle w:val="19"/>
        <w:spacing w:line="360" w:lineRule="auto"/>
        <w:ind w:left="1008"/>
        <w:rPr>
          <w:rFonts w:hint="eastAsia" w:ascii="黑体" w:hAnsi="黑体" w:eastAsia="黑体" w:cs="黑体"/>
          <w:color w:val="auto"/>
          <w:w w:val="105"/>
          <w:highlight w:val="none"/>
        </w:rPr>
      </w:pPr>
    </w:p>
    <w:p>
      <w:pPr>
        <w:pStyle w:val="19"/>
        <w:spacing w:line="360" w:lineRule="auto"/>
        <w:ind w:left="1008"/>
        <w:rPr>
          <w:rFonts w:hint="eastAsia" w:ascii="黑体" w:hAnsi="黑体" w:eastAsia="黑体" w:cs="黑体"/>
          <w:color w:val="auto"/>
          <w:w w:val="105"/>
          <w:highlight w:val="none"/>
        </w:rPr>
      </w:pPr>
    </w:p>
    <w:p>
      <w:pPr>
        <w:pStyle w:val="19"/>
        <w:spacing w:line="360" w:lineRule="auto"/>
        <w:ind w:left="1008"/>
        <w:rPr>
          <w:rFonts w:hint="eastAsia" w:ascii="黑体" w:hAnsi="黑体" w:eastAsia="黑体" w:cs="黑体"/>
          <w:color w:val="auto"/>
          <w:w w:val="105"/>
          <w:highlight w:val="none"/>
        </w:rPr>
      </w:pPr>
    </w:p>
    <w:p>
      <w:pPr>
        <w:pStyle w:val="19"/>
        <w:spacing w:line="360" w:lineRule="auto"/>
        <w:ind w:left="1008"/>
        <w:rPr>
          <w:rFonts w:hint="eastAsia" w:ascii="黑体" w:hAnsi="黑体" w:eastAsia="黑体" w:cs="黑体"/>
          <w:color w:val="auto"/>
          <w:w w:val="105"/>
          <w:highlight w:val="none"/>
        </w:rPr>
      </w:pPr>
    </w:p>
    <w:p>
      <w:pPr>
        <w:pStyle w:val="19"/>
        <w:spacing w:line="360" w:lineRule="auto"/>
        <w:ind w:left="1008"/>
        <w:rPr>
          <w:rFonts w:hint="eastAsia" w:ascii="黑体" w:hAnsi="黑体" w:eastAsia="黑体" w:cs="黑体"/>
          <w:color w:val="auto"/>
          <w:w w:val="105"/>
          <w:highlight w:val="none"/>
        </w:rPr>
      </w:pPr>
    </w:p>
    <w:p>
      <w:pPr>
        <w:pStyle w:val="19"/>
        <w:spacing w:line="360" w:lineRule="auto"/>
        <w:ind w:left="1008"/>
        <w:rPr>
          <w:rFonts w:hint="eastAsia" w:ascii="黑体" w:hAnsi="黑体" w:eastAsia="黑体" w:cs="黑体"/>
          <w:color w:val="auto"/>
          <w:w w:val="105"/>
          <w:highlight w:val="none"/>
        </w:rPr>
      </w:pPr>
    </w:p>
    <w:p>
      <w:pPr>
        <w:pStyle w:val="19"/>
        <w:spacing w:line="360" w:lineRule="auto"/>
        <w:ind w:left="1008"/>
        <w:rPr>
          <w:rFonts w:hint="eastAsia" w:ascii="黑体" w:hAnsi="黑体" w:eastAsia="黑体" w:cs="黑体"/>
          <w:color w:val="auto"/>
          <w:w w:val="105"/>
          <w:highlight w:val="none"/>
        </w:rPr>
      </w:pPr>
    </w:p>
    <w:p>
      <w:pPr>
        <w:rPr>
          <w:rFonts w:hint="eastAsia" w:ascii="黑体" w:hAnsi="黑体" w:eastAsia="黑体" w:cs="黑体"/>
          <w:color w:val="auto"/>
          <w:w w:val="105"/>
          <w:highlight w:val="none"/>
        </w:rPr>
      </w:pPr>
    </w:p>
    <w:p>
      <w:pPr>
        <w:pStyle w:val="8"/>
        <w:rPr>
          <w:rFonts w:hint="eastAsia" w:ascii="黑体" w:hAnsi="黑体" w:eastAsia="黑体" w:cs="黑体"/>
        </w:rPr>
      </w:pPr>
    </w:p>
    <w:p>
      <w:pPr>
        <w:pStyle w:val="19"/>
        <w:spacing w:line="360" w:lineRule="auto"/>
        <w:ind w:left="1008"/>
        <w:rPr>
          <w:rFonts w:hint="eastAsia" w:ascii="黑体" w:hAnsi="黑体" w:eastAsia="黑体" w:cs="黑体"/>
          <w:color w:val="auto"/>
          <w:w w:val="105"/>
          <w:highlight w:val="none"/>
        </w:rPr>
      </w:pPr>
    </w:p>
    <w:p>
      <w:pPr>
        <w:pStyle w:val="6"/>
        <w:spacing w:line="360" w:lineRule="auto"/>
        <w:ind w:right="87"/>
        <w:rPr>
          <w:rFonts w:hint="eastAsia" w:ascii="黑体" w:hAnsi="黑体" w:eastAsia="黑体" w:cs="黑体"/>
          <w:b/>
          <w:bCs/>
          <w:color w:val="auto"/>
          <w:sz w:val="36"/>
          <w:szCs w:val="36"/>
          <w:highlight w:val="none"/>
        </w:rPr>
      </w:pPr>
    </w:p>
    <w:p>
      <w:pPr>
        <w:pStyle w:val="6"/>
        <w:spacing w:line="360" w:lineRule="auto"/>
        <w:ind w:right="87"/>
        <w:rPr>
          <w:rFonts w:hint="eastAsia" w:ascii="黑体" w:hAnsi="黑体" w:eastAsia="黑体" w:cs="黑体"/>
          <w:b/>
          <w:bCs/>
          <w:color w:val="auto"/>
          <w:sz w:val="36"/>
          <w:szCs w:val="36"/>
          <w:highlight w:val="none"/>
        </w:rPr>
      </w:pPr>
    </w:p>
    <w:p>
      <w:pPr>
        <w:pStyle w:val="6"/>
        <w:spacing w:line="360" w:lineRule="auto"/>
        <w:ind w:right="87"/>
        <w:rPr>
          <w:rFonts w:hint="eastAsia" w:ascii="黑体" w:hAnsi="黑体" w:eastAsia="黑体" w:cs="黑体"/>
          <w:b/>
          <w:bCs/>
          <w:color w:val="auto"/>
          <w:sz w:val="36"/>
          <w:szCs w:val="36"/>
          <w:highlight w:val="none"/>
        </w:rPr>
      </w:pPr>
    </w:p>
    <w:p>
      <w:pPr>
        <w:pStyle w:val="6"/>
        <w:spacing w:line="360" w:lineRule="auto"/>
        <w:ind w:right="87"/>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二．招标文件</w:t>
      </w:r>
    </w:p>
    <w:p>
      <w:pPr>
        <w:pStyle w:val="54"/>
        <w:numPr>
          <w:ilvl w:val="1"/>
          <w:numId w:val="23"/>
        </w:numPr>
        <w:spacing w:before="229"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招标文件构成</w:t>
      </w:r>
    </w:p>
    <w:p>
      <w:pPr>
        <w:pStyle w:val="54"/>
        <w:numPr>
          <w:ilvl w:val="1"/>
          <w:numId w:val="24"/>
        </w:numPr>
        <w:tabs>
          <w:tab w:val="left" w:pos="1515"/>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招标文件包括以下部分：</w:t>
      </w:r>
    </w:p>
    <w:p>
      <w:pPr>
        <w:pStyle w:val="54"/>
        <w:numPr>
          <w:ilvl w:val="2"/>
          <w:numId w:val="24"/>
        </w:numPr>
        <w:tabs>
          <w:tab w:val="left" w:pos="169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第一章：投标邀请（招标公告）；</w:t>
      </w:r>
    </w:p>
    <w:p>
      <w:pPr>
        <w:pStyle w:val="54"/>
        <w:numPr>
          <w:ilvl w:val="2"/>
          <w:numId w:val="24"/>
        </w:numPr>
        <w:tabs>
          <w:tab w:val="left" w:pos="169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第二章：投标供应商须知前附表；</w:t>
      </w:r>
    </w:p>
    <w:p>
      <w:pPr>
        <w:pStyle w:val="54"/>
        <w:numPr>
          <w:ilvl w:val="2"/>
          <w:numId w:val="24"/>
        </w:numPr>
        <w:tabs>
          <w:tab w:val="left" w:pos="169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第三章：投标供应商须知；</w:t>
      </w:r>
    </w:p>
    <w:p>
      <w:pPr>
        <w:pStyle w:val="54"/>
        <w:numPr>
          <w:ilvl w:val="2"/>
          <w:numId w:val="24"/>
        </w:numPr>
        <w:tabs>
          <w:tab w:val="left" w:pos="169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第四章：评标办法；</w:t>
      </w:r>
    </w:p>
    <w:p>
      <w:pPr>
        <w:pStyle w:val="54"/>
        <w:numPr>
          <w:ilvl w:val="2"/>
          <w:numId w:val="24"/>
        </w:numPr>
        <w:tabs>
          <w:tab w:val="left" w:pos="169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第五章：采购合同；</w:t>
      </w:r>
    </w:p>
    <w:p>
      <w:pPr>
        <w:pStyle w:val="54"/>
        <w:numPr>
          <w:ilvl w:val="2"/>
          <w:numId w:val="24"/>
        </w:numPr>
        <w:tabs>
          <w:tab w:val="left" w:pos="169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第六章：采购货物需求及货物参数；</w:t>
      </w:r>
    </w:p>
    <w:p>
      <w:pPr>
        <w:pStyle w:val="54"/>
        <w:numPr>
          <w:ilvl w:val="2"/>
          <w:numId w:val="24"/>
        </w:numPr>
        <w:tabs>
          <w:tab w:val="left" w:pos="169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第七章：投标文件格式</w:t>
      </w:r>
    </w:p>
    <w:p>
      <w:pPr>
        <w:pStyle w:val="54"/>
        <w:numPr>
          <w:ilvl w:val="2"/>
          <w:numId w:val="24"/>
        </w:numPr>
        <w:tabs>
          <w:tab w:val="left" w:pos="169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第八章：评分标准</w:t>
      </w:r>
    </w:p>
    <w:p>
      <w:pPr>
        <w:pStyle w:val="54"/>
        <w:numPr>
          <w:ilvl w:val="1"/>
          <w:numId w:val="25"/>
        </w:numPr>
        <w:tabs>
          <w:tab w:val="left" w:pos="1515"/>
        </w:tabs>
        <w:spacing w:line="360" w:lineRule="auto"/>
        <w:ind w:left="567" w:right="567" w:firstLine="482"/>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投标供应商应认真阅读招标文件中所有的事项、格式、条件、条款和规范等要求。</w:t>
      </w:r>
    </w:p>
    <w:p>
      <w:pPr>
        <w:pStyle w:val="54"/>
        <w:numPr>
          <w:ilvl w:val="1"/>
          <w:numId w:val="25"/>
        </w:numPr>
        <w:tabs>
          <w:tab w:val="left" w:pos="1539"/>
        </w:tabs>
        <w:spacing w:line="360" w:lineRule="auto"/>
        <w:ind w:left="567" w:right="567" w:firstLine="482"/>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投标供应商应当按照招标文件的要求编制投标文件。投标文件应对招标文件提出的要求和条件作出实质性响应。</w:t>
      </w:r>
    </w:p>
    <w:p>
      <w:pPr>
        <w:pStyle w:val="54"/>
        <w:numPr>
          <w:ilvl w:val="1"/>
          <w:numId w:val="25"/>
        </w:numPr>
        <w:tabs>
          <w:tab w:val="left" w:pos="1539"/>
        </w:tabs>
        <w:spacing w:line="360" w:lineRule="auto"/>
        <w:ind w:left="567" w:right="567" w:firstLine="482"/>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投标供应商获取招标文件后，应仔细检查招标文件的所有内容，如有残缺等问题应自获得招标文件后于答疑截止时间前向招标代理机构提出，否则，由此引起的后果由投标供应商自行承担。</w:t>
      </w:r>
    </w:p>
    <w:p>
      <w:pPr>
        <w:pStyle w:val="54"/>
        <w:numPr>
          <w:ilvl w:val="1"/>
          <w:numId w:val="26"/>
        </w:numPr>
        <w:tabs>
          <w:tab w:val="left" w:pos="1539"/>
        </w:tabs>
        <w:spacing w:line="360" w:lineRule="auto"/>
        <w:ind w:left="567" w:right="220" w:rightChars="100" w:firstLine="47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答疑及招标文件的澄清与修改</w:t>
      </w:r>
    </w:p>
    <w:p>
      <w:pPr>
        <w:pStyle w:val="19"/>
        <w:numPr>
          <w:ilvl w:val="1"/>
          <w:numId w:val="27"/>
        </w:numPr>
        <w:spacing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投标供应商如果对招标文件、清单、控制价等招标文件的其他任何内容有相关疑问，可以于投标供应商须知前附表列明的答疑截止时间前，以书面形式向招标代理机构提出。</w:t>
      </w:r>
    </w:p>
    <w:p>
      <w:pPr>
        <w:pStyle w:val="19"/>
        <w:numPr>
          <w:ilvl w:val="1"/>
          <w:numId w:val="27"/>
        </w:numPr>
        <w:spacing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除非招标文件另有规定，否则，如招标文件、清单、服务内容之间存在不一致时，以要求严格或质量等级高的为准。</w:t>
      </w:r>
    </w:p>
    <w:p>
      <w:pPr>
        <w:pStyle w:val="19"/>
        <w:numPr>
          <w:ilvl w:val="1"/>
          <w:numId w:val="27"/>
        </w:numPr>
        <w:spacing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spacing w:val="-5"/>
          <w:highlight w:val="none"/>
        </w:rPr>
        <w:t>疑问的提出与答疑获取具体步骤：</w:t>
      </w:r>
      <w:r>
        <w:rPr>
          <w:rFonts w:hint="eastAsia" w:ascii="黑体" w:hAnsi="黑体" w:eastAsia="黑体" w:cs="黑体"/>
          <w:color w:val="auto"/>
          <w:highlight w:val="none"/>
        </w:rPr>
        <w:t>招标代理机构回复有质疑的供应商，招标代理机构对招标文件进行的答疑、澄清、变更或补充，将在网站上及</w:t>
      </w:r>
      <w:r>
        <w:rPr>
          <w:rFonts w:hint="eastAsia" w:ascii="黑体" w:hAnsi="黑体" w:eastAsia="黑体" w:cs="黑体"/>
          <w:color w:val="auto"/>
          <w:spacing w:val="-7"/>
          <w:highlight w:val="none"/>
        </w:rPr>
        <w:t>时发布，该公告内容为招标文件的组成部分，对投标供应商具有同样约束力。当招标文件、招标文件的答疑、澄清、变更或补充等在同一内容的表述上不一致时，以最后发出的书面</w:t>
      </w:r>
      <w:r>
        <w:rPr>
          <w:rFonts w:hint="eastAsia" w:ascii="黑体" w:hAnsi="黑体" w:eastAsia="黑体" w:cs="黑体"/>
          <w:color w:val="auto"/>
          <w:spacing w:val="-5"/>
          <w:highlight w:val="none"/>
        </w:rPr>
        <w:t>文件为准。招标代理机构不承担投标供应商未及时关注相关信息引发的相关责任。</w:t>
      </w:r>
    </w:p>
    <w:p>
      <w:pPr>
        <w:pStyle w:val="19"/>
        <w:numPr>
          <w:ilvl w:val="1"/>
          <w:numId w:val="27"/>
        </w:numPr>
        <w:spacing w:line="360" w:lineRule="auto"/>
        <w:ind w:left="567" w:right="567" w:firstLine="471"/>
        <w:jc w:val="both"/>
        <w:rPr>
          <w:rFonts w:hint="eastAsia" w:ascii="黑体" w:hAnsi="黑体" w:eastAsia="黑体" w:cs="黑体"/>
          <w:color w:val="auto"/>
          <w:spacing w:val="-5"/>
          <w:highlight w:val="none"/>
        </w:rPr>
      </w:pPr>
      <w:r>
        <w:rPr>
          <w:rFonts w:hint="eastAsia" w:ascii="黑体" w:hAnsi="黑体" w:eastAsia="黑体" w:cs="黑体"/>
          <w:color w:val="auto"/>
          <w:spacing w:val="-5"/>
          <w:highlight w:val="none"/>
        </w:rPr>
        <w:t>在投标截止时间前，采购人可以视采购具体情况，延长投标截止时间和开标时间，在网站上发布变更公告。并在招标文件要求提交投标文件的截止时间三日前，在网站上发布变更公告。在上述情况下，采购人和投标供应商在投标截止期方面的全部权力、责任和义务，将适用于延长后新的投标截止期。</w:t>
      </w:r>
    </w:p>
    <w:p>
      <w:pPr>
        <w:pStyle w:val="19"/>
        <w:numPr>
          <w:ilvl w:val="1"/>
          <w:numId w:val="27"/>
        </w:numPr>
        <w:spacing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招标代理机构发布答疑、澄清、变更或补充公告，澄清或修改内容不影响投标文件编制的，可不改变投标截止时间和开标时间。</w:t>
      </w:r>
      <w:bookmarkStart w:id="21" w:name="_bookmark5"/>
      <w:bookmarkEnd w:id="21"/>
      <w:bookmarkStart w:id="22" w:name="三．投标文件的编制"/>
      <w:bookmarkEnd w:id="22"/>
    </w:p>
    <w:p>
      <w:pPr>
        <w:rPr>
          <w:rFonts w:hint="eastAsia" w:ascii="黑体" w:hAnsi="黑体" w:eastAsia="黑体" w:cs="黑体"/>
          <w:b/>
          <w:bCs/>
          <w:color w:val="auto"/>
          <w:sz w:val="36"/>
          <w:szCs w:val="36"/>
          <w:highlight w:val="none"/>
        </w:rPr>
      </w:pPr>
      <w:bookmarkStart w:id="23" w:name="_bookmark4"/>
      <w:bookmarkEnd w:id="23"/>
      <w:bookmarkStart w:id="24" w:name="二．招标文件"/>
      <w:bookmarkEnd w:id="24"/>
      <w:r>
        <w:rPr>
          <w:rFonts w:hint="eastAsia" w:ascii="黑体" w:hAnsi="黑体" w:eastAsia="黑体" w:cs="黑体"/>
          <w:b/>
          <w:bCs/>
          <w:color w:val="auto"/>
          <w:sz w:val="36"/>
          <w:szCs w:val="36"/>
          <w:highlight w:val="none"/>
        </w:rPr>
        <w:br w:type="page"/>
      </w:r>
    </w:p>
    <w:p>
      <w:pPr>
        <w:pStyle w:val="6"/>
        <w:spacing w:line="360" w:lineRule="auto"/>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三．投标文件的编制</w:t>
      </w:r>
    </w:p>
    <w:p>
      <w:pPr>
        <w:pStyle w:val="54"/>
        <w:numPr>
          <w:ilvl w:val="1"/>
          <w:numId w:val="28"/>
        </w:numPr>
        <w:tabs>
          <w:tab w:val="left" w:pos="1539"/>
        </w:tabs>
        <w:spacing w:line="360" w:lineRule="auto"/>
        <w:ind w:left="567" w:right="220" w:rightChars="100" w:firstLine="50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本项目</w:t>
      </w:r>
      <w:r>
        <w:rPr>
          <w:rFonts w:hint="eastAsia" w:ascii="黑体" w:hAnsi="黑体" w:eastAsia="黑体" w:cs="黑体"/>
          <w:color w:val="auto"/>
          <w:sz w:val="24"/>
          <w:szCs w:val="24"/>
          <w:highlight w:val="none"/>
          <w:lang w:val="en-US" w:eastAsia="zh-CN"/>
        </w:rPr>
        <w:t>不分</w:t>
      </w:r>
      <w:r>
        <w:rPr>
          <w:rFonts w:hint="eastAsia" w:ascii="黑体" w:hAnsi="黑体" w:eastAsia="黑体" w:cs="黑体"/>
          <w:color w:val="auto"/>
          <w:sz w:val="24"/>
          <w:szCs w:val="24"/>
          <w:highlight w:val="none"/>
          <w:lang w:val="en-US"/>
        </w:rPr>
        <w:t>标段</w:t>
      </w:r>
      <w:r>
        <w:rPr>
          <w:rFonts w:hint="eastAsia" w:ascii="黑体" w:hAnsi="黑体" w:eastAsia="黑体" w:cs="黑体"/>
          <w:color w:val="auto"/>
          <w:sz w:val="24"/>
          <w:szCs w:val="24"/>
          <w:highlight w:val="none"/>
        </w:rPr>
        <w:t>。</w:t>
      </w:r>
    </w:p>
    <w:p>
      <w:pPr>
        <w:pStyle w:val="54"/>
        <w:numPr>
          <w:ilvl w:val="1"/>
          <w:numId w:val="28"/>
        </w:numPr>
        <w:tabs>
          <w:tab w:val="left" w:pos="1539"/>
        </w:tabs>
        <w:spacing w:line="360" w:lineRule="auto"/>
        <w:ind w:left="567" w:right="567" w:firstLine="505"/>
        <w:jc w:val="both"/>
        <w:rPr>
          <w:rFonts w:hint="eastAsia" w:ascii="黑体" w:hAnsi="黑体" w:eastAsia="黑体" w:cs="黑体"/>
          <w:color w:val="auto"/>
          <w:spacing w:val="-8"/>
          <w:sz w:val="24"/>
          <w:szCs w:val="24"/>
          <w:highlight w:val="none"/>
        </w:rPr>
      </w:pPr>
      <w:r>
        <w:rPr>
          <w:rFonts w:hint="eastAsia" w:ascii="黑体" w:hAnsi="黑体" w:eastAsia="黑体" w:cs="黑体"/>
          <w:color w:val="auto"/>
          <w:sz w:val="24"/>
          <w:szCs w:val="24"/>
          <w:highlight w:val="none"/>
        </w:rPr>
        <w:t>投标人应当对所投项目招标文件中“货物需求”所列的所有内容进行投标，如仅响应部分内容，其该投标将被认定为投标无效。</w:t>
      </w:r>
    </w:p>
    <w:p>
      <w:pPr>
        <w:pStyle w:val="54"/>
        <w:numPr>
          <w:ilvl w:val="1"/>
          <w:numId w:val="28"/>
        </w:numPr>
        <w:tabs>
          <w:tab w:val="left" w:pos="1539"/>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无论招标文件第六章货物需求一览表及技术规格中是否要求，投标人所投货物均应符合国家强制性标准。</w:t>
      </w:r>
    </w:p>
    <w:p>
      <w:pPr>
        <w:pStyle w:val="54"/>
        <w:numPr>
          <w:ilvl w:val="1"/>
          <w:numId w:val="28"/>
        </w:numPr>
        <w:tabs>
          <w:tab w:val="left" w:pos="1539"/>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除招标文件中有特殊要求外，投标文件中所使用的计量单位，应采用中华人民共和国法定计量单位。</w:t>
      </w:r>
    </w:p>
    <w:p>
      <w:pPr>
        <w:pStyle w:val="54"/>
        <w:numPr>
          <w:ilvl w:val="1"/>
          <w:numId w:val="29"/>
        </w:numPr>
        <w:tabs>
          <w:tab w:val="left" w:pos="1539"/>
        </w:tabs>
        <w:spacing w:line="360" w:lineRule="auto"/>
        <w:ind w:left="567" w:right="220" w:rightChars="100" w:firstLine="47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投标文件构成与要求</w:t>
      </w:r>
    </w:p>
    <w:p>
      <w:pPr>
        <w:pStyle w:val="54"/>
        <w:numPr>
          <w:ilvl w:val="1"/>
          <w:numId w:val="30"/>
        </w:numPr>
        <w:tabs>
          <w:tab w:val="left" w:pos="1515"/>
        </w:tabs>
        <w:spacing w:before="8" w:line="360" w:lineRule="auto"/>
        <w:ind w:right="1241" w:firstLine="48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投标文件是对招标文件的实质性响应及承诺文件。</w:t>
      </w:r>
    </w:p>
    <w:p>
      <w:pPr>
        <w:pStyle w:val="54"/>
        <w:numPr>
          <w:ilvl w:val="1"/>
          <w:numId w:val="30"/>
        </w:numPr>
        <w:tabs>
          <w:tab w:val="left" w:pos="1515"/>
        </w:tabs>
        <w:spacing w:before="8" w:line="360" w:lineRule="auto"/>
        <w:ind w:right="1241" w:firstLine="48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rPr>
        <w:t>投标人应按照招标文件所提供的的投标文件格式，分别填写招标文件第六章至第七章的内容，应分别注明所提供货物的名称、技术配置及参数、数量和价格等内容，并由法定代表人或委托代理人按要求签字、加盖公章。项目名称及项目编号、投标人名称盖章</w:t>
      </w:r>
      <w:r>
        <w:rPr>
          <w:rFonts w:hint="eastAsia" w:ascii="黑体" w:hAnsi="黑体" w:eastAsia="黑体" w:cs="黑体"/>
          <w:color w:val="auto"/>
          <w:sz w:val="24"/>
          <w:szCs w:val="24"/>
          <w:highlight w:val="none"/>
        </w:rPr>
        <w:t>。</w:t>
      </w:r>
      <w:bookmarkStart w:id="25" w:name="_Ref467052588"/>
    </w:p>
    <w:p>
      <w:pPr>
        <w:pStyle w:val="54"/>
        <w:numPr>
          <w:ilvl w:val="1"/>
          <w:numId w:val="31"/>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投标人应完整地编写投标文件，投标文件应包括“电子投标文件”和“正、副本投标文件”制作投标文件。</w:t>
      </w:r>
    </w:p>
    <w:p>
      <w:pPr>
        <w:pStyle w:val="54"/>
        <w:numPr>
          <w:ilvl w:val="1"/>
          <w:numId w:val="32"/>
        </w:numPr>
        <w:tabs>
          <w:tab w:val="left" w:pos="1515"/>
        </w:tabs>
        <w:spacing w:before="8" w:line="360" w:lineRule="auto"/>
        <w:ind w:left="567" w:right="567" w:firstLine="471"/>
        <w:rPr>
          <w:rFonts w:hint="eastAsia" w:ascii="黑体" w:hAnsi="黑体" w:eastAsia="黑体" w:cs="黑体"/>
          <w:color w:val="auto"/>
          <w:spacing w:val="-8"/>
          <w:sz w:val="24"/>
          <w:szCs w:val="24"/>
          <w:highlight w:val="none"/>
        </w:rPr>
      </w:pPr>
      <w:r>
        <w:rPr>
          <w:rFonts w:hint="eastAsia" w:ascii="黑体" w:hAnsi="黑体" w:eastAsia="黑体" w:cs="黑体"/>
          <w:color w:val="auto"/>
          <w:spacing w:val="-8"/>
          <w:sz w:val="24"/>
          <w:szCs w:val="24"/>
          <w:highlight w:val="none"/>
        </w:rPr>
        <w:t>上述文件应按照招标文件规范填写、签署和盖章</w:t>
      </w:r>
      <w:bookmarkEnd w:id="25"/>
      <w:r>
        <w:rPr>
          <w:rFonts w:hint="eastAsia" w:ascii="黑体" w:hAnsi="黑体" w:eastAsia="黑体" w:cs="黑体"/>
          <w:color w:val="auto"/>
          <w:spacing w:val="-8"/>
          <w:sz w:val="24"/>
          <w:szCs w:val="24"/>
          <w:highlight w:val="none"/>
        </w:rPr>
        <w:t>。</w:t>
      </w:r>
    </w:p>
    <w:p>
      <w:pPr>
        <w:pStyle w:val="54"/>
        <w:numPr>
          <w:ilvl w:val="1"/>
          <w:numId w:val="33"/>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投标供应商资质证书（或资格证明）处于年检、换证、升级、变更等期间，除非有法律法规或发证机构书面材料明确表明投标供应商资质（或资格）有效，否则一律不予认可。</w:t>
      </w:r>
    </w:p>
    <w:p>
      <w:pPr>
        <w:pStyle w:val="54"/>
        <w:numPr>
          <w:ilvl w:val="1"/>
          <w:numId w:val="34"/>
        </w:numPr>
        <w:tabs>
          <w:tab w:val="left" w:pos="1515"/>
        </w:tabs>
        <w:spacing w:line="360" w:lineRule="auto"/>
        <w:ind w:left="567" w:right="220" w:rightChars="100" w:firstLine="47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电报、电话、传真形式的投标概不接受。</w:t>
      </w:r>
    </w:p>
    <w:p>
      <w:pPr>
        <w:pStyle w:val="54"/>
        <w:numPr>
          <w:ilvl w:val="0"/>
          <w:numId w:val="35"/>
        </w:numPr>
        <w:spacing w:line="360" w:lineRule="auto"/>
        <w:ind w:left="567" w:right="220" w:rightChars="100" w:firstLine="47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证明投标的合格性和符合招标文件规定的技术文件</w:t>
      </w:r>
    </w:p>
    <w:p>
      <w:pPr>
        <w:pStyle w:val="54"/>
        <w:numPr>
          <w:ilvl w:val="1"/>
          <w:numId w:val="36"/>
        </w:numPr>
        <w:tabs>
          <w:tab w:val="left" w:pos="1539"/>
        </w:tabs>
        <w:spacing w:before="7" w:line="360" w:lineRule="auto"/>
        <w:ind w:left="567" w:right="567" w:firstLine="482"/>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投标人应提交证明文件，证明其投标内容符合招标文件规定。该证明文件是投标文件的一部分。</w:t>
      </w:r>
    </w:p>
    <w:p>
      <w:pPr>
        <w:pStyle w:val="54"/>
        <w:numPr>
          <w:ilvl w:val="1"/>
          <w:numId w:val="36"/>
        </w:numPr>
        <w:tabs>
          <w:tab w:val="left" w:pos="1539"/>
        </w:tabs>
        <w:spacing w:before="7" w:line="360" w:lineRule="auto"/>
        <w:ind w:right="1243" w:firstLine="48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上款所述的证明文件，可以是文字资料、图纸和数据，它包括：</w:t>
      </w:r>
    </w:p>
    <w:p>
      <w:pPr>
        <w:pStyle w:val="54"/>
        <w:numPr>
          <w:ilvl w:val="1"/>
          <w:numId w:val="37"/>
        </w:numPr>
        <w:tabs>
          <w:tab w:val="left" w:pos="1539"/>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货物主要技术指标和性能的详细说明；</w:t>
      </w:r>
    </w:p>
    <w:p>
      <w:pPr>
        <w:pStyle w:val="54"/>
        <w:numPr>
          <w:ilvl w:val="1"/>
          <w:numId w:val="38"/>
        </w:numPr>
        <w:tabs>
          <w:tab w:val="left" w:pos="1539"/>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货物从买方开始使用至招标文件规定的保质期内正常、连续地使用所必须的备件和专用工具清单，包括备件和专用工具的货源及现行价格；</w:t>
      </w:r>
    </w:p>
    <w:p>
      <w:pPr>
        <w:pStyle w:val="54"/>
        <w:numPr>
          <w:ilvl w:val="1"/>
          <w:numId w:val="39"/>
        </w:numPr>
        <w:tabs>
          <w:tab w:val="left" w:pos="1539"/>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对照招标文件技术规格，逐条说明所提供货物及伴随的工程和服务已对招标文件的技术规格做出了实质性的响应，或申明与技术规格条文的偏差和例外。</w:t>
      </w:r>
    </w:p>
    <w:p>
      <w:pPr>
        <w:pStyle w:val="54"/>
        <w:numPr>
          <w:ilvl w:val="1"/>
          <w:numId w:val="40"/>
        </w:numPr>
        <w:tabs>
          <w:tab w:val="left" w:pos="1539"/>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pPr>
        <w:pStyle w:val="54"/>
        <w:numPr>
          <w:ilvl w:val="1"/>
          <w:numId w:val="41"/>
        </w:numPr>
        <w:spacing w:line="360" w:lineRule="auto"/>
        <w:ind w:left="567" w:right="220" w:rightChars="100" w:firstLine="47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投标报价</w:t>
      </w:r>
    </w:p>
    <w:p>
      <w:pPr>
        <w:pStyle w:val="54"/>
        <w:numPr>
          <w:ilvl w:val="1"/>
          <w:numId w:val="42"/>
        </w:numPr>
        <w:spacing w:line="360" w:lineRule="auto"/>
        <w:ind w:left="567" w:right="220" w:rightChars="100" w:firstLine="47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所有投标均以人民币报价。投标人的投标报价应遵守《中华人民共和国价格法》。同时，根据《中华人民共和国政府采购法》第二条的规定，为保证公平竞争，如有货物主体、附属零部件、配件为赠与行为的，其投标将被认定为投标无效。</w:t>
      </w:r>
    </w:p>
    <w:p>
      <w:pPr>
        <w:pStyle w:val="54"/>
        <w:numPr>
          <w:ilvl w:val="1"/>
          <w:numId w:val="42"/>
        </w:numPr>
        <w:spacing w:line="360" w:lineRule="auto"/>
        <w:ind w:left="567" w:right="220" w:rightChars="100" w:firstLine="47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投标人应在投标分项报价表上标明投标货物及相关服务的单价（如适用）、总价、品牌、具体型号、生产厂家、详细得参数说明，否则按废标处理。</w:t>
      </w:r>
    </w:p>
    <w:p>
      <w:pPr>
        <w:pStyle w:val="54"/>
        <w:numPr>
          <w:ilvl w:val="1"/>
          <w:numId w:val="42"/>
        </w:numPr>
        <w:spacing w:line="360" w:lineRule="auto"/>
        <w:ind w:left="527" w:right="482" w:rightChars="219" w:firstLine="48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投标分项报价表上的价格应按下列方式填写：</w:t>
      </w:r>
    </w:p>
    <w:p>
      <w:pPr>
        <w:pStyle w:val="54"/>
        <w:numPr>
          <w:ilvl w:val="1"/>
          <w:numId w:val="43"/>
        </w:numPr>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投标货物（包括备品备件、专用工具等）、（包括已在中国国内的进口货物完税后的仓库交货价、展室交货价或货架交货价），投标货物安装、调试、检验、技术服务和培训等费用；</w:t>
      </w:r>
    </w:p>
    <w:p>
      <w:pPr>
        <w:pStyle w:val="54"/>
        <w:numPr>
          <w:ilvl w:val="1"/>
          <w:numId w:val="43"/>
        </w:numPr>
        <w:spacing w:line="360" w:lineRule="auto"/>
        <w:ind w:left="527" w:right="482" w:rightChars="219" w:firstLine="48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货物运至最终目的地的运输费和保险费用。</w:t>
      </w:r>
    </w:p>
    <w:p>
      <w:pPr>
        <w:pStyle w:val="54"/>
        <w:numPr>
          <w:ilvl w:val="1"/>
          <w:numId w:val="44"/>
        </w:numPr>
        <w:spacing w:line="360" w:lineRule="auto"/>
        <w:ind w:left="567" w:right="567" w:firstLine="47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投标人所报的各分项投标单价在合同履行过程中是固定不变的，不得以任何理由予以变更。任何包含价格调整要求的投标，其投标将被认定为投标无效。</w:t>
      </w:r>
    </w:p>
    <w:p>
      <w:pPr>
        <w:pStyle w:val="54"/>
        <w:numPr>
          <w:ilvl w:val="1"/>
          <w:numId w:val="45"/>
        </w:numPr>
        <w:spacing w:line="360" w:lineRule="auto"/>
        <w:ind w:left="567" w:right="567" w:firstLine="47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每种货物只能有一个投标报价。采购人不接受具有附加条件的报价。</w:t>
      </w:r>
    </w:p>
    <w:p>
      <w:pPr>
        <w:spacing w:line="360" w:lineRule="auto"/>
        <w:ind w:right="567" w:firstLine="990" w:firstLineChars="550"/>
        <w:rPr>
          <w:rFonts w:hint="eastAsia" w:ascii="黑体" w:hAnsi="黑体" w:eastAsia="黑体" w:cs="黑体"/>
          <w:color w:val="auto"/>
          <w:sz w:val="24"/>
          <w:szCs w:val="24"/>
          <w:highlight w:val="none"/>
        </w:rPr>
      </w:pPr>
      <w:r>
        <w:rPr>
          <w:rFonts w:hint="eastAsia" w:ascii="黑体" w:hAnsi="黑体" w:eastAsia="黑体" w:cs="黑体"/>
          <w:color w:val="auto"/>
          <w:sz w:val="18"/>
          <w:szCs w:val="24"/>
          <w:highlight w:val="none"/>
        </w:rPr>
        <w:t>17.6</w:t>
      </w:r>
      <w:r>
        <w:rPr>
          <w:rFonts w:hint="eastAsia" w:ascii="黑体" w:hAnsi="黑体" w:eastAsia="黑体" w:cs="黑体"/>
          <w:color w:val="auto"/>
          <w:sz w:val="24"/>
          <w:szCs w:val="24"/>
          <w:highlight w:val="none"/>
        </w:rPr>
        <w:t xml:space="preserve"> 本项目报价含运费、税费、安装调试费及与本项目相关的一切费用。</w:t>
      </w:r>
    </w:p>
    <w:p>
      <w:pPr>
        <w:pStyle w:val="54"/>
        <w:numPr>
          <w:ilvl w:val="1"/>
          <w:numId w:val="46"/>
        </w:numPr>
        <w:spacing w:line="360" w:lineRule="auto"/>
        <w:ind w:left="567" w:firstLine="47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投标保证金</w:t>
      </w:r>
    </w:p>
    <w:p>
      <w:pPr>
        <w:pStyle w:val="54"/>
        <w:numPr>
          <w:ilvl w:val="1"/>
          <w:numId w:val="47"/>
        </w:numPr>
        <w:tabs>
          <w:tab w:val="left" w:pos="1515"/>
        </w:tabs>
        <w:spacing w:before="8"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作为投标文件的一部分，投标保证金应当在规定时间内足额汇入招标公告指定账号。</w:t>
      </w:r>
    </w:p>
    <w:p>
      <w:pPr>
        <w:pStyle w:val="54"/>
        <w:numPr>
          <w:ilvl w:val="1"/>
          <w:numId w:val="47"/>
        </w:numPr>
        <w:tabs>
          <w:tab w:val="left" w:pos="1539"/>
        </w:tabs>
        <w:spacing w:before="8"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保证金可采取异地电汇；本地转帐任何一种形式；不接收以现金或汇票形式递交的投标保证金；投标保证金缴纳人名称与投标供应商名称应当一致。除非招标文件另有规定，分公司或子公司代缴投标保证金，视同名称不一致。投标保证金缴纳人名称与投标供应商名称不一致的，投标无效。</w:t>
      </w:r>
    </w:p>
    <w:p>
      <w:pPr>
        <w:pStyle w:val="54"/>
        <w:numPr>
          <w:ilvl w:val="1"/>
          <w:numId w:val="47"/>
        </w:numPr>
        <w:tabs>
          <w:tab w:val="left" w:pos="1539"/>
        </w:tabs>
        <w:spacing w:before="8"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未按要求提交投标保证金的投标，将被视为非响应性投标而导致投标无效。</w:t>
      </w:r>
    </w:p>
    <w:p>
      <w:pPr>
        <w:pStyle w:val="54"/>
        <w:numPr>
          <w:ilvl w:val="1"/>
          <w:numId w:val="47"/>
        </w:numPr>
        <w:tabs>
          <w:tab w:val="left" w:pos="1515"/>
        </w:tabs>
        <w:spacing w:before="8"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投标人存在下列情形的，投标保证金不予退还：</w:t>
      </w:r>
    </w:p>
    <w:p>
      <w:pPr>
        <w:pStyle w:val="54"/>
        <w:numPr>
          <w:ilvl w:val="1"/>
          <w:numId w:val="48"/>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在投标有效期内，撤销投标的；</w:t>
      </w:r>
    </w:p>
    <w:p>
      <w:pPr>
        <w:pStyle w:val="54"/>
        <w:numPr>
          <w:ilvl w:val="1"/>
          <w:numId w:val="48"/>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中标后无正当理由放弃中标资格或无正当理由不与采购人签订合同的；</w:t>
      </w:r>
    </w:p>
    <w:p>
      <w:pPr>
        <w:pStyle w:val="54"/>
        <w:numPr>
          <w:ilvl w:val="1"/>
          <w:numId w:val="48"/>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将中标项目转让给他人，或者在投标文件中未说明，且未经采购人同意，将中标项目分包给他人的；</w:t>
      </w:r>
    </w:p>
    <w:p>
      <w:pPr>
        <w:pStyle w:val="54"/>
        <w:numPr>
          <w:ilvl w:val="1"/>
          <w:numId w:val="48"/>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拒绝履行合同义务的；</w:t>
      </w:r>
    </w:p>
    <w:p>
      <w:pPr>
        <w:pStyle w:val="54"/>
        <w:numPr>
          <w:ilvl w:val="1"/>
          <w:numId w:val="48"/>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存在其他违法违规行为的；</w:t>
      </w:r>
    </w:p>
    <w:p>
      <w:pPr>
        <w:pStyle w:val="54"/>
        <w:numPr>
          <w:ilvl w:val="1"/>
          <w:numId w:val="48"/>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由于投标供应商行为导致采购人或招标代理机构损失的，相应损失由投标供应商承担，从投标保证金中扣除。投标保证金扣除后仍不足以弥补损失的，投标供应商应当对超过部分予以赔偿。</w:t>
      </w:r>
    </w:p>
    <w:p>
      <w:pPr>
        <w:pStyle w:val="54"/>
        <w:numPr>
          <w:ilvl w:val="1"/>
          <w:numId w:val="49"/>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政府采购信用担保试点范围内的项目，接受符合财政部门规定的政府采购投标担保函原件。</w:t>
      </w:r>
    </w:p>
    <w:p>
      <w:pPr>
        <w:pStyle w:val="54"/>
        <w:numPr>
          <w:ilvl w:val="1"/>
          <w:numId w:val="50"/>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联合体投标的（如允许）由联合体牵头人提交投标保证金。以一方名义提交投标保证金的，对联合体各方均具有约束力。</w:t>
      </w:r>
    </w:p>
    <w:p>
      <w:pPr>
        <w:pStyle w:val="54"/>
        <w:numPr>
          <w:ilvl w:val="1"/>
          <w:numId w:val="51"/>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保证金的退还：中标人应在与采购人签订合同之日起5个工作日内，及时联系保证金收受机构办理投标保证金无息退还手续。未中标投标人的投标保证金将在中标通知书发出之日暨中标结果公告公布之日起5个工作日内无息退还。投标人应及时联系保证金收受机构办理退还投标保证金手续。</w:t>
      </w:r>
    </w:p>
    <w:p>
      <w:pPr>
        <w:pStyle w:val="54"/>
        <w:numPr>
          <w:ilvl w:val="1"/>
          <w:numId w:val="52"/>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政府采购投标担保函不予退回。</w:t>
      </w:r>
    </w:p>
    <w:p>
      <w:pPr>
        <w:pStyle w:val="54"/>
        <w:numPr>
          <w:ilvl w:val="1"/>
          <w:numId w:val="53"/>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因投标人自身原因导致无法及时退还的，采购人或采购代理机构将不承担相应责任。</w:t>
      </w:r>
      <w:bookmarkStart w:id="26" w:name="_Toc515647772"/>
      <w:bookmarkStart w:id="27" w:name="_Toc22901"/>
      <w:bookmarkStart w:id="28" w:name="_Toc23590"/>
      <w:bookmarkStart w:id="29" w:name="_Toc520356157"/>
      <w:bookmarkStart w:id="30" w:name="_Toc32569"/>
    </w:p>
    <w:p>
      <w:pPr>
        <w:pStyle w:val="54"/>
        <w:numPr>
          <w:ilvl w:val="1"/>
          <w:numId w:val="54"/>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投标有效期</w:t>
      </w:r>
      <w:bookmarkEnd w:id="26"/>
      <w:bookmarkEnd w:id="27"/>
      <w:bookmarkEnd w:id="28"/>
      <w:bookmarkEnd w:id="29"/>
      <w:bookmarkEnd w:id="30"/>
    </w:p>
    <w:p>
      <w:pPr>
        <w:pStyle w:val="54"/>
        <w:numPr>
          <w:ilvl w:val="1"/>
          <w:numId w:val="55"/>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投标应在投标人须知资料表中规定时间内保持有效。投标有效期不满足要求的投标，其投标将被认定为投标无效。</w:t>
      </w:r>
    </w:p>
    <w:p>
      <w:pPr>
        <w:pStyle w:val="54"/>
        <w:numPr>
          <w:ilvl w:val="1"/>
          <w:numId w:val="56"/>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pacing w:val="-4"/>
          <w:sz w:val="24"/>
          <w:szCs w:val="24"/>
          <w:highlight w:val="none"/>
        </w:rPr>
        <w:t>为保证采购人有足够的时间完成评标和与中标供应商签订合同，规定投标有效期。投标有效期见投标供应商须知前附表。</w:t>
      </w:r>
    </w:p>
    <w:p>
      <w:pPr>
        <w:pStyle w:val="54"/>
        <w:numPr>
          <w:ilvl w:val="1"/>
          <w:numId w:val="57"/>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pacing w:val="-4"/>
          <w:sz w:val="24"/>
          <w:szCs w:val="24"/>
          <w:highlight w:val="none"/>
        </w:rPr>
        <w:t>在投标有效期内，投标供应商的投标保持有效，投标供应商不得要求撤销或修改其投标文件。</w:t>
      </w:r>
    </w:p>
    <w:p>
      <w:pPr>
        <w:pStyle w:val="54"/>
        <w:numPr>
          <w:ilvl w:val="1"/>
          <w:numId w:val="58"/>
        </w:numPr>
        <w:tabs>
          <w:tab w:val="left" w:pos="1515"/>
        </w:tabs>
        <w:spacing w:line="360" w:lineRule="auto"/>
        <w:ind w:left="567" w:right="567" w:firstLine="471"/>
        <w:jc w:val="both"/>
        <w:rPr>
          <w:rFonts w:hint="eastAsia" w:ascii="黑体" w:hAnsi="黑体" w:eastAsia="黑体" w:cs="黑体"/>
          <w:color w:val="auto"/>
          <w:sz w:val="24"/>
          <w:szCs w:val="24"/>
          <w:highlight w:val="none"/>
        </w:rPr>
      </w:pPr>
      <w:r>
        <w:rPr>
          <w:rFonts w:hint="eastAsia" w:ascii="黑体" w:hAnsi="黑体" w:eastAsia="黑体" w:cs="黑体"/>
          <w:color w:val="auto"/>
          <w:spacing w:val="-4"/>
          <w:sz w:val="24"/>
          <w:szCs w:val="24"/>
          <w:highlight w:val="none"/>
        </w:rPr>
        <w:t>投标有效期从投标截止日起计算。在原定投标有效期满之前，如果出现特殊情况，采购人可以书面形式提出延长投标有效期的要求。投标供应商以书面形式予以答复，投标供应商可以拒绝这种要求而不被没收投标保证金。同意延长投标有效期的投标供应商不允许修改其投标文件的实质性内容，且需要相应地延长投标保证金的有效期。</w:t>
      </w:r>
    </w:p>
    <w:p>
      <w:pPr>
        <w:pStyle w:val="54"/>
        <w:numPr>
          <w:ilvl w:val="1"/>
          <w:numId w:val="59"/>
        </w:numPr>
        <w:tabs>
          <w:tab w:val="left" w:pos="1515"/>
        </w:tabs>
        <w:spacing w:before="8" w:line="360" w:lineRule="auto"/>
        <w:ind w:left="567" w:right="220" w:rightChars="100" w:firstLine="471"/>
        <w:jc w:val="both"/>
        <w:rPr>
          <w:rFonts w:hint="eastAsia" w:ascii="黑体" w:hAnsi="黑体" w:eastAsia="黑体" w:cs="黑体"/>
          <w:color w:val="auto"/>
          <w:spacing w:val="-4"/>
          <w:sz w:val="24"/>
          <w:szCs w:val="24"/>
          <w:highlight w:val="none"/>
        </w:rPr>
      </w:pPr>
      <w:bookmarkStart w:id="31" w:name="_Toc520356158"/>
      <w:bookmarkStart w:id="32" w:name="_Toc17074"/>
      <w:bookmarkStart w:id="33" w:name="_Toc493"/>
      <w:bookmarkStart w:id="34" w:name="_Toc515647773"/>
      <w:bookmarkStart w:id="35" w:name="_Toc17609"/>
      <w:r>
        <w:rPr>
          <w:rFonts w:hint="eastAsia" w:ascii="黑体" w:hAnsi="黑体" w:eastAsia="黑体" w:cs="黑体"/>
          <w:color w:val="auto"/>
          <w:spacing w:val="-4"/>
          <w:sz w:val="24"/>
          <w:szCs w:val="24"/>
          <w:highlight w:val="none"/>
        </w:rPr>
        <w:t>投标文件的签署</w:t>
      </w:r>
      <w:bookmarkEnd w:id="31"/>
      <w:r>
        <w:rPr>
          <w:rFonts w:hint="eastAsia" w:ascii="黑体" w:hAnsi="黑体" w:eastAsia="黑体" w:cs="黑体"/>
          <w:color w:val="auto"/>
          <w:spacing w:val="-4"/>
          <w:sz w:val="24"/>
          <w:szCs w:val="24"/>
          <w:highlight w:val="none"/>
        </w:rPr>
        <w:t>及规定</w:t>
      </w:r>
      <w:bookmarkEnd w:id="32"/>
      <w:bookmarkEnd w:id="33"/>
      <w:bookmarkEnd w:id="34"/>
      <w:bookmarkEnd w:id="35"/>
    </w:p>
    <w:p>
      <w:pPr>
        <w:pStyle w:val="54"/>
        <w:numPr>
          <w:ilvl w:val="1"/>
          <w:numId w:val="60"/>
        </w:numPr>
        <w:tabs>
          <w:tab w:val="left" w:pos="1515"/>
        </w:tabs>
        <w:spacing w:before="8" w:line="360" w:lineRule="auto"/>
        <w:ind w:left="567" w:right="567" w:firstLine="471"/>
        <w:jc w:val="both"/>
        <w:rPr>
          <w:rFonts w:hint="eastAsia" w:ascii="黑体" w:hAnsi="黑体" w:eastAsia="黑体" w:cs="黑体"/>
          <w:color w:val="auto"/>
          <w:spacing w:val="-4"/>
          <w:sz w:val="24"/>
          <w:szCs w:val="24"/>
          <w:highlight w:val="none"/>
        </w:rPr>
      </w:pPr>
      <w:r>
        <w:rPr>
          <w:rFonts w:hint="eastAsia" w:ascii="黑体" w:hAnsi="黑体" w:eastAsia="黑体" w:cs="黑体"/>
          <w:color w:val="auto"/>
          <w:spacing w:val="-4"/>
          <w:sz w:val="24"/>
          <w:szCs w:val="24"/>
          <w:highlight w:val="none"/>
        </w:rPr>
        <w:t>投标人应按投标人须知资料表中的规定，准备和递交投标文件正本、副本和电子文档，每份投标文件封皮须清楚地标明“正本”或“副本”。若正本和副本不符，以正本为准。</w:t>
      </w:r>
    </w:p>
    <w:p>
      <w:pPr>
        <w:pStyle w:val="54"/>
        <w:numPr>
          <w:ilvl w:val="1"/>
          <w:numId w:val="61"/>
        </w:numPr>
        <w:tabs>
          <w:tab w:val="left" w:pos="1515"/>
        </w:tabs>
        <w:spacing w:before="8" w:line="360" w:lineRule="auto"/>
        <w:ind w:left="567" w:right="567" w:firstLine="471"/>
        <w:jc w:val="both"/>
        <w:rPr>
          <w:rFonts w:hint="eastAsia" w:ascii="黑体" w:hAnsi="黑体" w:eastAsia="黑体" w:cs="黑体"/>
          <w:color w:val="auto"/>
          <w:spacing w:val="-4"/>
          <w:sz w:val="24"/>
          <w:szCs w:val="24"/>
          <w:highlight w:val="none"/>
        </w:rPr>
      </w:pPr>
      <w:r>
        <w:rPr>
          <w:rFonts w:hint="eastAsia" w:ascii="黑体" w:hAnsi="黑体" w:eastAsia="黑体" w:cs="黑体"/>
          <w:color w:val="auto"/>
          <w:spacing w:val="-4"/>
          <w:sz w:val="24"/>
          <w:szCs w:val="24"/>
          <w:highlight w:val="none"/>
        </w:rPr>
        <w:t>投标文件的正副本需</w:t>
      </w:r>
      <w:r>
        <w:rPr>
          <w:rFonts w:hint="eastAsia" w:ascii="黑体" w:hAnsi="黑体" w:eastAsia="黑体" w:cs="黑体"/>
          <w:color w:val="auto"/>
          <w:spacing w:val="-4"/>
          <w:sz w:val="24"/>
          <w:szCs w:val="24"/>
          <w:highlight w:val="none"/>
          <w:lang w:val="en-US"/>
        </w:rPr>
        <w:t>A4</w:t>
      </w:r>
      <w:r>
        <w:rPr>
          <w:rFonts w:hint="eastAsia" w:ascii="黑体" w:hAnsi="黑体" w:eastAsia="黑体" w:cs="黑体"/>
          <w:color w:val="auto"/>
          <w:spacing w:val="-4"/>
          <w:sz w:val="24"/>
          <w:szCs w:val="24"/>
          <w:highlight w:val="none"/>
        </w:rPr>
        <w:t>纸张打印，并由投标人的法定代表人或经其正式委托代理人按招标文件规定在投标文件上签字并加盖单位印章。委托代理人须持有书面的“法定代表人授权委托书”，并将其附在投标文件里。</w:t>
      </w:r>
    </w:p>
    <w:p>
      <w:pPr>
        <w:pStyle w:val="54"/>
        <w:numPr>
          <w:ilvl w:val="1"/>
          <w:numId w:val="62"/>
        </w:numPr>
        <w:tabs>
          <w:tab w:val="left" w:pos="1515"/>
        </w:tabs>
        <w:spacing w:before="8" w:line="360" w:lineRule="auto"/>
        <w:ind w:left="567" w:right="567" w:firstLine="471"/>
        <w:jc w:val="both"/>
        <w:rPr>
          <w:rFonts w:hint="eastAsia" w:ascii="黑体" w:hAnsi="黑体" w:eastAsia="黑体" w:cs="黑体"/>
          <w:color w:val="auto"/>
          <w:spacing w:val="-4"/>
          <w:sz w:val="24"/>
          <w:szCs w:val="24"/>
          <w:highlight w:val="none"/>
        </w:rPr>
      </w:pPr>
      <w:r>
        <w:rPr>
          <w:rFonts w:hint="eastAsia" w:ascii="黑体" w:hAnsi="黑体" w:eastAsia="黑体" w:cs="黑体"/>
          <w:color w:val="auto"/>
          <w:spacing w:val="-4"/>
          <w:sz w:val="24"/>
          <w:szCs w:val="24"/>
          <w:highlight w:val="none"/>
        </w:rPr>
        <w:t>所有投标文件采用不可拆装的胶订方式装订</w:t>
      </w:r>
      <w:r>
        <w:rPr>
          <w:rFonts w:hint="eastAsia" w:ascii="黑体" w:hAnsi="黑体" w:eastAsia="黑体" w:cs="黑体"/>
          <w:color w:val="auto"/>
          <w:spacing w:val="-4"/>
          <w:sz w:val="24"/>
          <w:szCs w:val="24"/>
          <w:highlight w:val="none"/>
          <w:lang w:val="en-US"/>
        </w:rPr>
        <w:t>成册并编码</w:t>
      </w:r>
      <w:r>
        <w:rPr>
          <w:rFonts w:hint="eastAsia" w:ascii="黑体" w:hAnsi="黑体" w:eastAsia="黑体" w:cs="黑体"/>
          <w:color w:val="auto"/>
          <w:spacing w:val="-4"/>
          <w:sz w:val="24"/>
          <w:szCs w:val="24"/>
          <w:highlight w:val="none"/>
        </w:rPr>
        <w:t>，否则其投标将被认定为投标无效。</w:t>
      </w:r>
    </w:p>
    <w:p>
      <w:pPr>
        <w:pStyle w:val="54"/>
        <w:numPr>
          <w:ilvl w:val="1"/>
          <w:numId w:val="63"/>
        </w:numPr>
        <w:tabs>
          <w:tab w:val="left" w:pos="1515"/>
        </w:tabs>
        <w:spacing w:before="8" w:line="360" w:lineRule="auto"/>
        <w:ind w:left="567" w:right="220" w:rightChars="100" w:firstLine="471"/>
        <w:jc w:val="both"/>
        <w:rPr>
          <w:rFonts w:hint="eastAsia" w:ascii="黑体" w:hAnsi="黑体" w:eastAsia="黑体" w:cs="黑体"/>
          <w:color w:val="auto"/>
          <w:spacing w:val="-4"/>
          <w:sz w:val="24"/>
          <w:szCs w:val="24"/>
          <w:highlight w:val="none"/>
        </w:rPr>
      </w:pPr>
      <w:r>
        <w:rPr>
          <w:rFonts w:hint="eastAsia" w:ascii="黑体" w:hAnsi="黑体" w:eastAsia="黑体" w:cs="黑体"/>
          <w:color w:val="auto"/>
          <w:spacing w:val="-4"/>
          <w:sz w:val="24"/>
          <w:szCs w:val="24"/>
          <w:highlight w:val="none"/>
        </w:rPr>
        <w:t>投标文件因字迹潦草、表达不清或装订不当所引起的后果由投标人负责。</w:t>
      </w:r>
    </w:p>
    <w:p>
      <w:pPr>
        <w:rPr>
          <w:rFonts w:hint="eastAsia" w:ascii="黑体" w:hAnsi="黑体" w:eastAsia="黑体" w:cs="黑体"/>
          <w:color w:val="auto"/>
          <w:highlight w:val="none"/>
        </w:rPr>
      </w:pPr>
      <w:r>
        <w:rPr>
          <w:rFonts w:hint="eastAsia" w:ascii="黑体" w:hAnsi="黑体" w:eastAsia="黑体" w:cs="黑体"/>
          <w:color w:val="auto"/>
          <w:highlight w:val="none"/>
        </w:rPr>
        <w:br w:type="page"/>
      </w:r>
    </w:p>
    <w:p>
      <w:pPr>
        <w:pStyle w:val="6"/>
        <w:spacing w:line="360" w:lineRule="auto"/>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四．开标与评标</w:t>
      </w:r>
    </w:p>
    <w:p>
      <w:pPr>
        <w:spacing w:before="231" w:line="360" w:lineRule="auto"/>
        <w:ind w:left="1001"/>
        <w:rPr>
          <w:rFonts w:hint="eastAsia" w:ascii="黑体" w:hAnsi="黑体" w:eastAsia="黑体" w:cs="黑体"/>
          <w:color w:val="auto"/>
          <w:sz w:val="24"/>
          <w:highlight w:val="none"/>
        </w:rPr>
      </w:pPr>
      <w:bookmarkStart w:id="36" w:name="四．投标文件的递交"/>
      <w:bookmarkEnd w:id="36"/>
      <w:bookmarkStart w:id="37" w:name="五．开标与评标"/>
      <w:bookmarkEnd w:id="37"/>
      <w:bookmarkStart w:id="38" w:name="_bookmark6"/>
      <w:bookmarkEnd w:id="38"/>
      <w:bookmarkStart w:id="39" w:name="_bookmark7"/>
      <w:bookmarkEnd w:id="39"/>
      <w:r>
        <w:rPr>
          <w:rFonts w:hint="eastAsia" w:ascii="黑体" w:hAnsi="黑体" w:eastAsia="黑体" w:cs="黑体"/>
          <w:color w:val="auto"/>
          <w:sz w:val="24"/>
          <w:highlight w:val="none"/>
        </w:rPr>
        <w:t>2</w:t>
      </w:r>
      <w:r>
        <w:rPr>
          <w:rFonts w:hint="eastAsia" w:ascii="黑体" w:hAnsi="黑体" w:eastAsia="黑体" w:cs="黑体"/>
          <w:color w:val="auto"/>
          <w:sz w:val="24"/>
          <w:highlight w:val="none"/>
          <w:lang w:val="en-US" w:eastAsia="zh-CN"/>
        </w:rPr>
        <w:t>1</w:t>
      </w:r>
      <w:r>
        <w:rPr>
          <w:rFonts w:hint="eastAsia" w:ascii="黑体" w:hAnsi="黑体" w:eastAsia="黑体" w:cs="黑体"/>
          <w:color w:val="auto"/>
          <w:sz w:val="24"/>
          <w:highlight w:val="none"/>
        </w:rPr>
        <w:t>.开标</w:t>
      </w:r>
    </w:p>
    <w:p>
      <w:pPr>
        <w:pStyle w:val="54"/>
        <w:numPr>
          <w:ilvl w:val="0"/>
          <w:numId w:val="0"/>
        </w:numPr>
        <w:tabs>
          <w:tab w:val="left" w:pos="1585"/>
        </w:tabs>
        <w:spacing w:line="360" w:lineRule="auto"/>
        <w:ind w:left="1038" w:leftChars="0" w:right="567" w:right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21.1</w:t>
      </w:r>
      <w:r>
        <w:rPr>
          <w:rFonts w:hint="eastAsia" w:ascii="黑体" w:hAnsi="黑体" w:eastAsia="黑体" w:cs="黑体"/>
          <w:color w:val="auto"/>
          <w:sz w:val="24"/>
          <w:highlight w:val="none"/>
        </w:rPr>
        <w:t>采购人和采购代理机构将按投标人须知资料表中规定的开标时间和地点组织公开开标并邀请所有投标人代表参加。</w:t>
      </w:r>
    </w:p>
    <w:p>
      <w:pPr>
        <w:spacing w:line="360" w:lineRule="auto"/>
        <w:ind w:left="1199" w:leftChars="436" w:hanging="240" w:hangingChars="100"/>
        <w:rPr>
          <w:rFonts w:hint="eastAsia" w:ascii="黑体" w:hAnsi="黑体" w:eastAsia="黑体" w:cs="黑体"/>
          <w:bCs/>
          <w:sz w:val="24"/>
          <w:szCs w:val="24"/>
        </w:rPr>
      </w:pPr>
      <w:r>
        <w:rPr>
          <w:rFonts w:hint="eastAsia" w:ascii="黑体" w:hAnsi="黑体" w:eastAsia="黑体" w:cs="黑体"/>
          <w:color w:val="auto"/>
          <w:sz w:val="24"/>
          <w:highlight w:val="none"/>
          <w:lang w:val="en-US" w:eastAsia="zh-CN"/>
        </w:rPr>
        <w:t>21.2</w:t>
      </w:r>
      <w:r>
        <w:rPr>
          <w:rFonts w:hint="eastAsia" w:ascii="黑体" w:hAnsi="黑体" w:eastAsia="黑体" w:cs="黑体"/>
          <w:color w:val="auto"/>
          <w:sz w:val="24"/>
          <w:highlight w:val="none"/>
        </w:rPr>
        <w:t>开标时，</w:t>
      </w:r>
      <w:r>
        <w:rPr>
          <w:rFonts w:hint="eastAsia" w:ascii="黑体" w:hAnsi="黑体" w:eastAsia="黑体" w:cs="黑体"/>
          <w:color w:val="auto"/>
          <w:sz w:val="24"/>
          <w:highlight w:val="none"/>
          <w:lang w:val="en-US" w:eastAsia="zh-CN"/>
        </w:rPr>
        <w:t>由主持人宣读</w:t>
      </w:r>
      <w:r>
        <w:rPr>
          <w:rFonts w:hint="eastAsia" w:ascii="黑体" w:hAnsi="黑体" w:eastAsia="黑体" w:cs="黑体"/>
          <w:b w:val="0"/>
          <w:bCs/>
        </w:rPr>
        <w:t>招标会场纪律及要求</w:t>
      </w:r>
      <w:r>
        <w:rPr>
          <w:rFonts w:hint="eastAsia" w:ascii="黑体" w:hAnsi="黑体" w:eastAsia="黑体" w:cs="黑体"/>
          <w:b w:val="0"/>
          <w:bCs/>
          <w:lang w:eastAsia="zh-CN"/>
        </w:rPr>
        <w:t>：</w:t>
      </w:r>
      <w:r>
        <w:rPr>
          <w:rFonts w:hint="eastAsia" w:ascii="黑体" w:hAnsi="黑体" w:eastAsia="黑体" w:cs="黑体"/>
          <w:bCs/>
          <w:sz w:val="24"/>
          <w:szCs w:val="24"/>
        </w:rPr>
        <w:t>会议按照“公开、公平、公正、诚信”的原则。</w:t>
      </w:r>
    </w:p>
    <w:p>
      <w:pPr>
        <w:spacing w:line="360" w:lineRule="auto"/>
        <w:ind w:left="1199" w:leftChars="436" w:hanging="240" w:hangingChars="100"/>
        <w:rPr>
          <w:rFonts w:hint="eastAsia" w:ascii="黑体" w:hAnsi="黑体" w:eastAsia="黑体" w:cs="黑体"/>
          <w:bCs/>
          <w:sz w:val="24"/>
          <w:szCs w:val="24"/>
        </w:rPr>
      </w:pPr>
      <w:r>
        <w:rPr>
          <w:rFonts w:hint="eastAsia" w:ascii="黑体" w:hAnsi="黑体" w:eastAsia="黑体" w:cs="黑体"/>
          <w:bCs/>
          <w:sz w:val="24"/>
          <w:szCs w:val="24"/>
        </w:rPr>
        <w:t>凡没有按</w:t>
      </w:r>
      <w:r>
        <w:rPr>
          <w:rFonts w:hint="eastAsia" w:ascii="黑体" w:hAnsi="黑体" w:eastAsia="黑体" w:cs="黑体"/>
          <w:sz w:val="24"/>
          <w:szCs w:val="24"/>
        </w:rPr>
        <w:t>投标</w:t>
      </w:r>
      <w:r>
        <w:rPr>
          <w:rFonts w:hint="eastAsia" w:ascii="黑体" w:hAnsi="黑体" w:eastAsia="黑体" w:cs="黑体"/>
          <w:kern w:val="0"/>
          <w:sz w:val="24"/>
          <w:szCs w:val="24"/>
        </w:rPr>
        <w:t>报价截止时间</w:t>
      </w:r>
      <w:r>
        <w:rPr>
          <w:rFonts w:hint="eastAsia" w:ascii="黑体" w:hAnsi="黑体" w:eastAsia="黑体" w:cs="黑体"/>
          <w:bCs/>
          <w:sz w:val="24"/>
          <w:szCs w:val="24"/>
        </w:rPr>
        <w:t>准时到场的投标人、评审专家、与招标活动有关的工作人员（即监标人、采购人代表、工作人员等），一律不允许进场。</w:t>
      </w:r>
    </w:p>
    <w:p>
      <w:pPr>
        <w:ind w:left="719" w:leftChars="327" w:firstLine="240" w:firstLineChars="100"/>
        <w:rPr>
          <w:rFonts w:hint="eastAsia" w:ascii="黑体" w:hAnsi="黑体" w:eastAsia="黑体" w:cs="黑体"/>
        </w:rPr>
      </w:pPr>
      <w:r>
        <w:rPr>
          <w:rFonts w:hint="eastAsia" w:ascii="黑体" w:hAnsi="黑体" w:eastAsia="黑体" w:cs="黑体"/>
          <w:sz w:val="24"/>
          <w:szCs w:val="24"/>
        </w:rPr>
        <w:t>与会人员要关闭手机等一切通讯工具，严禁在会场大声喧哗。否则，将请你离开会场。</w:t>
      </w:r>
    </w:p>
    <w:p>
      <w:pPr>
        <w:widowControl/>
        <w:spacing w:line="360" w:lineRule="auto"/>
        <w:ind w:left="719" w:leftChars="327" w:firstLine="0" w:firstLineChars="0"/>
        <w:jc w:val="left"/>
        <w:rPr>
          <w:rFonts w:hint="eastAsia" w:ascii="黑体" w:hAnsi="黑体" w:eastAsia="黑体" w:cs="黑体"/>
          <w:b w:val="0"/>
          <w:bCs/>
          <w:sz w:val="24"/>
          <w:szCs w:val="24"/>
        </w:rPr>
      </w:pPr>
      <w:r>
        <w:rPr>
          <w:rFonts w:hint="eastAsia" w:ascii="黑体" w:hAnsi="黑体" w:eastAsia="黑体" w:cs="黑体"/>
          <w:b w:val="0"/>
          <w:bCs/>
          <w:sz w:val="24"/>
          <w:szCs w:val="24"/>
        </w:rPr>
        <w:t>投标</w:t>
      </w:r>
      <w:r>
        <w:rPr>
          <w:rFonts w:hint="eastAsia" w:ascii="黑体" w:hAnsi="黑体" w:eastAsia="黑体" w:cs="黑体"/>
          <w:b w:val="0"/>
          <w:bCs/>
          <w:kern w:val="0"/>
          <w:sz w:val="24"/>
          <w:szCs w:val="24"/>
        </w:rPr>
        <w:t>截止时间到后，</w:t>
      </w:r>
      <w:r>
        <w:rPr>
          <w:rFonts w:hint="eastAsia" w:ascii="黑体" w:hAnsi="黑体" w:eastAsia="黑体" w:cs="黑体"/>
          <w:b w:val="0"/>
          <w:bCs/>
          <w:sz w:val="24"/>
          <w:szCs w:val="24"/>
        </w:rPr>
        <w:t>不允许已到场的所有投标人二次进出，招标现场对投标方的所有投标资质及评标所需的资料证明等均不接受二次提供，且不允许与外界有任何方式的联系与沟通。否则，将直接取消其投标资格。</w:t>
      </w:r>
    </w:p>
    <w:p>
      <w:pPr>
        <w:pStyle w:val="54"/>
        <w:numPr>
          <w:ilvl w:val="0"/>
          <w:numId w:val="0"/>
        </w:numPr>
        <w:tabs>
          <w:tab w:val="left" w:pos="1585"/>
        </w:tabs>
        <w:spacing w:line="360" w:lineRule="auto"/>
        <w:ind w:left="1038" w:leftChars="0" w:right="567" w:rightChars="0"/>
        <w:jc w:val="both"/>
        <w:rPr>
          <w:rFonts w:hint="eastAsia" w:ascii="黑体" w:hAnsi="黑体" w:eastAsia="黑体" w:cs="黑体"/>
          <w:b w:val="0"/>
          <w:bCs/>
          <w:lang w:eastAsia="zh-CN"/>
        </w:rPr>
      </w:pPr>
      <w:r>
        <w:rPr>
          <w:rFonts w:hint="eastAsia" w:ascii="黑体" w:hAnsi="黑体" w:eastAsia="黑体" w:cs="黑体"/>
          <w:sz w:val="24"/>
          <w:szCs w:val="24"/>
        </w:rPr>
        <w:t>严禁投标方会议期间与评委单</w:t>
      </w:r>
      <w:r>
        <w:rPr>
          <w:rFonts w:hint="eastAsia" w:ascii="黑体" w:hAnsi="黑体" w:eastAsia="黑体" w:cs="黑体"/>
          <w:bCs/>
          <w:sz w:val="24"/>
          <w:szCs w:val="24"/>
        </w:rPr>
        <w:t>独接触和交往。</w:t>
      </w:r>
    </w:p>
    <w:p>
      <w:pPr>
        <w:pStyle w:val="54"/>
        <w:numPr>
          <w:ilvl w:val="0"/>
          <w:numId w:val="0"/>
        </w:numPr>
        <w:tabs>
          <w:tab w:val="left" w:pos="1585"/>
        </w:tabs>
        <w:spacing w:line="360" w:lineRule="auto"/>
        <w:ind w:left="1038" w:leftChars="0" w:right="567" w:right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21.3</w:t>
      </w:r>
      <w:r>
        <w:rPr>
          <w:rFonts w:hint="eastAsia" w:ascii="黑体" w:hAnsi="黑体" w:eastAsia="黑体" w:cs="黑体"/>
          <w:color w:val="auto"/>
          <w:sz w:val="24"/>
          <w:highlight w:val="none"/>
        </w:rPr>
        <w:t>采购人或采购代理机构将对开标过程进行记录，由参加开标的各代表和相关工作人员签字确认，并存档备查。</w:t>
      </w:r>
    </w:p>
    <w:p>
      <w:pPr>
        <w:pStyle w:val="54"/>
        <w:numPr>
          <w:ilvl w:val="0"/>
          <w:numId w:val="0"/>
        </w:numPr>
        <w:tabs>
          <w:tab w:val="left" w:pos="1585"/>
        </w:tabs>
        <w:spacing w:line="360" w:lineRule="auto"/>
        <w:ind w:left="1038" w:leftChars="0" w:right="567" w:right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21.4</w:t>
      </w:r>
      <w:r>
        <w:rPr>
          <w:rFonts w:hint="eastAsia" w:ascii="黑体" w:hAnsi="黑体" w:eastAsia="黑体" w:cs="黑体"/>
          <w:color w:val="auto"/>
          <w:sz w:val="24"/>
          <w:highlight w:val="none"/>
        </w:rPr>
        <w:t>投标人代表对开标过程和开标记录有疑义，以及认为采购人、采购代理机构相关工作人员有需要回避的情形的，应当场提出询问或者回避申请。</w:t>
      </w:r>
    </w:p>
    <w:p>
      <w:pPr>
        <w:pStyle w:val="54"/>
        <w:numPr>
          <w:ilvl w:val="0"/>
          <w:numId w:val="0"/>
        </w:numPr>
        <w:tabs>
          <w:tab w:val="left" w:pos="1585"/>
        </w:tabs>
        <w:spacing w:line="360" w:lineRule="auto"/>
        <w:ind w:left="1072" w:leftChars="0" w:right="567" w:right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22</w:t>
      </w:r>
      <w:r>
        <w:rPr>
          <w:rFonts w:hint="eastAsia" w:ascii="黑体" w:hAnsi="黑体" w:eastAsia="黑体" w:cs="黑体"/>
          <w:color w:val="auto"/>
          <w:sz w:val="24"/>
          <w:highlight w:val="none"/>
        </w:rPr>
        <w:t xml:space="preserve"> 资格审查及组建评标委员会</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 xml:space="preserve">22.1 </w:t>
      </w:r>
      <w:r>
        <w:rPr>
          <w:rFonts w:hint="eastAsia" w:ascii="黑体" w:hAnsi="黑体" w:eastAsia="黑体" w:cs="黑体"/>
          <w:color w:val="auto"/>
          <w:sz w:val="24"/>
          <w:szCs w:val="24"/>
          <w:highlight w:val="none"/>
        </w:rPr>
        <w:t>采购人或采购代理机构依据法律法规和招标文件中规定的内容，对投标人及其服务的资格进行审查，未通过资格审查的投标人不进入评标；通过资格审查的投标人少于不足三家的，不得评标。</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 xml:space="preserve">22.2 </w:t>
      </w:r>
      <w:r>
        <w:rPr>
          <w:rFonts w:hint="eastAsia" w:ascii="黑体" w:hAnsi="黑体" w:eastAsia="黑体" w:cs="黑体"/>
          <w:color w:val="auto"/>
          <w:sz w:val="24"/>
          <w:szCs w:val="24"/>
          <w:highlight w:val="none"/>
        </w:rPr>
        <w:t>采购人或采购代理机构将在开标前1个工作日至投标截止后1小时的期间内查询投标人的信用记录。投标人存在不良信用记录的，其投标将被认定为投标无效。</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 xml:space="preserve">22.3 </w:t>
      </w:r>
      <w:r>
        <w:rPr>
          <w:rFonts w:hint="eastAsia" w:ascii="黑体" w:hAnsi="黑体" w:eastAsia="黑体" w:cs="黑体"/>
          <w:color w:val="auto"/>
          <w:sz w:val="24"/>
          <w:szCs w:val="24"/>
          <w:highlight w:val="none"/>
        </w:rPr>
        <w:t>不良信用记录指：投标人在中国政府采购网（www.ccgp.gov.cn）被列入政府采购严重违法失信行为记录名单，或在“信用中国”网站（www.creditchina.gov.cn）被列入失信被执行人、重大税收违法案件当事人名单，裁判文书网以及存在《中华人民共和国政府采购法实施条例》第十九条规定的行政处罚记录。以联合体形式参加投标的，联合体任何成员存在以上不良信用记录的，联合体投标将被认定为投标无效.</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 xml:space="preserve">22.4 </w:t>
      </w:r>
      <w:r>
        <w:rPr>
          <w:rFonts w:hint="eastAsia" w:ascii="黑体" w:hAnsi="黑体" w:eastAsia="黑体" w:cs="黑体"/>
          <w:color w:val="auto"/>
          <w:sz w:val="24"/>
          <w:szCs w:val="24"/>
          <w:highlight w:val="none"/>
        </w:rPr>
        <w:t>查询及记录方式：采购人或采购代理机构经办人将查询网页打印、签字并存档备查。投标人不良信用记录以采购人或采购代理机构查询结果为准。在本招标文件规定的查询时间之后，网站信息发生的任何变更均不再作为评标依据。投标人自行提供的与网站信息不一致的其他证明材料亦不作为资格审查依据。</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 xml:space="preserve">22.5 </w:t>
      </w:r>
      <w:r>
        <w:rPr>
          <w:rFonts w:hint="eastAsia" w:ascii="黑体" w:hAnsi="黑体" w:eastAsia="黑体" w:cs="黑体"/>
          <w:color w:val="auto"/>
          <w:sz w:val="24"/>
          <w:szCs w:val="24"/>
          <w:highlight w:val="none"/>
        </w:rPr>
        <w:t>按照《中华人民共和国政府采购法》、《中华人民共和国政府采购法实施条例》及本项目本级和上级财政部门的有关规定依法组建的评标委员会，负责评标工作。</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23、</w:t>
      </w:r>
      <w:r>
        <w:rPr>
          <w:rFonts w:hint="eastAsia" w:ascii="黑体" w:hAnsi="黑体" w:eastAsia="黑体" w:cs="黑体"/>
          <w:color w:val="auto"/>
          <w:sz w:val="24"/>
          <w:highlight w:val="none"/>
        </w:rPr>
        <w:t>投标文件符合性审查与澄清</w:t>
      </w:r>
    </w:p>
    <w:p>
      <w:pPr>
        <w:pStyle w:val="54"/>
        <w:numPr>
          <w:ilvl w:val="0"/>
          <w:numId w:val="0"/>
        </w:numPr>
        <w:tabs>
          <w:tab w:val="left" w:pos="1515"/>
        </w:tabs>
        <w:spacing w:line="360" w:lineRule="auto"/>
        <w:ind w:left="1038" w:leftChars="0" w:right="567" w:rightChars="0"/>
        <w:jc w:val="both"/>
        <w:rPr>
          <w:rFonts w:hint="eastAsia" w:ascii="黑体" w:hAnsi="黑体" w:eastAsia="黑体" w:cs="黑体"/>
          <w:color w:val="auto"/>
          <w:sz w:val="24"/>
          <w:highlight w:val="none"/>
        </w:rPr>
      </w:pPr>
      <w:r>
        <w:rPr>
          <w:rFonts w:hint="eastAsia" w:ascii="黑体" w:hAnsi="黑体" w:eastAsia="黑体" w:cs="黑体"/>
          <w:b w:val="0"/>
          <w:bCs w:val="0"/>
          <w:color w:val="auto"/>
          <w:sz w:val="22"/>
          <w:szCs w:val="22"/>
          <w:highlight w:val="none"/>
          <w:lang w:val="en-US" w:eastAsia="zh-CN"/>
        </w:rPr>
        <w:t xml:space="preserve">23.1 </w:t>
      </w:r>
      <w:r>
        <w:rPr>
          <w:rFonts w:hint="eastAsia" w:ascii="黑体" w:hAnsi="黑体" w:eastAsia="黑体" w:cs="黑体"/>
          <w:color w:val="auto"/>
          <w:sz w:val="24"/>
          <w:szCs w:val="24"/>
          <w:highlight w:val="none"/>
        </w:rPr>
        <w:t>符合性审查是指依据招</w:t>
      </w:r>
      <w:r>
        <w:rPr>
          <w:rFonts w:hint="eastAsia" w:ascii="黑体" w:hAnsi="黑体" w:eastAsia="黑体" w:cs="黑体"/>
          <w:color w:val="auto"/>
          <w:sz w:val="24"/>
          <w:highlight w:val="none"/>
        </w:rPr>
        <w:t>标文件的规定，从投标文件的有效性和完整性对招标文件的响应程度进行审查，以确定是否对招标文件</w:t>
      </w:r>
      <w:r>
        <w:rPr>
          <w:rFonts w:hint="eastAsia" w:ascii="黑体" w:hAnsi="黑体" w:eastAsia="黑体" w:cs="黑体"/>
          <w:color w:val="auto"/>
          <w:sz w:val="24"/>
          <w:szCs w:val="24"/>
          <w:highlight w:val="none"/>
        </w:rPr>
        <w:t>的实质性要求做出响应。</w:t>
      </w:r>
    </w:p>
    <w:p>
      <w:pPr>
        <w:pStyle w:val="54"/>
        <w:numPr>
          <w:ilvl w:val="0"/>
          <w:numId w:val="0"/>
        </w:numPr>
        <w:tabs>
          <w:tab w:val="left" w:pos="1515"/>
        </w:tabs>
        <w:spacing w:line="360" w:lineRule="auto"/>
        <w:ind w:left="1008" w:leftChars="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 xml:space="preserve">23.2 </w:t>
      </w:r>
      <w:r>
        <w:rPr>
          <w:rFonts w:hint="eastAsia" w:ascii="黑体" w:hAnsi="黑体" w:eastAsia="黑体" w:cs="黑体"/>
          <w:color w:val="auto"/>
          <w:sz w:val="24"/>
          <w:highlight w:val="none"/>
        </w:rPr>
        <w:t>投标文件的澄清：</w:t>
      </w:r>
    </w:p>
    <w:p>
      <w:pPr>
        <w:pStyle w:val="54"/>
        <w:numPr>
          <w:ilvl w:val="0"/>
          <w:numId w:val="0"/>
        </w:numPr>
        <w:tabs>
          <w:tab w:val="left" w:pos="1515"/>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 xml:space="preserve">23.2.1 </w:t>
      </w:r>
      <w:r>
        <w:rPr>
          <w:rFonts w:hint="eastAsia" w:ascii="黑体" w:hAnsi="黑体" w:eastAsia="黑体" w:cs="黑体"/>
          <w:color w:val="auto"/>
          <w:sz w:val="24"/>
          <w:szCs w:val="24"/>
          <w:highlight w:val="none"/>
        </w:rPr>
        <w:t>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允许下，并在规定的时间内以书面方式进行，并不得超出投标文件范围或者改变投标文件的实质性内容。</w:t>
      </w:r>
    </w:p>
    <w:p>
      <w:pPr>
        <w:pStyle w:val="54"/>
        <w:numPr>
          <w:ilvl w:val="0"/>
          <w:numId w:val="0"/>
        </w:numPr>
        <w:tabs>
          <w:tab w:val="left" w:pos="1698"/>
        </w:tabs>
        <w:spacing w:line="360" w:lineRule="auto"/>
        <w:ind w:left="1008" w:leftChars="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 xml:space="preserve">23.2.2 </w:t>
      </w:r>
      <w:r>
        <w:rPr>
          <w:rFonts w:hint="eastAsia" w:ascii="黑体" w:hAnsi="黑体" w:eastAsia="黑体" w:cs="黑体"/>
          <w:color w:val="auto"/>
          <w:spacing w:val="-2"/>
          <w:sz w:val="24"/>
          <w:highlight w:val="none"/>
        </w:rPr>
        <w:t>投标人的的澄清、说明或补正将作为投标文件的一部分。</w:t>
      </w:r>
    </w:p>
    <w:p>
      <w:pPr>
        <w:pStyle w:val="54"/>
        <w:numPr>
          <w:ilvl w:val="0"/>
          <w:numId w:val="0"/>
        </w:numPr>
        <w:tabs>
          <w:tab w:val="left" w:pos="1698"/>
        </w:tabs>
        <w:spacing w:line="360" w:lineRule="auto"/>
        <w:ind w:left="1008" w:leftChars="0"/>
        <w:jc w:val="both"/>
        <w:rPr>
          <w:rFonts w:hint="eastAsia" w:ascii="黑体" w:hAnsi="黑体" w:eastAsia="黑体" w:cs="黑体"/>
          <w:color w:val="auto"/>
          <w:spacing w:val="-2"/>
          <w:sz w:val="24"/>
          <w:szCs w:val="24"/>
          <w:highlight w:val="none"/>
        </w:rPr>
      </w:pPr>
      <w:r>
        <w:rPr>
          <w:rFonts w:hint="eastAsia" w:ascii="黑体" w:hAnsi="黑体" w:eastAsia="黑体" w:cs="黑体"/>
          <w:color w:val="auto"/>
          <w:sz w:val="24"/>
          <w:szCs w:val="24"/>
          <w:highlight w:val="none"/>
          <w:lang w:val="en-US" w:eastAsia="zh-CN"/>
        </w:rPr>
        <w:t xml:space="preserve">23.3 </w:t>
      </w:r>
      <w:r>
        <w:rPr>
          <w:rFonts w:hint="eastAsia" w:ascii="黑体" w:hAnsi="黑体" w:eastAsia="黑体" w:cs="黑体"/>
          <w:color w:val="auto"/>
          <w:sz w:val="24"/>
          <w:szCs w:val="24"/>
          <w:highlight w:val="none"/>
        </w:rPr>
        <w:t>投标文件报价出现前后不一致的，按照下列规定修正</w:t>
      </w:r>
      <w:r>
        <w:rPr>
          <w:rFonts w:hint="eastAsia" w:ascii="黑体" w:hAnsi="黑体" w:eastAsia="黑体" w:cs="黑体"/>
          <w:color w:val="auto"/>
          <w:spacing w:val="-2"/>
          <w:sz w:val="24"/>
          <w:szCs w:val="24"/>
          <w:highlight w:val="none"/>
        </w:rPr>
        <w:t>：</w:t>
      </w:r>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 xml:space="preserve">23.3.1 </w:t>
      </w:r>
      <w:r>
        <w:rPr>
          <w:rFonts w:hint="eastAsia" w:ascii="黑体" w:hAnsi="黑体" w:eastAsia="黑体" w:cs="黑体"/>
          <w:color w:val="auto"/>
          <w:spacing w:val="-2"/>
          <w:sz w:val="24"/>
          <w:highlight w:val="none"/>
        </w:rPr>
        <w:t>投标文件中开标一览表（报价表）内容与投标文件中相应内容不一致的，以正本（报价表）为准；</w:t>
      </w:r>
    </w:p>
    <w:p>
      <w:pPr>
        <w:pStyle w:val="54"/>
        <w:numPr>
          <w:ilvl w:val="0"/>
          <w:numId w:val="0"/>
        </w:numPr>
        <w:tabs>
          <w:tab w:val="left" w:pos="1698"/>
        </w:tabs>
        <w:spacing w:line="360" w:lineRule="auto"/>
        <w:ind w:left="1008" w:leftChars="0" w:right="220" w:rightChars="10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 xml:space="preserve">23.3.2 </w:t>
      </w:r>
      <w:r>
        <w:rPr>
          <w:rFonts w:hint="eastAsia" w:ascii="黑体" w:hAnsi="黑体" w:eastAsia="黑体" w:cs="黑体"/>
          <w:color w:val="auto"/>
          <w:spacing w:val="-2"/>
          <w:sz w:val="24"/>
          <w:highlight w:val="none"/>
        </w:rPr>
        <w:t>大写金额和小写金额不一致的，以大写金额为准；</w:t>
      </w:r>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 xml:space="preserve">23.3.3 </w:t>
      </w:r>
      <w:r>
        <w:rPr>
          <w:rFonts w:hint="eastAsia" w:ascii="黑体" w:hAnsi="黑体" w:eastAsia="黑体" w:cs="黑体"/>
          <w:color w:val="auto"/>
          <w:spacing w:val="-2"/>
          <w:sz w:val="24"/>
          <w:highlight w:val="none"/>
        </w:rPr>
        <w:t>单价金额小数点或者百分比有明显错位的，以正本总价为准，并修改单价；</w:t>
      </w:r>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 xml:space="preserve">23.4 </w:t>
      </w:r>
      <w:r>
        <w:rPr>
          <w:rFonts w:hint="eastAsia" w:ascii="黑体" w:hAnsi="黑体" w:eastAsia="黑体" w:cs="黑体"/>
          <w:color w:val="auto"/>
          <w:spacing w:val="-2"/>
          <w:sz w:val="24"/>
          <w:highlight w:val="none"/>
        </w:rPr>
        <w:t>总价金额与按单价汇总金额不一致的，以单价金额计算结果为准。同时出现两种以上不一致的，按照前款规定的顺序修正。修正后的报价经投标人确认后产生约束力，投标人不确认的，其投标将被认定为投标无效。对不同文字文本投标文件的解释发生异议的，以中文文本为准。</w:t>
      </w:r>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 xml:space="preserve">23.4 </w:t>
      </w:r>
      <w:r>
        <w:rPr>
          <w:rFonts w:hint="eastAsia" w:ascii="黑体" w:hAnsi="黑体" w:eastAsia="黑体" w:cs="黑体"/>
          <w:color w:val="auto"/>
          <w:spacing w:val="-2"/>
          <w:sz w:val="24"/>
          <w:highlight w:val="none"/>
        </w:rPr>
        <w:t>如一个分包内只有一种产品，不同投标人所投产品为同一品牌的，按如下方式处理：</w:t>
      </w:r>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 xml:space="preserve">23.4.1 </w:t>
      </w:r>
      <w:r>
        <w:rPr>
          <w:rFonts w:hint="eastAsia" w:ascii="黑体" w:hAnsi="黑体" w:eastAsia="黑体" w:cs="黑体"/>
          <w:color w:val="auto"/>
          <w:spacing w:val="-2"/>
          <w:sz w:val="24"/>
          <w:highlight w:val="none"/>
        </w:rPr>
        <w:t>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投标无效。</w:t>
      </w:r>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 xml:space="preserve">23.4.2 </w:t>
      </w:r>
      <w:r>
        <w:rPr>
          <w:rFonts w:hint="eastAsia" w:ascii="黑体" w:hAnsi="黑体" w:eastAsia="黑体" w:cs="黑体"/>
          <w:color w:val="auto"/>
          <w:spacing w:val="-2"/>
          <w:sz w:val="24"/>
          <w:highlight w:val="none"/>
        </w:rPr>
        <w:t>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 xml:space="preserve">23.5 </w:t>
      </w:r>
      <w:r>
        <w:rPr>
          <w:rFonts w:hint="eastAsia" w:ascii="黑体" w:hAnsi="黑体" w:eastAsia="黑体" w:cs="黑体"/>
          <w:color w:val="auto"/>
          <w:spacing w:val="-2"/>
          <w:sz w:val="24"/>
          <w:highlight w:val="none"/>
        </w:rPr>
        <w:t>如一个分包内包含多种产品的，采购人或采购代理机构将在投标人须知资料表中载明核心产品。</w:t>
      </w:r>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 xml:space="preserve">23.6 </w:t>
      </w:r>
      <w:r>
        <w:rPr>
          <w:rFonts w:hint="eastAsia" w:ascii="黑体" w:hAnsi="黑体" w:eastAsia="黑体" w:cs="黑体"/>
          <w:color w:val="auto"/>
          <w:spacing w:val="-2"/>
          <w:sz w:val="24"/>
          <w:highlight w:val="none"/>
        </w:rPr>
        <w:t>投标人所投产品如被列入财政部与国家主管部门颁发的节能产品目录或环境标志产品目录或无线局域网产品目录，应提供相关证明，在评标时予以优先采购，具体优先采购办法见第四章评标方法和标准。如采购人所采购产品为政府强制采购的节能产品，投标人所投产品的品牌及型号必须为清单中有效期内产品并提供证明文件，否则其投标将被认定为投标无效。</w:t>
      </w:r>
      <w:bookmarkStart w:id="40" w:name="_Toc515647782"/>
      <w:bookmarkStart w:id="41" w:name="_Toc6364"/>
      <w:bookmarkStart w:id="42" w:name="_Toc18529"/>
      <w:bookmarkStart w:id="43" w:name="_Toc9469"/>
    </w:p>
    <w:p>
      <w:pPr>
        <w:pStyle w:val="54"/>
        <w:numPr>
          <w:ilvl w:val="0"/>
          <w:numId w:val="0"/>
        </w:numPr>
        <w:tabs>
          <w:tab w:val="left" w:pos="1698"/>
        </w:tabs>
        <w:spacing w:line="360" w:lineRule="auto"/>
        <w:ind w:left="1038" w:leftChars="0" w:right="567" w:rightChars="0"/>
        <w:rPr>
          <w:rFonts w:hint="eastAsia" w:ascii="黑体" w:hAnsi="黑体" w:eastAsia="黑体" w:cs="黑体"/>
          <w:color w:val="auto"/>
          <w:spacing w:val="-2"/>
          <w:sz w:val="24"/>
          <w:highlight w:val="none"/>
        </w:rPr>
      </w:pPr>
      <w:r>
        <w:rPr>
          <w:rFonts w:hint="eastAsia" w:ascii="黑体" w:hAnsi="黑体" w:eastAsia="黑体" w:cs="黑体"/>
          <w:color w:val="auto"/>
          <w:sz w:val="24"/>
          <w:highlight w:val="none"/>
          <w:lang w:val="en-US" w:eastAsia="zh-CN"/>
        </w:rPr>
        <w:t>24、</w:t>
      </w:r>
      <w:r>
        <w:rPr>
          <w:rFonts w:hint="eastAsia" w:ascii="黑体" w:hAnsi="黑体" w:eastAsia="黑体" w:cs="黑体"/>
          <w:color w:val="auto"/>
          <w:sz w:val="24"/>
          <w:highlight w:val="none"/>
        </w:rPr>
        <w:t>投标偏离</w:t>
      </w:r>
      <w:bookmarkEnd w:id="40"/>
      <w:bookmarkEnd w:id="41"/>
      <w:bookmarkEnd w:id="42"/>
      <w:bookmarkEnd w:id="43"/>
    </w:p>
    <w:p>
      <w:pPr>
        <w:spacing w:line="360" w:lineRule="auto"/>
        <w:ind w:left="848" w:leftChars="99" w:hanging="630" w:hangingChars="267"/>
        <w:rPr>
          <w:rFonts w:hint="eastAsia" w:ascii="黑体" w:hAnsi="黑体" w:eastAsia="黑体" w:cs="黑体"/>
          <w:color w:val="auto"/>
          <w:sz w:val="24"/>
          <w:highlight w:val="none"/>
        </w:rPr>
      </w:pPr>
      <w:r>
        <w:rPr>
          <w:rFonts w:hint="eastAsia" w:ascii="黑体" w:hAnsi="黑体" w:eastAsia="黑体" w:cs="黑体"/>
          <w:color w:val="auto"/>
          <w:spacing w:val="-2"/>
          <w:sz w:val="24"/>
          <w:highlight w:val="none"/>
        </w:rPr>
        <w:t xml:space="preserve">      </w:t>
      </w:r>
      <w:r>
        <w:rPr>
          <w:rFonts w:hint="eastAsia" w:ascii="黑体" w:hAnsi="黑体" w:eastAsia="黑体" w:cs="黑体"/>
          <w:color w:val="auto"/>
          <w:spacing w:val="-2"/>
          <w:sz w:val="24"/>
          <w:highlight w:val="none"/>
          <w:lang w:val="en-US" w:eastAsia="zh-CN"/>
        </w:rPr>
        <w:t xml:space="preserve">      </w:t>
      </w:r>
      <w:r>
        <w:rPr>
          <w:rFonts w:hint="eastAsia" w:ascii="黑体" w:hAnsi="黑体" w:eastAsia="黑体" w:cs="黑体"/>
          <w:color w:val="auto"/>
          <w:spacing w:val="-2"/>
          <w:sz w:val="24"/>
          <w:highlight w:val="none"/>
        </w:rPr>
        <w:t>评标委员会不接受投标文件中实质性偏离的不正规或不一致内容。</w:t>
      </w:r>
      <w:bookmarkStart w:id="44" w:name="_Toc515647783"/>
      <w:bookmarkStart w:id="45" w:name="_Toc23936"/>
      <w:bookmarkStart w:id="46" w:name="_Toc6092"/>
      <w:bookmarkStart w:id="47" w:name="_Toc4950"/>
    </w:p>
    <w:p>
      <w:pPr>
        <w:pStyle w:val="54"/>
        <w:numPr>
          <w:ilvl w:val="0"/>
          <w:numId w:val="0"/>
        </w:numPr>
        <w:tabs>
          <w:tab w:val="left" w:pos="1698"/>
        </w:tabs>
        <w:spacing w:line="360" w:lineRule="auto"/>
        <w:ind w:left="1008" w:leftChars="0" w:right="220" w:rightChars="10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25、</w:t>
      </w:r>
      <w:r>
        <w:rPr>
          <w:rFonts w:hint="eastAsia" w:ascii="黑体" w:hAnsi="黑体" w:eastAsia="黑体" w:cs="黑体"/>
          <w:color w:val="auto"/>
          <w:sz w:val="24"/>
          <w:highlight w:val="none"/>
        </w:rPr>
        <w:t>投标</w:t>
      </w:r>
      <w:bookmarkEnd w:id="44"/>
      <w:r>
        <w:rPr>
          <w:rFonts w:hint="eastAsia" w:ascii="黑体" w:hAnsi="黑体" w:eastAsia="黑体" w:cs="黑体"/>
          <w:color w:val="auto"/>
          <w:sz w:val="24"/>
          <w:highlight w:val="none"/>
        </w:rPr>
        <w:t>无效</w:t>
      </w:r>
      <w:bookmarkEnd w:id="45"/>
      <w:bookmarkEnd w:id="46"/>
      <w:bookmarkEnd w:id="47"/>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z w:val="24"/>
          <w:highlight w:val="none"/>
        </w:rPr>
      </w:pPr>
      <w:r>
        <w:rPr>
          <w:rFonts w:hint="eastAsia" w:ascii="黑体" w:hAnsi="黑体" w:eastAsia="黑体" w:cs="黑体"/>
          <w:color w:val="auto"/>
          <w:spacing w:val="-2"/>
          <w:sz w:val="24"/>
          <w:highlight w:val="none"/>
          <w:lang w:val="en-US" w:eastAsia="zh-CN"/>
        </w:rPr>
        <w:t>25.1</w:t>
      </w:r>
      <w:r>
        <w:rPr>
          <w:rFonts w:hint="eastAsia" w:ascii="黑体" w:hAnsi="黑体" w:eastAsia="黑体" w:cs="黑体"/>
          <w:color w:val="auto"/>
          <w:spacing w:val="-2"/>
          <w:sz w:val="24"/>
          <w:highlight w:val="none"/>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投标人不得通过修正或撤销不符合要求的偏离，从而使其投标成为实质上响应的投标。</w:t>
      </w:r>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z w:val="24"/>
          <w:highlight w:val="none"/>
        </w:rPr>
      </w:pPr>
      <w:r>
        <w:rPr>
          <w:rFonts w:hint="eastAsia" w:ascii="黑体" w:hAnsi="黑体" w:eastAsia="黑体" w:cs="黑体"/>
          <w:color w:val="auto"/>
          <w:spacing w:val="-2"/>
          <w:sz w:val="24"/>
          <w:highlight w:val="none"/>
          <w:lang w:val="en-US" w:eastAsia="zh-CN"/>
        </w:rPr>
        <w:t>25.2</w:t>
      </w:r>
      <w:r>
        <w:rPr>
          <w:rFonts w:hint="eastAsia" w:ascii="黑体" w:hAnsi="黑体" w:eastAsia="黑体" w:cs="黑体"/>
          <w:color w:val="auto"/>
          <w:spacing w:val="-2"/>
          <w:sz w:val="24"/>
          <w:highlight w:val="none"/>
        </w:rPr>
        <w:t>评标委员会决定投标的响应性只根据招标文件要求、投标文件内容及财政主管部门指定相关信息发布媒体。</w:t>
      </w:r>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z w:val="24"/>
          <w:highlight w:val="none"/>
        </w:rPr>
      </w:pPr>
      <w:r>
        <w:rPr>
          <w:rFonts w:hint="eastAsia" w:ascii="黑体" w:hAnsi="黑体" w:eastAsia="黑体" w:cs="黑体"/>
          <w:color w:val="auto"/>
          <w:spacing w:val="-2"/>
          <w:sz w:val="24"/>
          <w:highlight w:val="none"/>
          <w:lang w:val="en-US" w:eastAsia="zh-CN"/>
        </w:rPr>
        <w:t>25.3</w:t>
      </w:r>
      <w:r>
        <w:rPr>
          <w:rFonts w:hint="eastAsia" w:ascii="黑体" w:hAnsi="黑体" w:eastAsia="黑体" w:cs="黑体"/>
          <w:color w:val="auto"/>
          <w:spacing w:val="-2"/>
          <w:sz w:val="24"/>
          <w:highlight w:val="none"/>
        </w:rPr>
        <w:t>如发现下列情况之一的，其投标将被认定为投标无效：（以下情形应当在招标文件中规定，并以醒目的方式标明）</w:t>
      </w:r>
    </w:p>
    <w:p>
      <w:pPr>
        <w:pStyle w:val="54"/>
        <w:numPr>
          <w:ilvl w:val="0"/>
          <w:numId w:val="0"/>
        </w:numPr>
        <w:tabs>
          <w:tab w:val="left" w:pos="1698"/>
        </w:tabs>
        <w:spacing w:line="360" w:lineRule="auto"/>
        <w:ind w:left="1038" w:leftChars="0" w:right="220" w:rightChars="100"/>
        <w:jc w:val="both"/>
        <w:rPr>
          <w:rFonts w:hint="eastAsia" w:ascii="黑体" w:hAnsi="黑体" w:eastAsia="黑体" w:cs="黑体"/>
          <w:color w:val="auto"/>
          <w:sz w:val="24"/>
          <w:highlight w:val="none"/>
        </w:rPr>
      </w:pPr>
      <w:r>
        <w:rPr>
          <w:rFonts w:hint="eastAsia" w:ascii="黑体" w:hAnsi="黑体" w:eastAsia="黑体" w:cs="黑体"/>
          <w:color w:val="auto"/>
          <w:spacing w:val="-2"/>
          <w:sz w:val="24"/>
          <w:highlight w:val="none"/>
          <w:lang w:val="en-US" w:eastAsia="zh-CN"/>
        </w:rPr>
        <w:t>25.3.1</w:t>
      </w:r>
      <w:r>
        <w:rPr>
          <w:rFonts w:hint="eastAsia" w:ascii="黑体" w:hAnsi="黑体" w:eastAsia="黑体" w:cs="黑体"/>
          <w:color w:val="auto"/>
          <w:spacing w:val="-2"/>
          <w:sz w:val="24"/>
          <w:highlight w:val="none"/>
        </w:rPr>
        <w:t>未按招标文件规定的形式和金额提交投标保证金的；</w:t>
      </w:r>
    </w:p>
    <w:p>
      <w:pPr>
        <w:pStyle w:val="54"/>
        <w:numPr>
          <w:ilvl w:val="0"/>
          <w:numId w:val="0"/>
        </w:numPr>
        <w:tabs>
          <w:tab w:val="left" w:pos="1698"/>
        </w:tabs>
        <w:spacing w:line="360" w:lineRule="auto"/>
        <w:ind w:left="1038" w:leftChars="0" w:right="220" w:rightChars="100"/>
        <w:jc w:val="both"/>
        <w:rPr>
          <w:rFonts w:hint="eastAsia" w:ascii="黑体" w:hAnsi="黑体" w:eastAsia="黑体" w:cs="黑体"/>
          <w:color w:val="auto"/>
          <w:sz w:val="24"/>
          <w:highlight w:val="none"/>
        </w:rPr>
      </w:pPr>
      <w:r>
        <w:rPr>
          <w:rFonts w:hint="eastAsia" w:ascii="黑体" w:hAnsi="黑体" w:eastAsia="黑体" w:cs="黑体"/>
          <w:color w:val="auto"/>
          <w:spacing w:val="-2"/>
          <w:sz w:val="24"/>
          <w:highlight w:val="none"/>
          <w:lang w:val="en-US" w:eastAsia="zh-CN"/>
        </w:rPr>
        <w:t>25.3.2</w:t>
      </w:r>
      <w:r>
        <w:rPr>
          <w:rFonts w:hint="eastAsia" w:ascii="黑体" w:hAnsi="黑体" w:eastAsia="黑体" w:cs="黑体"/>
          <w:color w:val="auto"/>
          <w:spacing w:val="-2"/>
          <w:sz w:val="24"/>
          <w:highlight w:val="none"/>
        </w:rPr>
        <w:t>未按照招标文件规定要求签署、盖章的；</w:t>
      </w:r>
    </w:p>
    <w:p>
      <w:pPr>
        <w:pStyle w:val="54"/>
        <w:numPr>
          <w:ilvl w:val="0"/>
          <w:numId w:val="0"/>
        </w:numPr>
        <w:tabs>
          <w:tab w:val="left" w:pos="1698"/>
        </w:tabs>
        <w:spacing w:line="360" w:lineRule="auto"/>
        <w:ind w:left="1038" w:leftChars="0" w:right="220" w:rightChars="100"/>
        <w:jc w:val="both"/>
        <w:rPr>
          <w:rFonts w:hint="eastAsia" w:ascii="黑体" w:hAnsi="黑体" w:eastAsia="黑体" w:cs="黑体"/>
          <w:color w:val="auto"/>
          <w:sz w:val="24"/>
          <w:highlight w:val="none"/>
        </w:rPr>
      </w:pPr>
      <w:r>
        <w:rPr>
          <w:rFonts w:hint="eastAsia" w:ascii="黑体" w:hAnsi="黑体" w:eastAsia="黑体" w:cs="黑体"/>
          <w:color w:val="auto"/>
          <w:spacing w:val="-2"/>
          <w:sz w:val="24"/>
          <w:highlight w:val="none"/>
          <w:lang w:val="en-US" w:eastAsia="zh-CN"/>
        </w:rPr>
        <w:t>25.3.3</w:t>
      </w:r>
      <w:r>
        <w:rPr>
          <w:rFonts w:hint="eastAsia" w:ascii="黑体" w:hAnsi="黑体" w:eastAsia="黑体" w:cs="黑体"/>
          <w:color w:val="auto"/>
          <w:spacing w:val="-2"/>
          <w:sz w:val="24"/>
          <w:highlight w:val="none"/>
        </w:rPr>
        <w:t>未满足招标文件中技术条款的实质性要求；</w:t>
      </w:r>
    </w:p>
    <w:p>
      <w:pPr>
        <w:pStyle w:val="54"/>
        <w:numPr>
          <w:ilvl w:val="0"/>
          <w:numId w:val="0"/>
        </w:numPr>
        <w:tabs>
          <w:tab w:val="left" w:pos="1698"/>
        </w:tabs>
        <w:spacing w:line="360" w:lineRule="auto"/>
        <w:ind w:left="1038" w:leftChars="0" w:right="220" w:rightChars="100"/>
        <w:jc w:val="both"/>
        <w:rPr>
          <w:rFonts w:hint="eastAsia" w:ascii="黑体" w:hAnsi="黑体" w:eastAsia="黑体" w:cs="黑体"/>
          <w:color w:val="auto"/>
          <w:sz w:val="24"/>
          <w:highlight w:val="none"/>
        </w:rPr>
      </w:pPr>
      <w:r>
        <w:rPr>
          <w:rFonts w:hint="eastAsia" w:ascii="黑体" w:hAnsi="黑体" w:eastAsia="黑体" w:cs="黑体"/>
          <w:color w:val="auto"/>
          <w:spacing w:val="-2"/>
          <w:sz w:val="24"/>
          <w:highlight w:val="none"/>
          <w:lang w:val="en-US" w:eastAsia="zh-CN"/>
        </w:rPr>
        <w:t>25.3.4</w:t>
      </w:r>
      <w:r>
        <w:rPr>
          <w:rFonts w:hint="eastAsia" w:ascii="黑体" w:hAnsi="黑体" w:eastAsia="黑体" w:cs="黑体"/>
          <w:color w:val="auto"/>
          <w:spacing w:val="-2"/>
          <w:sz w:val="24"/>
          <w:highlight w:val="none"/>
        </w:rPr>
        <w:t>与其他投标人串通投标，或者与招标人串通投标；</w:t>
      </w:r>
    </w:p>
    <w:p>
      <w:pPr>
        <w:pStyle w:val="54"/>
        <w:numPr>
          <w:ilvl w:val="0"/>
          <w:numId w:val="0"/>
        </w:numPr>
        <w:tabs>
          <w:tab w:val="left" w:pos="1698"/>
        </w:tabs>
        <w:spacing w:line="360" w:lineRule="auto"/>
        <w:ind w:left="1038" w:leftChars="0" w:right="220" w:rightChars="100"/>
        <w:jc w:val="both"/>
        <w:rPr>
          <w:rFonts w:hint="eastAsia" w:ascii="黑体" w:hAnsi="黑体" w:eastAsia="黑体" w:cs="黑体"/>
          <w:color w:val="auto"/>
          <w:sz w:val="24"/>
          <w:highlight w:val="none"/>
        </w:rPr>
      </w:pPr>
      <w:r>
        <w:rPr>
          <w:rFonts w:hint="eastAsia" w:ascii="黑体" w:hAnsi="黑体" w:eastAsia="黑体" w:cs="黑体"/>
          <w:color w:val="auto"/>
          <w:sz w:val="24"/>
          <w:szCs w:val="24"/>
          <w:highlight w:val="none"/>
          <w:lang w:val="en-US" w:eastAsia="zh-CN"/>
        </w:rPr>
        <w:t>25.3.5</w:t>
      </w:r>
      <w:r>
        <w:rPr>
          <w:rFonts w:hint="eastAsia" w:ascii="黑体" w:hAnsi="黑体" w:eastAsia="黑体" w:cs="黑体"/>
          <w:color w:val="auto"/>
          <w:sz w:val="24"/>
          <w:szCs w:val="24"/>
          <w:highlight w:val="none"/>
        </w:rPr>
        <w:t>属</w:t>
      </w:r>
      <w:r>
        <w:rPr>
          <w:rFonts w:hint="eastAsia" w:ascii="黑体" w:hAnsi="黑体" w:eastAsia="黑体" w:cs="黑体"/>
          <w:color w:val="auto"/>
          <w:spacing w:val="-2"/>
          <w:sz w:val="24"/>
          <w:highlight w:val="none"/>
        </w:rPr>
        <w:t>于招标文件规定的其他投标无效情形；</w:t>
      </w:r>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z w:val="24"/>
          <w:highlight w:val="none"/>
        </w:rPr>
      </w:pPr>
      <w:r>
        <w:rPr>
          <w:rFonts w:hint="eastAsia" w:ascii="黑体" w:hAnsi="黑体" w:eastAsia="黑体" w:cs="黑体"/>
          <w:color w:val="auto"/>
          <w:spacing w:val="-2"/>
          <w:sz w:val="24"/>
          <w:highlight w:val="none"/>
          <w:lang w:val="en-US" w:eastAsia="zh-CN"/>
        </w:rPr>
        <w:t>25.3.6</w:t>
      </w:r>
      <w:r>
        <w:rPr>
          <w:rFonts w:hint="eastAsia" w:ascii="黑体" w:hAnsi="黑体" w:eastAsia="黑体" w:cs="黑体"/>
          <w:color w:val="auto"/>
          <w:spacing w:val="-2"/>
          <w:sz w:val="24"/>
          <w:highlight w:val="none"/>
        </w:rPr>
        <w:t>评标委员会认为投标人的报价明显低于其他通过符合性检查投标人的报价，有可能影响履约的，且投标人未按照规定证明其报价合理性的；</w:t>
      </w:r>
    </w:p>
    <w:p>
      <w:pPr>
        <w:pStyle w:val="54"/>
        <w:numPr>
          <w:ilvl w:val="0"/>
          <w:numId w:val="0"/>
        </w:numPr>
        <w:tabs>
          <w:tab w:val="left" w:pos="1698"/>
        </w:tabs>
        <w:spacing w:line="360" w:lineRule="auto"/>
        <w:ind w:left="1038" w:leftChars="0" w:right="220" w:rightChars="100"/>
        <w:jc w:val="both"/>
        <w:rPr>
          <w:rFonts w:hint="eastAsia" w:ascii="黑体" w:hAnsi="黑体" w:eastAsia="黑体" w:cs="黑体"/>
          <w:color w:val="auto"/>
          <w:sz w:val="24"/>
          <w:highlight w:val="none"/>
        </w:rPr>
      </w:pPr>
      <w:r>
        <w:rPr>
          <w:rFonts w:hint="eastAsia" w:ascii="黑体" w:hAnsi="黑体" w:eastAsia="黑体" w:cs="黑体"/>
          <w:color w:val="auto"/>
          <w:spacing w:val="-2"/>
          <w:sz w:val="24"/>
          <w:highlight w:val="none"/>
          <w:lang w:val="en-US" w:eastAsia="zh-CN"/>
        </w:rPr>
        <w:t>25.3.7</w:t>
      </w:r>
      <w:r>
        <w:rPr>
          <w:rFonts w:hint="eastAsia" w:ascii="黑体" w:hAnsi="黑体" w:eastAsia="黑体" w:cs="黑体"/>
          <w:color w:val="auto"/>
          <w:spacing w:val="-2"/>
          <w:sz w:val="24"/>
          <w:highlight w:val="none"/>
        </w:rPr>
        <w:t>投标文件含有采购人不能接受的附加条件的；</w:t>
      </w:r>
    </w:p>
    <w:p>
      <w:pPr>
        <w:pStyle w:val="54"/>
        <w:numPr>
          <w:ilvl w:val="0"/>
          <w:numId w:val="0"/>
        </w:numPr>
        <w:tabs>
          <w:tab w:val="left" w:pos="1698"/>
        </w:tabs>
        <w:spacing w:line="360" w:lineRule="auto"/>
        <w:ind w:left="1038" w:leftChars="0" w:right="220" w:rightChars="100"/>
        <w:jc w:val="both"/>
        <w:rPr>
          <w:rFonts w:hint="eastAsia" w:ascii="黑体" w:hAnsi="黑体" w:eastAsia="黑体" w:cs="黑体"/>
          <w:color w:val="auto"/>
          <w:sz w:val="24"/>
          <w:highlight w:val="none"/>
        </w:rPr>
      </w:pPr>
      <w:r>
        <w:rPr>
          <w:rFonts w:hint="eastAsia" w:ascii="黑体" w:hAnsi="黑体" w:eastAsia="黑体" w:cs="黑体"/>
          <w:color w:val="auto"/>
          <w:spacing w:val="-2"/>
          <w:sz w:val="24"/>
          <w:highlight w:val="none"/>
          <w:lang w:val="en-US" w:eastAsia="zh-CN"/>
        </w:rPr>
        <w:t>25.3.8</w:t>
      </w:r>
      <w:r>
        <w:rPr>
          <w:rFonts w:hint="eastAsia" w:ascii="黑体" w:hAnsi="黑体" w:eastAsia="黑体" w:cs="黑体"/>
          <w:color w:val="auto"/>
          <w:spacing w:val="-2"/>
          <w:sz w:val="24"/>
          <w:highlight w:val="none"/>
        </w:rPr>
        <w:t>不符合法规和招标文件中规定的其他实质性要求的。</w:t>
      </w:r>
      <w:bookmarkStart w:id="48" w:name="_Toc515647784"/>
      <w:bookmarkStart w:id="49" w:name="_Toc8521"/>
      <w:bookmarkStart w:id="50" w:name="_Toc13652"/>
      <w:bookmarkStart w:id="51" w:name="_Toc22941"/>
    </w:p>
    <w:p>
      <w:pPr>
        <w:pStyle w:val="54"/>
        <w:numPr>
          <w:ilvl w:val="0"/>
          <w:numId w:val="0"/>
        </w:numPr>
        <w:tabs>
          <w:tab w:val="left" w:pos="1698"/>
        </w:tabs>
        <w:spacing w:line="360" w:lineRule="auto"/>
        <w:ind w:left="1008" w:leftChars="0" w:right="220" w:rightChars="10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26、</w:t>
      </w:r>
      <w:r>
        <w:rPr>
          <w:rFonts w:hint="eastAsia" w:ascii="黑体" w:hAnsi="黑体" w:eastAsia="黑体" w:cs="黑体"/>
          <w:color w:val="auto"/>
          <w:sz w:val="24"/>
          <w:highlight w:val="none"/>
        </w:rPr>
        <w:t>比较与评价</w:t>
      </w:r>
      <w:bookmarkEnd w:id="48"/>
      <w:bookmarkEnd w:id="49"/>
      <w:bookmarkEnd w:id="50"/>
      <w:bookmarkEnd w:id="51"/>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z w:val="24"/>
          <w:highlight w:val="none"/>
        </w:rPr>
      </w:pPr>
      <w:r>
        <w:rPr>
          <w:rFonts w:hint="eastAsia" w:ascii="黑体" w:hAnsi="黑体" w:eastAsia="黑体" w:cs="黑体"/>
          <w:color w:val="auto"/>
          <w:spacing w:val="-2"/>
          <w:sz w:val="24"/>
          <w:highlight w:val="none"/>
          <w:lang w:val="en-US" w:eastAsia="zh-CN"/>
        </w:rPr>
        <w:t>26.1</w:t>
      </w:r>
      <w:r>
        <w:rPr>
          <w:rFonts w:hint="eastAsia" w:ascii="黑体" w:hAnsi="黑体" w:eastAsia="黑体" w:cs="黑体"/>
          <w:color w:val="auto"/>
          <w:spacing w:val="-2"/>
          <w:sz w:val="24"/>
          <w:highlight w:val="none"/>
        </w:rPr>
        <w:t>经符合性审查合格的投标文件，评标委员会将根据招标文件确定的评标方法和标准，对其技术部分和商务部分作进一步的比较和评价。</w:t>
      </w:r>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26.2</w:t>
      </w:r>
      <w:r>
        <w:rPr>
          <w:rFonts w:hint="eastAsia" w:ascii="黑体" w:hAnsi="黑体" w:eastAsia="黑体" w:cs="黑体"/>
          <w:color w:val="auto"/>
          <w:spacing w:val="-2"/>
          <w:sz w:val="24"/>
          <w:highlight w:val="none"/>
        </w:rPr>
        <w:t>评标严格按照招标文件的要求和条件进行。根据实际情况，在投标人须知资料表中规定采用下列一种评标方法，详细评标标准见招标文件第四章：</w:t>
      </w:r>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26.3</w:t>
      </w:r>
      <w:r>
        <w:rPr>
          <w:rFonts w:hint="eastAsia" w:ascii="黑体" w:hAnsi="黑体" w:eastAsia="黑体" w:cs="黑体"/>
          <w:color w:val="auto"/>
          <w:spacing w:val="-2"/>
          <w:sz w:val="24"/>
          <w:highlight w:val="none"/>
        </w:rPr>
        <w:t>最低评标价法，是指投标文件满足招标文件全部实质性要求，且投标报价最低的投标人为中标候选人的评标方法。</w:t>
      </w:r>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26.4</w:t>
      </w:r>
      <w:r>
        <w:rPr>
          <w:rFonts w:hint="eastAsia" w:ascii="黑体" w:hAnsi="黑体" w:eastAsia="黑体" w:cs="黑体"/>
          <w:color w:val="auto"/>
          <w:spacing w:val="-2"/>
          <w:sz w:val="24"/>
          <w:highlight w:val="none"/>
        </w:rPr>
        <w:t>综合评分法，是指投标文件满足招标文件全部实质性要求，且按照评审因素的量化指标评审得分最高的投标人为中标候选人的评标方法。</w:t>
      </w:r>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26.5</w:t>
      </w:r>
      <w:r>
        <w:rPr>
          <w:rFonts w:hint="eastAsia" w:ascii="黑体" w:hAnsi="黑体" w:eastAsia="黑体" w:cs="黑体"/>
          <w:color w:val="auto"/>
          <w:spacing w:val="-2"/>
          <w:sz w:val="24"/>
          <w:highlight w:val="none"/>
        </w:rPr>
        <w:t>根据《政府采购促进中小企业发展暂行办法》（财库[2011]181号）、《财政部司法部关于政府采购支持监狱企业发展有关问题的通知》（财库〔2014〕68号）和《三部门联合发布关于促进残疾人就业政府采购政策的通知》（</w:t>
      </w:r>
      <w:bookmarkStart w:id="52" w:name="sendNo"/>
      <w:r>
        <w:rPr>
          <w:rFonts w:hint="eastAsia" w:ascii="黑体" w:hAnsi="黑体" w:eastAsia="黑体" w:cs="黑体"/>
          <w:color w:val="auto"/>
          <w:spacing w:val="-2"/>
          <w:sz w:val="24"/>
          <w:highlight w:val="none"/>
        </w:rPr>
        <w:t>财库〔</w:t>
      </w:r>
      <w:bookmarkEnd w:id="52"/>
      <w:r>
        <w:rPr>
          <w:rFonts w:hint="eastAsia" w:ascii="黑体" w:hAnsi="黑体" w:eastAsia="黑体" w:cs="黑体"/>
          <w:color w:val="auto"/>
          <w:spacing w:val="-2"/>
          <w:sz w:val="24"/>
          <w:highlight w:val="none"/>
        </w:rPr>
        <w:t>2017〕141号）的规定，对满足价格扣除条件且在投标文件中提交了《投标人企业类型声明函》或省级以上监狱管理局、戒毒管理局（含新疆生产建设兵团）出具的属于监狱企业的证明文件的投标人，其投标报价扣除6-10%后参与评审。</w:t>
      </w:r>
      <w:bookmarkStart w:id="53" w:name="_Toc20227"/>
      <w:bookmarkStart w:id="54" w:name="_Toc9378"/>
      <w:bookmarkStart w:id="55" w:name="_Toc31728"/>
      <w:bookmarkStart w:id="56" w:name="_Toc515647785"/>
    </w:p>
    <w:p>
      <w:pPr>
        <w:pStyle w:val="54"/>
        <w:numPr>
          <w:ilvl w:val="0"/>
          <w:numId w:val="0"/>
        </w:numPr>
        <w:tabs>
          <w:tab w:val="left" w:pos="1698"/>
        </w:tabs>
        <w:spacing w:line="360" w:lineRule="auto"/>
        <w:ind w:left="1008" w:leftChars="0" w:right="220" w:rightChars="100"/>
        <w:jc w:val="both"/>
        <w:rPr>
          <w:rFonts w:hint="eastAsia" w:ascii="黑体" w:hAnsi="黑体" w:eastAsia="黑体" w:cs="黑体"/>
          <w:color w:val="auto"/>
          <w:spacing w:val="-2"/>
          <w:sz w:val="24"/>
          <w:highlight w:val="none"/>
        </w:rPr>
      </w:pPr>
      <w:r>
        <w:rPr>
          <w:rFonts w:hint="eastAsia" w:ascii="黑体" w:hAnsi="黑体" w:eastAsia="黑体" w:cs="黑体"/>
          <w:color w:val="auto"/>
          <w:sz w:val="24"/>
          <w:highlight w:val="none"/>
          <w:lang w:val="en-US" w:eastAsia="zh-CN"/>
        </w:rPr>
        <w:t>27</w:t>
      </w:r>
      <w:r>
        <w:rPr>
          <w:rFonts w:hint="eastAsia" w:ascii="黑体" w:hAnsi="黑体" w:eastAsia="黑体" w:cs="黑体"/>
          <w:color w:val="auto"/>
          <w:sz w:val="24"/>
          <w:highlight w:val="none"/>
        </w:rPr>
        <w:t>废标</w:t>
      </w:r>
      <w:bookmarkEnd w:id="53"/>
      <w:bookmarkEnd w:id="54"/>
      <w:bookmarkEnd w:id="55"/>
      <w:bookmarkEnd w:id="56"/>
    </w:p>
    <w:p>
      <w:pPr>
        <w:pStyle w:val="54"/>
        <w:numPr>
          <w:ilvl w:val="0"/>
          <w:numId w:val="0"/>
        </w:numPr>
        <w:tabs>
          <w:tab w:val="left" w:pos="1698"/>
        </w:tabs>
        <w:spacing w:line="360" w:lineRule="auto"/>
        <w:ind w:left="1008" w:leftChars="0" w:right="220" w:rightChars="10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27.1</w:t>
      </w:r>
      <w:r>
        <w:rPr>
          <w:rFonts w:hint="eastAsia" w:ascii="黑体" w:hAnsi="黑体" w:eastAsia="黑体" w:cs="黑体"/>
          <w:color w:val="auto"/>
          <w:spacing w:val="-2"/>
          <w:sz w:val="24"/>
          <w:highlight w:val="none"/>
        </w:rPr>
        <w:t>出现</w:t>
      </w:r>
      <w:r>
        <w:rPr>
          <w:rFonts w:hint="eastAsia" w:ascii="黑体" w:hAnsi="黑体" w:eastAsia="黑体" w:cs="黑体"/>
          <w:color w:val="auto"/>
          <w:highlight w:val="none"/>
        </w:rPr>
        <w:t>下列</w:t>
      </w:r>
      <w:r>
        <w:rPr>
          <w:rFonts w:hint="eastAsia" w:ascii="黑体" w:hAnsi="黑体" w:eastAsia="黑体" w:cs="黑体"/>
          <w:color w:val="auto"/>
          <w:spacing w:val="-2"/>
          <w:sz w:val="24"/>
          <w:highlight w:val="none"/>
        </w:rPr>
        <w:t>情形之一，将导致项目废标：</w:t>
      </w:r>
    </w:p>
    <w:p>
      <w:pPr>
        <w:pStyle w:val="54"/>
        <w:numPr>
          <w:ilvl w:val="0"/>
          <w:numId w:val="0"/>
        </w:numPr>
        <w:tabs>
          <w:tab w:val="left" w:pos="1698"/>
        </w:tabs>
        <w:spacing w:line="360" w:lineRule="auto"/>
        <w:ind w:left="1008" w:leftChars="0" w:right="220" w:rightChars="10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27.1.1</w:t>
      </w:r>
      <w:r>
        <w:rPr>
          <w:rFonts w:hint="eastAsia" w:ascii="黑体" w:hAnsi="黑体" w:eastAsia="黑体" w:cs="黑体"/>
          <w:color w:val="auto"/>
          <w:spacing w:val="-2"/>
          <w:sz w:val="24"/>
          <w:highlight w:val="none"/>
        </w:rPr>
        <w:t>符合专业条件的供应商或者对招标文件做实质性响应的供应商不足三家；</w:t>
      </w:r>
    </w:p>
    <w:p>
      <w:pPr>
        <w:pStyle w:val="54"/>
        <w:numPr>
          <w:ilvl w:val="0"/>
          <w:numId w:val="0"/>
        </w:numPr>
        <w:tabs>
          <w:tab w:val="left" w:pos="1698"/>
        </w:tabs>
        <w:spacing w:line="360" w:lineRule="auto"/>
        <w:ind w:left="1008" w:leftChars="0" w:right="220" w:rightChars="10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27.1.2</w:t>
      </w:r>
      <w:r>
        <w:rPr>
          <w:rFonts w:hint="eastAsia" w:ascii="黑体" w:hAnsi="黑体" w:eastAsia="黑体" w:cs="黑体"/>
          <w:color w:val="auto"/>
          <w:spacing w:val="-2"/>
          <w:sz w:val="24"/>
          <w:highlight w:val="none"/>
        </w:rPr>
        <w:t>出现影响采购公正的违法、违规行为的；</w:t>
      </w:r>
    </w:p>
    <w:p>
      <w:pPr>
        <w:pStyle w:val="54"/>
        <w:numPr>
          <w:ilvl w:val="0"/>
          <w:numId w:val="0"/>
        </w:numPr>
        <w:tabs>
          <w:tab w:val="left" w:pos="1698"/>
        </w:tabs>
        <w:spacing w:line="360" w:lineRule="auto"/>
        <w:ind w:left="1008" w:leftChars="0" w:right="220" w:rightChars="10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27.1.3</w:t>
      </w:r>
      <w:r>
        <w:rPr>
          <w:rFonts w:hint="eastAsia" w:ascii="黑体" w:hAnsi="黑体" w:eastAsia="黑体" w:cs="黑体"/>
          <w:color w:val="auto"/>
          <w:spacing w:val="-2"/>
          <w:sz w:val="24"/>
          <w:highlight w:val="none"/>
        </w:rPr>
        <w:t>投标人的报价均超过了采购预算，采购人不能支付的；</w:t>
      </w:r>
    </w:p>
    <w:p>
      <w:pPr>
        <w:pStyle w:val="54"/>
        <w:numPr>
          <w:ilvl w:val="0"/>
          <w:numId w:val="0"/>
        </w:numPr>
        <w:tabs>
          <w:tab w:val="left" w:pos="1698"/>
        </w:tabs>
        <w:spacing w:line="360" w:lineRule="auto"/>
        <w:ind w:left="1008" w:leftChars="0" w:right="220" w:rightChars="10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27.1.4</w:t>
      </w:r>
      <w:r>
        <w:rPr>
          <w:rFonts w:hint="eastAsia" w:ascii="黑体" w:hAnsi="黑体" w:eastAsia="黑体" w:cs="黑体"/>
          <w:color w:val="auto"/>
          <w:spacing w:val="-2"/>
          <w:sz w:val="24"/>
          <w:highlight w:val="none"/>
        </w:rPr>
        <w:t>因重大变故，采购任务取消的。</w:t>
      </w:r>
      <w:bookmarkStart w:id="57" w:name="_Toc24972"/>
      <w:bookmarkStart w:id="58" w:name="_Toc515647786"/>
      <w:bookmarkStart w:id="59" w:name="_Toc11175"/>
      <w:bookmarkStart w:id="60" w:name="_Toc31289"/>
    </w:p>
    <w:p>
      <w:pPr>
        <w:pStyle w:val="54"/>
        <w:numPr>
          <w:ilvl w:val="0"/>
          <w:numId w:val="0"/>
        </w:numPr>
        <w:tabs>
          <w:tab w:val="left" w:pos="1698"/>
        </w:tabs>
        <w:spacing w:line="360" w:lineRule="auto"/>
        <w:ind w:left="1008" w:leftChars="0" w:right="220" w:rightChars="100"/>
        <w:jc w:val="both"/>
        <w:rPr>
          <w:rFonts w:hint="eastAsia" w:ascii="黑体" w:hAnsi="黑体" w:eastAsia="黑体" w:cs="黑体"/>
          <w:color w:val="auto"/>
          <w:spacing w:val="-2"/>
          <w:sz w:val="24"/>
          <w:highlight w:val="none"/>
        </w:rPr>
      </w:pPr>
      <w:r>
        <w:rPr>
          <w:rFonts w:hint="eastAsia" w:ascii="黑体" w:hAnsi="黑体" w:eastAsia="黑体" w:cs="黑体"/>
          <w:color w:val="auto"/>
          <w:sz w:val="24"/>
          <w:highlight w:val="none"/>
          <w:lang w:val="en-US" w:eastAsia="zh-CN"/>
        </w:rPr>
        <w:t xml:space="preserve">28  </w:t>
      </w:r>
      <w:r>
        <w:rPr>
          <w:rFonts w:hint="eastAsia" w:ascii="黑体" w:hAnsi="黑体" w:eastAsia="黑体" w:cs="黑体"/>
          <w:color w:val="auto"/>
          <w:sz w:val="24"/>
          <w:highlight w:val="none"/>
        </w:rPr>
        <w:t>保密原则</w:t>
      </w:r>
      <w:bookmarkEnd w:id="57"/>
      <w:bookmarkEnd w:id="58"/>
      <w:bookmarkEnd w:id="59"/>
      <w:bookmarkEnd w:id="60"/>
    </w:p>
    <w:p>
      <w:pPr>
        <w:pStyle w:val="54"/>
        <w:numPr>
          <w:ilvl w:val="0"/>
          <w:numId w:val="0"/>
        </w:numPr>
        <w:tabs>
          <w:tab w:val="left" w:pos="1698"/>
        </w:tabs>
        <w:spacing w:line="360" w:lineRule="auto"/>
        <w:ind w:left="1008" w:leftChars="0" w:right="220" w:rightChars="10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28.1</w:t>
      </w:r>
      <w:r>
        <w:rPr>
          <w:rFonts w:hint="eastAsia" w:ascii="黑体" w:hAnsi="黑体" w:eastAsia="黑体" w:cs="黑体"/>
          <w:color w:val="auto"/>
          <w:spacing w:val="-2"/>
          <w:sz w:val="24"/>
          <w:highlight w:val="none"/>
        </w:rPr>
        <w:t>评标将在严格保密的情况下进行;</w:t>
      </w:r>
    </w:p>
    <w:p>
      <w:pPr>
        <w:pStyle w:val="54"/>
        <w:numPr>
          <w:ilvl w:val="0"/>
          <w:numId w:val="0"/>
        </w:numPr>
        <w:tabs>
          <w:tab w:val="left" w:pos="1698"/>
        </w:tabs>
        <w:spacing w:line="360" w:lineRule="auto"/>
        <w:ind w:left="1038" w:leftChars="0" w:right="567" w:rightChars="0"/>
        <w:jc w:val="both"/>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lang w:val="en-US" w:eastAsia="zh-CN"/>
        </w:rPr>
        <w:t>28.2</w:t>
      </w:r>
      <w:r>
        <w:rPr>
          <w:rFonts w:hint="eastAsia" w:ascii="黑体" w:hAnsi="黑体" w:eastAsia="黑体" w:cs="黑体"/>
          <w:color w:val="auto"/>
          <w:spacing w:val="-2"/>
          <w:sz w:val="24"/>
          <w:highlight w:val="none"/>
        </w:rPr>
        <w:t>政府采购评审专家应当遵守评审工作纪律，不得泄露评审文件、评审情况和评审中获悉的商业秘密。</w:t>
      </w:r>
    </w:p>
    <w:p>
      <w:pPr>
        <w:pStyle w:val="6"/>
        <w:spacing w:before="203" w:line="360" w:lineRule="auto"/>
        <w:ind w:right="84"/>
        <w:rPr>
          <w:rFonts w:hint="eastAsia" w:ascii="黑体" w:hAnsi="黑体" w:eastAsia="黑体" w:cs="黑体"/>
          <w:color w:val="auto"/>
          <w:highlight w:val="none"/>
          <w:lang w:val="en-US" w:eastAsia="zh-CN"/>
        </w:rPr>
      </w:pPr>
    </w:p>
    <w:p>
      <w:pPr>
        <w:rPr>
          <w:rFonts w:hint="eastAsia"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lang w:val="en-US" w:eastAsia="zh-CN"/>
        </w:rPr>
        <w:br w:type="page"/>
      </w:r>
    </w:p>
    <w:p>
      <w:pPr>
        <w:pStyle w:val="6"/>
        <w:spacing w:before="203" w:line="360" w:lineRule="auto"/>
        <w:ind w:right="84"/>
        <w:rPr>
          <w:rFonts w:hint="eastAsia" w:ascii="黑体" w:hAnsi="黑体" w:eastAsia="黑体" w:cs="黑体"/>
          <w:color w:val="auto"/>
          <w:highlight w:val="none"/>
        </w:rPr>
      </w:pPr>
      <w:r>
        <w:rPr>
          <w:rFonts w:hint="eastAsia" w:ascii="黑体" w:hAnsi="黑体" w:eastAsia="黑体" w:cs="黑体"/>
          <w:b/>
          <w:bCs/>
          <w:color w:val="auto"/>
          <w:sz w:val="36"/>
          <w:szCs w:val="36"/>
          <w:highlight w:val="none"/>
          <w:lang w:val="en-US" w:eastAsia="zh-CN"/>
        </w:rPr>
        <w:t>五</w:t>
      </w:r>
      <w:r>
        <w:rPr>
          <w:rFonts w:hint="eastAsia" w:ascii="黑体" w:hAnsi="黑体" w:eastAsia="黑体" w:cs="黑体"/>
          <w:b/>
          <w:bCs/>
          <w:color w:val="auto"/>
          <w:sz w:val="36"/>
          <w:szCs w:val="36"/>
          <w:highlight w:val="none"/>
        </w:rPr>
        <w:t>．定标与签订合同</w:t>
      </w:r>
    </w:p>
    <w:p>
      <w:pPr>
        <w:spacing w:before="231" w:line="360" w:lineRule="auto"/>
        <w:ind w:left="1001"/>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29</w:t>
      </w:r>
      <w:r>
        <w:rPr>
          <w:rFonts w:hint="eastAsia" w:ascii="黑体" w:hAnsi="黑体" w:eastAsia="黑体" w:cs="黑体"/>
          <w:color w:val="auto"/>
          <w:sz w:val="24"/>
          <w:highlight w:val="none"/>
        </w:rPr>
        <w:t>.定标</w:t>
      </w:r>
    </w:p>
    <w:p>
      <w:pPr>
        <w:pStyle w:val="54"/>
        <w:numPr>
          <w:ilvl w:val="0"/>
          <w:numId w:val="0"/>
        </w:numPr>
        <w:tabs>
          <w:tab w:val="left" w:pos="1539"/>
        </w:tabs>
        <w:spacing w:before="7" w:line="360" w:lineRule="auto"/>
        <w:ind w:left="1038" w:leftChars="0" w:right="567" w:right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29.1</w:t>
      </w:r>
      <w:r>
        <w:rPr>
          <w:rFonts w:hint="eastAsia" w:ascii="黑体" w:hAnsi="黑体" w:eastAsia="黑体" w:cs="黑体"/>
          <w:color w:val="auto"/>
          <w:sz w:val="24"/>
          <w:highlight w:val="none"/>
        </w:rPr>
        <w:t>投标有效性评审后，评标委员会应当按招标文件规定的标准和方法提出独立评审意见，推荐中标候选供应商。</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29.2</w:t>
      </w:r>
      <w:r>
        <w:rPr>
          <w:rFonts w:hint="eastAsia" w:ascii="黑体" w:hAnsi="黑体" w:eastAsia="黑体" w:cs="黑体"/>
          <w:color w:val="auto"/>
          <w:sz w:val="24"/>
          <w:highlight w:val="none"/>
        </w:rPr>
        <w:t>如评标委员会认为有必要，首先对中标候选供应商就投标文件所提供的内容是否符合招标文件的要求进行资格后审。资格后审视为本项目采购活动的延续，以书面报告作为最终审查的结果。</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29.3</w:t>
      </w:r>
      <w:r>
        <w:rPr>
          <w:rFonts w:hint="eastAsia" w:ascii="黑体" w:hAnsi="黑体" w:eastAsia="黑体" w:cs="黑体"/>
          <w:color w:val="auto"/>
          <w:sz w:val="24"/>
          <w:highlight w:val="none"/>
        </w:rPr>
        <w:t>如果确定中标候选供应商无法履行合同，将按排名依次对其余中标候选供应商进</w:t>
      </w:r>
      <w:r>
        <w:rPr>
          <w:rFonts w:hint="eastAsia" w:ascii="黑体" w:hAnsi="黑体" w:eastAsia="黑体" w:cs="黑体"/>
          <w:color w:val="auto"/>
          <w:sz w:val="24"/>
          <w:szCs w:val="24"/>
          <w:highlight w:val="none"/>
        </w:rPr>
        <w:t>行类似的审查。</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29.4</w:t>
      </w:r>
      <w:r>
        <w:rPr>
          <w:rFonts w:hint="eastAsia" w:ascii="黑体" w:hAnsi="黑体" w:eastAsia="黑体" w:cs="黑体"/>
          <w:color w:val="auto"/>
          <w:sz w:val="24"/>
          <w:szCs w:val="24"/>
          <w:highlight w:val="none"/>
        </w:rPr>
        <w:t>中标供应商放弃中标、因不可抗力不能履行合同、不按照招标文件要求提交履约保证</w:t>
      </w:r>
      <w:bookmarkStart w:id="61" w:name="_bookmark8"/>
      <w:bookmarkEnd w:id="61"/>
      <w:bookmarkStart w:id="62" w:name="六．定标与签订合同"/>
      <w:bookmarkEnd w:id="62"/>
      <w:r>
        <w:rPr>
          <w:rFonts w:hint="eastAsia" w:ascii="黑体" w:hAnsi="黑体" w:eastAsia="黑体" w:cs="黑体"/>
          <w:color w:val="auto"/>
          <w:sz w:val="24"/>
          <w:szCs w:val="24"/>
          <w:highlight w:val="none"/>
        </w:rPr>
        <w:t>金，或者被查实存在影响中标结果的违法行为等情形，不符合中标条件的，采购人可以按照评标委员会提出的中标候选供应商名单排序依次确定其他中标候选供应商为中标供应商，也可以重新招标。</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29.5</w:t>
      </w:r>
      <w:r>
        <w:rPr>
          <w:rFonts w:hint="eastAsia" w:ascii="黑体" w:hAnsi="黑体" w:eastAsia="黑体" w:cs="黑体"/>
          <w:color w:val="auto"/>
          <w:sz w:val="24"/>
          <w:szCs w:val="24"/>
          <w:highlight w:val="none"/>
        </w:rPr>
        <w:t>投标供应商对采购过程、中标结果提出质疑，质疑成立且影响或者可能影响中标结果的，合格投标供应商符合法定数量时，可以从合格的中标候选供应商中另行确定中标供应商的，应当依法另行确定中标供应商；否则应当重新招标。</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29.6</w:t>
      </w:r>
      <w:r>
        <w:rPr>
          <w:rFonts w:hint="eastAsia" w:ascii="黑体" w:hAnsi="黑体" w:eastAsia="黑体" w:cs="黑体"/>
          <w:color w:val="auto"/>
          <w:sz w:val="24"/>
          <w:szCs w:val="24"/>
          <w:highlight w:val="none"/>
        </w:rPr>
        <w:t>原则上把合同授予实质上响应招标文件要求的排名最前的中标候选供应商或通过资格审查的中标候选供应商。</w:t>
      </w:r>
    </w:p>
    <w:p>
      <w:pPr>
        <w:pStyle w:val="54"/>
        <w:numPr>
          <w:ilvl w:val="0"/>
          <w:numId w:val="0"/>
        </w:numPr>
        <w:tabs>
          <w:tab w:val="left" w:pos="1539"/>
        </w:tabs>
        <w:spacing w:line="360" w:lineRule="auto"/>
        <w:ind w:left="1038" w:leftChars="0" w:right="567" w:rightChars="0"/>
        <w:rPr>
          <w:rFonts w:hint="eastAsia" w:ascii="黑体" w:hAnsi="黑体" w:eastAsia="黑体" w:cs="黑体"/>
          <w:color w:val="auto"/>
          <w:highlight w:val="none"/>
        </w:rPr>
      </w:pPr>
      <w:r>
        <w:rPr>
          <w:rFonts w:hint="eastAsia" w:ascii="黑体" w:hAnsi="黑体" w:eastAsia="黑体" w:cs="黑体"/>
          <w:color w:val="auto"/>
          <w:sz w:val="24"/>
          <w:highlight w:val="none"/>
          <w:lang w:val="en-US" w:eastAsia="zh-CN"/>
        </w:rPr>
        <w:t>29.7</w:t>
      </w:r>
      <w:r>
        <w:rPr>
          <w:rFonts w:hint="eastAsia" w:ascii="黑体" w:hAnsi="黑体" w:eastAsia="黑体" w:cs="黑体"/>
          <w:color w:val="auto"/>
          <w:sz w:val="24"/>
          <w:highlight w:val="none"/>
        </w:rPr>
        <w:t>最低报价并不是被授予合同的保证。</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highlight w:val="none"/>
        </w:rPr>
      </w:pPr>
      <w:r>
        <w:rPr>
          <w:rFonts w:hint="eastAsia" w:ascii="黑体" w:hAnsi="黑体" w:eastAsia="黑体" w:cs="黑体"/>
          <w:color w:val="auto"/>
          <w:sz w:val="24"/>
          <w:highlight w:val="none"/>
          <w:lang w:val="en-US" w:eastAsia="zh-CN"/>
        </w:rPr>
        <w:t>29.8</w:t>
      </w:r>
      <w:r>
        <w:rPr>
          <w:rFonts w:hint="eastAsia" w:ascii="黑体" w:hAnsi="黑体" w:eastAsia="黑体" w:cs="黑体"/>
          <w:color w:val="auto"/>
          <w:sz w:val="24"/>
          <w:highlight w:val="none"/>
        </w:rPr>
        <w:t>凡发现中标候选供应商有下列行为之一的，其中标无效，并移交监督管理部门依法处理：</w:t>
      </w:r>
    </w:p>
    <w:p>
      <w:pPr>
        <w:pStyle w:val="54"/>
        <w:numPr>
          <w:ilvl w:val="0"/>
          <w:numId w:val="0"/>
        </w:numPr>
        <w:tabs>
          <w:tab w:val="left" w:pos="1539"/>
        </w:tabs>
        <w:spacing w:line="360" w:lineRule="auto"/>
        <w:ind w:left="1038" w:leftChars="0" w:right="567" w:rightChars="0"/>
        <w:rPr>
          <w:rFonts w:hint="eastAsia" w:ascii="黑体" w:hAnsi="黑体" w:eastAsia="黑体" w:cs="黑体"/>
          <w:color w:val="auto"/>
          <w:highlight w:val="none"/>
        </w:rPr>
      </w:pPr>
      <w:r>
        <w:rPr>
          <w:rFonts w:hint="eastAsia" w:ascii="黑体" w:hAnsi="黑体" w:eastAsia="黑体" w:cs="黑体"/>
          <w:color w:val="auto"/>
          <w:sz w:val="24"/>
          <w:highlight w:val="none"/>
          <w:lang w:val="en-US" w:eastAsia="zh-CN"/>
        </w:rPr>
        <w:t>29.8.1</w:t>
      </w:r>
      <w:r>
        <w:rPr>
          <w:rFonts w:hint="eastAsia" w:ascii="黑体" w:hAnsi="黑体" w:eastAsia="黑体" w:cs="黑体"/>
          <w:color w:val="auto"/>
          <w:sz w:val="24"/>
          <w:highlight w:val="none"/>
        </w:rPr>
        <w:t>以他人名义投标或提供虚假材料弄虚作假谋取中标的；</w:t>
      </w:r>
    </w:p>
    <w:p>
      <w:pPr>
        <w:pStyle w:val="54"/>
        <w:numPr>
          <w:ilvl w:val="0"/>
          <w:numId w:val="0"/>
        </w:numPr>
        <w:tabs>
          <w:tab w:val="left" w:pos="1539"/>
        </w:tabs>
        <w:spacing w:line="360" w:lineRule="auto"/>
        <w:ind w:left="1038" w:leftChars="0" w:right="567" w:rightChars="0"/>
        <w:rPr>
          <w:rFonts w:hint="eastAsia" w:ascii="黑体" w:hAnsi="黑体" w:eastAsia="黑体" w:cs="黑体"/>
          <w:color w:val="auto"/>
          <w:highlight w:val="none"/>
        </w:rPr>
      </w:pPr>
      <w:r>
        <w:rPr>
          <w:rFonts w:hint="eastAsia" w:ascii="黑体" w:hAnsi="黑体" w:eastAsia="黑体" w:cs="黑体"/>
          <w:color w:val="auto"/>
          <w:spacing w:val="-9"/>
          <w:sz w:val="24"/>
          <w:highlight w:val="none"/>
          <w:lang w:val="en-US" w:eastAsia="zh-CN"/>
        </w:rPr>
        <w:t>29.8.2</w:t>
      </w:r>
      <w:r>
        <w:rPr>
          <w:rFonts w:hint="eastAsia" w:ascii="黑体" w:hAnsi="黑体" w:eastAsia="黑体" w:cs="黑体"/>
          <w:color w:val="auto"/>
          <w:spacing w:val="-9"/>
          <w:sz w:val="24"/>
          <w:highlight w:val="none"/>
        </w:rPr>
        <w:t>以他人名义投标，是指使用通过受让或者租借等方式获取的资格、资质证书投</w:t>
      </w:r>
      <w:r>
        <w:rPr>
          <w:rFonts w:hint="eastAsia" w:ascii="黑体" w:hAnsi="黑体" w:eastAsia="黑体" w:cs="黑体"/>
          <w:color w:val="auto"/>
          <w:highlight w:val="none"/>
        </w:rPr>
        <w:t>标。</w:t>
      </w:r>
    </w:p>
    <w:p>
      <w:pPr>
        <w:pStyle w:val="54"/>
        <w:numPr>
          <w:ilvl w:val="0"/>
          <w:numId w:val="0"/>
        </w:numPr>
        <w:tabs>
          <w:tab w:val="left" w:pos="1539"/>
        </w:tabs>
        <w:spacing w:line="360" w:lineRule="auto"/>
        <w:ind w:left="1038" w:leftChars="0" w:right="567" w:rightChars="0"/>
        <w:rPr>
          <w:rFonts w:hint="eastAsia" w:ascii="黑体" w:hAnsi="黑体" w:eastAsia="黑体" w:cs="黑体"/>
          <w:color w:val="auto"/>
          <w:highlight w:val="none"/>
        </w:rPr>
      </w:pPr>
      <w:r>
        <w:rPr>
          <w:rFonts w:hint="eastAsia" w:ascii="黑体" w:hAnsi="黑体" w:eastAsia="黑体" w:cs="黑体"/>
          <w:color w:val="auto"/>
          <w:sz w:val="24"/>
          <w:highlight w:val="none"/>
          <w:lang w:val="en-US" w:eastAsia="zh-CN"/>
        </w:rPr>
        <w:t>29.9</w:t>
      </w:r>
      <w:r>
        <w:rPr>
          <w:rFonts w:hint="eastAsia" w:ascii="黑体" w:hAnsi="黑体" w:eastAsia="黑体" w:cs="黑体"/>
          <w:color w:val="auto"/>
          <w:sz w:val="24"/>
          <w:highlight w:val="none"/>
        </w:rPr>
        <w:t>投标供应商有下列情形之一的，属于提供虚假材料的行为：</w:t>
      </w:r>
    </w:p>
    <w:p>
      <w:pPr>
        <w:pStyle w:val="54"/>
        <w:numPr>
          <w:ilvl w:val="0"/>
          <w:numId w:val="0"/>
        </w:numPr>
        <w:tabs>
          <w:tab w:val="left" w:pos="1539"/>
        </w:tabs>
        <w:spacing w:line="360" w:lineRule="auto"/>
        <w:ind w:left="1038" w:leftChars="0" w:right="567" w:rightChars="0"/>
        <w:rPr>
          <w:rFonts w:hint="eastAsia" w:ascii="黑体" w:hAnsi="黑体" w:eastAsia="黑体" w:cs="黑体"/>
          <w:color w:val="auto"/>
          <w:highlight w:val="none"/>
        </w:rPr>
      </w:pPr>
      <w:r>
        <w:rPr>
          <w:rFonts w:hint="eastAsia" w:ascii="黑体" w:hAnsi="黑体" w:eastAsia="黑体" w:cs="黑体"/>
          <w:color w:val="auto"/>
          <w:sz w:val="24"/>
          <w:highlight w:val="none"/>
          <w:lang w:val="en-US" w:eastAsia="zh-CN"/>
        </w:rPr>
        <w:t>29.9.1</w:t>
      </w:r>
      <w:r>
        <w:rPr>
          <w:rFonts w:hint="eastAsia" w:ascii="黑体" w:hAnsi="黑体" w:eastAsia="黑体" w:cs="黑体"/>
          <w:color w:val="auto"/>
          <w:sz w:val="24"/>
          <w:highlight w:val="none"/>
        </w:rPr>
        <w:t>使用伪造、变造的许可证件；</w:t>
      </w:r>
    </w:p>
    <w:p>
      <w:pPr>
        <w:pStyle w:val="54"/>
        <w:numPr>
          <w:ilvl w:val="0"/>
          <w:numId w:val="0"/>
        </w:numPr>
        <w:tabs>
          <w:tab w:val="left" w:pos="1539"/>
        </w:tabs>
        <w:spacing w:line="360" w:lineRule="auto"/>
        <w:ind w:left="1038" w:leftChars="0" w:right="567" w:rightChars="0"/>
        <w:rPr>
          <w:rFonts w:hint="eastAsia" w:ascii="黑体" w:hAnsi="黑体" w:eastAsia="黑体" w:cs="黑体"/>
          <w:color w:val="auto"/>
          <w:highlight w:val="none"/>
        </w:rPr>
      </w:pPr>
      <w:r>
        <w:rPr>
          <w:rFonts w:hint="eastAsia" w:ascii="黑体" w:hAnsi="黑体" w:eastAsia="黑体" w:cs="黑体"/>
          <w:color w:val="auto"/>
          <w:sz w:val="24"/>
          <w:highlight w:val="none"/>
          <w:lang w:val="en-US" w:eastAsia="zh-CN"/>
        </w:rPr>
        <w:t>29.9.2</w:t>
      </w:r>
      <w:r>
        <w:rPr>
          <w:rFonts w:hint="eastAsia" w:ascii="黑体" w:hAnsi="黑体" w:eastAsia="黑体" w:cs="黑体"/>
          <w:color w:val="auto"/>
          <w:sz w:val="24"/>
          <w:highlight w:val="none"/>
        </w:rPr>
        <w:t>提供虚假的财务状况或者业绩；</w:t>
      </w:r>
    </w:p>
    <w:p>
      <w:pPr>
        <w:pStyle w:val="54"/>
        <w:numPr>
          <w:ilvl w:val="0"/>
          <w:numId w:val="0"/>
        </w:numPr>
        <w:tabs>
          <w:tab w:val="left" w:pos="1539"/>
        </w:tabs>
        <w:spacing w:line="360" w:lineRule="auto"/>
        <w:ind w:left="1038" w:leftChars="0" w:right="567" w:rightChars="0"/>
        <w:rPr>
          <w:rFonts w:hint="eastAsia" w:ascii="黑体" w:hAnsi="黑体" w:eastAsia="黑体" w:cs="黑体"/>
          <w:color w:val="auto"/>
          <w:highlight w:val="none"/>
        </w:rPr>
      </w:pPr>
      <w:r>
        <w:rPr>
          <w:rFonts w:hint="eastAsia" w:ascii="黑体" w:hAnsi="黑体" w:eastAsia="黑体" w:cs="黑体"/>
          <w:color w:val="auto"/>
          <w:sz w:val="24"/>
          <w:highlight w:val="none"/>
          <w:lang w:val="en-US" w:eastAsia="zh-CN"/>
        </w:rPr>
        <w:t>29.9.3</w:t>
      </w:r>
      <w:r>
        <w:rPr>
          <w:rFonts w:hint="eastAsia" w:ascii="黑体" w:hAnsi="黑体" w:eastAsia="黑体" w:cs="黑体"/>
          <w:color w:val="auto"/>
          <w:sz w:val="24"/>
          <w:highlight w:val="none"/>
        </w:rPr>
        <w:t>提供虚假的项目负责人或者主要技术人员简历、劳动关系证明；</w:t>
      </w:r>
    </w:p>
    <w:p>
      <w:pPr>
        <w:pStyle w:val="54"/>
        <w:numPr>
          <w:ilvl w:val="0"/>
          <w:numId w:val="0"/>
        </w:numPr>
        <w:tabs>
          <w:tab w:val="left" w:pos="1539"/>
        </w:tabs>
        <w:spacing w:line="360" w:lineRule="auto"/>
        <w:ind w:left="1038" w:leftChars="0" w:right="567" w:rightChars="0"/>
        <w:rPr>
          <w:rFonts w:hint="eastAsia" w:ascii="黑体" w:hAnsi="黑体" w:eastAsia="黑体" w:cs="黑体"/>
          <w:color w:val="auto"/>
          <w:highlight w:val="none"/>
        </w:rPr>
      </w:pPr>
      <w:r>
        <w:rPr>
          <w:rFonts w:hint="eastAsia" w:ascii="黑体" w:hAnsi="黑体" w:eastAsia="黑体" w:cs="黑体"/>
          <w:color w:val="auto"/>
          <w:sz w:val="24"/>
          <w:highlight w:val="none"/>
          <w:lang w:val="en-US" w:eastAsia="zh-CN"/>
        </w:rPr>
        <w:t>29.9.4</w:t>
      </w:r>
      <w:r>
        <w:rPr>
          <w:rFonts w:hint="eastAsia" w:ascii="黑体" w:hAnsi="黑体" w:eastAsia="黑体" w:cs="黑体"/>
          <w:color w:val="auto"/>
          <w:sz w:val="24"/>
          <w:highlight w:val="none"/>
        </w:rPr>
        <w:t>提供虚假的信用状况；</w:t>
      </w:r>
    </w:p>
    <w:p>
      <w:pPr>
        <w:pStyle w:val="54"/>
        <w:numPr>
          <w:ilvl w:val="0"/>
          <w:numId w:val="0"/>
        </w:numPr>
        <w:tabs>
          <w:tab w:val="left" w:pos="1539"/>
        </w:tabs>
        <w:spacing w:line="360" w:lineRule="auto"/>
        <w:ind w:left="1038" w:leftChars="0" w:right="567" w:rightChars="0"/>
        <w:rPr>
          <w:rFonts w:hint="eastAsia" w:ascii="黑体" w:hAnsi="黑体" w:eastAsia="黑体" w:cs="黑体"/>
          <w:color w:val="auto"/>
          <w:highlight w:val="none"/>
        </w:rPr>
      </w:pPr>
      <w:r>
        <w:rPr>
          <w:rFonts w:hint="eastAsia" w:ascii="黑体" w:hAnsi="黑体" w:eastAsia="黑体" w:cs="黑体"/>
          <w:color w:val="auto"/>
          <w:sz w:val="24"/>
          <w:highlight w:val="none"/>
          <w:lang w:val="en-US" w:eastAsia="zh-CN"/>
        </w:rPr>
        <w:t>29.9.5</w:t>
      </w:r>
      <w:r>
        <w:rPr>
          <w:rFonts w:hint="eastAsia" w:ascii="黑体" w:hAnsi="黑体" w:eastAsia="黑体" w:cs="黑体"/>
          <w:color w:val="auto"/>
          <w:sz w:val="24"/>
          <w:highlight w:val="none"/>
        </w:rPr>
        <w:t>其他弄虚作假的行为；</w:t>
      </w:r>
    </w:p>
    <w:p>
      <w:pPr>
        <w:pStyle w:val="54"/>
        <w:numPr>
          <w:ilvl w:val="0"/>
          <w:numId w:val="0"/>
        </w:numPr>
        <w:tabs>
          <w:tab w:val="left" w:pos="1539"/>
        </w:tabs>
        <w:spacing w:line="360" w:lineRule="auto"/>
        <w:ind w:left="1038" w:leftChars="0" w:right="567" w:rightChars="0"/>
        <w:rPr>
          <w:rFonts w:hint="eastAsia" w:ascii="黑体" w:hAnsi="黑体" w:eastAsia="黑体" w:cs="黑体"/>
          <w:color w:val="auto"/>
          <w:highlight w:val="none"/>
        </w:rPr>
      </w:pPr>
      <w:r>
        <w:rPr>
          <w:rFonts w:hint="eastAsia" w:ascii="黑体" w:hAnsi="黑体" w:eastAsia="黑体" w:cs="黑体"/>
          <w:color w:val="auto"/>
          <w:sz w:val="24"/>
          <w:highlight w:val="none"/>
          <w:lang w:val="en-US" w:eastAsia="zh-CN"/>
        </w:rPr>
        <w:t>29.9.6</w:t>
      </w:r>
      <w:r>
        <w:rPr>
          <w:rFonts w:hint="eastAsia" w:ascii="黑体" w:hAnsi="黑体" w:eastAsia="黑体" w:cs="黑体"/>
          <w:color w:val="auto"/>
          <w:sz w:val="24"/>
          <w:highlight w:val="none"/>
        </w:rPr>
        <w:t>与采购人、其他供应商或者招标代理机构工作人员恶意串通的；</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highlight w:val="none"/>
        </w:rPr>
      </w:pPr>
      <w:r>
        <w:rPr>
          <w:rFonts w:hint="eastAsia" w:ascii="黑体" w:hAnsi="黑体" w:eastAsia="黑体" w:cs="黑体"/>
          <w:color w:val="auto"/>
          <w:sz w:val="24"/>
          <w:highlight w:val="none"/>
          <w:lang w:val="en-US" w:eastAsia="zh-CN"/>
        </w:rPr>
        <w:t>29.9.7</w:t>
      </w:r>
      <w:r>
        <w:rPr>
          <w:rFonts w:hint="eastAsia" w:ascii="黑体" w:hAnsi="黑体" w:eastAsia="黑体" w:cs="黑体"/>
          <w:color w:val="auto"/>
          <w:sz w:val="24"/>
          <w:highlight w:val="none"/>
        </w:rPr>
        <w:t>向采购人、评审专家、招标代理机构工作人员行贿或者提供其他不正当</w:t>
      </w:r>
      <w:r>
        <w:rPr>
          <w:rFonts w:hint="eastAsia" w:ascii="黑体" w:hAnsi="黑体" w:eastAsia="黑体" w:cs="黑体"/>
          <w:color w:val="auto"/>
          <w:highlight w:val="none"/>
        </w:rPr>
        <w:t>利益的；</w:t>
      </w:r>
    </w:p>
    <w:p>
      <w:pPr>
        <w:pStyle w:val="54"/>
        <w:numPr>
          <w:ilvl w:val="0"/>
          <w:numId w:val="0"/>
        </w:numPr>
        <w:tabs>
          <w:tab w:val="left" w:pos="1539"/>
        </w:tabs>
        <w:spacing w:line="360" w:lineRule="auto"/>
        <w:ind w:left="1038" w:leftChars="0" w:right="567" w:rightChars="0"/>
        <w:rPr>
          <w:rFonts w:hint="eastAsia" w:ascii="黑体" w:hAnsi="黑体" w:eastAsia="黑体" w:cs="黑体"/>
          <w:color w:val="auto"/>
          <w:highlight w:val="none"/>
        </w:rPr>
      </w:pPr>
      <w:r>
        <w:rPr>
          <w:rFonts w:hint="eastAsia" w:ascii="黑体" w:hAnsi="黑体" w:eastAsia="黑体" w:cs="黑体"/>
          <w:color w:val="auto"/>
          <w:sz w:val="24"/>
          <w:highlight w:val="none"/>
          <w:lang w:val="en-US" w:eastAsia="zh-CN"/>
        </w:rPr>
        <w:t>29.9.8</w:t>
      </w:r>
      <w:r>
        <w:rPr>
          <w:rFonts w:hint="eastAsia" w:ascii="黑体" w:hAnsi="黑体" w:eastAsia="黑体" w:cs="黑体"/>
          <w:color w:val="auto"/>
          <w:sz w:val="24"/>
          <w:highlight w:val="none"/>
        </w:rPr>
        <w:t>有法律、法规规定的其他损害采购人利益和社会公共利益情形的；</w:t>
      </w:r>
    </w:p>
    <w:p>
      <w:pPr>
        <w:pStyle w:val="54"/>
        <w:numPr>
          <w:ilvl w:val="0"/>
          <w:numId w:val="0"/>
        </w:numPr>
        <w:tabs>
          <w:tab w:val="left" w:pos="1539"/>
        </w:tabs>
        <w:spacing w:line="360" w:lineRule="auto"/>
        <w:ind w:left="1038" w:leftChars="0" w:right="567" w:rightChars="0"/>
        <w:rPr>
          <w:rFonts w:hint="eastAsia" w:ascii="黑体" w:hAnsi="黑体" w:eastAsia="黑体" w:cs="黑体"/>
          <w:color w:val="auto"/>
          <w:highlight w:val="none"/>
        </w:rPr>
      </w:pPr>
      <w:r>
        <w:rPr>
          <w:rFonts w:hint="eastAsia" w:ascii="黑体" w:hAnsi="黑体" w:eastAsia="黑体" w:cs="黑体"/>
          <w:color w:val="auto"/>
          <w:sz w:val="24"/>
          <w:highlight w:val="none"/>
          <w:lang w:val="en-US" w:eastAsia="zh-CN"/>
        </w:rPr>
        <w:t>29.9.9</w:t>
      </w:r>
      <w:r>
        <w:rPr>
          <w:rFonts w:hint="eastAsia" w:ascii="黑体" w:hAnsi="黑体" w:eastAsia="黑体" w:cs="黑体"/>
          <w:color w:val="auto"/>
          <w:sz w:val="24"/>
          <w:highlight w:val="none"/>
        </w:rPr>
        <w:t>其他违反政府采购法律、法规和规章强制性规定的行为。</w:t>
      </w:r>
    </w:p>
    <w:p>
      <w:pPr>
        <w:pStyle w:val="54"/>
        <w:numPr>
          <w:ilvl w:val="0"/>
          <w:numId w:val="0"/>
        </w:numPr>
        <w:tabs>
          <w:tab w:val="left" w:pos="1539"/>
        </w:tabs>
        <w:spacing w:line="360" w:lineRule="auto"/>
        <w:ind w:left="1038" w:leftChars="0" w:right="567" w:right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 xml:space="preserve">30 </w:t>
      </w:r>
      <w:r>
        <w:rPr>
          <w:rFonts w:hint="eastAsia" w:ascii="黑体" w:hAnsi="黑体" w:eastAsia="黑体" w:cs="黑体"/>
          <w:color w:val="auto"/>
          <w:sz w:val="24"/>
          <w:szCs w:val="24"/>
          <w:highlight w:val="none"/>
        </w:rPr>
        <w:t>中标通知书</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30.1</w:t>
      </w:r>
      <w:r>
        <w:rPr>
          <w:rFonts w:hint="eastAsia" w:ascii="黑体" w:hAnsi="黑体" w:eastAsia="黑体" w:cs="黑体"/>
          <w:color w:val="auto"/>
          <w:sz w:val="24"/>
          <w:szCs w:val="24"/>
          <w:highlight w:val="none"/>
        </w:rPr>
        <w:t>中标供应商确定后,招标代理机构将在刊登本次招标公告的媒体上发布中标公告，同时以书面形式向中标供应商发出中标通知书。中标供应商应委派专人凭介绍信或公司授权书（须携带身份证明）到我公司领取中标通知书。中标通知书对采购人和中标供应商具有同等法律效力。中标通知书发出以后，采购人改变中标结果或者中标供应商放弃中标，应当承担相应的法律责任。</w:t>
      </w:r>
    </w:p>
    <w:p>
      <w:pPr>
        <w:pStyle w:val="54"/>
        <w:numPr>
          <w:ilvl w:val="0"/>
          <w:numId w:val="0"/>
        </w:numPr>
        <w:tabs>
          <w:tab w:val="left" w:pos="1539"/>
        </w:tabs>
        <w:spacing w:line="360" w:lineRule="auto"/>
        <w:ind w:left="1038" w:leftChars="0" w:right="567" w:right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30.2</w:t>
      </w:r>
      <w:r>
        <w:rPr>
          <w:rFonts w:hint="eastAsia" w:ascii="黑体" w:hAnsi="黑体" w:eastAsia="黑体" w:cs="黑体"/>
          <w:color w:val="auto"/>
          <w:sz w:val="24"/>
          <w:szCs w:val="24"/>
          <w:highlight w:val="none"/>
        </w:rPr>
        <w:t>招标代理机构对未中标的投标供应商不做未中标原因的解释。</w:t>
      </w:r>
    </w:p>
    <w:p>
      <w:pPr>
        <w:pStyle w:val="54"/>
        <w:numPr>
          <w:ilvl w:val="0"/>
          <w:numId w:val="0"/>
        </w:numPr>
        <w:tabs>
          <w:tab w:val="left" w:pos="1539"/>
        </w:tabs>
        <w:spacing w:line="360" w:lineRule="auto"/>
        <w:ind w:left="1038" w:leftChars="0" w:right="567" w:rightChars="0"/>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 xml:space="preserve">31 </w:t>
      </w:r>
      <w:r>
        <w:rPr>
          <w:rFonts w:hint="eastAsia" w:ascii="黑体" w:hAnsi="黑体" w:eastAsia="黑体" w:cs="黑体"/>
          <w:color w:val="auto"/>
          <w:sz w:val="24"/>
          <w:highlight w:val="none"/>
        </w:rPr>
        <w:t>中标服务费</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31.1</w:t>
      </w:r>
      <w:r>
        <w:rPr>
          <w:rFonts w:hint="eastAsia" w:ascii="黑体" w:hAnsi="黑体" w:eastAsia="黑体" w:cs="黑体"/>
          <w:color w:val="auto"/>
          <w:sz w:val="24"/>
          <w:highlight w:val="none"/>
        </w:rPr>
        <w:t>中标供应商在领取中标通知书时向招标代理机构一次性交纳中标服务费。</w:t>
      </w:r>
    </w:p>
    <w:p>
      <w:pPr>
        <w:pStyle w:val="54"/>
        <w:numPr>
          <w:ilvl w:val="0"/>
          <w:numId w:val="0"/>
        </w:numPr>
        <w:tabs>
          <w:tab w:val="left" w:pos="1506"/>
        </w:tabs>
        <w:spacing w:line="360" w:lineRule="auto"/>
        <w:ind w:left="1038" w:leftChars="0" w:right="567" w:rightChars="0"/>
        <w:jc w:val="both"/>
        <w:rPr>
          <w:rFonts w:hint="eastAsia" w:ascii="黑体" w:hAnsi="黑体" w:eastAsia="黑体" w:cs="黑体"/>
          <w:color w:val="auto"/>
          <w:sz w:val="24"/>
          <w:highlight w:val="none"/>
        </w:rPr>
      </w:pPr>
      <w:r>
        <w:rPr>
          <w:rFonts w:hint="eastAsia" w:ascii="黑体" w:hAnsi="黑体" w:eastAsia="黑体" w:cs="黑体"/>
          <w:color w:val="auto"/>
          <w:spacing w:val="-3"/>
          <w:sz w:val="24"/>
          <w:highlight w:val="none"/>
          <w:lang w:val="en-US" w:eastAsia="zh-CN"/>
        </w:rPr>
        <w:t>31.2</w:t>
      </w:r>
      <w:r>
        <w:rPr>
          <w:rFonts w:hint="eastAsia" w:ascii="黑体" w:hAnsi="黑体" w:eastAsia="黑体" w:cs="黑体"/>
          <w:color w:val="auto"/>
          <w:spacing w:val="-3"/>
          <w:sz w:val="24"/>
          <w:highlight w:val="none"/>
        </w:rPr>
        <w:t>投标供应商须知前附表约定收取定额中标服务费或免收中标服务费的，从其规定。</w:t>
      </w:r>
    </w:p>
    <w:p>
      <w:pPr>
        <w:pStyle w:val="54"/>
        <w:numPr>
          <w:ilvl w:val="0"/>
          <w:numId w:val="0"/>
        </w:numPr>
        <w:tabs>
          <w:tab w:val="left" w:pos="1506"/>
        </w:tabs>
        <w:spacing w:line="360" w:lineRule="auto"/>
        <w:ind w:left="1038" w:leftChars="0" w:right="220" w:rightChars="10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 xml:space="preserve">32 </w:t>
      </w:r>
      <w:r>
        <w:rPr>
          <w:rFonts w:hint="eastAsia" w:ascii="黑体" w:hAnsi="黑体" w:eastAsia="黑体" w:cs="黑体"/>
          <w:color w:val="auto"/>
          <w:sz w:val="24"/>
          <w:highlight w:val="none"/>
        </w:rPr>
        <w:t>履约保证金</w:t>
      </w:r>
    </w:p>
    <w:p>
      <w:pPr>
        <w:pStyle w:val="54"/>
        <w:numPr>
          <w:ilvl w:val="1"/>
          <w:numId w:val="64"/>
        </w:numPr>
        <w:tabs>
          <w:tab w:val="left" w:pos="1506"/>
        </w:tabs>
        <w:spacing w:line="360" w:lineRule="auto"/>
        <w:ind w:left="567" w:right="220" w:rightChars="100" w:firstLine="471"/>
        <w:rPr>
          <w:rFonts w:hint="eastAsia" w:ascii="黑体" w:hAnsi="黑体" w:eastAsia="黑体" w:cs="黑体"/>
          <w:color w:val="auto"/>
          <w:sz w:val="24"/>
          <w:highlight w:val="none"/>
        </w:rPr>
      </w:pPr>
      <w:r>
        <w:rPr>
          <w:rFonts w:hint="eastAsia" w:ascii="黑体" w:hAnsi="黑体" w:eastAsia="黑体" w:cs="黑体"/>
          <w:color w:val="auto"/>
          <w:sz w:val="24"/>
          <w:highlight w:val="none"/>
        </w:rPr>
        <w:t>签订合同前，中标供应商</w:t>
      </w:r>
      <w:r>
        <w:rPr>
          <w:rFonts w:hint="eastAsia" w:ascii="黑体" w:hAnsi="黑体" w:eastAsia="黑体" w:cs="黑体"/>
          <w:color w:val="auto"/>
          <w:sz w:val="24"/>
          <w:highlight w:val="none"/>
          <w:lang w:val="en-US" w:eastAsia="zh-CN"/>
        </w:rPr>
        <w:t>签订合同之日后3日内需</w:t>
      </w:r>
      <w:r>
        <w:rPr>
          <w:rFonts w:hint="eastAsia" w:ascii="黑体" w:hAnsi="黑体" w:eastAsia="黑体" w:cs="黑体"/>
          <w:color w:val="auto"/>
          <w:sz w:val="24"/>
          <w:highlight w:val="none"/>
        </w:rPr>
        <w:t>向业主方提交</w:t>
      </w:r>
      <w:r>
        <w:rPr>
          <w:rFonts w:hint="eastAsia" w:ascii="黑体" w:hAnsi="黑体" w:eastAsia="黑体" w:cs="黑体"/>
          <w:color w:val="auto"/>
          <w:sz w:val="24"/>
          <w:highlight w:val="none"/>
          <w:lang w:val="en-US" w:eastAsia="zh-CN"/>
        </w:rPr>
        <w:t>合同价款10%的</w:t>
      </w:r>
      <w:r>
        <w:rPr>
          <w:rFonts w:hint="eastAsia" w:ascii="黑体" w:hAnsi="黑体" w:eastAsia="黑体" w:cs="黑体"/>
          <w:color w:val="auto"/>
          <w:sz w:val="24"/>
          <w:highlight w:val="none"/>
        </w:rPr>
        <w:t>履约保证金。</w:t>
      </w:r>
      <w:r>
        <w:rPr>
          <w:rFonts w:hint="eastAsia" w:ascii="黑体" w:hAnsi="黑体" w:eastAsia="黑体" w:cs="黑体"/>
          <w:color w:val="auto"/>
          <w:sz w:val="24"/>
          <w:highlight w:val="none"/>
          <w:lang w:val="en-US" w:eastAsia="zh-CN"/>
        </w:rPr>
        <w:t>货到验收合格设备启用后退还10%履约保证金。</w:t>
      </w:r>
    </w:p>
    <w:p>
      <w:pPr>
        <w:pStyle w:val="54"/>
        <w:numPr>
          <w:ilvl w:val="0"/>
          <w:numId w:val="0"/>
        </w:numPr>
        <w:tabs>
          <w:tab w:val="left" w:pos="1506"/>
        </w:tabs>
        <w:spacing w:line="360" w:lineRule="auto"/>
        <w:ind w:left="1038" w:leftChars="0" w:right="220" w:rightChars="10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33.</w:t>
      </w:r>
      <w:r>
        <w:rPr>
          <w:rFonts w:hint="eastAsia" w:ascii="黑体" w:hAnsi="黑体" w:eastAsia="黑体" w:cs="黑体"/>
          <w:color w:val="auto"/>
          <w:sz w:val="24"/>
          <w:highlight w:val="none"/>
        </w:rPr>
        <w:t>签订合同</w:t>
      </w:r>
    </w:p>
    <w:p>
      <w:pPr>
        <w:pStyle w:val="54"/>
        <w:numPr>
          <w:ilvl w:val="0"/>
          <w:numId w:val="0"/>
        </w:numPr>
        <w:tabs>
          <w:tab w:val="left" w:pos="1506"/>
        </w:tabs>
        <w:spacing w:line="360" w:lineRule="auto"/>
        <w:ind w:left="1038" w:leftChars="0" w:right="567" w:right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33.1</w:t>
      </w:r>
      <w:r>
        <w:rPr>
          <w:rFonts w:hint="eastAsia" w:ascii="黑体" w:hAnsi="黑体" w:eastAsia="黑体" w:cs="黑体"/>
          <w:color w:val="auto"/>
          <w:sz w:val="24"/>
          <w:highlight w:val="none"/>
        </w:rPr>
        <w:t>中标供应商应在中标通知书发出之日起三十日内与采购人签订合同。招标文件、中标供应商的投标文件及澄清文件等，均作为合同的附件。合同签订前中标供应商应向业主方出示履约保证金缴纳证明。</w:t>
      </w:r>
    </w:p>
    <w:p>
      <w:pPr>
        <w:pStyle w:val="54"/>
        <w:numPr>
          <w:ilvl w:val="0"/>
          <w:numId w:val="0"/>
        </w:numPr>
        <w:tabs>
          <w:tab w:val="left" w:pos="1575"/>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pacing w:val="-3"/>
          <w:sz w:val="24"/>
          <w:highlight w:val="none"/>
          <w:lang w:val="en-US" w:eastAsia="zh-CN"/>
        </w:rPr>
        <w:t>33.2</w:t>
      </w:r>
      <w:r>
        <w:rPr>
          <w:rFonts w:hint="eastAsia" w:ascii="黑体" w:hAnsi="黑体" w:eastAsia="黑体" w:cs="黑体"/>
          <w:color w:val="auto"/>
          <w:spacing w:val="-3"/>
          <w:sz w:val="24"/>
          <w:highlight w:val="none"/>
        </w:rPr>
        <w:t>采购双方必须严格按照招标文件、投标文件及有关承诺签订采购合同，不得擅自变更。合同的标的、价款、质量、履行期限等主要条款应当与招标文件和中标供应商的投标文件的内容一致，采购人和中标供应商不得再行订立背离合同实质性内容的其他协议。对任何因双方擅自变更合同引起的问题招标代理机构概</w:t>
      </w:r>
      <w:r>
        <w:rPr>
          <w:rFonts w:hint="eastAsia" w:ascii="黑体" w:hAnsi="黑体" w:eastAsia="黑体" w:cs="黑体"/>
          <w:color w:val="auto"/>
          <w:spacing w:val="-3"/>
          <w:sz w:val="24"/>
          <w:szCs w:val="24"/>
          <w:highlight w:val="none"/>
        </w:rPr>
        <w:t>不负责，合同风险由双方自行承担。</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33.3</w:t>
      </w:r>
      <w:r>
        <w:rPr>
          <w:rFonts w:hint="eastAsia" w:ascii="黑体" w:hAnsi="黑体" w:eastAsia="黑体" w:cs="黑体"/>
          <w:color w:val="auto"/>
          <w:sz w:val="24"/>
          <w:szCs w:val="24"/>
          <w:highlight w:val="none"/>
        </w:rPr>
        <w:t>采购人保留以书面形式要求合同的卖方对其所投货物的装运方式、交货地点及服务细则等作适当调整的权利。</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33.4</w:t>
      </w:r>
      <w:r>
        <w:rPr>
          <w:rFonts w:hint="eastAsia" w:ascii="黑体" w:hAnsi="黑体" w:eastAsia="黑体" w:cs="黑体"/>
          <w:color w:val="auto"/>
          <w:sz w:val="24"/>
          <w:szCs w:val="24"/>
          <w:highlight w:val="none"/>
        </w:rPr>
        <w:t>无论基于何种原因，各项本应作拒绝处理的情形即便未被及时发现而使该投标供应商进入评审或其它后续程序，包括已经签约的情形，一旦在任何时间被发现，招标代理机构均有权决定取消该投标供应商此前评议的结果或对该报价予以拒绝，并有权采取相应的补救或纠正措施。一旦该投标供应商被拒绝或被取消此前评议结果，其现有的位置将被其他投标供应商依序替代或重新组织采购，相关的一切损失均由该投标供应商自行承担。</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34</w:t>
      </w:r>
      <w:r>
        <w:rPr>
          <w:rFonts w:hint="eastAsia" w:ascii="黑体" w:hAnsi="黑体" w:eastAsia="黑体" w:cs="黑体"/>
          <w:color w:val="auto"/>
          <w:sz w:val="24"/>
          <w:szCs w:val="24"/>
          <w:highlight w:val="none"/>
        </w:rPr>
        <w:t>验收</w:t>
      </w:r>
    </w:p>
    <w:p>
      <w:pPr>
        <w:pStyle w:val="54"/>
        <w:numPr>
          <w:ilvl w:val="0"/>
          <w:numId w:val="0"/>
        </w:numPr>
        <w:tabs>
          <w:tab w:val="left" w:pos="1506"/>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pacing w:val="-5"/>
          <w:sz w:val="24"/>
          <w:szCs w:val="24"/>
          <w:highlight w:val="none"/>
          <w:lang w:val="en-US" w:eastAsia="zh-CN"/>
        </w:rPr>
        <w:t>34.1</w:t>
      </w:r>
      <w:r>
        <w:rPr>
          <w:rFonts w:hint="eastAsia" w:ascii="黑体" w:hAnsi="黑体" w:eastAsia="黑体" w:cs="黑体"/>
          <w:color w:val="auto"/>
          <w:spacing w:val="-5"/>
          <w:sz w:val="24"/>
          <w:szCs w:val="24"/>
          <w:highlight w:val="none"/>
        </w:rPr>
        <w:t>采购人为政府采购项目履约验收的责任主体，负责政府采购项目的履约验收工作。</w:t>
      </w:r>
      <w:r>
        <w:rPr>
          <w:rFonts w:hint="eastAsia" w:ascii="黑体" w:hAnsi="黑体" w:eastAsia="黑体" w:cs="黑体"/>
          <w:color w:val="auto"/>
          <w:sz w:val="24"/>
          <w:szCs w:val="24"/>
          <w:highlight w:val="none"/>
        </w:rPr>
        <w:t>采购人与中标供应商应当根据合同法的约定依法履行合同义务。采购合同的履行、违约责任和解决争议的方式等适用《中华人民共和国合同法》。 采购人应当加强对中标供应商的履约管理，并按照采购合同约定，及时向中标供应商支付采购资金。对于中标供应商违反采购合同约定的行为，采购人应该及时处理，依法追究其违约责任。</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34.2</w:t>
      </w:r>
      <w:r>
        <w:rPr>
          <w:rFonts w:hint="eastAsia" w:ascii="黑体" w:hAnsi="黑体" w:eastAsia="黑体" w:cs="黑体"/>
          <w:color w:val="auto"/>
          <w:sz w:val="24"/>
          <w:szCs w:val="24"/>
          <w:highlight w:val="none"/>
        </w:rPr>
        <w:t>采购人验收时，应成立三人以上（由合同双方、技术人员、纪检等相关人员组成）验收小组，明确责任，严格依照采购文件、中标通知书、政府采购合同及相关验收规范进行核对、验收，形成验收结论，并出具书面验收报告。</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34.3</w:t>
      </w:r>
      <w:r>
        <w:rPr>
          <w:rFonts w:hint="eastAsia" w:ascii="黑体" w:hAnsi="黑体" w:eastAsia="黑体" w:cs="黑体"/>
          <w:color w:val="auto"/>
          <w:sz w:val="24"/>
          <w:szCs w:val="24"/>
          <w:highlight w:val="none"/>
        </w:rPr>
        <w:t>涉及安全、消防、环保等其他需要由质检或行业主管部门进行验收的项目，必须邀请相关部门或相关专家参与验收。检测、验收费用均由合同乙方（中标供应商）承担。</w:t>
      </w:r>
    </w:p>
    <w:p>
      <w:pPr>
        <w:pStyle w:val="54"/>
        <w:numPr>
          <w:ilvl w:val="0"/>
          <w:numId w:val="0"/>
        </w:numPr>
        <w:tabs>
          <w:tab w:val="left" w:pos="1539"/>
        </w:tabs>
        <w:spacing w:line="360" w:lineRule="auto"/>
        <w:ind w:left="1038" w:leftChars="0" w:right="220" w:rightChars="1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35</w:t>
      </w:r>
      <w:r>
        <w:rPr>
          <w:rFonts w:hint="eastAsia" w:ascii="黑体" w:hAnsi="黑体" w:eastAsia="黑体" w:cs="黑体"/>
          <w:color w:val="auto"/>
          <w:sz w:val="24"/>
          <w:szCs w:val="24"/>
          <w:highlight w:val="none"/>
        </w:rPr>
        <w:t>质疑</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35.1</w:t>
      </w:r>
      <w:r>
        <w:rPr>
          <w:rFonts w:hint="eastAsia" w:ascii="黑体" w:hAnsi="黑体" w:eastAsia="黑体" w:cs="黑体"/>
          <w:color w:val="auto"/>
          <w:sz w:val="24"/>
          <w:szCs w:val="24"/>
          <w:highlight w:val="none"/>
        </w:rPr>
        <w:t>质疑人认为招标文件、采购过程、中标结果使自己的权益受到损害的，可以在知</w:t>
      </w:r>
      <w:r>
        <w:rPr>
          <w:rFonts w:hint="eastAsia" w:ascii="黑体" w:hAnsi="黑体" w:eastAsia="黑体" w:cs="黑体"/>
          <w:color w:val="auto"/>
          <w:spacing w:val="-3"/>
          <w:sz w:val="24"/>
          <w:szCs w:val="24"/>
          <w:highlight w:val="none"/>
        </w:rPr>
        <w:t>道或者应知其权益受到损害之日起即</w:t>
      </w:r>
      <w:r>
        <w:rPr>
          <w:rFonts w:hint="eastAsia" w:ascii="黑体" w:hAnsi="黑体" w:eastAsia="黑体" w:cs="黑体"/>
          <w:color w:val="auto"/>
          <w:sz w:val="24"/>
          <w:szCs w:val="24"/>
          <w:highlight w:val="none"/>
        </w:rPr>
        <w:t>法定质疑期内，向采购人、招标代理机构提出质</w:t>
      </w:r>
      <w:r>
        <w:rPr>
          <w:rFonts w:hint="eastAsia" w:ascii="黑体" w:hAnsi="黑体" w:eastAsia="黑体" w:cs="黑体"/>
          <w:color w:val="auto"/>
          <w:spacing w:val="-6"/>
          <w:sz w:val="24"/>
          <w:szCs w:val="24"/>
          <w:highlight w:val="none"/>
        </w:rPr>
        <w:t>疑。质疑材料递交方式：书面形式。</w:t>
      </w:r>
    </w:p>
    <w:p>
      <w:pPr>
        <w:pStyle w:val="54"/>
        <w:numPr>
          <w:ilvl w:val="0"/>
          <w:numId w:val="0"/>
        </w:numPr>
        <w:tabs>
          <w:tab w:val="left" w:pos="1539"/>
        </w:tabs>
        <w:spacing w:before="8"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35.2</w:t>
      </w:r>
      <w:r>
        <w:rPr>
          <w:rFonts w:hint="eastAsia" w:ascii="黑体" w:hAnsi="黑体" w:eastAsia="黑体" w:cs="黑体"/>
          <w:color w:val="auto"/>
          <w:sz w:val="24"/>
          <w:szCs w:val="24"/>
          <w:highlight w:val="none"/>
        </w:rPr>
        <w:t>质疑实行实名制，应当有具体的事项及根据，不得进行虚假、恶意质疑，扰乱公共资源交易活动的正常工作秩序。</w:t>
      </w:r>
    </w:p>
    <w:p>
      <w:pPr>
        <w:pStyle w:val="54"/>
        <w:numPr>
          <w:ilvl w:val="0"/>
          <w:numId w:val="0"/>
        </w:numPr>
        <w:tabs>
          <w:tab w:val="left" w:pos="1539"/>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35.3</w:t>
      </w:r>
      <w:r>
        <w:rPr>
          <w:rFonts w:hint="eastAsia" w:ascii="黑体" w:hAnsi="黑体" w:eastAsia="黑体" w:cs="黑体"/>
          <w:color w:val="auto"/>
          <w:sz w:val="24"/>
          <w:szCs w:val="24"/>
          <w:highlight w:val="none"/>
        </w:rPr>
        <w:t xml:space="preserve">质疑人对招标文件、采购过程、中标结果的质疑，应当在法定质疑期内一次性提出针对同一采购程序环节的质疑。 </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35.4</w:t>
      </w:r>
      <w:r>
        <w:rPr>
          <w:rFonts w:hint="eastAsia" w:ascii="黑体" w:hAnsi="黑体" w:eastAsia="黑体" w:cs="黑体"/>
          <w:color w:val="auto"/>
          <w:sz w:val="24"/>
          <w:highlight w:val="none"/>
        </w:rPr>
        <w:t>质疑应以书面形式实名提出，书面质疑材料应当包括以下内容：</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35.4.1</w:t>
      </w:r>
      <w:r>
        <w:rPr>
          <w:rFonts w:hint="eastAsia" w:ascii="黑体" w:hAnsi="黑体" w:eastAsia="黑体" w:cs="黑体"/>
          <w:color w:val="auto"/>
          <w:sz w:val="24"/>
          <w:highlight w:val="none"/>
        </w:rPr>
        <w:t xml:space="preserve">质疑人的姓名或者名称、地址、邮编、联系人及联系电话； </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35.4.2</w:t>
      </w:r>
      <w:r>
        <w:rPr>
          <w:rFonts w:hint="eastAsia" w:ascii="黑体" w:hAnsi="黑体" w:eastAsia="黑体" w:cs="黑体"/>
          <w:color w:val="auto"/>
          <w:sz w:val="24"/>
          <w:highlight w:val="none"/>
        </w:rPr>
        <w:t>质疑项目的名称、编号，包别号（如有）；</w:t>
      </w:r>
    </w:p>
    <w:p>
      <w:pPr>
        <w:tabs>
          <w:tab w:val="left" w:pos="1515"/>
        </w:tabs>
        <w:spacing w:line="360" w:lineRule="auto"/>
        <w:ind w:right="567" w:firstLine="810" w:firstLineChars="450"/>
        <w:rPr>
          <w:rFonts w:hint="eastAsia" w:ascii="黑体" w:hAnsi="黑体" w:eastAsia="黑体" w:cs="黑体"/>
          <w:color w:val="auto"/>
          <w:sz w:val="24"/>
          <w:highlight w:val="none"/>
        </w:rPr>
      </w:pPr>
      <w:r>
        <w:rPr>
          <w:rFonts w:hint="eastAsia" w:ascii="黑体" w:hAnsi="黑体" w:eastAsia="黑体" w:cs="黑体"/>
          <w:color w:val="auto"/>
          <w:sz w:val="18"/>
          <w:szCs w:val="24"/>
          <w:highlight w:val="none"/>
        </w:rPr>
        <w:t xml:space="preserve">     </w:t>
      </w:r>
      <w:r>
        <w:rPr>
          <w:rFonts w:hint="eastAsia" w:ascii="黑体" w:hAnsi="黑体" w:eastAsia="黑体" w:cs="黑体"/>
          <w:color w:val="auto"/>
          <w:sz w:val="18"/>
          <w:szCs w:val="24"/>
          <w:highlight w:val="none"/>
          <w:lang w:val="en-US" w:eastAsia="zh-CN"/>
        </w:rPr>
        <w:t>35.4.3</w:t>
      </w:r>
      <w:r>
        <w:rPr>
          <w:rFonts w:hint="eastAsia" w:ascii="黑体" w:hAnsi="黑体" w:eastAsia="黑体" w:cs="黑体"/>
          <w:color w:val="auto"/>
          <w:sz w:val="24"/>
          <w:highlight w:val="none"/>
        </w:rPr>
        <w:t>具体、明确的质疑事项和与质疑事项相关的请求；</w:t>
      </w:r>
    </w:p>
    <w:p>
      <w:pPr>
        <w:pStyle w:val="54"/>
        <w:tabs>
          <w:tab w:val="left" w:pos="1515"/>
        </w:tabs>
        <w:spacing w:line="360" w:lineRule="auto"/>
        <w:ind w:left="1038" w:right="567" w:firstLine="0"/>
        <w:rPr>
          <w:rFonts w:hint="eastAsia" w:ascii="黑体" w:hAnsi="黑体" w:eastAsia="黑体" w:cs="黑体"/>
          <w:color w:val="auto"/>
          <w:sz w:val="24"/>
          <w:highlight w:val="none"/>
        </w:rPr>
      </w:pPr>
      <w:r>
        <w:rPr>
          <w:rFonts w:hint="eastAsia" w:ascii="黑体" w:hAnsi="黑体" w:eastAsia="黑体" w:cs="黑体"/>
          <w:color w:val="auto"/>
          <w:sz w:val="18"/>
          <w:szCs w:val="24"/>
          <w:highlight w:val="none"/>
          <w:lang w:val="en-US" w:eastAsia="zh-CN"/>
        </w:rPr>
        <w:t>35.4.4</w:t>
      </w:r>
      <w:r>
        <w:rPr>
          <w:rFonts w:hint="eastAsia" w:ascii="黑体" w:hAnsi="黑体" w:eastAsia="黑体" w:cs="黑体"/>
          <w:color w:val="auto"/>
          <w:sz w:val="24"/>
          <w:highlight w:val="none"/>
        </w:rPr>
        <w:t>事实依据；</w:t>
      </w:r>
    </w:p>
    <w:p>
      <w:pPr>
        <w:pStyle w:val="54"/>
        <w:tabs>
          <w:tab w:val="left" w:pos="1515"/>
        </w:tabs>
        <w:spacing w:line="360" w:lineRule="auto"/>
        <w:ind w:left="1038" w:right="567" w:firstLine="0"/>
        <w:rPr>
          <w:rFonts w:hint="eastAsia" w:ascii="黑体" w:hAnsi="黑体" w:eastAsia="黑体" w:cs="黑体"/>
          <w:color w:val="auto"/>
          <w:sz w:val="24"/>
          <w:highlight w:val="none"/>
        </w:rPr>
      </w:pPr>
      <w:r>
        <w:rPr>
          <w:rFonts w:hint="eastAsia" w:ascii="黑体" w:hAnsi="黑体" w:eastAsia="黑体" w:cs="黑体"/>
          <w:color w:val="auto"/>
          <w:sz w:val="18"/>
          <w:szCs w:val="24"/>
          <w:highlight w:val="none"/>
        </w:rPr>
        <w:t>3</w:t>
      </w:r>
      <w:r>
        <w:rPr>
          <w:rFonts w:hint="eastAsia" w:ascii="黑体" w:hAnsi="黑体" w:eastAsia="黑体" w:cs="黑体"/>
          <w:color w:val="auto"/>
          <w:sz w:val="18"/>
          <w:szCs w:val="24"/>
          <w:highlight w:val="none"/>
          <w:lang w:val="en-US" w:eastAsia="zh-CN"/>
        </w:rPr>
        <w:t>5</w:t>
      </w:r>
      <w:r>
        <w:rPr>
          <w:rFonts w:hint="eastAsia" w:ascii="黑体" w:hAnsi="黑体" w:eastAsia="黑体" w:cs="黑体"/>
          <w:color w:val="auto"/>
          <w:sz w:val="18"/>
          <w:szCs w:val="24"/>
          <w:highlight w:val="none"/>
        </w:rPr>
        <w:t>.4.5</w:t>
      </w:r>
      <w:r>
        <w:rPr>
          <w:rFonts w:hint="eastAsia" w:ascii="黑体" w:hAnsi="黑体" w:eastAsia="黑体" w:cs="黑体"/>
          <w:color w:val="auto"/>
          <w:sz w:val="24"/>
          <w:highlight w:val="none"/>
        </w:rPr>
        <w:t>必要的法律依据；</w:t>
      </w:r>
    </w:p>
    <w:p>
      <w:pPr>
        <w:pStyle w:val="54"/>
        <w:tabs>
          <w:tab w:val="left" w:pos="1515"/>
        </w:tabs>
        <w:spacing w:line="360" w:lineRule="auto"/>
        <w:ind w:left="1038" w:right="567" w:firstLine="0"/>
        <w:rPr>
          <w:rFonts w:hint="eastAsia" w:ascii="黑体" w:hAnsi="黑体" w:eastAsia="黑体" w:cs="黑体"/>
          <w:color w:val="auto"/>
          <w:sz w:val="24"/>
          <w:szCs w:val="24"/>
          <w:highlight w:val="none"/>
        </w:rPr>
      </w:pPr>
      <w:r>
        <w:rPr>
          <w:rFonts w:hint="eastAsia" w:ascii="黑体" w:hAnsi="黑体" w:eastAsia="黑体" w:cs="黑体"/>
          <w:color w:val="auto"/>
          <w:sz w:val="18"/>
          <w:szCs w:val="24"/>
          <w:highlight w:val="none"/>
        </w:rPr>
        <w:t>3</w:t>
      </w:r>
      <w:r>
        <w:rPr>
          <w:rFonts w:hint="eastAsia" w:ascii="黑体" w:hAnsi="黑体" w:eastAsia="黑体" w:cs="黑体"/>
          <w:color w:val="auto"/>
          <w:sz w:val="18"/>
          <w:szCs w:val="24"/>
          <w:highlight w:val="none"/>
          <w:lang w:val="en-US" w:eastAsia="zh-CN"/>
        </w:rPr>
        <w:t>5</w:t>
      </w:r>
      <w:r>
        <w:rPr>
          <w:rFonts w:hint="eastAsia" w:ascii="黑体" w:hAnsi="黑体" w:eastAsia="黑体" w:cs="黑体"/>
          <w:color w:val="auto"/>
          <w:sz w:val="18"/>
          <w:szCs w:val="24"/>
          <w:highlight w:val="none"/>
        </w:rPr>
        <w:t>.4.6</w:t>
      </w:r>
      <w:r>
        <w:rPr>
          <w:rFonts w:hint="eastAsia" w:ascii="黑体" w:hAnsi="黑体" w:eastAsia="黑体" w:cs="黑体"/>
          <w:color w:val="auto"/>
          <w:sz w:val="24"/>
          <w:szCs w:val="24"/>
          <w:highlight w:val="none"/>
        </w:rPr>
        <w:t>提出质疑的日期。</w:t>
      </w:r>
    </w:p>
    <w:p>
      <w:pPr>
        <w:pStyle w:val="54"/>
        <w:tabs>
          <w:tab w:val="left" w:pos="1515"/>
        </w:tabs>
        <w:spacing w:line="360" w:lineRule="auto"/>
        <w:ind w:left="1038" w:right="567" w:firstLine="0"/>
        <w:jc w:val="both"/>
        <w:rPr>
          <w:rFonts w:hint="eastAsia" w:ascii="黑体" w:hAnsi="黑体" w:eastAsia="黑体" w:cs="黑体"/>
          <w:color w:val="auto"/>
          <w:sz w:val="24"/>
          <w:szCs w:val="24"/>
          <w:highlight w:val="none"/>
        </w:rPr>
      </w:pPr>
      <w:r>
        <w:rPr>
          <w:rFonts w:hint="eastAsia" w:ascii="黑体" w:hAnsi="黑体" w:eastAsia="黑体" w:cs="黑体"/>
          <w:color w:val="auto"/>
          <w:sz w:val="18"/>
          <w:szCs w:val="24"/>
          <w:highlight w:val="none"/>
        </w:rPr>
        <w:t>3</w:t>
      </w:r>
      <w:r>
        <w:rPr>
          <w:rFonts w:hint="eastAsia" w:ascii="黑体" w:hAnsi="黑体" w:eastAsia="黑体" w:cs="黑体"/>
          <w:color w:val="auto"/>
          <w:sz w:val="18"/>
          <w:szCs w:val="24"/>
          <w:highlight w:val="none"/>
          <w:lang w:val="en-US" w:eastAsia="zh-CN"/>
        </w:rPr>
        <w:t>5</w:t>
      </w:r>
      <w:r>
        <w:rPr>
          <w:rFonts w:hint="eastAsia" w:ascii="黑体" w:hAnsi="黑体" w:eastAsia="黑体" w:cs="黑体"/>
          <w:color w:val="auto"/>
          <w:sz w:val="18"/>
          <w:szCs w:val="24"/>
          <w:highlight w:val="none"/>
        </w:rPr>
        <w:t>.4.7</w:t>
      </w:r>
      <w:r>
        <w:rPr>
          <w:rFonts w:hint="eastAsia" w:ascii="黑体" w:hAnsi="黑体" w:eastAsia="黑体" w:cs="黑体"/>
          <w:color w:val="auto"/>
          <w:sz w:val="24"/>
          <w:szCs w:val="24"/>
          <w:highlight w:val="none"/>
        </w:rPr>
        <w:t>质疑人为自然人的，应当由本人签字；质疑人为法人或者其他组织的，应当由法定代表人、主要负责人，或者其授权代表签字或者盖章，并加盖公章。</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35.5</w:t>
      </w:r>
      <w:r>
        <w:rPr>
          <w:rFonts w:hint="eastAsia" w:ascii="黑体" w:hAnsi="黑体" w:eastAsia="黑体" w:cs="黑体"/>
          <w:color w:val="auto"/>
          <w:sz w:val="24"/>
          <w:highlight w:val="none"/>
        </w:rPr>
        <w:t>有下列情形之一的，不予受理：</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35.5.1</w:t>
      </w:r>
      <w:r>
        <w:rPr>
          <w:rFonts w:hint="eastAsia" w:ascii="黑体" w:hAnsi="黑体" w:eastAsia="黑体" w:cs="黑体"/>
          <w:color w:val="auto"/>
          <w:sz w:val="24"/>
          <w:highlight w:val="none"/>
        </w:rPr>
        <w:t>提起质疑的主体不是参与该政府采购项目活动的供应商；</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35.5.2</w:t>
      </w:r>
      <w:r>
        <w:rPr>
          <w:rFonts w:hint="eastAsia" w:ascii="黑体" w:hAnsi="黑体" w:eastAsia="黑体" w:cs="黑体"/>
          <w:color w:val="auto"/>
          <w:sz w:val="24"/>
          <w:highlight w:val="none"/>
        </w:rPr>
        <w:t>提起质疑的时间超过规定时限的；</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35.5.3</w:t>
      </w:r>
      <w:r>
        <w:rPr>
          <w:rFonts w:hint="eastAsia" w:ascii="黑体" w:hAnsi="黑体" w:eastAsia="黑体" w:cs="黑体"/>
          <w:color w:val="auto"/>
          <w:sz w:val="24"/>
          <w:highlight w:val="none"/>
        </w:rPr>
        <w:t>质疑材料不完整的；</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35.5.4</w:t>
      </w:r>
      <w:r>
        <w:rPr>
          <w:rFonts w:hint="eastAsia" w:ascii="黑体" w:hAnsi="黑体" w:eastAsia="黑体" w:cs="黑体"/>
          <w:color w:val="auto"/>
          <w:sz w:val="24"/>
          <w:highlight w:val="none"/>
        </w:rPr>
        <w:t>质疑事项含有主观猜测等内容且未提供有效线索、难以查证的；</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35.5.5</w:t>
      </w:r>
      <w:r>
        <w:rPr>
          <w:rFonts w:hint="eastAsia" w:ascii="黑体" w:hAnsi="黑体" w:eastAsia="黑体" w:cs="黑体"/>
          <w:color w:val="auto"/>
          <w:sz w:val="24"/>
          <w:highlight w:val="none"/>
        </w:rPr>
        <w:t>对其他投标供应商的投标文件详细内容质疑，无法提供合法来源渠道的；</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35.5.6</w:t>
      </w:r>
      <w:r>
        <w:rPr>
          <w:rFonts w:hint="eastAsia" w:ascii="黑体" w:hAnsi="黑体" w:eastAsia="黑体" w:cs="黑体"/>
          <w:color w:val="auto"/>
          <w:sz w:val="24"/>
          <w:highlight w:val="none"/>
        </w:rPr>
        <w:t>质疑事项已进入投诉处理、行政复议或行政诉讼程序的。</w:t>
      </w:r>
    </w:p>
    <w:p>
      <w:pPr>
        <w:pStyle w:val="54"/>
        <w:numPr>
          <w:ilvl w:val="0"/>
          <w:numId w:val="0"/>
        </w:numPr>
        <w:tabs>
          <w:tab w:val="left" w:pos="1515"/>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35.6</w:t>
      </w:r>
      <w:r>
        <w:rPr>
          <w:rFonts w:hint="eastAsia" w:ascii="黑体" w:hAnsi="黑体" w:eastAsia="黑体" w:cs="黑体"/>
          <w:color w:val="auto"/>
          <w:sz w:val="24"/>
          <w:highlight w:val="none"/>
        </w:rPr>
        <w:t>经审查符合质疑条件的，自收到质疑之日起即为受理。招标代理机构将在</w:t>
      </w:r>
      <w:r>
        <w:rPr>
          <w:rFonts w:hint="eastAsia" w:ascii="黑体" w:hAnsi="黑体" w:eastAsia="黑体" w:cs="黑体"/>
          <w:color w:val="auto"/>
          <w:spacing w:val="-9"/>
          <w:sz w:val="24"/>
          <w:highlight w:val="none"/>
        </w:rPr>
        <w:t>质疑受理后</w:t>
      </w:r>
      <w:r>
        <w:rPr>
          <w:rFonts w:hint="eastAsia" w:ascii="黑体" w:hAnsi="黑体" w:eastAsia="黑体" w:cs="黑体"/>
          <w:color w:val="auto"/>
          <w:sz w:val="24"/>
          <w:highlight w:val="none"/>
        </w:rPr>
        <w:t>7</w:t>
      </w:r>
      <w:r>
        <w:rPr>
          <w:rFonts w:hint="eastAsia" w:ascii="黑体" w:hAnsi="黑体" w:eastAsia="黑体" w:cs="黑体"/>
          <w:color w:val="auto"/>
          <w:spacing w:val="-2"/>
          <w:sz w:val="24"/>
          <w:highlight w:val="none"/>
        </w:rPr>
        <w:t>个工作日内作出答复或相关处理决定</w:t>
      </w:r>
      <w:r>
        <w:rPr>
          <w:rFonts w:hint="eastAsia" w:ascii="黑体" w:hAnsi="黑体" w:eastAsia="黑体" w:cs="黑体"/>
          <w:color w:val="auto"/>
          <w:sz w:val="24"/>
          <w:highlight w:val="none"/>
        </w:rPr>
        <w:t>（</w:t>
      </w:r>
      <w:r>
        <w:rPr>
          <w:rFonts w:hint="eastAsia" w:ascii="黑体" w:hAnsi="黑体" w:eastAsia="黑体" w:cs="黑体"/>
          <w:color w:val="auto"/>
          <w:spacing w:val="-8"/>
          <w:sz w:val="24"/>
          <w:highlight w:val="none"/>
        </w:rPr>
        <w:t>需要检验、检测、鉴定、专家评审的，所需时间不计算在内），并以书面形式通知质疑人，答复的内容不得涉及商业秘密。</w:t>
      </w:r>
    </w:p>
    <w:p>
      <w:pPr>
        <w:pStyle w:val="54"/>
        <w:numPr>
          <w:ilvl w:val="0"/>
          <w:numId w:val="0"/>
        </w:numPr>
        <w:tabs>
          <w:tab w:val="left" w:pos="1515"/>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35.7</w:t>
      </w:r>
      <w:r>
        <w:rPr>
          <w:rFonts w:hint="eastAsia" w:ascii="黑体" w:hAnsi="黑体" w:eastAsia="黑体" w:cs="黑体"/>
          <w:color w:val="auto"/>
          <w:sz w:val="24"/>
          <w:highlight w:val="none"/>
        </w:rPr>
        <w:t>质疑人在答复期满前撤回质疑的，应由法定代表人或授权代表人签字确认</w:t>
      </w:r>
      <w:r>
        <w:rPr>
          <w:rFonts w:hint="eastAsia" w:ascii="黑体" w:hAnsi="黑体" w:eastAsia="黑体" w:cs="黑体"/>
          <w:color w:val="auto"/>
          <w:sz w:val="24"/>
          <w:szCs w:val="24"/>
          <w:highlight w:val="none"/>
        </w:rPr>
        <w:t>，招标代理机构即终止质疑处理程序。质疑人不得以同一理由再次提出质疑。</w:t>
      </w:r>
    </w:p>
    <w:p>
      <w:pPr>
        <w:pStyle w:val="54"/>
        <w:numPr>
          <w:ilvl w:val="0"/>
          <w:numId w:val="0"/>
        </w:numPr>
        <w:tabs>
          <w:tab w:val="left" w:pos="1515"/>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35.8</w:t>
      </w:r>
      <w:r>
        <w:rPr>
          <w:rFonts w:hint="eastAsia" w:ascii="黑体" w:hAnsi="黑体" w:eastAsia="黑体" w:cs="黑体"/>
          <w:color w:val="auto"/>
          <w:sz w:val="24"/>
          <w:szCs w:val="24"/>
          <w:highlight w:val="none"/>
        </w:rPr>
        <w:t>质疑人对质疑答复不满意或招标代理机构未在规定时间内做出答复的，可以在规定期限内向监督管理部门提起投诉。质疑人应在答复期满后十五个工作日内提起投诉。</w:t>
      </w:r>
    </w:p>
    <w:p>
      <w:pPr>
        <w:pStyle w:val="54"/>
        <w:numPr>
          <w:ilvl w:val="0"/>
          <w:numId w:val="0"/>
        </w:numPr>
        <w:tabs>
          <w:tab w:val="left" w:pos="1515"/>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35.9</w:t>
      </w:r>
      <w:r>
        <w:rPr>
          <w:rFonts w:hint="eastAsia" w:ascii="黑体" w:hAnsi="黑体" w:eastAsia="黑体" w:cs="黑体"/>
          <w:color w:val="auto"/>
          <w:sz w:val="24"/>
          <w:highlight w:val="none"/>
        </w:rPr>
        <w:t>质疑人有下列情形之一的，属于虚假、恶意质疑，招标代理机构将报监督管理部门予以处理。</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35.9.1</w:t>
      </w:r>
      <w:r>
        <w:rPr>
          <w:rFonts w:hint="eastAsia" w:ascii="黑体" w:hAnsi="黑体" w:eastAsia="黑体" w:cs="黑体"/>
          <w:color w:val="auto"/>
          <w:sz w:val="24"/>
          <w:highlight w:val="none"/>
        </w:rPr>
        <w:t>一年内三次以上质疑均查无实据的；</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35.9.2</w:t>
      </w:r>
      <w:r>
        <w:rPr>
          <w:rFonts w:hint="eastAsia" w:ascii="黑体" w:hAnsi="黑体" w:eastAsia="黑体" w:cs="黑体"/>
          <w:color w:val="auto"/>
          <w:sz w:val="24"/>
          <w:highlight w:val="none"/>
        </w:rPr>
        <w:t>捏造事实；</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35.9.3</w:t>
      </w:r>
      <w:r>
        <w:rPr>
          <w:rFonts w:hint="eastAsia" w:ascii="黑体" w:hAnsi="黑体" w:eastAsia="黑体" w:cs="黑体"/>
          <w:color w:val="auto"/>
          <w:sz w:val="24"/>
          <w:highlight w:val="none"/>
        </w:rPr>
        <w:t>提供虚假材料；</w:t>
      </w:r>
    </w:p>
    <w:p>
      <w:pPr>
        <w:pStyle w:val="54"/>
        <w:numPr>
          <w:ilvl w:val="0"/>
          <w:numId w:val="0"/>
        </w:numPr>
        <w:tabs>
          <w:tab w:val="left" w:pos="1515"/>
        </w:tabs>
        <w:spacing w:line="360" w:lineRule="auto"/>
        <w:ind w:left="1038" w:leftChars="0" w:right="567" w:rightChars="0"/>
        <w:jc w:val="both"/>
        <w:rPr>
          <w:rFonts w:hint="eastAsia" w:ascii="黑体" w:hAnsi="黑体" w:eastAsia="黑体" w:cs="黑体"/>
          <w:color w:val="auto"/>
          <w:sz w:val="24"/>
          <w:szCs w:val="24"/>
          <w:highlight w:val="none"/>
        </w:rPr>
      </w:pPr>
      <w:r>
        <w:rPr>
          <w:rFonts w:hint="eastAsia" w:ascii="黑体" w:hAnsi="黑体" w:eastAsia="黑体" w:cs="黑体"/>
          <w:color w:val="auto"/>
          <w:spacing w:val="-2"/>
          <w:sz w:val="24"/>
          <w:highlight w:val="none"/>
          <w:lang w:val="en-US" w:eastAsia="zh-CN"/>
        </w:rPr>
        <w:t>35.9.4</w:t>
      </w:r>
      <w:r>
        <w:rPr>
          <w:rFonts w:hint="eastAsia" w:ascii="黑体" w:hAnsi="黑体" w:eastAsia="黑体" w:cs="黑体"/>
          <w:color w:val="auto"/>
          <w:spacing w:val="-2"/>
          <w:sz w:val="24"/>
          <w:highlight w:val="none"/>
        </w:rPr>
        <w:t>以非法手段取得证明材料。证据来源的合法性存在明显疑问，投诉人无法</w:t>
      </w:r>
      <w:r>
        <w:rPr>
          <w:rFonts w:hint="eastAsia" w:ascii="黑体" w:hAnsi="黑体" w:eastAsia="黑体" w:cs="黑体"/>
          <w:color w:val="auto"/>
          <w:spacing w:val="-2"/>
          <w:sz w:val="24"/>
          <w:szCs w:val="24"/>
          <w:highlight w:val="none"/>
        </w:rPr>
        <w:t>证明其取得方式合法的，视为以非法手段取得证明材料。</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未尽事宜</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szCs w:val="24"/>
          <w:highlight w:val="none"/>
        </w:rPr>
      </w:pPr>
      <w:r>
        <w:rPr>
          <w:rFonts w:hint="eastAsia" w:ascii="黑体" w:hAnsi="黑体" w:eastAsia="黑体" w:cs="黑体"/>
          <w:color w:val="auto"/>
          <w:w w:val="105"/>
          <w:sz w:val="24"/>
          <w:szCs w:val="24"/>
          <w:highlight w:val="none"/>
          <w:lang w:val="en-US" w:eastAsia="zh-CN"/>
        </w:rPr>
        <w:t>36.1</w:t>
      </w:r>
      <w:r>
        <w:rPr>
          <w:rFonts w:hint="eastAsia" w:ascii="黑体" w:hAnsi="黑体" w:eastAsia="黑体" w:cs="黑体"/>
          <w:color w:val="auto"/>
          <w:w w:val="105"/>
          <w:sz w:val="24"/>
          <w:szCs w:val="24"/>
          <w:highlight w:val="none"/>
        </w:rPr>
        <w:t>按政府采购法律法规的规定执行。</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37</w:t>
      </w:r>
      <w:r>
        <w:rPr>
          <w:rFonts w:hint="eastAsia" w:ascii="黑体" w:hAnsi="黑体" w:eastAsia="黑体" w:cs="黑体"/>
          <w:color w:val="auto"/>
          <w:sz w:val="24"/>
          <w:szCs w:val="24"/>
          <w:highlight w:val="none"/>
        </w:rPr>
        <w:t>解释权</w:t>
      </w:r>
    </w:p>
    <w:p>
      <w:pPr>
        <w:pStyle w:val="54"/>
        <w:numPr>
          <w:ilvl w:val="0"/>
          <w:numId w:val="0"/>
        </w:numPr>
        <w:tabs>
          <w:tab w:val="left" w:pos="1515"/>
        </w:tabs>
        <w:spacing w:line="360" w:lineRule="auto"/>
        <w:ind w:left="1038" w:leftChars="0" w:right="567" w:rightChars="0"/>
        <w:rPr>
          <w:rFonts w:hint="eastAsia" w:ascii="黑体" w:hAnsi="黑体" w:eastAsia="黑体" w:cs="黑体"/>
          <w:color w:val="auto"/>
          <w:sz w:val="24"/>
          <w:szCs w:val="24"/>
          <w:highlight w:val="none"/>
        </w:rPr>
        <w:sectPr>
          <w:pgSz w:w="11910" w:h="16850"/>
          <w:pgMar w:top="1440" w:right="1080" w:bottom="1440" w:left="1080" w:header="877" w:footer="1068" w:gutter="0"/>
          <w:cols w:space="720" w:num="1"/>
        </w:sectPr>
      </w:pPr>
      <w:r>
        <w:rPr>
          <w:rFonts w:hint="eastAsia" w:ascii="黑体" w:hAnsi="黑体" w:eastAsia="黑体" w:cs="黑体"/>
          <w:color w:val="auto"/>
          <w:sz w:val="24"/>
          <w:szCs w:val="24"/>
          <w:highlight w:val="none"/>
          <w:lang w:val="en-US" w:eastAsia="zh-CN"/>
        </w:rPr>
        <w:t>37.1</w:t>
      </w:r>
      <w:r>
        <w:rPr>
          <w:rFonts w:hint="eastAsia" w:ascii="黑体" w:hAnsi="黑体" w:eastAsia="黑体" w:cs="黑体"/>
          <w:color w:val="auto"/>
          <w:sz w:val="24"/>
          <w:szCs w:val="24"/>
          <w:highlight w:val="none"/>
        </w:rPr>
        <w:t>本招标文件的解释权属于</w:t>
      </w:r>
      <w:r>
        <w:rPr>
          <w:rFonts w:hint="eastAsia" w:ascii="黑体" w:hAnsi="黑体" w:eastAsia="黑体" w:cs="黑体"/>
          <w:color w:val="auto"/>
          <w:sz w:val="24"/>
          <w:szCs w:val="24"/>
          <w:highlight w:val="none"/>
          <w:lang w:eastAsia="zh-CN"/>
        </w:rPr>
        <w:t>新疆安航工程项目管理有限公司</w:t>
      </w:r>
      <w:r>
        <w:rPr>
          <w:rFonts w:hint="eastAsia" w:ascii="黑体" w:hAnsi="黑体" w:eastAsia="黑体" w:cs="黑体"/>
          <w:color w:val="auto"/>
          <w:sz w:val="24"/>
          <w:szCs w:val="24"/>
          <w:highlight w:val="none"/>
        </w:rPr>
        <w:t>。</w:t>
      </w:r>
    </w:p>
    <w:p>
      <w:pPr>
        <w:pStyle w:val="5"/>
        <w:spacing w:line="511" w:lineRule="exact"/>
        <w:ind w:right="82"/>
        <w:jc w:val="center"/>
        <w:rPr>
          <w:rFonts w:hint="eastAsia" w:ascii="黑体" w:hAnsi="黑体" w:eastAsia="黑体" w:cs="黑体"/>
          <w:b/>
          <w:color w:val="auto"/>
          <w:sz w:val="36"/>
          <w:szCs w:val="36"/>
          <w:highlight w:val="none"/>
        </w:rPr>
      </w:pPr>
      <w:bookmarkStart w:id="63" w:name="第四章_评标办法"/>
      <w:bookmarkEnd w:id="63"/>
      <w:bookmarkStart w:id="64" w:name="_bookmark9"/>
      <w:bookmarkEnd w:id="64"/>
      <w:bookmarkStart w:id="65" w:name="_Toc5817"/>
      <w:r>
        <w:rPr>
          <w:rFonts w:hint="eastAsia" w:ascii="黑体" w:hAnsi="黑体" w:eastAsia="黑体" w:cs="黑体"/>
          <w:b/>
          <w:color w:val="auto"/>
          <w:sz w:val="36"/>
          <w:szCs w:val="36"/>
          <w:highlight w:val="none"/>
        </w:rPr>
        <w:t>第四章 评标办法</w:t>
      </w:r>
      <w:bookmarkEnd w:id="65"/>
    </w:p>
    <w:p>
      <w:pPr>
        <w:pStyle w:val="19"/>
        <w:tabs>
          <w:tab w:val="left" w:pos="967"/>
          <w:tab w:val="left" w:pos="1447"/>
        </w:tabs>
        <w:spacing w:before="37" w:line="360" w:lineRule="auto"/>
        <w:ind w:left="0" w:right="336"/>
        <w:jc w:val="center"/>
        <w:rPr>
          <w:rFonts w:hint="eastAsia" w:ascii="黑体" w:hAnsi="黑体" w:eastAsia="黑体" w:cs="黑体"/>
          <w:color w:val="auto"/>
          <w:highlight w:val="none"/>
        </w:rPr>
      </w:pPr>
      <w:r>
        <w:rPr>
          <w:rFonts w:hint="eastAsia" w:ascii="黑体" w:hAnsi="黑体" w:eastAsia="黑体" w:cs="黑体"/>
          <w:color w:val="auto"/>
          <w:highlight w:val="none"/>
        </w:rPr>
        <w:t>一．</w:t>
      </w:r>
      <w:r>
        <w:rPr>
          <w:rFonts w:hint="eastAsia" w:ascii="黑体" w:hAnsi="黑体" w:eastAsia="黑体" w:cs="黑体"/>
          <w:color w:val="auto"/>
          <w:highlight w:val="none"/>
        </w:rPr>
        <w:tab/>
      </w:r>
      <w:r>
        <w:rPr>
          <w:rFonts w:hint="eastAsia" w:ascii="黑体" w:hAnsi="黑体" w:eastAsia="黑体" w:cs="黑体"/>
          <w:color w:val="auto"/>
          <w:highlight w:val="none"/>
        </w:rPr>
        <w:t>总</w:t>
      </w:r>
      <w:r>
        <w:rPr>
          <w:rFonts w:hint="eastAsia" w:ascii="黑体" w:hAnsi="黑体" w:eastAsia="黑体" w:cs="黑体"/>
          <w:color w:val="auto"/>
          <w:highlight w:val="none"/>
        </w:rPr>
        <w:tab/>
      </w:r>
      <w:r>
        <w:rPr>
          <w:rFonts w:hint="eastAsia" w:ascii="黑体" w:hAnsi="黑体" w:eastAsia="黑体" w:cs="黑体"/>
          <w:color w:val="auto"/>
          <w:highlight w:val="none"/>
        </w:rPr>
        <w:t>则</w:t>
      </w:r>
    </w:p>
    <w:p>
      <w:pPr>
        <w:pStyle w:val="19"/>
        <w:spacing w:before="7"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第一条 为了做好</w:t>
      </w:r>
      <w:r>
        <w:rPr>
          <w:rFonts w:hint="eastAsia" w:ascii="黑体" w:hAnsi="黑体" w:eastAsia="黑体" w:cs="黑体"/>
          <w:color w:val="auto"/>
          <w:highlight w:val="none"/>
          <w:lang w:eastAsia="zh-CN"/>
        </w:rPr>
        <w:t>轮台县卫生健康委员会轮台县卫生健康委员会核酸检测实验室医疗设备采购项目</w:t>
      </w:r>
      <w:r>
        <w:rPr>
          <w:rFonts w:hint="eastAsia" w:ascii="黑体" w:hAnsi="黑体" w:eastAsia="黑体" w:cs="黑体"/>
          <w:color w:val="auto"/>
          <w:highlight w:val="none"/>
        </w:rPr>
        <w:t>的招标评标工作，保证项目评审工作的正常有序进行，维护采购人、投标供应商的合法权益，依据政府采购法律法规，本着公开、公平、公正的原则，制定本评标办法。</w:t>
      </w:r>
    </w:p>
    <w:p>
      <w:pPr>
        <w:pStyle w:val="19"/>
        <w:spacing w:before="7"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第二条 本项目评标办法采用综合评分法。</w:t>
      </w:r>
    </w:p>
    <w:p>
      <w:pPr>
        <w:pStyle w:val="19"/>
        <w:spacing w:before="7"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第三条 本项目将依法组建不少于</w:t>
      </w:r>
      <w:r>
        <w:rPr>
          <w:rFonts w:hint="eastAsia" w:ascii="黑体" w:hAnsi="黑体" w:eastAsia="黑体" w:cs="黑体"/>
          <w:color w:val="auto"/>
          <w:highlight w:val="none"/>
          <w:lang w:val="en-US"/>
        </w:rPr>
        <w:t>5</w:t>
      </w:r>
      <w:r>
        <w:rPr>
          <w:rFonts w:hint="eastAsia" w:ascii="黑体" w:hAnsi="黑体" w:eastAsia="黑体" w:cs="黑体"/>
          <w:color w:val="auto"/>
          <w:highlight w:val="none"/>
        </w:rPr>
        <w:t>人组成的评标委员会，负责本项目的评标工作。</w:t>
      </w:r>
    </w:p>
    <w:p>
      <w:pPr>
        <w:pStyle w:val="19"/>
        <w:spacing w:before="7"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第四条 评标委员会按照“公平、公正、科学、择优”的原则，评价参加本次招标的投标供应商所提供的产品价格、性能、质量、服务及其投标文件的符合性及响应性。</w:t>
      </w:r>
    </w:p>
    <w:p>
      <w:pPr>
        <w:pStyle w:val="19"/>
        <w:spacing w:before="7" w:line="360" w:lineRule="auto"/>
        <w:ind w:left="567" w:right="567" w:firstLine="471"/>
        <w:jc w:val="center"/>
        <w:rPr>
          <w:rFonts w:hint="eastAsia" w:ascii="黑体" w:hAnsi="黑体" w:eastAsia="黑体" w:cs="黑体"/>
          <w:color w:val="auto"/>
          <w:highlight w:val="none"/>
        </w:rPr>
      </w:pPr>
      <w:r>
        <w:rPr>
          <w:rFonts w:hint="eastAsia" w:ascii="黑体" w:hAnsi="黑体" w:eastAsia="黑体" w:cs="黑体"/>
          <w:color w:val="auto"/>
          <w:highlight w:val="none"/>
        </w:rPr>
        <w:t>二．评标程序及评审细则</w:t>
      </w:r>
    </w:p>
    <w:p>
      <w:pPr>
        <w:pStyle w:val="19"/>
        <w:spacing w:before="7"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第五条 评标工作于开标后进行。评标委员会应认真研究招标文件，至少应了解和熟悉以下内容：</w:t>
      </w:r>
    </w:p>
    <w:p>
      <w:pPr>
        <w:pStyle w:val="19"/>
        <w:spacing w:before="7"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（一）招标的目的；</w:t>
      </w:r>
    </w:p>
    <w:p>
      <w:pPr>
        <w:pStyle w:val="19"/>
        <w:spacing w:before="7"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（二）招标项目的范围和性质；</w:t>
      </w:r>
    </w:p>
    <w:p>
      <w:pPr>
        <w:pStyle w:val="19"/>
        <w:spacing w:before="7"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（三）招标文件中规定的主要技术要求、标准和商务条款；</w:t>
      </w:r>
    </w:p>
    <w:p>
      <w:pPr>
        <w:pStyle w:val="19"/>
        <w:spacing w:before="7" w:line="360" w:lineRule="auto"/>
        <w:ind w:left="220" w:leftChars="100" w:right="567" w:firstLine="840" w:firstLineChars="350"/>
        <w:jc w:val="both"/>
        <w:rPr>
          <w:rFonts w:hint="eastAsia" w:ascii="黑体" w:hAnsi="黑体" w:eastAsia="黑体" w:cs="黑体"/>
          <w:color w:val="auto"/>
          <w:highlight w:val="none"/>
        </w:rPr>
      </w:pPr>
      <w:r>
        <w:rPr>
          <w:rFonts w:hint="eastAsia" w:ascii="黑体" w:hAnsi="黑体" w:eastAsia="黑体" w:cs="黑体"/>
          <w:color w:val="auto"/>
          <w:highlight w:val="none"/>
        </w:rPr>
        <w:t>（四）招标文件规定的评标标准、评标方法和在评标过程中考虑的相关因素。</w:t>
      </w:r>
    </w:p>
    <w:p>
      <w:pPr>
        <w:pStyle w:val="19"/>
        <w:spacing w:before="7" w:line="360" w:lineRule="auto"/>
        <w:ind w:left="220" w:leftChars="100" w:right="567" w:firstLine="720" w:firstLineChars="300"/>
        <w:jc w:val="both"/>
        <w:rPr>
          <w:rFonts w:hint="eastAsia" w:ascii="黑体" w:hAnsi="黑体" w:eastAsia="黑体" w:cs="黑体"/>
          <w:color w:val="auto"/>
          <w:highlight w:val="none"/>
        </w:rPr>
      </w:pPr>
      <w:r>
        <w:rPr>
          <w:rFonts w:hint="eastAsia" w:ascii="黑体" w:hAnsi="黑体" w:eastAsia="黑体" w:cs="黑体"/>
          <w:color w:val="auto"/>
          <w:highlight w:val="none"/>
        </w:rPr>
        <w:t>第六条 有效投标应符合以下原则：</w:t>
      </w:r>
    </w:p>
    <w:p>
      <w:pPr>
        <w:pStyle w:val="19"/>
        <w:spacing w:before="7"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（一）满足招标文件的实质性要求；</w:t>
      </w:r>
    </w:p>
    <w:p>
      <w:pPr>
        <w:pStyle w:val="19"/>
        <w:spacing w:before="7"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（二）无重大偏离、保留或采购人不能接受的附加条件；</w:t>
      </w:r>
    </w:p>
    <w:p>
      <w:pPr>
        <w:pStyle w:val="19"/>
        <w:spacing w:before="7"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（三）通过投标有效性评审；</w:t>
      </w:r>
    </w:p>
    <w:p>
      <w:pPr>
        <w:pStyle w:val="19"/>
        <w:spacing w:before="7"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（四）评标委员会依据招标文件认定的其他原则。</w:t>
      </w:r>
    </w:p>
    <w:p>
      <w:pPr>
        <w:pStyle w:val="19"/>
        <w:spacing w:before="7"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第七条 评标委员会遵循公开、公平、公正和科学诚信的原则，按照招标文件规定的评标办法对投标文件采用相同程序和标准独立进行评定。</w:t>
      </w:r>
    </w:p>
    <w:p>
      <w:pPr>
        <w:pStyle w:val="19"/>
        <w:spacing w:before="7" w:line="360" w:lineRule="auto"/>
        <w:ind w:left="567" w:right="567" w:firstLine="471"/>
        <w:jc w:val="both"/>
        <w:rPr>
          <w:rFonts w:hint="eastAsia" w:ascii="黑体" w:hAnsi="黑体" w:eastAsia="黑体" w:cs="黑体"/>
          <w:color w:val="auto"/>
          <w:highlight w:val="none"/>
        </w:rPr>
      </w:pPr>
      <w:r>
        <w:rPr>
          <w:rFonts w:hint="eastAsia" w:ascii="黑体" w:hAnsi="黑体" w:eastAsia="黑体" w:cs="黑体"/>
          <w:color w:val="auto"/>
          <w:highlight w:val="none"/>
        </w:rPr>
        <w:t>第八条 综合评分法，是指投标文件满足招标文件全部实质性要求且按照评审因素的量化指标评审得分最高的供应商为中标候选供应商的评标方法。综合评分法的主要因素：投标文件中的技术、</w:t>
      </w:r>
      <w:r>
        <w:rPr>
          <w:rFonts w:hint="eastAsia" w:ascii="黑体" w:hAnsi="黑体" w:eastAsia="黑体" w:cs="黑体"/>
          <w:color w:val="auto"/>
          <w:highlight w:val="none"/>
          <w:lang w:val="en-US"/>
        </w:rPr>
        <w:t>商务</w:t>
      </w:r>
      <w:r>
        <w:rPr>
          <w:rFonts w:hint="eastAsia" w:ascii="黑体" w:hAnsi="黑体" w:eastAsia="黑体" w:cs="黑体"/>
          <w:color w:val="auto"/>
          <w:highlight w:val="none"/>
        </w:rPr>
        <w:t>、价格及相应的分值权重，满分为 100 分。分值及评审程序构成如下：</w:t>
      </w:r>
    </w:p>
    <w:tbl>
      <w:tblPr>
        <w:tblStyle w:val="42"/>
        <w:tblpPr w:leftFromText="180" w:rightFromText="180" w:vertAnchor="text" w:horzAnchor="page" w:tblpX="1303" w:tblpY="143"/>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525" w:type="dxa"/>
            <w:shd w:val="clear" w:color="auto" w:fill="auto"/>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分值构成</w:t>
            </w:r>
          </w:p>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（总分100分）</w:t>
            </w:r>
          </w:p>
        </w:tc>
        <w:tc>
          <w:tcPr>
            <w:tcW w:w="7540" w:type="dxa"/>
            <w:shd w:val="clear" w:color="auto" w:fill="auto"/>
            <w:vAlign w:val="center"/>
          </w:tcPr>
          <w:p>
            <w:pPr>
              <w:spacing w:line="360" w:lineRule="auto"/>
              <w:rPr>
                <w:rFonts w:hint="eastAsia" w:ascii="黑体" w:hAnsi="黑体" w:eastAsia="黑体" w:cs="黑体"/>
                <w:color w:val="auto"/>
                <w:szCs w:val="21"/>
                <w:highlight w:val="none"/>
                <w:u w:val="single"/>
              </w:rPr>
            </w:pPr>
            <w:r>
              <w:rPr>
                <w:rFonts w:hint="eastAsia" w:ascii="黑体" w:hAnsi="黑体" w:eastAsia="黑体" w:cs="黑体"/>
                <w:color w:val="auto"/>
                <w:szCs w:val="21"/>
                <w:highlight w:val="none"/>
              </w:rPr>
              <w:t>价格分值：</w:t>
            </w:r>
            <w:r>
              <w:rPr>
                <w:rFonts w:hint="eastAsia" w:ascii="黑体" w:hAnsi="黑体" w:eastAsia="黑体" w:cs="黑体"/>
                <w:color w:val="auto"/>
                <w:szCs w:val="21"/>
                <w:highlight w:val="none"/>
                <w:u w:val="single"/>
              </w:rPr>
              <w:t>30分</w:t>
            </w:r>
          </w:p>
          <w:p>
            <w:pPr>
              <w:spacing w:line="360" w:lineRule="auto"/>
              <w:rPr>
                <w:rFonts w:hint="eastAsia" w:ascii="黑体" w:hAnsi="黑体" w:eastAsia="黑体" w:cs="黑体"/>
                <w:color w:val="auto"/>
                <w:szCs w:val="21"/>
                <w:highlight w:val="none"/>
                <w:u w:val="single"/>
              </w:rPr>
            </w:pPr>
            <w:r>
              <w:rPr>
                <w:rFonts w:hint="eastAsia" w:ascii="黑体" w:hAnsi="黑体" w:eastAsia="黑体" w:cs="黑体"/>
                <w:color w:val="auto"/>
                <w:szCs w:val="21"/>
                <w:highlight w:val="none"/>
              </w:rPr>
              <w:t>商务部分：</w:t>
            </w:r>
            <w:r>
              <w:rPr>
                <w:rFonts w:hint="eastAsia" w:ascii="黑体" w:hAnsi="黑体" w:eastAsia="黑体" w:cs="黑体"/>
                <w:color w:val="auto"/>
                <w:szCs w:val="21"/>
                <w:highlight w:val="none"/>
                <w:u w:val="single"/>
                <w:lang w:val="en-US" w:eastAsia="zh-CN"/>
              </w:rPr>
              <w:t>10</w:t>
            </w:r>
            <w:r>
              <w:rPr>
                <w:rFonts w:hint="eastAsia" w:ascii="黑体" w:hAnsi="黑体" w:eastAsia="黑体" w:cs="黑体"/>
                <w:color w:val="auto"/>
                <w:szCs w:val="21"/>
                <w:highlight w:val="none"/>
                <w:u w:val="single"/>
              </w:rPr>
              <w:t>分</w:t>
            </w:r>
          </w:p>
          <w:p>
            <w:pPr>
              <w:spacing w:line="360" w:lineRule="auto"/>
              <w:rPr>
                <w:rFonts w:hint="eastAsia" w:ascii="黑体" w:hAnsi="黑体" w:eastAsia="黑体" w:cs="黑体"/>
                <w:color w:val="auto"/>
                <w:szCs w:val="21"/>
                <w:highlight w:val="none"/>
                <w:u w:val="single"/>
              </w:rPr>
            </w:pPr>
            <w:r>
              <w:rPr>
                <w:rFonts w:hint="eastAsia" w:ascii="黑体" w:hAnsi="黑体" w:eastAsia="黑体" w:cs="黑体"/>
                <w:color w:val="auto"/>
                <w:szCs w:val="21"/>
                <w:highlight w:val="none"/>
              </w:rPr>
              <w:t>技术部分：</w:t>
            </w:r>
            <w:r>
              <w:rPr>
                <w:rFonts w:hint="eastAsia" w:ascii="黑体" w:hAnsi="黑体" w:eastAsia="黑体" w:cs="黑体"/>
                <w:color w:val="auto"/>
                <w:szCs w:val="21"/>
                <w:highlight w:val="none"/>
                <w:u w:val="single"/>
                <w:lang w:val="en-US" w:eastAsia="zh-CN"/>
              </w:rPr>
              <w:t>60</w:t>
            </w:r>
            <w:r>
              <w:rPr>
                <w:rFonts w:hint="eastAsia" w:ascii="黑体" w:hAnsi="黑体" w:eastAsia="黑体" w:cs="黑体"/>
                <w:color w:val="auto"/>
                <w:szCs w:val="21"/>
                <w:highlight w:val="none"/>
                <w:u w:val="single"/>
              </w:rPr>
              <w:t>分</w:t>
            </w:r>
          </w:p>
        </w:tc>
      </w:tr>
    </w:tbl>
    <w:p>
      <w:pPr>
        <w:pStyle w:val="19"/>
        <w:tabs>
          <w:tab w:val="left" w:pos="8742"/>
          <w:tab w:val="left" w:pos="9222"/>
          <w:tab w:val="left" w:pos="9702"/>
        </w:tabs>
        <w:spacing w:line="220" w:lineRule="auto"/>
        <w:ind w:left="0" w:right="1121"/>
        <w:rPr>
          <w:rFonts w:hint="eastAsia" w:ascii="黑体" w:hAnsi="黑体" w:eastAsia="黑体" w:cs="黑体"/>
          <w:color w:val="auto"/>
          <w:highlight w:val="none"/>
        </w:rPr>
      </w:pPr>
    </w:p>
    <w:p>
      <w:pPr>
        <w:pStyle w:val="19"/>
        <w:numPr>
          <w:ilvl w:val="0"/>
          <w:numId w:val="65"/>
        </w:numPr>
        <w:tabs>
          <w:tab w:val="left" w:pos="8742"/>
          <w:tab w:val="left" w:pos="9222"/>
          <w:tab w:val="left" w:pos="9702"/>
        </w:tabs>
        <w:spacing w:line="220" w:lineRule="auto"/>
        <w:ind w:left="0" w:right="1121" w:firstLine="720" w:firstLineChars="300"/>
        <w:rPr>
          <w:rFonts w:hint="eastAsia" w:ascii="黑体" w:hAnsi="黑体" w:eastAsia="黑体" w:cs="黑体"/>
          <w:color w:val="auto"/>
          <w:highlight w:val="none"/>
        </w:rPr>
      </w:pPr>
      <w:r>
        <w:rPr>
          <w:rFonts w:hint="eastAsia" w:ascii="黑体" w:hAnsi="黑体" w:eastAsia="黑体" w:cs="黑体"/>
          <w:color w:val="auto"/>
          <w:highlight w:val="none"/>
        </w:rPr>
        <w:t>采购人代表或公正部门人员对投标人资格进行资格审查。</w:t>
      </w:r>
    </w:p>
    <w:p>
      <w:pPr>
        <w:pStyle w:val="224"/>
        <w:spacing w:line="288" w:lineRule="auto"/>
        <w:rPr>
          <w:rFonts w:hint="eastAsia" w:ascii="黑体" w:hAnsi="黑体" w:eastAsia="黑体" w:cs="黑体"/>
          <w:color w:val="auto"/>
          <w:sz w:val="24"/>
          <w:szCs w:val="24"/>
        </w:rPr>
      </w:pPr>
      <w:r>
        <w:rPr>
          <w:rFonts w:hint="eastAsia" w:ascii="黑体" w:hAnsi="黑体" w:eastAsia="黑体" w:cs="黑体"/>
          <w:color w:val="auto"/>
          <w:sz w:val="28"/>
          <w:szCs w:val="24"/>
          <w:highlight w:val="none"/>
        </w:rPr>
        <w:t>1、</w:t>
      </w:r>
      <w:r>
        <w:rPr>
          <w:rFonts w:hint="eastAsia" w:ascii="黑体" w:hAnsi="黑体" w:eastAsia="黑体" w:cs="黑体"/>
          <w:color w:val="auto"/>
          <w:sz w:val="24"/>
          <w:szCs w:val="24"/>
        </w:rPr>
        <w:t>符合《中华人民共和国政府采购法》第二十二条的规定。国内工商登记注册，有能力完成本项目的全部要求的供应商；</w:t>
      </w:r>
    </w:p>
    <w:p>
      <w:pPr>
        <w:pStyle w:val="224"/>
        <w:spacing w:line="288" w:lineRule="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2、投标人资质要求： </w:t>
      </w:r>
    </w:p>
    <w:p>
      <w:pPr>
        <w:pStyle w:val="54"/>
        <w:spacing w:line="288" w:lineRule="auto"/>
        <w:ind w:left="0" w:leftChars="0" w:firstLine="0" w:firstLineChars="0"/>
        <w:rPr>
          <w:rFonts w:hint="eastAsia" w:ascii="黑体" w:hAnsi="黑体" w:eastAsia="黑体" w:cs="黑体"/>
          <w:color w:val="auto"/>
          <w:sz w:val="24"/>
          <w:szCs w:val="24"/>
          <w:u w:val="none"/>
        </w:rPr>
      </w:pPr>
      <w:r>
        <w:rPr>
          <w:rFonts w:hint="eastAsia" w:ascii="黑体" w:hAnsi="黑体" w:eastAsia="黑体" w:cs="黑体"/>
          <w:color w:val="auto"/>
          <w:sz w:val="24"/>
          <w:szCs w:val="24"/>
        </w:rPr>
        <w:t>（</w:t>
      </w:r>
      <w:r>
        <w:rPr>
          <w:rFonts w:hint="eastAsia" w:ascii="黑体" w:hAnsi="黑体" w:eastAsia="黑体" w:cs="黑体"/>
          <w:color w:val="auto"/>
          <w:sz w:val="24"/>
          <w:szCs w:val="24"/>
          <w:u w:val="none"/>
        </w:rPr>
        <w:t>1）单位负责人为同一人或者存在直接控股、管理关系的不同供应商不得参加本项目同一包的投标；</w:t>
      </w:r>
    </w:p>
    <w:p>
      <w:pPr>
        <w:pStyle w:val="54"/>
        <w:spacing w:line="288" w:lineRule="auto"/>
        <w:ind w:left="0" w:leftChars="0" w:firstLine="0" w:firstLineChars="0"/>
        <w:rPr>
          <w:rFonts w:hint="eastAsia" w:ascii="黑体" w:hAnsi="黑体" w:eastAsia="黑体" w:cs="黑体"/>
          <w:color w:val="auto"/>
          <w:sz w:val="24"/>
          <w:szCs w:val="24"/>
          <w:u w:val="none"/>
        </w:rPr>
      </w:pPr>
      <w:r>
        <w:rPr>
          <w:rFonts w:hint="eastAsia" w:ascii="黑体" w:hAnsi="黑体" w:eastAsia="黑体" w:cs="黑体"/>
          <w:color w:val="auto"/>
          <w:sz w:val="24"/>
          <w:szCs w:val="24"/>
          <w:u w:val="none"/>
          <w:lang w:eastAsia="zh-CN"/>
        </w:rPr>
        <w:t>（</w:t>
      </w:r>
      <w:r>
        <w:rPr>
          <w:rFonts w:hint="eastAsia" w:ascii="黑体" w:hAnsi="黑体" w:eastAsia="黑体" w:cs="黑体"/>
          <w:color w:val="auto"/>
          <w:sz w:val="24"/>
          <w:szCs w:val="24"/>
          <w:u w:val="none"/>
          <w:lang w:val="en-US" w:eastAsia="zh-CN"/>
        </w:rPr>
        <w:t>2）</w:t>
      </w:r>
      <w:r>
        <w:rPr>
          <w:rFonts w:hint="eastAsia" w:ascii="黑体" w:hAnsi="黑体" w:eastAsia="黑体" w:cs="黑体"/>
          <w:color w:val="auto"/>
          <w:sz w:val="24"/>
          <w:szCs w:val="24"/>
          <w:u w:val="none"/>
        </w:rPr>
        <w:t>供应商未列入失信被执行人、重大税收违法案件当事人名单、政府采购严重违法失信行为记录名单（财库[2016]125号）。</w:t>
      </w:r>
    </w:p>
    <w:p>
      <w:pPr>
        <w:pStyle w:val="54"/>
        <w:numPr>
          <w:ilvl w:val="0"/>
          <w:numId w:val="0"/>
        </w:numPr>
        <w:spacing w:line="288" w:lineRule="auto"/>
        <w:ind w:leftChars="0"/>
        <w:rPr>
          <w:rFonts w:hint="eastAsia" w:ascii="黑体" w:hAnsi="黑体" w:eastAsia="黑体" w:cs="黑体"/>
          <w:color w:val="auto"/>
          <w:sz w:val="24"/>
          <w:szCs w:val="24"/>
          <w:u w:val="none"/>
          <w:lang w:val="en-US" w:eastAsia="zh-CN"/>
        </w:rPr>
      </w:pPr>
      <w:r>
        <w:rPr>
          <w:rFonts w:hint="eastAsia" w:ascii="黑体" w:hAnsi="黑体" w:eastAsia="黑体" w:cs="黑体"/>
          <w:color w:val="auto"/>
          <w:sz w:val="24"/>
          <w:szCs w:val="24"/>
          <w:u w:val="none"/>
          <w:lang w:val="en-US" w:eastAsia="zh-CN"/>
        </w:rPr>
        <w:t>（3）具有独立承担民事责任的能力，合法经营具备工商营业执照、组织机构代码证（三证合一企业无需提供）、税务登记证（三证合一企业无需提供）；</w:t>
      </w:r>
    </w:p>
    <w:p>
      <w:pPr>
        <w:pStyle w:val="54"/>
        <w:numPr>
          <w:ilvl w:val="0"/>
          <w:numId w:val="0"/>
        </w:numPr>
        <w:spacing w:line="288" w:lineRule="auto"/>
        <w:ind w:leftChars="0"/>
        <w:rPr>
          <w:rFonts w:hint="eastAsia" w:ascii="黑体" w:hAnsi="黑体" w:eastAsia="黑体" w:cs="黑体"/>
          <w:color w:val="auto"/>
          <w:sz w:val="24"/>
          <w:szCs w:val="24"/>
          <w:u w:val="none"/>
        </w:rPr>
      </w:pPr>
      <w:r>
        <w:rPr>
          <w:rFonts w:hint="eastAsia" w:ascii="黑体" w:hAnsi="黑体" w:eastAsia="黑体" w:cs="黑体"/>
          <w:color w:val="auto"/>
          <w:sz w:val="24"/>
          <w:szCs w:val="24"/>
          <w:u w:val="none"/>
          <w:lang w:val="en-US" w:eastAsia="zh-CN"/>
        </w:rPr>
        <w:t>（4）具有有效的医疗器械经营许可证供应商须具有第二类医疗器械经营许可证(或按照国家食品药品监督管理部门规定实行备案管理的，出具备案证明文件)；货物制造商须具备医疗器械生产许可证；货物制造商所投产品须具备医疗器械注册证（含登记表）(或按照国家食品药品监督管理部门规定实行备案管理的，出具备案证明文件)（5）具有良好信誉和财务状况，在经营活动中没有违法记录。</w:t>
      </w:r>
    </w:p>
    <w:p>
      <w:pPr>
        <w:numPr>
          <w:ilvl w:val="0"/>
          <w:numId w:val="0"/>
        </w:numPr>
        <w:spacing w:line="409" w:lineRule="exact"/>
        <w:rPr>
          <w:rFonts w:hint="eastAsia" w:ascii="黑体" w:hAnsi="黑体" w:eastAsia="黑体" w:cs="黑体"/>
          <w:color w:val="auto"/>
          <w:sz w:val="24"/>
          <w:szCs w:val="24"/>
          <w:u w:val="single"/>
          <w:lang w:val="en-US" w:eastAsia="zh-CN"/>
        </w:rPr>
      </w:pPr>
      <w:r>
        <w:rPr>
          <w:rFonts w:hint="eastAsia" w:ascii="黑体" w:hAnsi="黑体" w:eastAsia="黑体" w:cs="黑体"/>
          <w:color w:val="auto"/>
          <w:sz w:val="24"/>
          <w:szCs w:val="24"/>
          <w:u w:val="none"/>
          <w:lang w:val="en-US" w:eastAsia="zh-CN"/>
        </w:rPr>
        <w:t>3、本项目不接受联合体投标</w:t>
      </w:r>
    </w:p>
    <w:p>
      <w:pPr>
        <w:pStyle w:val="19"/>
        <w:tabs>
          <w:tab w:val="left" w:pos="8742"/>
          <w:tab w:val="left" w:pos="9222"/>
          <w:tab w:val="left" w:pos="9702"/>
        </w:tabs>
        <w:spacing w:line="220" w:lineRule="auto"/>
        <w:ind w:left="0" w:right="1121"/>
        <w:rPr>
          <w:rFonts w:hint="eastAsia" w:ascii="黑体" w:hAnsi="黑体" w:eastAsia="黑体" w:cs="黑体"/>
          <w:color w:val="auto"/>
          <w:spacing w:val="-3"/>
          <w:highlight w:val="none"/>
        </w:rPr>
      </w:pPr>
    </w:p>
    <w:p>
      <w:pPr>
        <w:rPr>
          <w:rFonts w:hint="eastAsia" w:ascii="黑体" w:hAnsi="黑体" w:eastAsia="黑体" w:cs="黑体"/>
          <w:color w:val="auto"/>
          <w:highlight w:val="none"/>
        </w:rPr>
      </w:pPr>
      <w:r>
        <w:rPr>
          <w:rFonts w:hint="eastAsia" w:ascii="黑体" w:hAnsi="黑体" w:eastAsia="黑体" w:cs="黑体"/>
          <w:color w:val="auto"/>
          <w:highlight w:val="none"/>
        </w:rPr>
        <w:br w:type="page"/>
      </w:r>
    </w:p>
    <w:p>
      <w:pPr>
        <w:pStyle w:val="19"/>
        <w:tabs>
          <w:tab w:val="left" w:pos="8742"/>
          <w:tab w:val="left" w:pos="9222"/>
          <w:tab w:val="left" w:pos="9702"/>
        </w:tabs>
        <w:spacing w:line="220" w:lineRule="auto"/>
        <w:ind w:left="0" w:right="1121"/>
        <w:rPr>
          <w:rFonts w:hint="eastAsia" w:ascii="黑体" w:hAnsi="黑体" w:eastAsia="黑体" w:cs="黑体"/>
          <w:color w:val="auto"/>
          <w:highlight w:val="none"/>
        </w:rPr>
      </w:pPr>
      <w:r>
        <w:rPr>
          <w:rFonts w:hint="eastAsia" w:ascii="黑体" w:hAnsi="黑体" w:eastAsia="黑体" w:cs="黑体"/>
          <w:color w:val="auto"/>
          <w:highlight w:val="none"/>
        </w:rPr>
        <w:t>2、 资格审查合格后，评标委员会对投标文件进行符合性审查。</w:t>
      </w:r>
    </w:p>
    <w:tbl>
      <w:tblPr>
        <w:tblStyle w:val="42"/>
        <w:tblW w:w="9700"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94"/>
        <w:gridCol w:w="1051"/>
        <w:gridCol w:w="1500"/>
        <w:gridCol w:w="4608"/>
        <w:gridCol w:w="996"/>
        <w:gridCol w:w="85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745"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color w:val="auto"/>
              </w:rPr>
            </w:pPr>
            <w:r>
              <w:rPr>
                <w:rFonts w:hint="eastAsia" w:ascii="黑体" w:hAnsi="黑体" w:eastAsia="黑体" w:cs="黑体"/>
                <w:b/>
                <w:bCs/>
                <w:color w:val="auto"/>
              </w:rPr>
              <w:t>评分因素</w:t>
            </w:r>
          </w:p>
        </w:tc>
        <w:tc>
          <w:tcPr>
            <w:tcW w:w="1500" w:type="dxa"/>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color w:val="auto"/>
              </w:rPr>
            </w:pPr>
            <w:r>
              <w:rPr>
                <w:rFonts w:hint="eastAsia" w:ascii="黑体" w:hAnsi="黑体" w:eastAsia="黑体" w:cs="黑体"/>
                <w:b/>
                <w:bCs/>
                <w:color w:val="auto"/>
              </w:rPr>
              <w:t>评分点</w:t>
            </w:r>
          </w:p>
        </w:tc>
        <w:tc>
          <w:tcPr>
            <w:tcW w:w="4608" w:type="dxa"/>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color w:val="auto"/>
              </w:rPr>
            </w:pPr>
            <w:r>
              <w:rPr>
                <w:rFonts w:hint="eastAsia" w:ascii="黑体" w:hAnsi="黑体" w:eastAsia="黑体" w:cs="黑体"/>
                <w:b/>
                <w:bCs/>
                <w:color w:val="auto"/>
              </w:rPr>
              <w:t>评分标准</w:t>
            </w:r>
          </w:p>
        </w:tc>
        <w:tc>
          <w:tcPr>
            <w:tcW w:w="1847"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color w:val="auto"/>
              </w:rPr>
            </w:pPr>
            <w:r>
              <w:rPr>
                <w:rFonts w:hint="eastAsia" w:ascii="黑体" w:hAnsi="黑体" w:eastAsia="黑体" w:cs="黑体"/>
                <w:b/>
                <w:bCs/>
                <w:color w:val="auto"/>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745"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1500" w:type="dxa"/>
            <w:vMerge w:val="continue"/>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4608" w:type="dxa"/>
            <w:vMerge w:val="continue"/>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99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color w:val="auto"/>
              </w:rPr>
            </w:pPr>
            <w:r>
              <w:rPr>
                <w:rFonts w:hint="eastAsia" w:ascii="黑体" w:hAnsi="黑体" w:eastAsia="黑体" w:cs="黑体"/>
                <w:b/>
                <w:bCs/>
                <w:color w:val="auto"/>
              </w:rPr>
              <w:t>是</w:t>
            </w:r>
          </w:p>
        </w:tc>
        <w:tc>
          <w:tcPr>
            <w:tcW w:w="85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color w:val="auto"/>
              </w:rPr>
            </w:pPr>
            <w:r>
              <w:rPr>
                <w:rFonts w:hint="eastAsia" w:ascii="黑体" w:hAnsi="黑体" w:eastAsia="黑体" w:cs="黑体"/>
                <w:b/>
                <w:bCs/>
                <w:color w:val="auto"/>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5" w:hRule="atLeast"/>
        </w:trPr>
        <w:tc>
          <w:tcPr>
            <w:tcW w:w="694" w:type="dxa"/>
            <w:vMerge w:val="restart"/>
            <w:tcBorders>
              <w:top w:val="outset" w:color="auto" w:sz="6" w:space="0"/>
              <w:left w:val="outset" w:color="auto" w:sz="6" w:space="0"/>
              <w:right w:val="outset" w:color="auto" w:sz="6" w:space="0"/>
            </w:tcBorders>
            <w:noWrap w:val="0"/>
            <w:vAlign w:val="center"/>
          </w:tcPr>
          <w:p>
            <w:pPr>
              <w:jc w:val="center"/>
              <w:rPr>
                <w:rFonts w:hint="eastAsia" w:ascii="黑体" w:hAnsi="黑体" w:eastAsia="黑体" w:cs="黑体"/>
                <w:color w:val="auto"/>
              </w:rPr>
            </w:pPr>
            <w:r>
              <w:rPr>
                <w:rFonts w:hint="eastAsia" w:ascii="黑体" w:hAnsi="黑体" w:eastAsia="黑体" w:cs="黑体"/>
                <w:color w:val="auto"/>
              </w:rPr>
              <w:t>初步评审</w:t>
            </w:r>
          </w:p>
        </w:tc>
        <w:tc>
          <w:tcPr>
            <w:tcW w:w="1051" w:type="dxa"/>
            <w:vMerge w:val="restart"/>
            <w:tcBorders>
              <w:top w:val="outset" w:color="auto" w:sz="6" w:space="0"/>
              <w:left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rPr>
              <w:t>资格检查</w:t>
            </w:r>
          </w:p>
        </w:tc>
        <w:tc>
          <w:tcPr>
            <w:tcW w:w="1500"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rPr>
              <w:t>营业执照</w:t>
            </w:r>
          </w:p>
        </w:tc>
        <w:tc>
          <w:tcPr>
            <w:tcW w:w="4608"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rPr>
              <w:t>是否具备有效的营业执照</w:t>
            </w:r>
          </w:p>
        </w:tc>
        <w:tc>
          <w:tcPr>
            <w:tcW w:w="996"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p>
        </w:tc>
        <w:tc>
          <w:tcPr>
            <w:tcW w:w="851"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80" w:hRule="atLeast"/>
        </w:trPr>
        <w:tc>
          <w:tcPr>
            <w:tcW w:w="694" w:type="dxa"/>
            <w:vMerge w:val="continue"/>
            <w:tcBorders>
              <w:left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1051" w:type="dxa"/>
            <w:vMerge w:val="continue"/>
            <w:tcBorders>
              <w:left w:val="outset" w:color="auto" w:sz="6" w:space="0"/>
              <w:right w:val="outset" w:color="auto" w:sz="6" w:space="0"/>
            </w:tcBorders>
            <w:noWrap w:val="0"/>
            <w:vAlign w:val="center"/>
          </w:tcPr>
          <w:p>
            <w:pPr>
              <w:jc w:val="both"/>
              <w:rPr>
                <w:rFonts w:hint="eastAsia" w:ascii="黑体" w:hAnsi="黑体" w:eastAsia="黑体" w:cs="黑体"/>
                <w:color w:val="auto"/>
              </w:rPr>
            </w:pPr>
          </w:p>
        </w:tc>
        <w:tc>
          <w:tcPr>
            <w:tcW w:w="1500"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lang w:val="en-US" w:eastAsia="zh-CN"/>
              </w:rPr>
            </w:pPr>
            <w:r>
              <w:rPr>
                <w:rFonts w:hint="eastAsia" w:ascii="黑体" w:hAnsi="黑体" w:eastAsia="黑体" w:cs="黑体"/>
                <w:color w:val="auto"/>
              </w:rPr>
              <w:t>保证金</w:t>
            </w:r>
            <w:r>
              <w:rPr>
                <w:rFonts w:hint="eastAsia" w:ascii="黑体" w:hAnsi="黑体" w:eastAsia="黑体" w:cs="黑体"/>
                <w:color w:val="auto"/>
                <w:lang w:val="en-US" w:eastAsia="zh-CN"/>
              </w:rPr>
              <w:t>缴纳</w:t>
            </w:r>
          </w:p>
        </w:tc>
        <w:tc>
          <w:tcPr>
            <w:tcW w:w="4608"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rPr>
              <w:t>是否按照招标文件要求缴纳投标保证金</w:t>
            </w:r>
          </w:p>
        </w:tc>
        <w:tc>
          <w:tcPr>
            <w:tcW w:w="996"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p>
        </w:tc>
        <w:tc>
          <w:tcPr>
            <w:tcW w:w="851"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35" w:hRule="atLeast"/>
        </w:trPr>
        <w:tc>
          <w:tcPr>
            <w:tcW w:w="694" w:type="dxa"/>
            <w:vMerge w:val="continue"/>
            <w:tcBorders>
              <w:left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1051" w:type="dxa"/>
            <w:vMerge w:val="continue"/>
            <w:tcBorders>
              <w:left w:val="outset" w:color="auto" w:sz="6" w:space="0"/>
              <w:right w:val="outset" w:color="auto" w:sz="6" w:space="0"/>
            </w:tcBorders>
            <w:noWrap w:val="0"/>
            <w:vAlign w:val="center"/>
          </w:tcPr>
          <w:p>
            <w:pPr>
              <w:jc w:val="both"/>
              <w:rPr>
                <w:rFonts w:hint="eastAsia" w:ascii="黑体" w:hAnsi="黑体" w:eastAsia="黑体" w:cs="黑体"/>
                <w:color w:val="auto"/>
              </w:rPr>
            </w:pPr>
          </w:p>
        </w:tc>
        <w:tc>
          <w:tcPr>
            <w:tcW w:w="1500"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lang w:val="en-US" w:eastAsia="zh-CN"/>
              </w:rPr>
              <w:t>医疗器械经营许可证</w:t>
            </w:r>
          </w:p>
        </w:tc>
        <w:tc>
          <w:tcPr>
            <w:tcW w:w="4608" w:type="dxa"/>
            <w:tcBorders>
              <w:top w:val="outset" w:color="auto" w:sz="6" w:space="0"/>
              <w:left w:val="outset" w:color="auto" w:sz="6" w:space="0"/>
              <w:bottom w:val="outset" w:color="auto" w:sz="6" w:space="0"/>
              <w:right w:val="outset" w:color="auto" w:sz="6" w:space="0"/>
            </w:tcBorders>
            <w:noWrap w:val="0"/>
            <w:vAlign w:val="center"/>
          </w:tcPr>
          <w:p>
            <w:pPr>
              <w:jc w:val="both"/>
              <w:rPr>
                <w:rFonts w:hint="default" w:ascii="黑体" w:hAnsi="黑体" w:eastAsia="黑体" w:cs="黑体"/>
                <w:color w:val="auto"/>
                <w:lang w:val="en-US"/>
              </w:rPr>
            </w:pPr>
            <w:r>
              <w:rPr>
                <w:rFonts w:hint="eastAsia" w:ascii="黑体" w:hAnsi="黑体" w:eastAsia="黑体" w:cs="黑体"/>
                <w:color w:val="auto"/>
              </w:rPr>
              <w:t>是否具备有效的</w:t>
            </w:r>
            <w:r>
              <w:rPr>
                <w:rFonts w:hint="eastAsia" w:ascii="黑体" w:hAnsi="黑体" w:eastAsia="黑体" w:cs="黑体"/>
                <w:color w:val="auto"/>
                <w:lang w:val="en-US" w:eastAsia="zh-CN"/>
              </w:rPr>
              <w:t>第二类医疗器械经营许可证；生产商</w:t>
            </w:r>
            <w:r>
              <w:rPr>
                <w:rFonts w:hint="eastAsia" w:ascii="黑体" w:hAnsi="黑体" w:eastAsia="黑体" w:cs="黑体"/>
                <w:color w:val="auto"/>
              </w:rPr>
              <w:t>是否具备有效的</w:t>
            </w:r>
            <w:r>
              <w:rPr>
                <w:rFonts w:hint="eastAsia" w:ascii="黑体" w:hAnsi="黑体" w:eastAsia="黑体" w:cs="黑体"/>
                <w:color w:val="auto"/>
                <w:lang w:val="en-US" w:eastAsia="zh-CN"/>
              </w:rPr>
              <w:t>医疗器械生产许可证；生产商是否提供</w:t>
            </w:r>
            <w:r>
              <w:rPr>
                <w:rFonts w:hint="eastAsia" w:ascii="黑体" w:hAnsi="黑体" w:eastAsia="黑体" w:cs="黑体"/>
                <w:color w:val="auto"/>
              </w:rPr>
              <w:t>所投产品的医疗器械</w:t>
            </w:r>
            <w:r>
              <w:rPr>
                <w:rFonts w:hint="eastAsia" w:ascii="黑体" w:hAnsi="黑体" w:eastAsia="黑体" w:cs="黑体"/>
                <w:color w:val="auto"/>
                <w:lang w:val="en-US" w:eastAsia="zh-CN"/>
              </w:rPr>
              <w:t>注册</w:t>
            </w:r>
            <w:r>
              <w:rPr>
                <w:rFonts w:hint="eastAsia" w:ascii="黑体" w:hAnsi="黑体" w:eastAsia="黑体" w:cs="黑体"/>
                <w:color w:val="auto"/>
              </w:rPr>
              <w:t>证</w:t>
            </w:r>
          </w:p>
        </w:tc>
        <w:tc>
          <w:tcPr>
            <w:tcW w:w="996"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p>
        </w:tc>
        <w:tc>
          <w:tcPr>
            <w:tcW w:w="851"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95" w:hRule="atLeast"/>
        </w:trPr>
        <w:tc>
          <w:tcPr>
            <w:tcW w:w="694" w:type="dxa"/>
            <w:vMerge w:val="continue"/>
            <w:tcBorders>
              <w:left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1051" w:type="dxa"/>
            <w:vMerge w:val="continue"/>
            <w:tcBorders>
              <w:left w:val="outset" w:color="auto" w:sz="6" w:space="0"/>
              <w:right w:val="outset" w:color="auto" w:sz="6" w:space="0"/>
            </w:tcBorders>
            <w:noWrap w:val="0"/>
            <w:vAlign w:val="center"/>
          </w:tcPr>
          <w:p>
            <w:pPr>
              <w:jc w:val="both"/>
              <w:rPr>
                <w:rFonts w:hint="eastAsia" w:ascii="黑体" w:hAnsi="黑体" w:eastAsia="黑体" w:cs="黑体"/>
                <w:color w:val="auto"/>
              </w:rPr>
            </w:pPr>
          </w:p>
        </w:tc>
        <w:tc>
          <w:tcPr>
            <w:tcW w:w="1500"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sz w:val="22"/>
                <w:szCs w:val="22"/>
                <w:lang w:val="en-US" w:eastAsia="zh-CN"/>
              </w:rPr>
              <w:t>信用中国</w:t>
            </w:r>
          </w:p>
        </w:tc>
        <w:tc>
          <w:tcPr>
            <w:tcW w:w="4608"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lang w:val="en-US" w:eastAsia="zh-CN"/>
              </w:rPr>
            </w:pPr>
            <w:r>
              <w:rPr>
                <w:rFonts w:hint="eastAsia" w:ascii="黑体" w:hAnsi="黑体" w:eastAsia="黑体" w:cs="黑体"/>
                <w:color w:val="auto"/>
                <w:sz w:val="22"/>
                <w:szCs w:val="22"/>
                <w:lang w:val="en-US" w:eastAsia="zh-CN"/>
              </w:rPr>
              <w:t>通过“信用中国”渠道查询的加盖公章的主体信用记录网页截图（时间节点为开标前20日内）</w:t>
            </w:r>
          </w:p>
        </w:tc>
        <w:tc>
          <w:tcPr>
            <w:tcW w:w="996"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p>
        </w:tc>
        <w:tc>
          <w:tcPr>
            <w:tcW w:w="851"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95" w:hRule="atLeast"/>
        </w:trPr>
        <w:tc>
          <w:tcPr>
            <w:tcW w:w="694" w:type="dxa"/>
            <w:vMerge w:val="continue"/>
            <w:tcBorders>
              <w:left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1051" w:type="dxa"/>
            <w:vMerge w:val="continue"/>
            <w:tcBorders>
              <w:left w:val="outset" w:color="auto" w:sz="6" w:space="0"/>
              <w:right w:val="outset" w:color="auto" w:sz="6" w:space="0"/>
            </w:tcBorders>
            <w:noWrap w:val="0"/>
            <w:vAlign w:val="center"/>
          </w:tcPr>
          <w:p>
            <w:pPr>
              <w:jc w:val="both"/>
              <w:rPr>
                <w:rFonts w:hint="eastAsia" w:ascii="黑体" w:hAnsi="黑体" w:eastAsia="黑体" w:cs="黑体"/>
                <w:color w:val="auto"/>
              </w:rPr>
            </w:pPr>
          </w:p>
        </w:tc>
        <w:tc>
          <w:tcPr>
            <w:tcW w:w="1500"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sz w:val="22"/>
                <w:szCs w:val="22"/>
                <w:lang w:val="en-US" w:eastAsia="zh-CN"/>
              </w:rPr>
              <w:t>政府采购网</w:t>
            </w:r>
          </w:p>
        </w:tc>
        <w:tc>
          <w:tcPr>
            <w:tcW w:w="4608"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lang w:val="en-US" w:eastAsia="zh-CN"/>
              </w:rPr>
            </w:pPr>
            <w:r>
              <w:rPr>
                <w:rFonts w:hint="eastAsia" w:ascii="黑体" w:hAnsi="黑体" w:eastAsia="黑体" w:cs="黑体"/>
                <w:color w:val="auto"/>
                <w:sz w:val="22"/>
                <w:szCs w:val="22"/>
                <w:lang w:val="en-US" w:eastAsia="zh-CN"/>
              </w:rPr>
              <w:t>“中国政府采购网”渠道查询的加盖公章的主体信用记录网页截图（时间节点为开标前20日内）</w:t>
            </w:r>
          </w:p>
        </w:tc>
        <w:tc>
          <w:tcPr>
            <w:tcW w:w="996"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p>
        </w:tc>
        <w:tc>
          <w:tcPr>
            <w:tcW w:w="851"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0" w:hRule="atLeast"/>
        </w:trPr>
        <w:tc>
          <w:tcPr>
            <w:tcW w:w="694" w:type="dxa"/>
            <w:vMerge w:val="continue"/>
            <w:tcBorders>
              <w:left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1051" w:type="dxa"/>
            <w:vMerge w:val="restart"/>
            <w:tcBorders>
              <w:top w:val="outset" w:color="auto" w:sz="6" w:space="0"/>
              <w:left w:val="outset" w:color="auto" w:sz="6" w:space="0"/>
              <w:right w:val="outset" w:color="auto" w:sz="6" w:space="0"/>
            </w:tcBorders>
            <w:noWrap w:val="0"/>
            <w:vAlign w:val="center"/>
          </w:tcPr>
          <w:p>
            <w:pPr>
              <w:jc w:val="center"/>
              <w:rPr>
                <w:rFonts w:hint="eastAsia" w:ascii="黑体" w:hAnsi="黑体" w:eastAsia="黑体" w:cs="黑体"/>
                <w:color w:val="auto"/>
              </w:rPr>
            </w:pPr>
            <w:r>
              <w:rPr>
                <w:rFonts w:hint="eastAsia" w:ascii="黑体" w:hAnsi="黑体" w:eastAsia="黑体" w:cs="黑体"/>
                <w:color w:val="auto"/>
              </w:rPr>
              <w:t>符合性检查</w:t>
            </w:r>
          </w:p>
        </w:tc>
        <w:tc>
          <w:tcPr>
            <w:tcW w:w="1500"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lang w:val="en-US" w:eastAsia="zh-CN"/>
              </w:rPr>
              <w:t>投标报价</w:t>
            </w:r>
          </w:p>
        </w:tc>
        <w:tc>
          <w:tcPr>
            <w:tcW w:w="4608"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rPr>
              <w:t>只允许一个有效报价，且不超过项目预算；经评标委员会认定不低于成本的</w:t>
            </w:r>
          </w:p>
        </w:tc>
        <w:tc>
          <w:tcPr>
            <w:tcW w:w="99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c>
          <w:tcPr>
            <w:tcW w:w="851"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0" w:hRule="atLeast"/>
        </w:trPr>
        <w:tc>
          <w:tcPr>
            <w:tcW w:w="694" w:type="dxa"/>
            <w:vMerge w:val="continue"/>
            <w:tcBorders>
              <w:left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1051" w:type="dxa"/>
            <w:vMerge w:val="continue"/>
            <w:tcBorders>
              <w:left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1500"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rPr>
              <w:t>投标人名称</w:t>
            </w:r>
          </w:p>
        </w:tc>
        <w:tc>
          <w:tcPr>
            <w:tcW w:w="4608"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rPr>
              <w:t>是否与营业执照、税务登记证、资质证书一致</w:t>
            </w:r>
          </w:p>
        </w:tc>
        <w:tc>
          <w:tcPr>
            <w:tcW w:w="99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c>
          <w:tcPr>
            <w:tcW w:w="851"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0" w:hRule="atLeast"/>
        </w:trPr>
        <w:tc>
          <w:tcPr>
            <w:tcW w:w="694" w:type="dxa"/>
            <w:vMerge w:val="continue"/>
            <w:tcBorders>
              <w:left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1051" w:type="dxa"/>
            <w:vMerge w:val="continue"/>
            <w:tcBorders>
              <w:left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1500"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rPr>
              <w:t>供货期、质量</w:t>
            </w:r>
          </w:p>
        </w:tc>
        <w:tc>
          <w:tcPr>
            <w:tcW w:w="4608"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rPr>
              <w:t>供货期、质量是否符合招标文件要求</w:t>
            </w:r>
          </w:p>
        </w:tc>
        <w:tc>
          <w:tcPr>
            <w:tcW w:w="99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c>
          <w:tcPr>
            <w:tcW w:w="851"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94" w:type="dxa"/>
            <w:vMerge w:val="continue"/>
            <w:tcBorders>
              <w:left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1051" w:type="dxa"/>
            <w:vMerge w:val="continue"/>
            <w:tcBorders>
              <w:left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1500"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rPr>
              <w:t>其他要求</w:t>
            </w:r>
          </w:p>
        </w:tc>
        <w:tc>
          <w:tcPr>
            <w:tcW w:w="4608"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rPr>
              <w:t>投标文件未附有招标人不能接受的条件；没有不满足招标文件实质性要求的其他情形；</w:t>
            </w:r>
          </w:p>
        </w:tc>
        <w:tc>
          <w:tcPr>
            <w:tcW w:w="99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c>
          <w:tcPr>
            <w:tcW w:w="851"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0" w:hRule="atLeast"/>
        </w:trPr>
        <w:tc>
          <w:tcPr>
            <w:tcW w:w="694" w:type="dxa"/>
            <w:vMerge w:val="continue"/>
            <w:tcBorders>
              <w:left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1051" w:type="dxa"/>
            <w:vMerge w:val="continue"/>
            <w:tcBorders>
              <w:left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1500"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lang w:val="en-US" w:eastAsia="zh-CN"/>
              </w:rPr>
              <w:t>投标有效期</w:t>
            </w:r>
          </w:p>
        </w:tc>
        <w:tc>
          <w:tcPr>
            <w:tcW w:w="4608"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lang w:val="en-US" w:eastAsia="zh-CN"/>
              </w:rPr>
              <w:t>满足招标文件要求</w:t>
            </w:r>
          </w:p>
        </w:tc>
        <w:tc>
          <w:tcPr>
            <w:tcW w:w="99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c>
          <w:tcPr>
            <w:tcW w:w="851"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94" w:type="dxa"/>
            <w:vMerge w:val="continue"/>
            <w:tcBorders>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1051" w:type="dxa"/>
            <w:vMerge w:val="continue"/>
            <w:tcBorders>
              <w:left w:val="outset" w:color="auto" w:sz="6" w:space="0"/>
              <w:bottom w:val="outset" w:color="auto" w:sz="6" w:space="0"/>
              <w:right w:val="outset" w:color="auto" w:sz="6" w:space="0"/>
            </w:tcBorders>
            <w:noWrap w:val="0"/>
            <w:vAlign w:val="center"/>
          </w:tcPr>
          <w:p>
            <w:pPr>
              <w:jc w:val="center"/>
              <w:rPr>
                <w:rFonts w:hint="eastAsia" w:ascii="黑体" w:hAnsi="黑体" w:eastAsia="黑体" w:cs="黑体"/>
                <w:color w:val="auto"/>
              </w:rPr>
            </w:pPr>
          </w:p>
        </w:tc>
        <w:tc>
          <w:tcPr>
            <w:tcW w:w="1500"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lang w:val="en-US" w:eastAsia="zh-CN"/>
              </w:rPr>
              <w:t>投标文件的内容和签署</w:t>
            </w:r>
          </w:p>
        </w:tc>
        <w:tc>
          <w:tcPr>
            <w:tcW w:w="4608"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黑体" w:hAnsi="黑体" w:eastAsia="黑体" w:cs="黑体"/>
                <w:color w:val="auto"/>
              </w:rPr>
            </w:pPr>
            <w:r>
              <w:rPr>
                <w:rFonts w:hint="eastAsia" w:ascii="黑体" w:hAnsi="黑体" w:eastAsia="黑体" w:cs="黑体"/>
                <w:color w:val="auto"/>
              </w:rPr>
              <w:t>投标文件按照规定由企业法人或法人授权代表逐一签章、盖章；投标内容符合招标文件要求</w:t>
            </w:r>
          </w:p>
        </w:tc>
        <w:tc>
          <w:tcPr>
            <w:tcW w:w="99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c>
          <w:tcPr>
            <w:tcW w:w="851"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黑体" w:hAnsi="黑体" w:eastAsia="黑体" w:cs="黑体"/>
                <w:color w:val="auto"/>
              </w:rPr>
            </w:pPr>
          </w:p>
        </w:tc>
      </w:tr>
    </w:tbl>
    <w:p>
      <w:pPr>
        <w:pStyle w:val="19"/>
        <w:tabs>
          <w:tab w:val="left" w:pos="8742"/>
          <w:tab w:val="left" w:pos="9222"/>
          <w:tab w:val="left" w:pos="9702"/>
        </w:tabs>
        <w:spacing w:line="220" w:lineRule="auto"/>
        <w:ind w:left="0" w:right="1121"/>
        <w:rPr>
          <w:rFonts w:hint="eastAsia" w:ascii="黑体" w:hAnsi="黑体" w:eastAsia="黑体" w:cs="黑体"/>
          <w:color w:val="auto"/>
          <w:highlight w:val="none"/>
        </w:rPr>
      </w:pPr>
    </w:p>
    <w:p>
      <w:pPr>
        <w:pStyle w:val="19"/>
        <w:spacing w:before="33" w:line="360" w:lineRule="auto"/>
        <w:ind w:left="480" w:leftChars="218" w:right="567" w:firstLine="480" w:firstLineChars="200"/>
        <w:jc w:val="both"/>
        <w:rPr>
          <w:rFonts w:hint="eastAsia" w:ascii="黑体" w:hAnsi="黑体" w:eastAsia="黑体" w:cs="黑体"/>
          <w:color w:val="auto"/>
          <w:highlight w:val="none"/>
        </w:rPr>
      </w:pPr>
      <w:r>
        <w:rPr>
          <w:rFonts w:hint="eastAsia" w:ascii="黑体" w:hAnsi="黑体" w:eastAsia="黑体" w:cs="黑体"/>
          <w:color w:val="auto"/>
          <w:highlight w:val="none"/>
        </w:rPr>
        <w:t>3</w:t>
      </w:r>
      <w:r>
        <w:rPr>
          <w:rFonts w:hint="eastAsia" w:ascii="黑体" w:hAnsi="黑体" w:eastAsia="黑体" w:cs="黑体"/>
          <w:color w:val="auto"/>
          <w:spacing w:val="-9"/>
          <w:highlight w:val="none"/>
        </w:rPr>
        <w:t>、对投标文件进行详细审查。评标委员会只对通过符合性审查，实质上响应招标文件要求的投标文件按照下述指标表进行详细审查。</w:t>
      </w:r>
    </w:p>
    <w:p>
      <w:pPr>
        <w:pStyle w:val="19"/>
        <w:tabs>
          <w:tab w:val="left" w:pos="3792"/>
          <w:tab w:val="left" w:pos="5472"/>
        </w:tabs>
        <w:spacing w:line="360" w:lineRule="auto"/>
        <w:ind w:right="567" w:firstLine="252" w:firstLineChars="100"/>
        <w:jc w:val="both"/>
        <w:rPr>
          <w:rFonts w:hint="eastAsia" w:ascii="黑体" w:hAnsi="黑体" w:eastAsia="黑体" w:cs="黑体"/>
          <w:color w:val="auto"/>
          <w:w w:val="105"/>
          <w:highlight w:val="none"/>
        </w:rPr>
      </w:pPr>
      <w:r>
        <w:rPr>
          <w:rFonts w:hint="eastAsia" w:ascii="黑体" w:hAnsi="黑体" w:eastAsia="黑体" w:cs="黑体"/>
          <w:color w:val="auto"/>
          <w:w w:val="105"/>
          <w:highlight w:val="none"/>
        </w:rPr>
        <w:t>4、本项目技术分值占总分值的权重为</w:t>
      </w:r>
      <w:r>
        <w:rPr>
          <w:rFonts w:hint="eastAsia" w:ascii="黑体" w:hAnsi="黑体" w:eastAsia="黑体" w:cs="黑体"/>
          <w:color w:val="auto"/>
          <w:w w:val="105"/>
          <w:highlight w:val="none"/>
          <w:u w:val="single"/>
          <w:lang w:val="en-US" w:eastAsia="zh-CN"/>
        </w:rPr>
        <w:t>60</w:t>
      </w:r>
      <w:r>
        <w:rPr>
          <w:rFonts w:hint="eastAsia" w:ascii="黑体" w:hAnsi="黑体" w:eastAsia="黑体" w:cs="黑体"/>
          <w:color w:val="auto"/>
          <w:w w:val="105"/>
          <w:highlight w:val="none"/>
          <w:u w:val="single"/>
        </w:rPr>
        <w:tab/>
      </w:r>
      <w:r>
        <w:rPr>
          <w:rFonts w:hint="eastAsia" w:ascii="黑体" w:hAnsi="黑体" w:eastAsia="黑体" w:cs="黑体"/>
          <w:color w:val="auto"/>
          <w:spacing w:val="-29"/>
          <w:w w:val="105"/>
          <w:highlight w:val="none"/>
        </w:rPr>
        <w:t>%，商务部分</w:t>
      </w:r>
      <w:r>
        <w:rPr>
          <w:rFonts w:hint="eastAsia" w:ascii="黑体" w:hAnsi="黑体" w:eastAsia="黑体" w:cs="黑体"/>
          <w:color w:val="auto"/>
          <w:w w:val="105"/>
          <w:highlight w:val="none"/>
        </w:rPr>
        <w:t>分值的权重为</w:t>
      </w:r>
      <w:r>
        <w:rPr>
          <w:rFonts w:hint="eastAsia" w:ascii="黑体" w:hAnsi="黑体" w:eastAsia="黑体" w:cs="黑体"/>
          <w:color w:val="auto"/>
          <w:w w:val="105"/>
          <w:highlight w:val="none"/>
          <w:u w:val="single"/>
          <w:lang w:val="en-US" w:eastAsia="zh-CN"/>
        </w:rPr>
        <w:t>10</w:t>
      </w:r>
      <w:r>
        <w:rPr>
          <w:rFonts w:hint="eastAsia" w:ascii="黑体" w:hAnsi="黑体" w:eastAsia="黑体" w:cs="黑体"/>
          <w:color w:val="auto"/>
          <w:spacing w:val="-30"/>
          <w:w w:val="105"/>
          <w:highlight w:val="none"/>
          <w:u w:val="single"/>
        </w:rPr>
        <w:t>%</w:t>
      </w:r>
      <w:r>
        <w:rPr>
          <w:rFonts w:hint="eastAsia" w:ascii="黑体" w:hAnsi="黑体" w:eastAsia="黑体" w:cs="黑体"/>
          <w:color w:val="auto"/>
          <w:spacing w:val="-30"/>
          <w:w w:val="105"/>
          <w:highlight w:val="none"/>
        </w:rPr>
        <w:t>，</w:t>
      </w:r>
      <w:r>
        <w:rPr>
          <w:rFonts w:hint="eastAsia" w:ascii="黑体" w:hAnsi="黑体" w:eastAsia="黑体" w:cs="黑体"/>
          <w:color w:val="auto"/>
          <w:spacing w:val="-60"/>
          <w:w w:val="105"/>
          <w:highlight w:val="none"/>
        </w:rPr>
        <w:t>价</w:t>
      </w:r>
      <w:r>
        <w:rPr>
          <w:rFonts w:hint="eastAsia" w:ascii="黑体" w:hAnsi="黑体" w:eastAsia="黑体" w:cs="黑体"/>
          <w:color w:val="auto"/>
          <w:w w:val="105"/>
          <w:highlight w:val="none"/>
        </w:rPr>
        <w:t>格分值占总分值的权重为</w:t>
      </w:r>
      <w:r>
        <w:rPr>
          <w:rFonts w:hint="eastAsia" w:ascii="黑体" w:hAnsi="黑体" w:eastAsia="黑体" w:cs="黑体"/>
          <w:color w:val="auto"/>
          <w:w w:val="105"/>
          <w:highlight w:val="none"/>
          <w:u w:val="single"/>
        </w:rPr>
        <w:t>30</w:t>
      </w:r>
      <w:r>
        <w:rPr>
          <w:rFonts w:hint="eastAsia" w:ascii="黑体" w:hAnsi="黑体" w:eastAsia="黑体" w:cs="黑体"/>
          <w:color w:val="auto"/>
          <w:w w:val="105"/>
          <w:highlight w:val="none"/>
        </w:rPr>
        <w:t>%。具体评分细则见第八章。</w:t>
      </w:r>
    </w:p>
    <w:p>
      <w:pPr>
        <w:keepNext w:val="0"/>
        <w:keepLines w:val="0"/>
        <w:pageBreakBefore w:val="0"/>
        <w:widowControl w:val="0"/>
        <w:kinsoku/>
        <w:wordWrap/>
        <w:overflowPunct/>
        <w:topLinePunct w:val="0"/>
        <w:autoSpaceDE/>
        <w:autoSpaceDN/>
        <w:bidi w:val="0"/>
        <w:adjustRightInd w:val="0"/>
        <w:snapToGrid w:val="0"/>
        <w:spacing w:before="0" w:beforeLines="100" w:after="0" w:afterLines="100" w:line="360" w:lineRule="auto"/>
        <w:ind w:left="444" w:leftChars="202" w:firstLine="252" w:firstLineChars="100"/>
        <w:textAlignment w:val="auto"/>
        <w:rPr>
          <w:rFonts w:hint="eastAsia" w:ascii="黑体" w:hAnsi="黑体" w:eastAsia="黑体" w:cs="黑体"/>
          <w:color w:val="auto"/>
          <w:w w:val="105"/>
          <w:highlight w:val="none"/>
        </w:rPr>
      </w:pPr>
      <w:r>
        <w:rPr>
          <w:rFonts w:hint="eastAsia" w:ascii="黑体" w:hAnsi="黑体" w:eastAsia="黑体" w:cs="黑体"/>
          <w:color w:val="auto"/>
          <w:w w:val="105"/>
          <w:sz w:val="24"/>
          <w:szCs w:val="24"/>
          <w:highlight w:val="none"/>
          <w:lang w:val="en-US" w:eastAsia="zh-CN" w:bidi="zh-CN"/>
        </w:rPr>
        <w:t>5、</w:t>
      </w:r>
      <w:r>
        <w:rPr>
          <w:rFonts w:hint="eastAsia" w:ascii="黑体" w:hAnsi="黑体" w:eastAsia="黑体" w:cs="黑体"/>
          <w:color w:val="auto"/>
          <w:w w:val="105"/>
          <w:sz w:val="24"/>
          <w:szCs w:val="24"/>
          <w:highlight w:val="none"/>
          <w:lang w:val="zh-CN" w:eastAsia="zh-CN" w:bidi="zh-CN"/>
        </w:rPr>
        <w:t>评标委员会认为供应商的报价明显低于其他供应商的报价，有可能影响产品质量或者不能诚信履约的，应当要求其在评审现场合理的时间内提供书面说明，必要时提交相关证明材料；供应商不能证明其报价合理性的，评审小组应当将其按响应无效处理。</w:t>
      </w:r>
    </w:p>
    <w:p>
      <w:pPr>
        <w:pStyle w:val="19"/>
        <w:spacing w:before="33" w:line="360" w:lineRule="auto"/>
        <w:ind w:right="567" w:firstLine="240" w:firstLineChars="100"/>
        <w:jc w:val="both"/>
        <w:rPr>
          <w:rFonts w:hint="eastAsia" w:ascii="黑体" w:hAnsi="黑体" w:eastAsia="黑体" w:cs="黑体"/>
          <w:color w:val="auto"/>
          <w:highlight w:val="none"/>
        </w:rPr>
      </w:pPr>
      <w:r>
        <w:rPr>
          <w:rFonts w:hint="eastAsia" w:ascii="黑体" w:hAnsi="黑体" w:eastAsia="黑体" w:cs="黑体"/>
          <w:color w:val="auto"/>
          <w:highlight w:val="none"/>
          <w:lang w:val="en-US" w:eastAsia="zh-CN"/>
        </w:rPr>
        <w:t>6</w:t>
      </w:r>
      <w:r>
        <w:rPr>
          <w:rFonts w:hint="eastAsia" w:ascii="黑体" w:hAnsi="黑体" w:eastAsia="黑体" w:cs="黑体"/>
          <w:color w:val="auto"/>
          <w:highlight w:val="none"/>
        </w:rPr>
        <w:t>、得分汇总</w:t>
      </w:r>
    </w:p>
    <w:p>
      <w:pPr>
        <w:pStyle w:val="19"/>
        <w:spacing w:before="33" w:line="360" w:lineRule="auto"/>
        <w:ind w:left="567" w:right="567" w:firstLine="482"/>
        <w:jc w:val="both"/>
        <w:rPr>
          <w:rFonts w:hint="eastAsia" w:ascii="黑体" w:hAnsi="黑体" w:eastAsia="黑体" w:cs="黑体"/>
          <w:color w:val="auto"/>
          <w:highlight w:val="none"/>
        </w:rPr>
      </w:pPr>
      <w:r>
        <w:rPr>
          <w:rFonts w:hint="eastAsia" w:ascii="黑体" w:hAnsi="黑体" w:eastAsia="黑体" w:cs="黑体"/>
          <w:color w:val="auto"/>
          <w:highlight w:val="none"/>
        </w:rPr>
        <w:t>（1）将每个有效投标供应商的技术及商务之和加上根据上述标准计算出的价格分， 即为该投标供应商的综合总得分。</w:t>
      </w:r>
    </w:p>
    <w:p>
      <w:pPr>
        <w:pStyle w:val="19"/>
        <w:spacing w:before="33" w:line="360" w:lineRule="auto"/>
        <w:ind w:left="567" w:right="567" w:firstLine="482"/>
        <w:jc w:val="both"/>
        <w:rPr>
          <w:rFonts w:hint="eastAsia" w:ascii="黑体" w:hAnsi="黑体" w:eastAsia="黑体" w:cs="黑体"/>
          <w:color w:val="auto"/>
          <w:highlight w:val="none"/>
        </w:rPr>
      </w:pPr>
      <w:r>
        <w:rPr>
          <w:rFonts w:hint="eastAsia" w:ascii="黑体" w:hAnsi="黑体" w:eastAsia="黑体" w:cs="黑体"/>
          <w:color w:val="auto"/>
          <w:highlight w:val="none"/>
        </w:rPr>
        <w:t>（2）按照有效投标供应商综合总得分由高到低依次排出中标供应商及中标候选供应商。</w:t>
      </w:r>
    </w:p>
    <w:p>
      <w:pPr>
        <w:pStyle w:val="19"/>
        <w:spacing w:before="33" w:line="360" w:lineRule="auto"/>
        <w:ind w:left="567" w:right="567" w:firstLine="482"/>
        <w:jc w:val="both"/>
        <w:rPr>
          <w:rFonts w:hint="eastAsia" w:ascii="黑体" w:hAnsi="黑体" w:eastAsia="黑体" w:cs="黑体"/>
          <w:color w:val="auto"/>
          <w:highlight w:val="none"/>
        </w:rPr>
      </w:pPr>
      <w:r>
        <w:rPr>
          <w:rFonts w:hint="eastAsia" w:ascii="黑体" w:hAnsi="黑体" w:eastAsia="黑体" w:cs="黑体"/>
          <w:color w:val="auto"/>
          <w:highlight w:val="none"/>
        </w:rPr>
        <w:t>第九条 评委独立评审后，评标委员会对投标供应商某项指标如有不同意见，按照少数服从多数的原则确定。各投标供应商的得分分值一经得出，并核对无误后，任何人不得更改。</w:t>
      </w:r>
    </w:p>
    <w:p>
      <w:pPr>
        <w:pStyle w:val="19"/>
        <w:spacing w:before="33" w:line="360" w:lineRule="auto"/>
        <w:ind w:left="567" w:right="567" w:firstLine="482"/>
        <w:jc w:val="both"/>
        <w:rPr>
          <w:rFonts w:hint="eastAsia" w:ascii="黑体" w:hAnsi="黑体" w:eastAsia="黑体" w:cs="黑体"/>
          <w:color w:val="auto"/>
          <w:highlight w:val="none"/>
        </w:rPr>
      </w:pPr>
      <w:r>
        <w:rPr>
          <w:rFonts w:hint="eastAsia" w:ascii="黑体" w:hAnsi="黑体" w:eastAsia="黑体" w:cs="黑体"/>
          <w:color w:val="auto"/>
          <w:highlight w:val="none"/>
        </w:rPr>
        <w:t>第十条 评标委员会在评标过程中发现的问题，应当区别情形及时作出处理或者向采购人提出处理建议，并作书面记录。</w:t>
      </w:r>
    </w:p>
    <w:p>
      <w:pPr>
        <w:pStyle w:val="19"/>
        <w:spacing w:before="33" w:line="360" w:lineRule="auto"/>
        <w:ind w:left="567" w:right="567" w:firstLine="482"/>
        <w:jc w:val="both"/>
        <w:rPr>
          <w:rFonts w:hint="eastAsia" w:ascii="黑体" w:hAnsi="黑体" w:eastAsia="黑体" w:cs="黑体"/>
          <w:color w:val="auto"/>
          <w:highlight w:val="none"/>
        </w:rPr>
      </w:pPr>
      <w:r>
        <w:rPr>
          <w:rFonts w:hint="eastAsia" w:ascii="黑体" w:hAnsi="黑体" w:eastAsia="黑体" w:cs="黑体"/>
          <w:color w:val="auto"/>
          <w:highlight w:val="none"/>
        </w:rPr>
        <w:t>第十一条 投标供应商有串通投标、弄虚作假、行贿等违法行为，评委会有权否决其投标。</w:t>
      </w:r>
    </w:p>
    <w:p>
      <w:pPr>
        <w:pStyle w:val="19"/>
        <w:spacing w:before="33" w:line="360" w:lineRule="auto"/>
        <w:ind w:left="567" w:right="567" w:firstLine="482"/>
        <w:jc w:val="both"/>
        <w:rPr>
          <w:rFonts w:hint="eastAsia" w:ascii="黑体" w:hAnsi="黑体" w:eastAsia="黑体" w:cs="黑体"/>
          <w:color w:val="auto"/>
          <w:highlight w:val="none"/>
        </w:rPr>
      </w:pPr>
      <w:r>
        <w:rPr>
          <w:rFonts w:hint="eastAsia" w:ascii="黑体" w:hAnsi="黑体" w:eastAsia="黑体" w:cs="黑体"/>
          <w:color w:val="auto"/>
          <w:highlight w:val="none"/>
        </w:rPr>
        <w:t>第十二条 评标后，评标委员会应编写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pStyle w:val="19"/>
        <w:spacing w:before="33" w:line="360" w:lineRule="auto"/>
        <w:ind w:left="567" w:right="567" w:firstLine="482"/>
        <w:jc w:val="both"/>
        <w:rPr>
          <w:rFonts w:hint="eastAsia" w:ascii="黑体" w:hAnsi="黑体" w:eastAsia="黑体" w:cs="黑体"/>
          <w:color w:val="auto"/>
          <w:highlight w:val="none"/>
        </w:rPr>
      </w:pPr>
      <w:r>
        <w:rPr>
          <w:rFonts w:hint="eastAsia" w:ascii="黑体" w:hAnsi="黑体" w:eastAsia="黑体" w:cs="黑体"/>
          <w:color w:val="auto"/>
          <w:highlight w:val="none"/>
        </w:rPr>
        <w:t>第十三条 评标委员会成员应当在评标报告上签字，对自己的评审意见承担法律责任。对评标报告有异议的，应当在评标报告上签署不同意见，并说明理由，否则视为同意评标报告。</w:t>
      </w:r>
    </w:p>
    <w:p>
      <w:pPr>
        <w:pStyle w:val="19"/>
        <w:spacing w:before="33" w:line="360" w:lineRule="auto"/>
        <w:ind w:left="567" w:right="567" w:firstLine="482"/>
        <w:jc w:val="both"/>
        <w:rPr>
          <w:rFonts w:hint="eastAsia" w:ascii="黑体" w:hAnsi="黑体" w:eastAsia="黑体" w:cs="黑体"/>
          <w:color w:val="auto"/>
          <w:highlight w:val="none"/>
        </w:rPr>
      </w:pPr>
      <w:r>
        <w:rPr>
          <w:rFonts w:hint="eastAsia" w:ascii="黑体" w:hAnsi="黑体" w:eastAsia="黑体" w:cs="黑体"/>
          <w:color w:val="auto"/>
          <w:highlight w:val="none"/>
        </w:rPr>
        <w:t>三．评标纪律</w:t>
      </w:r>
    </w:p>
    <w:p>
      <w:pPr>
        <w:pStyle w:val="19"/>
        <w:spacing w:before="33" w:line="360" w:lineRule="auto"/>
        <w:ind w:left="567" w:right="567" w:firstLine="482"/>
        <w:jc w:val="both"/>
        <w:rPr>
          <w:rFonts w:hint="eastAsia" w:ascii="黑体" w:hAnsi="黑体" w:eastAsia="黑体" w:cs="黑体"/>
          <w:color w:val="auto"/>
          <w:highlight w:val="none"/>
        </w:rPr>
      </w:pPr>
      <w:r>
        <w:rPr>
          <w:rFonts w:hint="eastAsia" w:ascii="黑体" w:hAnsi="黑体" w:eastAsia="黑体" w:cs="黑体"/>
          <w:color w:val="auto"/>
          <w:highlight w:val="none"/>
        </w:rPr>
        <w:t>第十四条 评标委员会和评标工作人员应严格遵守国家的法律、法规和规章制度；严格按照本次招标文件进行评标；公正廉洁、不徇私情，不得损害国家利益；保护采购人、投标供应商的合法权益。</w:t>
      </w:r>
    </w:p>
    <w:p>
      <w:pPr>
        <w:pStyle w:val="19"/>
        <w:spacing w:before="33" w:line="360" w:lineRule="auto"/>
        <w:ind w:left="567" w:right="567" w:firstLine="482"/>
        <w:jc w:val="both"/>
        <w:rPr>
          <w:rFonts w:hint="eastAsia" w:ascii="黑体" w:hAnsi="黑体" w:eastAsia="黑体" w:cs="黑体"/>
          <w:color w:val="auto"/>
          <w:highlight w:val="none"/>
        </w:rPr>
      </w:pPr>
      <w:r>
        <w:rPr>
          <w:rFonts w:hint="eastAsia" w:ascii="黑体" w:hAnsi="黑体" w:eastAsia="黑体" w:cs="黑体"/>
          <w:color w:val="auto"/>
          <w:highlight w:val="none"/>
        </w:rPr>
        <w:t>第十五条 在评标过程中，评委及其他评标工作人员必须对评标情况严格保密，任何人不得将评标情况透露给与投标供应商有关的单位和个人。如有违反评标纪律的情况发生， 将依据政府采购法律法规的规定，追究有关当事人的责任。</w:t>
      </w:r>
    </w:p>
    <w:p>
      <w:pPr>
        <w:pStyle w:val="15"/>
        <w:rPr>
          <w:rFonts w:hint="eastAsia" w:ascii="黑体" w:hAnsi="黑体" w:eastAsia="黑体" w:cs="黑体"/>
          <w:b/>
          <w:color w:val="auto"/>
          <w:highlight w:val="none"/>
        </w:rPr>
      </w:pPr>
      <w:bookmarkStart w:id="66" w:name="_bookmark10"/>
      <w:bookmarkEnd w:id="66"/>
      <w:bookmarkStart w:id="67" w:name="第五章_采购合同"/>
      <w:bookmarkEnd w:id="67"/>
    </w:p>
    <w:p>
      <w:pPr>
        <w:pStyle w:val="15"/>
        <w:rPr>
          <w:rFonts w:hint="eastAsia" w:ascii="黑体" w:hAnsi="黑体" w:eastAsia="黑体" w:cs="黑体"/>
          <w:b/>
          <w:color w:val="auto"/>
          <w:highlight w:val="none"/>
        </w:rPr>
      </w:pPr>
    </w:p>
    <w:p>
      <w:pPr>
        <w:rPr>
          <w:rFonts w:hint="eastAsia" w:ascii="黑体" w:hAnsi="黑体" w:eastAsia="黑体" w:cs="黑体"/>
          <w:b/>
          <w:color w:val="auto"/>
          <w:sz w:val="36"/>
        </w:rPr>
      </w:pPr>
      <w:bookmarkStart w:id="68" w:name="_Toc18985"/>
      <w:r>
        <w:rPr>
          <w:rFonts w:hint="eastAsia" w:ascii="黑体" w:hAnsi="黑体" w:eastAsia="黑体" w:cs="黑体"/>
          <w:b/>
          <w:color w:val="auto"/>
          <w:sz w:val="36"/>
        </w:rPr>
        <w:br w:type="page"/>
      </w:r>
    </w:p>
    <w:p>
      <w:pPr>
        <w:pStyle w:val="3"/>
        <w:tabs>
          <w:tab w:val="left" w:pos="0"/>
        </w:tabs>
        <w:spacing w:line="360" w:lineRule="auto"/>
        <w:ind w:left="0" w:leftChars="0" w:firstLine="0" w:firstLineChars="0"/>
        <w:jc w:val="center"/>
        <w:outlineLvl w:val="0"/>
        <w:rPr>
          <w:rFonts w:hint="eastAsia" w:ascii="黑体" w:hAnsi="黑体" w:eastAsia="黑体" w:cs="黑体"/>
          <w:b/>
          <w:color w:val="auto"/>
          <w:sz w:val="36"/>
        </w:rPr>
      </w:pPr>
      <w:r>
        <w:rPr>
          <w:rFonts w:hint="eastAsia" w:ascii="黑体" w:hAnsi="黑体" w:eastAsia="黑体" w:cs="黑体"/>
          <w:b/>
          <w:color w:val="auto"/>
          <w:sz w:val="36"/>
        </w:rPr>
        <w:t>第五章</w:t>
      </w:r>
      <w:r>
        <w:rPr>
          <w:rFonts w:hint="eastAsia" w:ascii="黑体" w:hAnsi="黑体" w:eastAsia="黑体" w:cs="黑体"/>
          <w:b/>
          <w:color w:val="auto"/>
          <w:sz w:val="36"/>
          <w:lang w:val="en-US" w:eastAsia="zh-CN"/>
        </w:rPr>
        <w:t xml:space="preserve"> </w:t>
      </w:r>
      <w:r>
        <w:rPr>
          <w:rFonts w:hint="eastAsia" w:ascii="黑体" w:hAnsi="黑体" w:eastAsia="黑体" w:cs="黑体"/>
          <w:b/>
          <w:color w:val="auto"/>
          <w:sz w:val="36"/>
        </w:rPr>
        <w:t>政府采购合同</w:t>
      </w:r>
      <w:bookmarkEnd w:id="68"/>
    </w:p>
    <w:p>
      <w:pPr>
        <w:rPr>
          <w:rFonts w:hint="eastAsia" w:ascii="黑体" w:hAnsi="黑体" w:eastAsia="黑体" w:cs="黑体"/>
          <w:color w:val="auto"/>
          <w:highlight w:val="red"/>
        </w:rPr>
      </w:pPr>
    </w:p>
    <w:p>
      <w:pPr>
        <w:pStyle w:val="225"/>
        <w:rPr>
          <w:rFonts w:hint="eastAsia" w:ascii="黑体" w:hAnsi="黑体" w:eastAsia="黑体" w:cs="黑体"/>
          <w:color w:val="auto"/>
        </w:rPr>
      </w:pPr>
    </w:p>
    <w:p>
      <w:pPr>
        <w:pStyle w:val="257"/>
        <w:rPr>
          <w:rFonts w:hint="eastAsia" w:ascii="黑体" w:hAnsi="黑体" w:eastAsia="黑体" w:cs="黑体"/>
          <w:b/>
          <w:bCs/>
          <w:color w:val="auto"/>
          <w:sz w:val="24"/>
          <w:szCs w:val="24"/>
        </w:rPr>
      </w:pPr>
      <w:r>
        <w:rPr>
          <w:rFonts w:hint="eastAsia" w:ascii="黑体" w:hAnsi="黑体" w:eastAsia="黑体" w:cs="黑体"/>
          <w:b/>
          <w:bCs/>
          <w:color w:val="auto"/>
          <w:sz w:val="24"/>
          <w:szCs w:val="24"/>
        </w:rPr>
        <w:t>一、合同格式：</w:t>
      </w:r>
    </w:p>
    <w:p>
      <w:pPr>
        <w:pStyle w:val="257"/>
        <w:jc w:val="center"/>
        <w:rPr>
          <w:rFonts w:hint="eastAsia" w:ascii="黑体" w:hAnsi="黑体" w:eastAsia="黑体" w:cs="黑体"/>
          <w:b/>
          <w:bCs/>
          <w:color w:val="auto"/>
          <w:sz w:val="52"/>
          <w:szCs w:val="52"/>
        </w:rPr>
      </w:pPr>
      <w:r>
        <w:rPr>
          <w:rFonts w:hint="eastAsia" w:ascii="黑体" w:hAnsi="黑体" w:eastAsia="黑体" w:cs="黑体"/>
          <w:b/>
          <w:bCs/>
          <w:color w:val="auto"/>
          <w:sz w:val="52"/>
          <w:szCs w:val="52"/>
        </w:rPr>
        <w:t xml:space="preserve"> </w:t>
      </w:r>
    </w:p>
    <w:p>
      <w:pPr>
        <w:pStyle w:val="257"/>
        <w:jc w:val="center"/>
        <w:rPr>
          <w:rFonts w:hint="eastAsia" w:ascii="黑体" w:hAnsi="黑体" w:eastAsia="黑体" w:cs="黑体"/>
          <w:b/>
          <w:bCs/>
          <w:color w:val="auto"/>
          <w:sz w:val="52"/>
          <w:szCs w:val="52"/>
        </w:rPr>
      </w:pPr>
      <w:r>
        <w:rPr>
          <w:rFonts w:hint="eastAsia" w:ascii="黑体" w:hAnsi="黑体" w:eastAsia="黑体" w:cs="黑体"/>
          <w:b/>
          <w:bCs/>
          <w:color w:val="auto"/>
          <w:sz w:val="52"/>
          <w:szCs w:val="52"/>
        </w:rPr>
        <w:t>政府采购合同</w:t>
      </w:r>
    </w:p>
    <w:p>
      <w:pPr>
        <w:pStyle w:val="257"/>
        <w:jc w:val="center"/>
        <w:rPr>
          <w:rFonts w:hint="eastAsia" w:ascii="黑体" w:hAnsi="黑体" w:eastAsia="黑体" w:cs="黑体"/>
          <w:b/>
          <w:bCs/>
          <w:color w:val="auto"/>
          <w:sz w:val="52"/>
          <w:szCs w:val="52"/>
        </w:rPr>
      </w:pPr>
      <w:r>
        <w:rPr>
          <w:rFonts w:hint="eastAsia" w:ascii="黑体" w:hAnsi="黑体" w:eastAsia="黑体" w:cs="黑体"/>
          <w:b/>
          <w:bCs/>
          <w:color w:val="auto"/>
          <w:sz w:val="52"/>
          <w:szCs w:val="52"/>
        </w:rPr>
        <w:t xml:space="preserve"> </w:t>
      </w:r>
    </w:p>
    <w:p>
      <w:pPr>
        <w:pStyle w:val="257"/>
        <w:jc w:val="center"/>
        <w:rPr>
          <w:rFonts w:hint="eastAsia" w:ascii="黑体" w:hAnsi="黑体" w:eastAsia="黑体" w:cs="黑体"/>
          <w:b/>
          <w:bCs/>
          <w:color w:val="auto"/>
          <w:sz w:val="52"/>
          <w:szCs w:val="52"/>
        </w:rPr>
      </w:pPr>
      <w:r>
        <w:rPr>
          <w:rFonts w:hint="eastAsia" w:ascii="黑体" w:hAnsi="黑体" w:eastAsia="黑体" w:cs="黑体"/>
          <w:b/>
          <w:bCs/>
          <w:color w:val="auto"/>
          <w:sz w:val="52"/>
          <w:szCs w:val="52"/>
        </w:rPr>
        <w:t xml:space="preserve"> </w:t>
      </w:r>
    </w:p>
    <w:p>
      <w:pPr>
        <w:pStyle w:val="257"/>
        <w:jc w:val="center"/>
        <w:rPr>
          <w:rFonts w:hint="eastAsia" w:ascii="黑体" w:hAnsi="黑体" w:eastAsia="黑体" w:cs="黑体"/>
          <w:b/>
          <w:bCs/>
          <w:color w:val="auto"/>
          <w:sz w:val="52"/>
          <w:szCs w:val="52"/>
        </w:rPr>
      </w:pPr>
      <w:r>
        <w:rPr>
          <w:rFonts w:hint="eastAsia" w:ascii="黑体" w:hAnsi="黑体" w:eastAsia="黑体" w:cs="黑体"/>
          <w:b/>
          <w:bCs/>
          <w:color w:val="auto"/>
          <w:sz w:val="52"/>
          <w:szCs w:val="52"/>
        </w:rPr>
        <w:t xml:space="preserve"> </w:t>
      </w:r>
    </w:p>
    <w:p>
      <w:pPr>
        <w:pStyle w:val="257"/>
        <w:ind w:firstLine="1597" w:firstLineChars="497"/>
        <w:rPr>
          <w:rFonts w:hint="eastAsia" w:ascii="黑体" w:hAnsi="黑体" w:eastAsia="黑体" w:cs="黑体"/>
          <w:b/>
          <w:bCs/>
          <w:color w:val="auto"/>
          <w:sz w:val="32"/>
          <w:szCs w:val="32"/>
        </w:rPr>
      </w:pPr>
      <w:r>
        <w:rPr>
          <w:rFonts w:hint="eastAsia" w:ascii="黑体" w:hAnsi="黑体" w:eastAsia="黑体" w:cs="黑体"/>
          <w:b/>
          <w:bCs/>
          <w:color w:val="auto"/>
          <w:sz w:val="32"/>
          <w:szCs w:val="32"/>
        </w:rPr>
        <w:t>项目名称:</w:t>
      </w:r>
      <w:r>
        <w:rPr>
          <w:rFonts w:hint="eastAsia" w:ascii="黑体" w:hAnsi="黑体" w:eastAsia="黑体" w:cs="黑体"/>
          <w:b/>
          <w:bCs/>
          <w:color w:val="auto"/>
          <w:sz w:val="32"/>
          <w:szCs w:val="32"/>
          <w:u w:val="single"/>
        </w:rPr>
        <w:t xml:space="preserve">                    </w:t>
      </w:r>
    </w:p>
    <w:p>
      <w:pPr>
        <w:pStyle w:val="257"/>
        <w:spacing w:before="312" w:beforeLines="100"/>
        <w:ind w:firstLine="1597" w:firstLineChars="497"/>
        <w:rPr>
          <w:rFonts w:hint="eastAsia" w:ascii="黑体" w:hAnsi="黑体" w:eastAsia="黑体" w:cs="黑体"/>
          <w:b/>
          <w:bCs/>
          <w:color w:val="auto"/>
          <w:sz w:val="32"/>
          <w:szCs w:val="32"/>
          <w:u w:val="single"/>
        </w:rPr>
      </w:pPr>
      <w:r>
        <w:rPr>
          <w:rFonts w:hint="eastAsia" w:ascii="黑体" w:hAnsi="黑体" w:eastAsia="黑体" w:cs="黑体"/>
          <w:b/>
          <w:bCs/>
          <w:color w:val="auto"/>
          <w:sz w:val="32"/>
          <w:szCs w:val="32"/>
        </w:rPr>
        <w:t>项目编号:</w:t>
      </w:r>
      <w:r>
        <w:rPr>
          <w:rFonts w:hint="eastAsia" w:ascii="黑体" w:hAnsi="黑体" w:eastAsia="黑体" w:cs="黑体"/>
          <w:b/>
          <w:bCs/>
          <w:color w:val="auto"/>
          <w:sz w:val="32"/>
          <w:szCs w:val="32"/>
          <w:u w:val="single"/>
        </w:rPr>
        <w:t xml:space="preserve">                    </w:t>
      </w:r>
    </w:p>
    <w:p>
      <w:pPr>
        <w:pStyle w:val="257"/>
        <w:spacing w:before="312" w:beforeLines="100"/>
        <w:ind w:firstLine="1597" w:firstLineChars="497"/>
        <w:rPr>
          <w:rFonts w:hint="eastAsia" w:ascii="黑体" w:hAnsi="黑体" w:eastAsia="黑体" w:cs="黑体"/>
          <w:b/>
          <w:bCs/>
          <w:color w:val="auto"/>
          <w:sz w:val="32"/>
          <w:szCs w:val="32"/>
          <w:u w:val="single"/>
        </w:rPr>
      </w:pPr>
      <w:r>
        <w:rPr>
          <w:rFonts w:hint="eastAsia" w:ascii="黑体" w:hAnsi="黑体" w:eastAsia="黑体" w:cs="黑体"/>
          <w:b/>
          <w:bCs/>
          <w:color w:val="auto"/>
          <w:kern w:val="0"/>
          <w:sz w:val="32"/>
          <w:szCs w:val="32"/>
        </w:rPr>
        <w:t>合同编号:</w:t>
      </w:r>
      <w:r>
        <w:rPr>
          <w:rFonts w:hint="eastAsia" w:ascii="黑体" w:hAnsi="黑体" w:eastAsia="黑体" w:cs="黑体"/>
          <w:b/>
          <w:bCs/>
          <w:color w:val="auto"/>
          <w:sz w:val="32"/>
          <w:szCs w:val="32"/>
          <w:u w:val="single"/>
        </w:rPr>
        <w:t xml:space="preserve">                    </w:t>
      </w:r>
    </w:p>
    <w:p>
      <w:pPr>
        <w:pStyle w:val="257"/>
        <w:spacing w:before="312" w:beforeLines="100"/>
        <w:jc w:val="center"/>
        <w:rPr>
          <w:rFonts w:hint="eastAsia" w:ascii="黑体" w:hAnsi="黑体" w:eastAsia="黑体" w:cs="黑体"/>
          <w:b/>
          <w:bCs/>
          <w:color w:val="auto"/>
          <w:sz w:val="32"/>
          <w:szCs w:val="32"/>
          <w:u w:val="single"/>
        </w:rPr>
      </w:pPr>
    </w:p>
    <w:p>
      <w:pPr>
        <w:pStyle w:val="257"/>
        <w:spacing w:before="312" w:beforeLines="100"/>
        <w:jc w:val="center"/>
        <w:rPr>
          <w:rFonts w:hint="eastAsia" w:ascii="黑体" w:hAnsi="黑体" w:eastAsia="黑体" w:cs="黑体"/>
          <w:b/>
          <w:bCs/>
          <w:color w:val="auto"/>
          <w:sz w:val="32"/>
          <w:szCs w:val="32"/>
          <w:u w:val="single"/>
        </w:rPr>
      </w:pPr>
    </w:p>
    <w:p>
      <w:pPr>
        <w:pStyle w:val="257"/>
        <w:spacing w:before="312" w:beforeLines="100"/>
        <w:jc w:val="center"/>
        <w:rPr>
          <w:rFonts w:hint="eastAsia" w:ascii="黑体" w:hAnsi="黑体" w:eastAsia="黑体" w:cs="黑体"/>
          <w:b/>
          <w:bCs/>
          <w:color w:val="auto"/>
          <w:sz w:val="32"/>
          <w:szCs w:val="32"/>
          <w:u w:val="single"/>
        </w:rPr>
      </w:pPr>
    </w:p>
    <w:p>
      <w:pPr>
        <w:pStyle w:val="257"/>
        <w:ind w:firstLine="1606" w:firstLineChars="500"/>
        <w:rPr>
          <w:rFonts w:hint="eastAsia" w:ascii="黑体" w:hAnsi="黑体" w:eastAsia="黑体" w:cs="黑体"/>
          <w:b/>
          <w:bCs/>
          <w:color w:val="auto"/>
          <w:sz w:val="32"/>
          <w:szCs w:val="32"/>
        </w:rPr>
      </w:pPr>
      <w:r>
        <w:rPr>
          <w:rFonts w:hint="eastAsia" w:ascii="黑体" w:hAnsi="黑体" w:eastAsia="黑体" w:cs="黑体"/>
          <w:b/>
          <w:bCs/>
          <w:color w:val="auto"/>
          <w:sz w:val="32"/>
          <w:szCs w:val="32"/>
        </w:rPr>
        <w:t>甲    方:</w:t>
      </w:r>
      <w:r>
        <w:rPr>
          <w:rFonts w:hint="eastAsia" w:ascii="黑体" w:hAnsi="黑体" w:eastAsia="黑体" w:cs="黑体"/>
          <w:b/>
          <w:bCs/>
          <w:color w:val="auto"/>
          <w:sz w:val="32"/>
          <w:szCs w:val="32"/>
          <w:u w:val="single"/>
        </w:rPr>
        <w:t xml:space="preserve">                    </w:t>
      </w:r>
    </w:p>
    <w:p>
      <w:pPr>
        <w:pStyle w:val="257"/>
        <w:spacing w:before="312" w:beforeLines="100"/>
        <w:ind w:firstLine="1606" w:firstLineChars="500"/>
        <w:rPr>
          <w:rFonts w:hint="eastAsia" w:ascii="黑体" w:hAnsi="黑体" w:eastAsia="黑体" w:cs="黑体"/>
          <w:color w:val="auto"/>
          <w:sz w:val="24"/>
          <w:szCs w:val="24"/>
          <w:u w:val="single"/>
        </w:rPr>
      </w:pPr>
      <w:r>
        <w:rPr>
          <w:rFonts w:hint="eastAsia" w:ascii="黑体" w:hAnsi="黑体" w:eastAsia="黑体" w:cs="黑体"/>
          <w:b/>
          <w:bCs/>
          <w:color w:val="auto"/>
          <w:sz w:val="32"/>
          <w:szCs w:val="32"/>
        </w:rPr>
        <w:t>乙    方:</w:t>
      </w:r>
      <w:r>
        <w:rPr>
          <w:rFonts w:hint="eastAsia" w:ascii="黑体" w:hAnsi="黑体" w:eastAsia="黑体" w:cs="黑体"/>
          <w:b/>
          <w:bCs/>
          <w:color w:val="auto"/>
          <w:sz w:val="32"/>
          <w:szCs w:val="32"/>
          <w:u w:val="single"/>
        </w:rPr>
        <w:t xml:space="preserve">                    </w:t>
      </w:r>
      <w:r>
        <w:rPr>
          <w:rFonts w:hint="eastAsia" w:ascii="黑体" w:hAnsi="黑体" w:eastAsia="黑体" w:cs="黑体"/>
          <w:b/>
          <w:bCs/>
          <w:color w:val="auto"/>
          <w:kern w:val="0"/>
          <w:sz w:val="32"/>
          <w:szCs w:val="32"/>
          <w:u w:val="single"/>
        </w:rPr>
        <w:br w:type="page"/>
      </w:r>
    </w:p>
    <w:p>
      <w:pPr>
        <w:pStyle w:val="257"/>
        <w:spacing w:before="312" w:beforeLines="100"/>
        <w:ind w:firstLine="1200" w:firstLineChars="500"/>
        <w:rPr>
          <w:rFonts w:hint="eastAsia" w:ascii="黑体" w:hAnsi="黑体" w:eastAsia="黑体" w:cs="黑体"/>
          <w:color w:val="auto"/>
          <w:kern w:val="0"/>
          <w:sz w:val="24"/>
          <w:szCs w:val="24"/>
        </w:rPr>
      </w:pPr>
      <w:r>
        <w:rPr>
          <w:rFonts w:hint="eastAsia" w:ascii="黑体" w:hAnsi="黑体" w:eastAsia="黑体" w:cs="黑体"/>
          <w:color w:val="auto"/>
          <w:sz w:val="24"/>
          <w:szCs w:val="24"/>
          <w:u w:val="single"/>
        </w:rPr>
        <w:t xml:space="preserve">               </w:t>
      </w:r>
      <w:r>
        <w:rPr>
          <w:rFonts w:hint="eastAsia" w:ascii="黑体" w:hAnsi="黑体" w:eastAsia="黑体" w:cs="黑体"/>
          <w:color w:val="auto"/>
          <w:kern w:val="0"/>
          <w:sz w:val="24"/>
          <w:szCs w:val="24"/>
        </w:rPr>
        <w:t>（甲方）所需</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(项目名称)经</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以</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（项目编号）招标文件在国内以公开招标方式进行采购。经评标委员会确定</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（乙方）为中标人。甲、乙双方根据《中华人民共和国政府采购法》、《中华人民共和国合同法》等相关法律以及本项目招标文件的规定，经平等协商达成合同如下：</w:t>
      </w:r>
    </w:p>
    <w:p>
      <w:pPr>
        <w:pStyle w:val="257"/>
        <w:widowControl/>
        <w:snapToGrid w:val="0"/>
        <w:spacing w:line="360" w:lineRule="auto"/>
        <w:ind w:firstLine="482" w:firstLineChars="200"/>
        <w:jc w:val="left"/>
        <w:rPr>
          <w:rFonts w:hint="eastAsia" w:ascii="黑体" w:hAnsi="黑体" w:eastAsia="黑体" w:cs="黑体"/>
          <w:color w:val="auto"/>
          <w:kern w:val="0"/>
          <w:sz w:val="24"/>
          <w:szCs w:val="24"/>
        </w:rPr>
      </w:pPr>
      <w:r>
        <w:rPr>
          <w:rFonts w:hint="eastAsia" w:ascii="黑体" w:hAnsi="黑体" w:eastAsia="黑体" w:cs="黑体"/>
          <w:b/>
          <w:bCs/>
          <w:color w:val="auto"/>
          <w:sz w:val="24"/>
          <w:szCs w:val="24"/>
        </w:rPr>
        <w:t>一、合同文件</w:t>
      </w:r>
    </w:p>
    <w:p>
      <w:pPr>
        <w:pStyle w:val="257"/>
        <w:widowControl/>
        <w:snapToGrid w:val="0"/>
        <w:spacing w:line="360" w:lineRule="auto"/>
        <w:ind w:firstLine="480" w:firstLineChars="200"/>
        <w:jc w:val="left"/>
        <w:rPr>
          <w:rFonts w:hint="eastAsia" w:ascii="黑体" w:hAnsi="黑体" w:eastAsia="黑体" w:cs="黑体"/>
          <w:color w:val="auto"/>
          <w:kern w:val="0"/>
          <w:sz w:val="24"/>
          <w:szCs w:val="24"/>
        </w:rPr>
      </w:pPr>
      <w:r>
        <w:rPr>
          <w:rFonts w:hint="eastAsia" w:ascii="黑体" w:hAnsi="黑体" w:eastAsia="黑体" w:cs="黑体"/>
          <w:color w:val="auto"/>
          <w:sz w:val="24"/>
          <w:szCs w:val="24"/>
        </w:rPr>
        <w:t>本合同所附下列文件是构成本合同不可分割的部分：</w:t>
      </w:r>
    </w:p>
    <w:p>
      <w:pPr>
        <w:pStyle w:val="257"/>
        <w:widowControl/>
        <w:snapToGrid w:val="0"/>
        <w:spacing w:line="360" w:lineRule="auto"/>
        <w:ind w:firstLine="480" w:firstLineChars="200"/>
        <w:jc w:val="left"/>
        <w:rPr>
          <w:rFonts w:hint="eastAsia" w:ascii="黑体" w:hAnsi="黑体" w:eastAsia="黑体" w:cs="黑体"/>
          <w:color w:val="auto"/>
          <w:kern w:val="0"/>
          <w:sz w:val="24"/>
          <w:szCs w:val="24"/>
        </w:rPr>
      </w:pPr>
      <w:r>
        <w:rPr>
          <w:rFonts w:hint="eastAsia" w:ascii="黑体" w:hAnsi="黑体" w:eastAsia="黑体" w:cs="黑体"/>
          <w:color w:val="auto"/>
          <w:sz w:val="24"/>
          <w:szCs w:val="24"/>
        </w:rPr>
        <w:t>（一）本项目招标文件</w:t>
      </w:r>
    </w:p>
    <w:p>
      <w:pPr>
        <w:pStyle w:val="257"/>
        <w:widowControl/>
        <w:snapToGrid w:val="0"/>
        <w:spacing w:line="360" w:lineRule="auto"/>
        <w:ind w:firstLine="480" w:firstLineChars="200"/>
        <w:jc w:val="left"/>
        <w:rPr>
          <w:rFonts w:hint="eastAsia" w:ascii="黑体" w:hAnsi="黑体" w:eastAsia="黑体" w:cs="黑体"/>
          <w:color w:val="auto"/>
          <w:kern w:val="0"/>
          <w:sz w:val="24"/>
          <w:szCs w:val="24"/>
        </w:rPr>
      </w:pPr>
      <w:r>
        <w:rPr>
          <w:rFonts w:hint="eastAsia" w:ascii="黑体" w:hAnsi="黑体" w:eastAsia="黑体" w:cs="黑体"/>
          <w:color w:val="auto"/>
          <w:sz w:val="24"/>
          <w:szCs w:val="24"/>
        </w:rPr>
        <w:t>（二）中标人投标文件</w:t>
      </w:r>
    </w:p>
    <w:p>
      <w:pPr>
        <w:pStyle w:val="257"/>
        <w:widowControl/>
        <w:snapToGrid w:val="0"/>
        <w:spacing w:line="360" w:lineRule="auto"/>
        <w:ind w:firstLine="480" w:firstLineChars="200"/>
        <w:jc w:val="left"/>
        <w:rPr>
          <w:rFonts w:hint="eastAsia" w:ascii="黑体" w:hAnsi="黑体" w:eastAsia="黑体" w:cs="黑体"/>
          <w:color w:val="auto"/>
          <w:kern w:val="0"/>
          <w:sz w:val="24"/>
          <w:szCs w:val="24"/>
        </w:rPr>
      </w:pPr>
      <w:r>
        <w:rPr>
          <w:rFonts w:hint="eastAsia" w:ascii="黑体" w:hAnsi="黑体" w:eastAsia="黑体" w:cs="黑体"/>
          <w:color w:val="auto"/>
          <w:sz w:val="24"/>
          <w:szCs w:val="24"/>
        </w:rPr>
        <w:t>（三）合同格式、合同条款</w:t>
      </w:r>
    </w:p>
    <w:p>
      <w:pPr>
        <w:pStyle w:val="257"/>
        <w:widowControl/>
        <w:snapToGrid w:val="0"/>
        <w:spacing w:line="360" w:lineRule="auto"/>
        <w:ind w:firstLine="480" w:firstLineChars="200"/>
        <w:jc w:val="left"/>
        <w:rPr>
          <w:rFonts w:hint="eastAsia" w:ascii="黑体" w:hAnsi="黑体" w:eastAsia="黑体" w:cs="黑体"/>
          <w:color w:val="auto"/>
          <w:kern w:val="0"/>
          <w:sz w:val="24"/>
          <w:szCs w:val="24"/>
        </w:rPr>
      </w:pPr>
      <w:r>
        <w:rPr>
          <w:rFonts w:hint="eastAsia" w:ascii="黑体" w:hAnsi="黑体" w:eastAsia="黑体" w:cs="黑体"/>
          <w:color w:val="auto"/>
          <w:sz w:val="24"/>
          <w:szCs w:val="24"/>
        </w:rPr>
        <w:t>（四）中标人在评标过程中做出的有关澄清、说明或者补正文件</w:t>
      </w:r>
    </w:p>
    <w:p>
      <w:pPr>
        <w:pStyle w:val="257"/>
        <w:widowControl/>
        <w:snapToGrid w:val="0"/>
        <w:spacing w:line="360" w:lineRule="auto"/>
        <w:ind w:firstLine="480" w:firstLineChars="200"/>
        <w:jc w:val="left"/>
        <w:rPr>
          <w:rFonts w:hint="eastAsia" w:ascii="黑体" w:hAnsi="黑体" w:eastAsia="黑体" w:cs="黑体"/>
          <w:color w:val="auto"/>
          <w:kern w:val="0"/>
          <w:sz w:val="24"/>
          <w:szCs w:val="24"/>
        </w:rPr>
      </w:pPr>
      <w:r>
        <w:rPr>
          <w:rFonts w:hint="eastAsia" w:ascii="黑体" w:hAnsi="黑体" w:eastAsia="黑体" w:cs="黑体"/>
          <w:color w:val="auto"/>
          <w:sz w:val="24"/>
          <w:szCs w:val="24"/>
        </w:rPr>
        <w:t>（五）中标通知书</w:t>
      </w:r>
    </w:p>
    <w:p>
      <w:pPr>
        <w:pStyle w:val="257"/>
        <w:widowControl/>
        <w:snapToGrid w:val="0"/>
        <w:spacing w:line="360" w:lineRule="auto"/>
        <w:ind w:firstLine="480" w:firstLineChars="200"/>
        <w:jc w:val="left"/>
        <w:rPr>
          <w:rFonts w:hint="eastAsia" w:ascii="黑体" w:hAnsi="黑体" w:eastAsia="黑体" w:cs="黑体"/>
          <w:color w:val="auto"/>
          <w:kern w:val="0"/>
          <w:sz w:val="24"/>
          <w:szCs w:val="24"/>
        </w:rPr>
      </w:pPr>
      <w:r>
        <w:rPr>
          <w:rFonts w:hint="eastAsia" w:ascii="黑体" w:hAnsi="黑体" w:eastAsia="黑体" w:cs="黑体"/>
          <w:color w:val="auto"/>
          <w:sz w:val="24"/>
          <w:szCs w:val="24"/>
        </w:rPr>
        <w:t>（六）本合同附件</w:t>
      </w:r>
    </w:p>
    <w:p>
      <w:pPr>
        <w:pStyle w:val="257"/>
        <w:widowControl/>
        <w:snapToGrid w:val="0"/>
        <w:spacing w:line="360" w:lineRule="auto"/>
        <w:ind w:firstLine="482" w:firstLineChars="200"/>
        <w:jc w:val="left"/>
        <w:rPr>
          <w:rFonts w:hint="eastAsia" w:ascii="黑体" w:hAnsi="黑体" w:eastAsia="黑体" w:cs="黑体"/>
          <w:color w:val="auto"/>
          <w:kern w:val="0"/>
          <w:sz w:val="24"/>
          <w:szCs w:val="24"/>
        </w:rPr>
      </w:pPr>
      <w:r>
        <w:rPr>
          <w:rFonts w:hint="eastAsia" w:ascii="黑体" w:hAnsi="黑体" w:eastAsia="黑体" w:cs="黑体"/>
          <w:b/>
          <w:bCs/>
          <w:color w:val="auto"/>
          <w:sz w:val="24"/>
          <w:szCs w:val="24"/>
        </w:rPr>
        <w:t>二、合同的范围和条件</w:t>
      </w:r>
    </w:p>
    <w:p>
      <w:pPr>
        <w:pStyle w:val="257"/>
        <w:widowControl/>
        <w:snapToGrid w:val="0"/>
        <w:spacing w:line="360" w:lineRule="auto"/>
        <w:ind w:firstLine="480" w:firstLineChars="200"/>
        <w:jc w:val="left"/>
        <w:rPr>
          <w:rFonts w:hint="eastAsia" w:ascii="黑体" w:hAnsi="黑体" w:eastAsia="黑体" w:cs="黑体"/>
          <w:color w:val="auto"/>
          <w:kern w:val="0"/>
          <w:sz w:val="24"/>
          <w:szCs w:val="24"/>
        </w:rPr>
      </w:pPr>
      <w:r>
        <w:rPr>
          <w:rFonts w:hint="eastAsia" w:ascii="黑体" w:hAnsi="黑体" w:eastAsia="黑体" w:cs="黑体"/>
          <w:color w:val="auto"/>
          <w:sz w:val="24"/>
          <w:szCs w:val="24"/>
        </w:rPr>
        <w:t>本合同的范围和条件应与上述合同文件的规定相一致。</w:t>
      </w:r>
    </w:p>
    <w:p>
      <w:pPr>
        <w:pStyle w:val="257"/>
        <w:widowControl/>
        <w:snapToGrid w:val="0"/>
        <w:spacing w:line="360" w:lineRule="auto"/>
        <w:ind w:firstLine="482" w:firstLineChars="200"/>
        <w:jc w:val="left"/>
        <w:rPr>
          <w:rFonts w:hint="eastAsia" w:ascii="黑体" w:hAnsi="黑体" w:eastAsia="黑体" w:cs="黑体"/>
          <w:color w:val="auto"/>
          <w:kern w:val="0"/>
          <w:sz w:val="24"/>
          <w:szCs w:val="24"/>
        </w:rPr>
      </w:pPr>
      <w:r>
        <w:rPr>
          <w:rFonts w:hint="eastAsia" w:ascii="黑体" w:hAnsi="黑体" w:eastAsia="黑体" w:cs="黑体"/>
          <w:b/>
          <w:bCs/>
          <w:color w:val="auto"/>
          <w:sz w:val="24"/>
          <w:szCs w:val="24"/>
        </w:rPr>
        <w:t>三、货物、数量及规格</w:t>
      </w:r>
    </w:p>
    <w:p>
      <w:pPr>
        <w:pStyle w:val="257"/>
        <w:widowControl/>
        <w:snapToGrid w:val="0"/>
        <w:spacing w:line="360" w:lineRule="auto"/>
        <w:ind w:firstLine="480" w:firstLineChars="200"/>
        <w:jc w:val="left"/>
        <w:rPr>
          <w:rFonts w:hint="eastAsia" w:ascii="黑体" w:hAnsi="黑体" w:eastAsia="黑体" w:cs="黑体"/>
          <w:color w:val="auto"/>
          <w:kern w:val="0"/>
          <w:sz w:val="24"/>
          <w:szCs w:val="24"/>
        </w:rPr>
      </w:pPr>
      <w:r>
        <w:rPr>
          <w:rFonts w:hint="eastAsia" w:ascii="黑体" w:hAnsi="黑体" w:eastAsia="黑体" w:cs="黑体"/>
          <w:color w:val="auto"/>
          <w:sz w:val="24"/>
          <w:szCs w:val="24"/>
        </w:rPr>
        <w:t>本合同所提供的货物、数量及规格详见合同货物清单（附件一）（同投标文件中报价明细表，下同）。</w:t>
      </w:r>
    </w:p>
    <w:p>
      <w:pPr>
        <w:pStyle w:val="257"/>
        <w:widowControl/>
        <w:snapToGrid w:val="0"/>
        <w:spacing w:line="360" w:lineRule="auto"/>
        <w:ind w:firstLine="482" w:firstLineChars="200"/>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四、合同金额</w:t>
      </w:r>
    </w:p>
    <w:p>
      <w:pPr>
        <w:pStyle w:val="257"/>
        <w:widowControl/>
        <w:snapToGrid w:val="0"/>
        <w:spacing w:line="360" w:lineRule="auto"/>
        <w:ind w:firstLine="480" w:firstLineChars="200"/>
        <w:jc w:val="left"/>
        <w:rPr>
          <w:rFonts w:hint="eastAsia" w:ascii="黑体" w:hAnsi="黑体" w:eastAsia="黑体" w:cs="黑体"/>
          <w:color w:val="auto"/>
          <w:sz w:val="24"/>
          <w:szCs w:val="24"/>
        </w:rPr>
      </w:pPr>
      <w:r>
        <w:rPr>
          <w:rFonts w:hint="eastAsia" w:ascii="黑体" w:hAnsi="黑体" w:eastAsia="黑体" w:cs="黑体"/>
          <w:color w:val="auto"/>
          <w:sz w:val="24"/>
          <w:szCs w:val="24"/>
        </w:rPr>
        <w:t>根据上述合同文件要求，合同金额为人民币</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rPr>
        <w:t>元，大写：</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rPr>
        <w:t>。（分项价格详见合同货物清单）。</w:t>
      </w:r>
    </w:p>
    <w:p>
      <w:pPr>
        <w:pStyle w:val="257"/>
        <w:widowControl/>
        <w:snapToGrid w:val="0"/>
        <w:spacing w:line="360" w:lineRule="auto"/>
        <w:ind w:firstLine="480" w:firstLineChars="200"/>
        <w:jc w:val="left"/>
        <w:rPr>
          <w:rFonts w:hint="eastAsia" w:ascii="黑体" w:hAnsi="黑体" w:eastAsia="黑体" w:cs="黑体"/>
          <w:color w:val="auto"/>
          <w:sz w:val="24"/>
          <w:szCs w:val="24"/>
        </w:rPr>
      </w:pPr>
      <w:r>
        <w:rPr>
          <w:rFonts w:hint="eastAsia" w:ascii="黑体" w:hAnsi="黑体" w:eastAsia="黑体" w:cs="黑体"/>
          <w:color w:val="auto"/>
          <w:sz w:val="24"/>
          <w:szCs w:val="24"/>
        </w:rPr>
        <w:t>乙方开户单位：</w:t>
      </w:r>
    </w:p>
    <w:p>
      <w:pPr>
        <w:pStyle w:val="257"/>
        <w:widowControl/>
        <w:snapToGrid w:val="0"/>
        <w:spacing w:line="360" w:lineRule="auto"/>
        <w:ind w:firstLine="480" w:firstLineChars="200"/>
        <w:jc w:val="left"/>
        <w:rPr>
          <w:rFonts w:hint="eastAsia" w:ascii="黑体" w:hAnsi="黑体" w:eastAsia="黑体" w:cs="黑体"/>
          <w:color w:val="auto"/>
          <w:sz w:val="24"/>
          <w:szCs w:val="24"/>
        </w:rPr>
      </w:pPr>
      <w:r>
        <w:rPr>
          <w:rFonts w:hint="eastAsia" w:ascii="黑体" w:hAnsi="黑体" w:eastAsia="黑体" w:cs="黑体"/>
          <w:color w:val="auto"/>
          <w:sz w:val="24"/>
          <w:szCs w:val="24"/>
        </w:rPr>
        <w:t>开户银行：                           帐号：</w:t>
      </w:r>
    </w:p>
    <w:p>
      <w:pPr>
        <w:pStyle w:val="257"/>
        <w:widowControl/>
        <w:snapToGrid w:val="0"/>
        <w:spacing w:line="360" w:lineRule="auto"/>
        <w:ind w:firstLine="482" w:firstLineChars="200"/>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五、付款途径</w:t>
      </w:r>
    </w:p>
    <w:p>
      <w:pPr>
        <w:pStyle w:val="257"/>
        <w:widowControl/>
        <w:snapToGrid w:val="0"/>
        <w:spacing w:line="360" w:lineRule="auto"/>
        <w:ind w:firstLine="480" w:firstLineChars="200"/>
        <w:jc w:val="left"/>
        <w:rPr>
          <w:rFonts w:hint="eastAsia" w:ascii="黑体" w:hAnsi="黑体" w:eastAsia="黑体" w:cs="黑体"/>
          <w:b/>
          <w:bCs/>
          <w:color w:val="auto"/>
          <w:sz w:val="24"/>
          <w:szCs w:val="24"/>
        </w:rPr>
      </w:pPr>
      <w:r>
        <w:rPr>
          <w:rFonts w:hint="eastAsia" w:ascii="黑体" w:hAnsi="黑体" w:eastAsia="黑体" w:cs="黑体"/>
          <w:color w:val="auto"/>
          <w:sz w:val="24"/>
          <w:szCs w:val="24"/>
        </w:rPr>
        <w:t>□ 国库集中支付   □甲方支付    □ 国库与甲方共同支付</w:t>
      </w:r>
    </w:p>
    <w:p>
      <w:pPr>
        <w:pStyle w:val="257"/>
        <w:widowControl/>
        <w:snapToGrid w:val="0"/>
        <w:spacing w:line="360" w:lineRule="auto"/>
        <w:ind w:firstLine="480" w:firstLineChars="200"/>
        <w:jc w:val="left"/>
        <w:rPr>
          <w:rFonts w:hint="eastAsia" w:ascii="黑体" w:hAnsi="黑体" w:eastAsia="黑体" w:cs="黑体"/>
          <w:b/>
          <w:bCs/>
          <w:color w:val="auto"/>
          <w:sz w:val="24"/>
          <w:szCs w:val="24"/>
        </w:rPr>
      </w:pPr>
      <w:r>
        <w:rPr>
          <w:rFonts w:hint="eastAsia" w:ascii="黑体" w:hAnsi="黑体" w:eastAsia="黑体" w:cs="黑体"/>
          <w:color w:val="auto"/>
          <w:sz w:val="24"/>
          <w:szCs w:val="24"/>
        </w:rPr>
        <w:t>□ 财政性资金</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rPr>
        <w:t>元          □ 自筹性资金</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rPr>
        <w:t>元</w:t>
      </w:r>
    </w:p>
    <w:p>
      <w:pPr>
        <w:pStyle w:val="257"/>
        <w:widowControl/>
        <w:snapToGrid w:val="0"/>
        <w:spacing w:line="360" w:lineRule="auto"/>
        <w:ind w:firstLine="480" w:firstLineChars="200"/>
        <w:jc w:val="left"/>
        <w:rPr>
          <w:rFonts w:hint="eastAsia" w:ascii="黑体" w:hAnsi="黑体" w:eastAsia="黑体" w:cs="黑体"/>
          <w:b/>
          <w:bCs/>
          <w:color w:val="auto"/>
          <w:sz w:val="24"/>
          <w:szCs w:val="24"/>
        </w:rPr>
      </w:pPr>
      <w:r>
        <w:rPr>
          <w:rFonts w:hint="eastAsia" w:ascii="黑体" w:hAnsi="黑体" w:eastAsia="黑体" w:cs="黑体"/>
          <w:color w:val="auto"/>
          <w:sz w:val="24"/>
          <w:szCs w:val="24"/>
        </w:rPr>
        <w:t>属国库集中支付的财政性资金，甲方应按合同约定的付款期限，及时向财政部门报送资金支付申请，财政部门对支付申请审核无误后，将货款直接支付至乙方账户。</w:t>
      </w:r>
    </w:p>
    <w:p>
      <w:pPr>
        <w:pStyle w:val="257"/>
        <w:widowControl/>
        <w:snapToGrid w:val="0"/>
        <w:spacing w:line="360" w:lineRule="auto"/>
        <w:ind w:firstLine="482" w:firstLineChars="200"/>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六、付款方式</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付款方式：</w:t>
      </w:r>
      <w:r>
        <w:rPr>
          <w:rFonts w:hint="eastAsia" w:ascii="黑体" w:hAnsi="黑体" w:eastAsia="黑体" w:cs="黑体"/>
          <w:color w:val="auto"/>
          <w:sz w:val="24"/>
          <w:szCs w:val="24"/>
          <w:u w:val="single"/>
        </w:rPr>
        <w:t xml:space="preserve">                                                    </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七、交付日期、地点</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1、交付日期：合同生效之日起</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rPr>
        <w:t>日内交付。</w:t>
      </w:r>
    </w:p>
    <w:p>
      <w:pPr>
        <w:pStyle w:val="257"/>
        <w:spacing w:line="360" w:lineRule="auto"/>
        <w:ind w:firstLine="480" w:firstLineChars="200"/>
        <w:rPr>
          <w:rFonts w:hint="eastAsia" w:ascii="黑体" w:hAnsi="黑体" w:eastAsia="黑体" w:cs="黑体"/>
          <w:color w:val="auto"/>
          <w:sz w:val="24"/>
          <w:szCs w:val="24"/>
          <w:u w:val="single"/>
        </w:rPr>
      </w:pPr>
      <w:r>
        <w:rPr>
          <w:rFonts w:hint="eastAsia" w:ascii="黑体" w:hAnsi="黑体" w:eastAsia="黑体" w:cs="黑体"/>
          <w:color w:val="auto"/>
          <w:sz w:val="24"/>
          <w:szCs w:val="24"/>
        </w:rPr>
        <w:t>2、交付地点：</w:t>
      </w:r>
      <w:r>
        <w:rPr>
          <w:rFonts w:hint="eastAsia" w:ascii="黑体" w:hAnsi="黑体" w:eastAsia="黑体" w:cs="黑体"/>
          <w:color w:val="auto"/>
          <w:sz w:val="24"/>
          <w:szCs w:val="24"/>
          <w:u w:val="single"/>
        </w:rPr>
        <w:t xml:space="preserve">                                                 </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八、履约保证金</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履约保证金在项目交付验收合格无质量问题后，填写《履约保证金退付表》、《政府采购项目验收单》和资金往来收款收据交</w:t>
      </w:r>
      <w:r>
        <w:rPr>
          <w:rFonts w:hint="eastAsia" w:ascii="黑体" w:hAnsi="黑体" w:eastAsia="黑体" w:cs="黑体"/>
          <w:color w:val="auto"/>
          <w:sz w:val="24"/>
          <w:szCs w:val="24"/>
          <w:lang w:val="en-US" w:eastAsia="zh-CN"/>
        </w:rPr>
        <w:t>甲方</w:t>
      </w:r>
      <w:r>
        <w:rPr>
          <w:rFonts w:hint="eastAsia" w:ascii="黑体" w:hAnsi="黑体" w:eastAsia="黑体" w:cs="黑体"/>
          <w:color w:val="auto"/>
          <w:sz w:val="24"/>
          <w:szCs w:val="24"/>
        </w:rPr>
        <w:t>后20个工作日内退还。</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九、合同生效</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本合同经甲乙双方签字盖章，乙方提交履约保证金后，经备案后生效。</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十、合同保存</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本合同一式五份，甲方一份，乙方一份，交易中心一份，甲方同级财政部门两份。</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 xml:space="preserve"> </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 xml:space="preserve"> </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 xml:space="preserve"> </w:t>
      </w:r>
    </w:p>
    <w:p>
      <w:pPr>
        <w:pStyle w:val="257"/>
        <w:spacing w:line="360" w:lineRule="auto"/>
        <w:ind w:firstLine="482" w:firstLineChars="200"/>
        <w:outlineLvl w:val="0"/>
        <w:rPr>
          <w:rFonts w:hint="eastAsia" w:ascii="黑体" w:hAnsi="黑体" w:eastAsia="黑体" w:cs="黑体"/>
          <w:b/>
          <w:bCs/>
          <w:color w:val="auto"/>
          <w:sz w:val="24"/>
          <w:szCs w:val="24"/>
        </w:rPr>
      </w:pPr>
      <w:bookmarkStart w:id="69" w:name="_Toc20096"/>
      <w:bookmarkStart w:id="70" w:name="_Toc27893"/>
      <w:r>
        <w:rPr>
          <w:rFonts w:hint="eastAsia" w:ascii="黑体" w:hAnsi="黑体" w:eastAsia="黑体" w:cs="黑体"/>
          <w:b/>
          <w:bCs/>
          <w:color w:val="auto"/>
          <w:sz w:val="24"/>
          <w:szCs w:val="24"/>
        </w:rPr>
        <w:t>甲    方：                            乙    方：</w:t>
      </w:r>
      <w:bookmarkEnd w:id="69"/>
      <w:bookmarkEnd w:id="70"/>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单位名称(公章)：                      单位名称(公章)：</w:t>
      </w:r>
    </w:p>
    <w:p>
      <w:pPr>
        <w:pStyle w:val="257"/>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法定代表人或授权代理人：（签字）       法定代表人或授权代理人：（签字）</w:t>
      </w:r>
    </w:p>
    <w:p>
      <w:pPr>
        <w:pStyle w:val="257"/>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电    话：                            电    话：</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签订日期：                            签订日期：</w:t>
      </w:r>
    </w:p>
    <w:p>
      <w:pPr>
        <w:pStyle w:val="257"/>
        <w:spacing w:line="360" w:lineRule="auto"/>
        <w:rPr>
          <w:rFonts w:hint="eastAsia" w:ascii="黑体" w:hAnsi="黑体" w:eastAsia="黑体" w:cs="黑体"/>
          <w:b/>
          <w:bCs/>
          <w:color w:val="auto"/>
          <w:sz w:val="24"/>
          <w:szCs w:val="24"/>
        </w:rPr>
      </w:pPr>
      <w:r>
        <w:rPr>
          <w:rFonts w:hint="eastAsia" w:ascii="黑体" w:hAnsi="黑体" w:eastAsia="黑体" w:cs="黑体"/>
          <w:b/>
          <w:bCs/>
          <w:color w:val="auto"/>
          <w:sz w:val="24"/>
          <w:szCs w:val="24"/>
        </w:rPr>
        <w:t xml:space="preserve"> </w:t>
      </w:r>
    </w:p>
    <w:p>
      <w:pPr>
        <w:pStyle w:val="257"/>
        <w:spacing w:line="360" w:lineRule="auto"/>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rPr>
        <w:br w:type="page"/>
      </w:r>
      <w:r>
        <w:rPr>
          <w:rFonts w:hint="eastAsia" w:ascii="黑体" w:hAnsi="黑体" w:eastAsia="黑体" w:cs="黑体"/>
          <w:b/>
          <w:bCs/>
          <w:color w:val="auto"/>
          <w:sz w:val="24"/>
          <w:szCs w:val="24"/>
        </w:rPr>
        <w:t>二、合同条款</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甲方在本项目中所需货物和服务由</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sz w:val="24"/>
          <w:szCs w:val="24"/>
        </w:rPr>
        <w:t xml:space="preserve">在国内进行公开招标，经评标委员会评定，确定乙方为中标人。甲乙双方根据《中华人民共和国政府采购法》、《中华人民共和国合同法》等相关法律法规以及本项目招标文件的规定，经平等协商达成合同如下： </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一、定义</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除非另有特别解释或说明，在本合同及与本合同相关的，双方另行签署的其他文件（包括但不限于本合同的附件）中，下述词语均依如下定义进行解释：</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1、“合同”指甲乙双方签署的，与本项目相关的协议、附件、附录和其他一切文件，还包括招标文件、投标文件中的相关内容及其有效补充文件。</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2、“附件”是指与本合同的订立、履行有关的，经甲乙双方认可的，对本合同约定的内容进行细化、补充、修改、变更的文件、图纸、音像制品等资料。</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3、“货物”指合同货物清单（附件1）（同投标文件中货物明细表，下同）中所规定的硬件、软件、安装材料、备件及专用器具、文件资料等内容。</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5、“检验”指按照本合同约定的标准对合同货物进行的检测与查验。</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6、“政府采购项目验收单”指甲、乙双方验收完成后由合同双方签署的最终验收确认书。</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7、“技术资料”指安装、调试、使用、维修合同货物所应具备的产品使用说明书和／或使用指南、操作手册、维修指南、服务手册、电路图、产品演示等文件。</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8、“保修期”指自验收单签署之日起，乙方免费对所卖给甲方货物更换整件或零部件，维修、保养及技术支持、产品升级并以自担费用方式保证项目正常运行的时期。</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9、“第三人”是指本合同双方以外的任何中国境内、外的自然人、法人或其他经济组织。</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10、“法律、法规”是指由中国有关部门制定的法律、行政法规、地方性法规、规章及其他规范性文件以及经全国人民代表大会常务委员会批准的中国缔结、参加的国际条（公）约的有关规定。</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11、“招标文件”指采购代理机构发布的本项目招标文件。</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12、“投标文件”指乙方按照本项目招标文件的要求编制和投递，并最终经采购代理机构接收的投标文件。</w:t>
      </w:r>
    </w:p>
    <w:p>
      <w:pPr>
        <w:pStyle w:val="257"/>
        <w:spacing w:line="360" w:lineRule="auto"/>
        <w:ind w:firstLine="501" w:firstLineChars="208"/>
        <w:rPr>
          <w:rFonts w:hint="eastAsia" w:ascii="黑体" w:hAnsi="黑体" w:eastAsia="黑体" w:cs="黑体"/>
          <w:b/>
          <w:bCs/>
          <w:color w:val="auto"/>
          <w:sz w:val="24"/>
          <w:szCs w:val="24"/>
        </w:rPr>
      </w:pPr>
      <w:r>
        <w:rPr>
          <w:rFonts w:hint="eastAsia" w:ascii="黑体" w:hAnsi="黑体" w:eastAsia="黑体" w:cs="黑体"/>
          <w:b/>
          <w:bCs/>
          <w:color w:val="auto"/>
          <w:sz w:val="24"/>
          <w:szCs w:val="24"/>
        </w:rPr>
        <w:t>二、货物、数量及规格</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本合同所提供的货物、数量及规格详见合同货物清单（附件一）（同投标文件中报价明细表）。</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三、合同价格</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1、合同金额详见合同格式。</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3、合同货物详细目录及销售价格详见合同格式附件1合同货物清单（同投标文件中报价明细表）。</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四、付款</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1、双方因本合同发生的一切费用均以人民币结算及支付。</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2、双方的帐户名称、开户银行及帐号以本合同提供的为准。</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3、付款途径：按照招标文件的规定。</w:t>
      </w:r>
    </w:p>
    <w:p>
      <w:pPr>
        <w:pStyle w:val="259"/>
        <w:spacing w:after="0"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4、付款方式：按照招标文件</w:t>
      </w:r>
      <w:r>
        <w:rPr>
          <w:rFonts w:hint="eastAsia" w:ascii="黑体" w:hAnsi="黑体" w:eastAsia="黑体" w:cs="黑体"/>
          <w:color w:val="auto"/>
          <w:sz w:val="24"/>
          <w:szCs w:val="24"/>
          <w:lang w:val="en-US" w:eastAsia="zh-CN"/>
        </w:rPr>
        <w:t>的</w:t>
      </w:r>
      <w:r>
        <w:rPr>
          <w:rFonts w:hint="eastAsia" w:ascii="黑体" w:hAnsi="黑体" w:eastAsia="黑体" w:cs="黑体"/>
          <w:color w:val="auto"/>
          <w:sz w:val="24"/>
          <w:szCs w:val="24"/>
        </w:rPr>
        <w:t>规定。</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6、甲方直接与乙方付款结算，采购代理机构不对其付款承担连带责任或任何其它责任，在任何情形下乙方亦只能直接向甲方追索而不应当向采购代理机构追索。</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五、交付</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1、乙方负责办理运输和保险，将货物运抵交货地点。有关运输、保险和装卸等一切相关的费用由乙方承担。</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2、货物应运至甲方指定地点，并卸至甲方指定位置，开箱清点及初步检验时双方应派人员参加。</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3、所有货物运抵现场并且安装完毕经检验合格交付甲方，该日期为交付日期。双方签署交付收货单后为交付完毕。交付完毕货物所有权发生转移，此前货物毁坏的风险由乙方承担。</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4、交付日期：按照招标文件的规定。</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5、交付地点：按照招标文件的规定。</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六、包装和标记</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1、乙方交付的所有合同货物应具有适于运输的坚固包装，并且乙方应根据合同货物的不同特性和要求采取防潮、防雨、防锈、防震、防腐等保护措施，以确保合同货物安全无损地送达交货地点。</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2、凡由于乙方对合同货物包装不善、标记不明、防护措施不当或在合同货物装箱前保管不良，致使合同货物遭到损坏或丢失，乙方应负责免费修理或更换，并承担由此给甲方造成的一切损失。</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七、质量标准和检验方式</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1、乙方应保证提供给甲方的合同货物是货物生产厂商原造的，全新、未使用过的，是用一流的工艺和优质材料制造而成的，并完全符合本项目招标文件规定的质量、性能和规格的要求。</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采购人接受) 相一致，同时，乙方提供的货物质量应符合中华人民共和国相关标准及相应的技术规范、本次采购相关文件中的全部相关要求及相关标准及相应的技术规范中之较高者。</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4、乙方应保证所提供的货物经正确安装、合理操作和维护保养在其使用寿命期内具有令甲方满意的性能，并对由于合同货物的设计、工艺或材料的缺陷而发生的任何故障负责。</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6、甲方对合同货物的数量、规格和质量的检验，应依据本项目招标文件中的有关规定进行。</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7、若检验时发现货物数量不足、规格与合同要求不符或开箱时虽然货物外包装完好无损，但箱内货物短缺或损伤，双方应签署书面形式证明，乙方应根据该证明及时补足或更换。</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八、技术服务和保修责任</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乙方对合同货物、服务的保修期按照招标文件第二部分“投标人须知前附表”第25项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4、在免费保修期内，如果由于乙方更换、修理和续补货物或更换服务，而造成本合同不得不停止运行，保修期应依照停止运行的实际时间加以延长，如因此给甲方造成损失，乙方应负责赔偿。</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7、若由于甲方提出增加并不涉及安全性的新功能而引起的软件升级，相关成本费由甲方承担，乙方不得赚取利润或拒绝、拖延。</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8、若由于乙方增加并不涉及安全性的新功能引起软件升级，而且甲方愿意增加该新功能时，由双方协商解决。</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九、违约责任</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1）在甲方同意延长的期限内交付全部货物、提供服务并承担由此给甲方造成的直接损失及甲方因此产生的对第三方的责任。</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3）根据货物、服务低劣程度、损坏程度以及使甲方所遭受的损失及甲方因此产生的对第三方的责任，经双方商定降低货物、服务的价格或赔偿甲方所遭受的损失及甲方因此产生的对第三方的责任。</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4）按合同规定的同种货币将甲方所退货物已支付的货款全部退还给甲方，并承担由此发生的直接损失和相关费用及甲方因此产生的对第三方的责任。</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5）甲方有权部分或全部解除合同并要求乙方赔偿由此造成的损失及甲方因此产生的对第三方的责任。此时甲方可采取必要的补救措施，相关费用由乙方承担。</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6）此外，上述情形下甲方为采取必要的补救措施或因防止损失扩大而支出的合理费用应由乙方承担。</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4、除有另行约定外，甲方如延期付款，每逾期1日，按应付金额0.3‰支付违约金；乙方如延期交付，每延迟1日，按应交付货物总额0.3‰支付违约金。</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7、以上各项交付的违约金并不影响违约方履行合同的各项义务。</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十、不可抗力</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1、不可抗力指下列事件：战争、动乱、瘟疫、严重火灾、洪水、地震、风暴或其他自然灾害，以及本合同各方不可预见、不可防止并不能避免或克服的一切其他因素及事件。</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4、合同各方应根据不可抗力对本合同履行的影响程度，协商确定是否终止本合同，或是继续履行本合同。</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十一、联系方式</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3、上述发出通知、回复的费用由发出一方承担。</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十二、保密条款</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1、任何一方对其获知的本合同及附件中其他各方的商业秘密和国家秘密负有保密义务。</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十三、合同的解释</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1、任何一方对本合同及其附件的解释均应遵循诚实信用原则,依照本合同签订时有效的中国法律、法规以及通常的理解进行。</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2、本合同标题仅供查阅方便，并非对本合同的诠释或解释；本合同中以日表述的时间期限均指自然日。</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3、对本合同的任何解释均应以书面做出。</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十四、合同的终止</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1、本合同因下列原因而终止：</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1）本合同正常履行完毕；</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2）合同双方协议终止本合同的履行；</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3）不可抗力事件导致本合同无法履行或履行不必要；</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4）任何一方行使解除权，解除本合同。</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2、对本合同终止有过错的一方应赔偿另一方因合同终止而受到的损失。对合同终止双方均无过错的，则各自承担所受到的损失。</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十五、法律适用</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1、本合同及附件的订立、效力、解释、履行、争议的解决等适用本合同签订时有效的中华人民共和国法律、法规的有关规定。</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十六、权利的保留</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十七、争议的解决</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1、合同双方应通过友好协商解决因解释﹑执行本合同所发生的和本合同有关的一切争议。如果经协商不能达成协议，可以采用以下方式解决（按照招标文件第二部分“投标人须知前附表”第32项的规定）：（1）提交仲裁委员会仲裁；（2）向甲方所在地人民法院起诉。</w:t>
      </w:r>
    </w:p>
    <w:p>
      <w:pPr>
        <w:pStyle w:val="257"/>
        <w:spacing w:line="360" w:lineRule="auto"/>
        <w:ind w:firstLine="360" w:firstLineChars="150"/>
        <w:rPr>
          <w:rFonts w:hint="eastAsia" w:ascii="黑体" w:hAnsi="黑体" w:eastAsia="黑体" w:cs="黑体"/>
          <w:color w:val="auto"/>
          <w:sz w:val="24"/>
          <w:szCs w:val="24"/>
        </w:rPr>
      </w:pPr>
      <w:r>
        <w:rPr>
          <w:rFonts w:hint="eastAsia" w:ascii="黑体" w:hAnsi="黑体" w:eastAsia="黑体" w:cs="黑体"/>
          <w:color w:val="auto"/>
          <w:sz w:val="24"/>
          <w:szCs w:val="24"/>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3、在争议解决期间，除了诉讼或仲裁进行过程中正在解决的那部分问题外，合同其余部分应继续履行。</w:t>
      </w:r>
    </w:p>
    <w:p>
      <w:pPr>
        <w:pStyle w:val="257"/>
        <w:spacing w:line="360" w:lineRule="auto"/>
        <w:ind w:firstLine="482" w:firstLineChars="200"/>
        <w:rPr>
          <w:rFonts w:hint="eastAsia" w:ascii="黑体" w:hAnsi="黑体" w:eastAsia="黑体" w:cs="黑体"/>
          <w:b/>
          <w:bCs/>
          <w:color w:val="auto"/>
          <w:sz w:val="24"/>
          <w:szCs w:val="24"/>
        </w:rPr>
      </w:pPr>
      <w:r>
        <w:rPr>
          <w:rFonts w:hint="eastAsia" w:ascii="黑体" w:hAnsi="黑体" w:eastAsia="黑体" w:cs="黑体"/>
          <w:b/>
          <w:bCs/>
          <w:color w:val="auto"/>
          <w:sz w:val="24"/>
          <w:szCs w:val="24"/>
        </w:rPr>
        <w:t>十八、合同的生效</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rPr>
        <w:t>本合同经甲乙双方法定代表人或授权代理人签字加盖单位公章，乙方按时、足额提交履约保证金，备案后生效。</w:t>
      </w:r>
    </w:p>
    <w:p>
      <w:pPr>
        <w:pStyle w:val="257"/>
        <w:numPr>
          <w:ilvl w:val="0"/>
          <w:numId w:val="66"/>
        </w:numPr>
        <w:spacing w:line="360" w:lineRule="auto"/>
        <w:ind w:firstLine="482" w:firstLineChars="200"/>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rPr>
        <w:t>其他约定事项</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1</w:t>
      </w:r>
      <w:r>
        <w:rPr>
          <w:rFonts w:hint="eastAsia" w:ascii="黑体" w:hAnsi="黑体" w:eastAsia="黑体" w:cs="黑体"/>
          <w:color w:val="auto"/>
          <w:sz w:val="24"/>
          <w:szCs w:val="24"/>
        </w:rPr>
        <w:t>、本合同中的附件均为本合同不可分割的部分，与本合同具有相同的法律效力。</w:t>
      </w:r>
    </w:p>
    <w:p>
      <w:pPr>
        <w:pStyle w:val="257"/>
        <w:spacing w:line="360" w:lineRule="auto"/>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2</w:t>
      </w:r>
      <w:r>
        <w:rPr>
          <w:rFonts w:hint="eastAsia" w:ascii="黑体" w:hAnsi="黑体" w:eastAsia="黑体" w:cs="黑体"/>
          <w:color w:val="auto"/>
          <w:sz w:val="24"/>
          <w:szCs w:val="24"/>
        </w:rPr>
        <w:t>、不得将合同转让给第三人，有关分包事项或服务委托等须事先取得甲方和采购代理机构书面同意并且须遵守相关法律、法规；有关联合投标须在本次招标允许的情况下并须符合本次招标的全部规定。</w:t>
      </w:r>
    </w:p>
    <w:p>
      <w:pPr>
        <w:pStyle w:val="19"/>
        <w:spacing w:before="7" w:line="360" w:lineRule="auto"/>
        <w:ind w:left="220" w:leftChars="100" w:right="220" w:rightChars="100" w:firstLine="480" w:firstLineChars="200"/>
        <w:jc w:val="both"/>
        <w:rPr>
          <w:rFonts w:hint="eastAsia" w:ascii="黑体" w:hAnsi="黑体" w:eastAsia="黑体" w:cs="黑体"/>
          <w:color w:val="auto"/>
          <w:spacing w:val="-4"/>
          <w:highlight w:val="none"/>
        </w:rPr>
      </w:pPr>
      <w:r>
        <w:rPr>
          <w:rFonts w:hint="eastAsia" w:ascii="黑体" w:hAnsi="黑体" w:eastAsia="黑体" w:cs="黑体"/>
          <w:color w:val="auto"/>
          <w:sz w:val="24"/>
          <w:szCs w:val="24"/>
          <w:lang w:val="en-US" w:eastAsia="zh-CN"/>
        </w:rPr>
        <w:t>3</w:t>
      </w:r>
      <w:r>
        <w:rPr>
          <w:rFonts w:hint="eastAsia" w:ascii="黑体" w:hAnsi="黑体" w:eastAsia="黑体" w:cs="黑体"/>
          <w:color w:val="auto"/>
          <w:sz w:val="24"/>
          <w:szCs w:val="24"/>
        </w:rPr>
        <w:t>、本合同一式五份，具有同等法律效力。</w:t>
      </w:r>
    </w:p>
    <w:p>
      <w:pPr>
        <w:widowControl/>
        <w:autoSpaceDE/>
        <w:autoSpaceDN/>
        <w:rPr>
          <w:rFonts w:hint="eastAsia" w:ascii="黑体" w:hAnsi="黑体" w:eastAsia="黑体" w:cs="黑体"/>
          <w:b/>
          <w:color w:val="auto"/>
          <w:sz w:val="36"/>
          <w:szCs w:val="36"/>
          <w:highlight w:val="none"/>
        </w:rPr>
      </w:pPr>
      <w:bookmarkStart w:id="71" w:name="_bookmark11"/>
      <w:bookmarkEnd w:id="71"/>
      <w:bookmarkStart w:id="72" w:name="第六章_采购需求"/>
      <w:bookmarkEnd w:id="72"/>
      <w:r>
        <w:rPr>
          <w:rFonts w:hint="eastAsia" w:ascii="黑体" w:hAnsi="黑体" w:eastAsia="黑体" w:cs="黑体"/>
          <w:b/>
          <w:color w:val="auto"/>
          <w:sz w:val="36"/>
          <w:szCs w:val="36"/>
          <w:highlight w:val="none"/>
        </w:rPr>
        <w:br w:type="page"/>
      </w:r>
    </w:p>
    <w:p>
      <w:pPr>
        <w:pStyle w:val="5"/>
        <w:numPr>
          <w:ilvl w:val="0"/>
          <w:numId w:val="67"/>
        </w:numPr>
        <w:spacing w:line="662" w:lineRule="exact"/>
        <w:ind w:right="82"/>
        <w:jc w:val="center"/>
        <w:rPr>
          <w:rFonts w:hint="eastAsia" w:ascii="黑体" w:hAnsi="黑体" w:eastAsia="黑体" w:cs="黑体"/>
          <w:b/>
          <w:color w:val="auto"/>
          <w:sz w:val="36"/>
          <w:szCs w:val="36"/>
          <w:highlight w:val="none"/>
        </w:rPr>
      </w:pPr>
      <w:bookmarkStart w:id="73" w:name="_Toc23023"/>
      <w:r>
        <w:rPr>
          <w:rFonts w:hint="eastAsia" w:ascii="黑体" w:hAnsi="黑体" w:eastAsia="黑体" w:cs="黑体"/>
          <w:b/>
          <w:color w:val="auto"/>
          <w:sz w:val="36"/>
          <w:szCs w:val="36"/>
          <w:highlight w:val="none"/>
        </w:rPr>
        <w:t>采购货物需求及货物参数</w:t>
      </w:r>
      <w:bookmarkEnd w:id="73"/>
    </w:p>
    <w:p>
      <w:pPr>
        <w:numPr>
          <w:ilvl w:val="0"/>
          <w:numId w:val="0"/>
        </w:numPr>
        <w:rPr>
          <w:rFonts w:hint="eastAsia" w:ascii="黑体" w:hAnsi="黑体" w:eastAsia="黑体" w:cs="黑体"/>
        </w:rPr>
      </w:pPr>
    </w:p>
    <w:p>
      <w:pPr>
        <w:spacing w:line="36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注：1、下列技术指标中凡有品牌描述或指向某品牌的指标描述均为参考指标，同时作为衡定同类产品的依据，供应商可投同档次产品或更优产品。</w:t>
      </w:r>
    </w:p>
    <w:p>
      <w:pPr>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附件1、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4726"/>
        <w:gridCol w:w="1572"/>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序号</w:t>
            </w:r>
          </w:p>
        </w:tc>
        <w:tc>
          <w:tcPr>
            <w:tcW w:w="4726"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品目名称</w:t>
            </w:r>
          </w:p>
        </w:tc>
        <w:tc>
          <w:tcPr>
            <w:tcW w:w="1572"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数量</w:t>
            </w:r>
          </w:p>
        </w:tc>
        <w:tc>
          <w:tcPr>
            <w:tcW w:w="2491"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1</w:t>
            </w:r>
          </w:p>
        </w:tc>
        <w:tc>
          <w:tcPr>
            <w:tcW w:w="4726"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临床检验专用冰箱 1</w:t>
            </w:r>
          </w:p>
        </w:tc>
        <w:tc>
          <w:tcPr>
            <w:tcW w:w="1572"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5</w:t>
            </w:r>
          </w:p>
        </w:tc>
        <w:tc>
          <w:tcPr>
            <w:tcW w:w="2491"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详见参数附表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2</w:t>
            </w:r>
          </w:p>
        </w:tc>
        <w:tc>
          <w:tcPr>
            <w:tcW w:w="4726"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临床检验专用冰箱 2</w:t>
            </w:r>
          </w:p>
        </w:tc>
        <w:tc>
          <w:tcPr>
            <w:tcW w:w="1572"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4</w:t>
            </w:r>
          </w:p>
        </w:tc>
        <w:tc>
          <w:tcPr>
            <w:tcW w:w="2491"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详见参数附表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3</w:t>
            </w:r>
          </w:p>
        </w:tc>
        <w:tc>
          <w:tcPr>
            <w:tcW w:w="4726"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临床检验专用冰箱 3</w:t>
            </w:r>
          </w:p>
        </w:tc>
        <w:tc>
          <w:tcPr>
            <w:tcW w:w="1572"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2</w:t>
            </w:r>
          </w:p>
        </w:tc>
        <w:tc>
          <w:tcPr>
            <w:tcW w:w="2491"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详见参数附表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4</w:t>
            </w:r>
          </w:p>
        </w:tc>
        <w:tc>
          <w:tcPr>
            <w:tcW w:w="4726"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临床检验 试管架</w:t>
            </w:r>
          </w:p>
        </w:tc>
        <w:tc>
          <w:tcPr>
            <w:tcW w:w="1572"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600</w:t>
            </w:r>
          </w:p>
        </w:tc>
        <w:tc>
          <w:tcPr>
            <w:tcW w:w="2491"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详见参数附表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5</w:t>
            </w:r>
          </w:p>
        </w:tc>
        <w:tc>
          <w:tcPr>
            <w:tcW w:w="4726"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临床检验 混匀振荡器</w:t>
            </w:r>
          </w:p>
        </w:tc>
        <w:tc>
          <w:tcPr>
            <w:tcW w:w="1572"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12</w:t>
            </w:r>
          </w:p>
        </w:tc>
        <w:tc>
          <w:tcPr>
            <w:tcW w:w="2491"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详见参数附表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6</w:t>
            </w:r>
          </w:p>
        </w:tc>
        <w:tc>
          <w:tcPr>
            <w:tcW w:w="4726"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临床检验 八联管离心机</w:t>
            </w:r>
          </w:p>
        </w:tc>
        <w:tc>
          <w:tcPr>
            <w:tcW w:w="1572"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12</w:t>
            </w:r>
          </w:p>
        </w:tc>
        <w:tc>
          <w:tcPr>
            <w:tcW w:w="2491"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详见参数附表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7</w:t>
            </w:r>
          </w:p>
        </w:tc>
        <w:tc>
          <w:tcPr>
            <w:tcW w:w="4726"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临床检验 微孔板离心机</w:t>
            </w:r>
          </w:p>
        </w:tc>
        <w:tc>
          <w:tcPr>
            <w:tcW w:w="1572"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4</w:t>
            </w:r>
          </w:p>
        </w:tc>
        <w:tc>
          <w:tcPr>
            <w:tcW w:w="2491"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详见参数附表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8</w:t>
            </w:r>
          </w:p>
        </w:tc>
        <w:tc>
          <w:tcPr>
            <w:tcW w:w="4726"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临床检验 医用洁净工作台</w:t>
            </w:r>
          </w:p>
        </w:tc>
        <w:tc>
          <w:tcPr>
            <w:tcW w:w="1572"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2</w:t>
            </w:r>
          </w:p>
        </w:tc>
        <w:tc>
          <w:tcPr>
            <w:tcW w:w="2491"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详见参数附表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9</w:t>
            </w:r>
          </w:p>
        </w:tc>
        <w:tc>
          <w:tcPr>
            <w:tcW w:w="4726"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临床检验 生物安全柜</w:t>
            </w:r>
          </w:p>
        </w:tc>
        <w:tc>
          <w:tcPr>
            <w:tcW w:w="1572"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8</w:t>
            </w:r>
          </w:p>
        </w:tc>
        <w:tc>
          <w:tcPr>
            <w:tcW w:w="2491"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详见参数附表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10</w:t>
            </w:r>
          </w:p>
        </w:tc>
        <w:tc>
          <w:tcPr>
            <w:tcW w:w="4726"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立式压力蒸汽灭菌器</w:t>
            </w:r>
          </w:p>
        </w:tc>
        <w:tc>
          <w:tcPr>
            <w:tcW w:w="1572"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8</w:t>
            </w:r>
          </w:p>
        </w:tc>
        <w:tc>
          <w:tcPr>
            <w:tcW w:w="2491"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详见参数附表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11</w:t>
            </w:r>
          </w:p>
        </w:tc>
        <w:tc>
          <w:tcPr>
            <w:tcW w:w="4726"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多用途恒温箱（干式恒温箱）</w:t>
            </w:r>
          </w:p>
        </w:tc>
        <w:tc>
          <w:tcPr>
            <w:tcW w:w="1572"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4</w:t>
            </w:r>
          </w:p>
        </w:tc>
        <w:tc>
          <w:tcPr>
            <w:tcW w:w="2491"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详见参数附表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12</w:t>
            </w:r>
          </w:p>
        </w:tc>
        <w:tc>
          <w:tcPr>
            <w:tcW w:w="4726"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 xml:space="preserve">全自动医用PCR分析系统 </w:t>
            </w:r>
          </w:p>
        </w:tc>
        <w:tc>
          <w:tcPr>
            <w:tcW w:w="1572"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16</w:t>
            </w:r>
          </w:p>
        </w:tc>
        <w:tc>
          <w:tcPr>
            <w:tcW w:w="2491"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详见参数附表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13</w:t>
            </w:r>
          </w:p>
        </w:tc>
        <w:tc>
          <w:tcPr>
            <w:tcW w:w="4726"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样本前处理系统</w:t>
            </w:r>
          </w:p>
        </w:tc>
        <w:tc>
          <w:tcPr>
            <w:tcW w:w="1572" w:type="dxa"/>
            <w:vAlign w:val="top"/>
          </w:tcPr>
          <w:p>
            <w:pPr>
              <w:jc w:val="both"/>
              <w:rPr>
                <w:rFonts w:hint="default"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2</w:t>
            </w:r>
          </w:p>
        </w:tc>
        <w:tc>
          <w:tcPr>
            <w:tcW w:w="2491" w:type="dxa"/>
            <w:vAlign w:val="top"/>
          </w:tcPr>
          <w:p>
            <w:pPr>
              <w:jc w:val="both"/>
              <w:rPr>
                <w:rFonts w:hint="eastAsia" w:ascii="黑体" w:hAnsi="黑体" w:eastAsia="黑体" w:cs="黑体"/>
                <w:b/>
                <w:bCs/>
                <w:color w:val="auto"/>
                <w:sz w:val="24"/>
                <w:szCs w:val="24"/>
                <w:highlight w:val="none"/>
                <w:vertAlign w:val="baseline"/>
                <w:lang w:val="en-US" w:eastAsia="zh-CN"/>
              </w:rPr>
            </w:pPr>
            <w:r>
              <w:rPr>
                <w:rFonts w:hint="eastAsia" w:ascii="黑体" w:hAnsi="黑体" w:eastAsia="黑体" w:cs="黑体"/>
                <w:b/>
                <w:bCs/>
                <w:color w:val="auto"/>
                <w:sz w:val="24"/>
                <w:szCs w:val="24"/>
                <w:highlight w:val="none"/>
                <w:vertAlign w:val="baseline"/>
                <w:lang w:val="en-US" w:eastAsia="zh-CN"/>
              </w:rPr>
              <w:t>详见参数附表</w:t>
            </w:r>
          </w:p>
        </w:tc>
      </w:tr>
    </w:tbl>
    <w:p>
      <w:pPr>
        <w:rPr>
          <w:rFonts w:hint="eastAsia" w:ascii="黑体" w:hAnsi="黑体" w:eastAsia="黑体" w:cs="黑体"/>
          <w:b/>
          <w:bCs/>
          <w:color w:val="auto"/>
          <w:sz w:val="24"/>
          <w:szCs w:val="24"/>
          <w:highlight w:val="none"/>
          <w:lang w:val="en-US" w:eastAsia="zh-CN"/>
        </w:rPr>
      </w:pPr>
    </w:p>
    <w:p>
      <w:pPr>
        <w:rPr>
          <w:rFonts w:hint="eastAsia" w:ascii="宋体" w:hAnsi="宋体" w:eastAsia="宋体" w:cs="宋体"/>
          <w:b/>
          <w:bCs/>
          <w:color w:val="000000" w:themeColor="text1"/>
          <w:kern w:val="0"/>
          <w:sz w:val="24"/>
          <w:szCs w:val="24"/>
          <w:lang w:eastAsia="zh-CN"/>
          <w14:textFill>
            <w14:solidFill>
              <w14:schemeClr w14:val="tx1"/>
            </w14:solidFill>
          </w14:textFill>
        </w:rPr>
      </w:pPr>
      <w:bookmarkStart w:id="74" w:name="OLE_LINK22"/>
      <w:bookmarkStart w:id="75" w:name="OLE_LINK23"/>
      <w:r>
        <w:rPr>
          <w:rFonts w:hint="eastAsia" w:ascii="宋体" w:hAnsi="宋体" w:eastAsia="宋体" w:cs="宋体"/>
          <w:b/>
          <w:bCs/>
          <w:color w:val="000000" w:themeColor="text1"/>
          <w:kern w:val="0"/>
          <w:sz w:val="24"/>
          <w:szCs w:val="24"/>
          <w:lang w:eastAsia="zh-CN"/>
          <w14:textFill>
            <w14:solidFill>
              <w14:schemeClr w14:val="tx1"/>
            </w14:solidFill>
          </w14:textFill>
        </w:rPr>
        <w:br w:type="page"/>
      </w:r>
    </w:p>
    <w:p>
      <w:pPr>
        <w:autoSpaceDE w:val="0"/>
        <w:autoSpaceDN w:val="0"/>
        <w:adjustRightInd w:val="0"/>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临床检验专用冰箱性能参数</w:t>
      </w: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1</w:t>
      </w:r>
    </w:p>
    <w:p>
      <w:pPr>
        <w:autoSpaceDE w:val="0"/>
        <w:autoSpaceDN w:val="0"/>
        <w:adjustRightInd w:val="0"/>
        <w:jc w:val="center"/>
        <w:rPr>
          <w:rFonts w:hint="eastAsia" w:ascii="宋体" w:hAnsi="宋体" w:eastAsia="宋体" w:cs="宋体"/>
          <w:b/>
          <w:bCs/>
          <w:color w:val="000000" w:themeColor="text1"/>
          <w:kern w:val="0"/>
          <w:sz w:val="24"/>
          <w:szCs w:val="24"/>
          <w:lang w:eastAsia="zh-CN"/>
          <w14:textFill>
            <w14:solidFill>
              <w14:schemeClr w14:val="tx1"/>
            </w14:solidFill>
          </w14:textFill>
        </w:rPr>
      </w:pPr>
    </w:p>
    <w:p>
      <w:pPr>
        <w:autoSpaceDE w:val="0"/>
        <w:autoSpaceDN w:val="0"/>
        <w:adjustRightInd w:val="0"/>
        <w:jc w:val="left"/>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1、温度范围-10°C～-30°C可调节，箱内特性点温度均匀度±4℃；</w:t>
      </w:r>
    </w:p>
    <w:p>
      <w:pPr>
        <w:pStyle w:val="54"/>
        <w:numPr>
          <w:ilvl w:val="0"/>
          <w:numId w:val="68"/>
        </w:numPr>
        <w:autoSpaceDE w:val="0"/>
        <w:autoSpaceDN w:val="0"/>
        <w:adjustRightInd w:val="0"/>
        <w:ind w:firstLineChars="0"/>
        <w:jc w:val="left"/>
        <w:rPr>
          <w:rFonts w:hint="eastAsia" w:ascii="黑体" w:hAnsi="黑体" w:eastAsia="黑体" w:cs="黑体"/>
          <w:color w:val="auto"/>
          <w:kern w:val="0"/>
          <w:sz w:val="24"/>
          <w:szCs w:val="24"/>
        </w:rPr>
      </w:pPr>
      <w:r>
        <w:rPr>
          <w:rFonts w:hint="eastAsia" w:ascii="黑体" w:hAnsi="黑体" w:eastAsia="黑体" w:cs="黑体"/>
          <w:sz w:val="24"/>
          <w:szCs w:val="24"/>
        </w:rPr>
        <w:t>微电脑控制</w:t>
      </w:r>
      <w:r>
        <w:rPr>
          <w:rFonts w:hint="eastAsia" w:ascii="黑体" w:hAnsi="黑体" w:eastAsia="黑体" w:cs="黑体"/>
          <w:color w:val="auto"/>
          <w:sz w:val="24"/>
          <w:szCs w:val="24"/>
        </w:rPr>
        <w:t>，LCD数字显示箱内温度，</w:t>
      </w:r>
      <w:r>
        <w:rPr>
          <w:rFonts w:hint="eastAsia" w:ascii="黑体" w:hAnsi="黑体" w:eastAsia="黑体" w:cs="黑体"/>
          <w:bCs/>
          <w:color w:val="auto"/>
          <w:sz w:val="24"/>
          <w:szCs w:val="24"/>
        </w:rPr>
        <w:t>显示精度0.1℃</w:t>
      </w:r>
      <w:r>
        <w:rPr>
          <w:rFonts w:hint="eastAsia" w:ascii="黑体" w:hAnsi="黑体" w:eastAsia="黑体" w:cs="黑体"/>
          <w:color w:val="auto"/>
          <w:kern w:val="0"/>
          <w:sz w:val="24"/>
          <w:szCs w:val="24"/>
        </w:rPr>
        <w:t>；</w:t>
      </w:r>
    </w:p>
    <w:p>
      <w:pPr>
        <w:autoSpaceDE w:val="0"/>
        <w:autoSpaceDN w:val="0"/>
        <w:adjustRightInd w:val="0"/>
        <w:jc w:val="left"/>
        <w:rPr>
          <w:rFonts w:hint="eastAsia" w:ascii="黑体" w:hAnsi="黑体" w:eastAsia="黑体" w:cs="黑体"/>
          <w:color w:val="auto"/>
          <w:kern w:val="0"/>
          <w:sz w:val="24"/>
          <w:szCs w:val="24"/>
        </w:rPr>
      </w:pPr>
      <w:r>
        <w:rPr>
          <w:rFonts w:hint="eastAsia" w:ascii="黑体" w:hAnsi="黑体" w:eastAsia="黑体" w:cs="黑体"/>
          <w:color w:val="auto"/>
          <w:sz w:val="24"/>
          <w:szCs w:val="24"/>
        </w:rPr>
        <w:t>3、</w:t>
      </w:r>
      <w:bookmarkStart w:id="76" w:name="OLE_LINK46"/>
      <w:bookmarkStart w:id="77" w:name="OLE_LINK45"/>
      <w:r>
        <w:rPr>
          <w:rFonts w:hint="eastAsia" w:ascii="黑体" w:hAnsi="黑体" w:eastAsia="黑体" w:cs="黑体"/>
          <w:color w:val="auto"/>
          <w:kern w:val="0"/>
          <w:sz w:val="24"/>
          <w:szCs w:val="24"/>
        </w:rPr>
        <w:t>具有多种故障报警：高温报警、低温报警、传感器故障报警、断电报警、超温限报警</w:t>
      </w:r>
      <w:bookmarkEnd w:id="76"/>
      <w:bookmarkEnd w:id="77"/>
      <w:r>
        <w:rPr>
          <w:rFonts w:hint="eastAsia" w:ascii="黑体" w:hAnsi="黑体" w:eastAsia="黑体" w:cs="黑体"/>
          <w:color w:val="auto"/>
          <w:kern w:val="0"/>
          <w:sz w:val="24"/>
          <w:szCs w:val="24"/>
        </w:rPr>
        <w:t>，24小时内高低温报警信息记录查看功能；</w:t>
      </w:r>
    </w:p>
    <w:p>
      <w:pPr>
        <w:autoSpaceDE w:val="0"/>
        <w:autoSpaceDN w:val="0"/>
        <w:adjustRightInd w:val="0"/>
        <w:jc w:val="left"/>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4、具有两种报警方式：声音蜂鸣报警、灯光闪烁报警；</w:t>
      </w:r>
    </w:p>
    <w:p>
      <w:pPr>
        <w:autoSpaceDE w:val="0"/>
        <w:autoSpaceDN w:val="0"/>
        <w:adjustRightInd w:val="0"/>
        <w:jc w:val="left"/>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5、多重保护功能：开机延时保护、停机间隔</w:t>
      </w:r>
      <w:r>
        <w:rPr>
          <w:rFonts w:hint="eastAsia" w:ascii="黑体" w:hAnsi="黑体" w:eastAsia="黑体" w:cs="黑体"/>
          <w:color w:val="auto"/>
          <w:sz w:val="24"/>
          <w:szCs w:val="24"/>
        </w:rPr>
        <w:t>保护、</w:t>
      </w:r>
      <w:r>
        <w:rPr>
          <w:rFonts w:hint="eastAsia" w:ascii="黑体" w:hAnsi="黑体" w:eastAsia="黑体" w:cs="黑体"/>
          <w:color w:val="auto"/>
          <w:kern w:val="0"/>
          <w:sz w:val="24"/>
          <w:szCs w:val="24"/>
        </w:rPr>
        <w:t xml:space="preserve">显示面板密码保护、断电记忆数据保护、传感器故障保护运行； </w:t>
      </w:r>
    </w:p>
    <w:p>
      <w:pPr>
        <w:autoSpaceDE w:val="0"/>
        <w:autoSpaceDN w:val="0"/>
        <w:adjustRightInd w:val="0"/>
        <w:jc w:val="left"/>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6、断电后报警持续24小时以上</w:t>
      </w:r>
      <w:r>
        <w:rPr>
          <w:rFonts w:hint="eastAsia" w:ascii="黑体" w:hAnsi="黑体" w:eastAsia="黑体" w:cs="黑体"/>
          <w:color w:val="auto"/>
          <w:sz w:val="24"/>
          <w:szCs w:val="24"/>
        </w:rPr>
        <w:t>；</w:t>
      </w:r>
    </w:p>
    <w:p>
      <w:pPr>
        <w:autoSpaceDE w:val="0"/>
        <w:autoSpaceDN w:val="0"/>
        <w:adjustRightInd w:val="0"/>
        <w:jc w:val="left"/>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7、测试孔设计，方便用户测控使用；</w:t>
      </w:r>
    </w:p>
    <w:p>
      <w:pPr>
        <w:jc w:val="left"/>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8、碳氢节能压缩机，优化碳氢制冷系统，节能环保；</w:t>
      </w:r>
    </w:p>
    <w:p>
      <w:pPr>
        <w:jc w:val="left"/>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9、采用进口名牌SECOP碳氢高效节能压缩机和德国EBM风机，高效制冷，使用寿命更长；</w:t>
      </w:r>
    </w:p>
    <w:p>
      <w:pPr>
        <w:jc w:val="left"/>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10、优化系统与结构低噪音设计，彻底消除刺耳的高频噪音；</w:t>
      </w:r>
    </w:p>
    <w:p>
      <w:pPr>
        <w:jc w:val="left"/>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11、立式单门结构，90mm超厚保温层，优化嵌入式双密封条设计，</w:t>
      </w:r>
      <w:bookmarkStart w:id="78" w:name="OLE_LINK26"/>
      <w:bookmarkStart w:id="79" w:name="OLE_LINK24"/>
      <w:bookmarkStart w:id="80" w:name="OLE_LINK27"/>
      <w:bookmarkStart w:id="81" w:name="OLE_LINK25"/>
      <w:r>
        <w:rPr>
          <w:rFonts w:hint="eastAsia" w:ascii="黑体" w:hAnsi="黑体" w:eastAsia="黑体" w:cs="黑体"/>
          <w:color w:val="auto"/>
          <w:kern w:val="0"/>
          <w:sz w:val="24"/>
          <w:szCs w:val="24"/>
        </w:rPr>
        <w:t>密封保温效果好</w:t>
      </w:r>
      <w:bookmarkEnd w:id="78"/>
      <w:bookmarkEnd w:id="79"/>
      <w:bookmarkEnd w:id="80"/>
      <w:bookmarkEnd w:id="81"/>
      <w:r>
        <w:rPr>
          <w:rFonts w:hint="eastAsia" w:ascii="黑体" w:hAnsi="黑体" w:eastAsia="黑体" w:cs="黑体"/>
          <w:color w:val="auto"/>
          <w:kern w:val="0"/>
          <w:sz w:val="24"/>
          <w:szCs w:val="24"/>
        </w:rPr>
        <w:t>，环保节能；</w:t>
      </w:r>
    </w:p>
    <w:p>
      <w:pPr>
        <w:jc w:val="left"/>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12、外壳喷涂钢板设计，内胆采用PS板吸附材质，永不生锈，防腐可靠，易于清洁；</w:t>
      </w:r>
    </w:p>
    <w:p>
      <w:pPr>
        <w:jc w:val="left"/>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13、门锁+门锁扣设计，即可一把钥匙一把锁，又可外加挂锁，可随意配置任意挂锁，实现多人管理，保证存储物品安全；新式滚轮轴承锁扣设计，开合更轻松；</w:t>
      </w:r>
    </w:p>
    <w:p>
      <w:pPr>
        <w:jc w:val="left"/>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14、配备6个塑料抽屉，每个抽屉均带标示贴槽，便于用户分开存储不同类型的物品，防止保存物品交叉影响；</w:t>
      </w:r>
    </w:p>
    <w:p>
      <w:pPr>
        <w:jc w:val="left"/>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15、搁架式蒸发器设计，保证箱内温度在最短的时间内降到用户需要温度；</w:t>
      </w:r>
    </w:p>
    <w:p>
      <w:pPr>
        <w:jc w:val="left"/>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16、脚轮+底脚设计，便于移动和锁定；</w:t>
      </w:r>
    </w:p>
    <w:p>
      <w:pPr>
        <w:jc w:val="lef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17</w:t>
      </w:r>
      <w:bookmarkEnd w:id="74"/>
      <w:bookmarkEnd w:id="75"/>
      <w:r>
        <w:rPr>
          <w:rFonts w:hint="eastAsia" w:ascii="黑体" w:hAnsi="黑体" w:eastAsia="黑体" w:cs="黑体"/>
          <w:color w:val="000000" w:themeColor="text1"/>
          <w:kern w:val="0"/>
          <w:sz w:val="24"/>
          <w:szCs w:val="24"/>
          <w14:textFill>
            <w14:solidFill>
              <w14:schemeClr w14:val="tx1"/>
            </w14:solidFill>
          </w14:textFill>
        </w:rPr>
        <w:t>、</w:t>
      </w:r>
      <w:r>
        <w:rPr>
          <w:rFonts w:hint="eastAsia" w:ascii="黑体" w:hAnsi="黑体" w:eastAsia="黑体" w:cs="黑体"/>
          <w:b/>
          <w:bCs/>
          <w:color w:val="000000" w:themeColor="text1"/>
          <w:kern w:val="0"/>
          <w:sz w:val="24"/>
          <w:szCs w:val="24"/>
          <w14:textFill>
            <w14:solidFill>
              <w14:schemeClr w14:val="tx1"/>
            </w14:solidFill>
          </w14:textFill>
        </w:rPr>
        <w:t>医疗器械注册证。</w:t>
      </w:r>
    </w:p>
    <w:tbl>
      <w:tblPr>
        <w:tblStyle w:val="42"/>
        <w:tblW w:w="97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798" w:type="dxa"/>
            <w:vAlign w:val="center"/>
          </w:tcPr>
          <w:p>
            <w:pPr>
              <w:spacing w:line="300" w:lineRule="exac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一、功能描述：保存血浆、生物制品、远洋制品、电子器件、特殊材料的低温试验等，适用于血站、医院、防疫站、畜牧兽医站、科研院所、电子化工等企业实验室、生物医学工程研究所，远洋渔业公司等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798" w:type="dxa"/>
            <w:vAlign w:val="center"/>
          </w:tcPr>
          <w:p>
            <w:pPr>
              <w:spacing w:line="300" w:lineRule="exac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二、技术要求及配置：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9798" w:type="dxa"/>
            <w:vAlign w:val="center"/>
          </w:tcPr>
          <w:p>
            <w:pPr>
              <w:spacing w:line="300" w:lineRule="exac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2.1、工作条件：环境温度10～32℃，电源220V/50Hz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798" w:type="dxa"/>
            <w:vAlign w:val="center"/>
          </w:tcPr>
          <w:p>
            <w:pPr>
              <w:spacing w:line="300" w:lineRule="exac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2.2、样式：立式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9798" w:type="dxa"/>
            <w:vAlign w:val="center"/>
          </w:tcPr>
          <w:p>
            <w:pPr>
              <w:spacing w:line="300" w:lineRule="exac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2.3、有效容积：</w:t>
            </w:r>
            <w:r>
              <w:rPr>
                <w:rFonts w:hint="eastAsia" w:ascii="黑体" w:hAnsi="黑体" w:eastAsia="黑体" w:cs="黑体"/>
                <w:color w:val="000000" w:themeColor="text1"/>
                <w:sz w:val="24"/>
                <w:szCs w:val="24"/>
                <w:lang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27</w:t>
            </w:r>
            <w:r>
              <w:rPr>
                <w:rFonts w:hint="eastAsia" w:ascii="黑体" w:hAnsi="黑体" w:eastAsia="黑体" w:cs="黑体"/>
                <w:color w:val="000000" w:themeColor="text1"/>
                <w:sz w:val="24"/>
                <w:szCs w:val="24"/>
                <w:lang w:val="en-US" w:eastAsia="zh-CN"/>
                <w14:textFill>
                  <w14:solidFill>
                    <w14:schemeClr w14:val="tx1"/>
                  </w14:solidFill>
                </w14:textFill>
              </w:rPr>
              <w:t>0</w:t>
            </w:r>
            <w:r>
              <w:rPr>
                <w:rFonts w:hint="eastAsia" w:ascii="黑体" w:hAnsi="黑体" w:eastAsia="黑体" w:cs="黑体"/>
                <w:color w:val="000000" w:themeColor="text1"/>
                <w:sz w:val="24"/>
                <w:szCs w:val="24"/>
                <w14:textFill>
                  <w14:solidFill>
                    <w14:schemeClr w14:val="tx1"/>
                  </w14:solidFill>
                </w14:textFill>
              </w:rPr>
              <w:t>L</w:t>
            </w:r>
          </w:p>
        </w:tc>
      </w:tr>
    </w:tbl>
    <w:p>
      <w:pPr>
        <w:widowControl/>
        <w:kinsoku w:val="0"/>
        <w:overflowPunct w:val="0"/>
        <w:spacing w:line="360" w:lineRule="auto"/>
        <w:jc w:val="center"/>
        <w:textAlignment w:val="baseline"/>
        <w:rPr>
          <w:rFonts w:hint="eastAsia" w:ascii="宋体" w:hAnsi="宋体" w:eastAsia="宋体" w:cs="宋体"/>
          <w:b/>
          <w:bCs/>
          <w:color w:val="000000" w:themeColor="text1"/>
          <w:kern w:val="0"/>
          <w:sz w:val="24"/>
          <w:szCs w:val="24"/>
          <w:lang w:eastAsia="zh-CN"/>
          <w14:textFill>
            <w14:solidFill>
              <w14:schemeClr w14:val="tx1"/>
            </w14:solidFill>
          </w14:textFill>
        </w:rPr>
      </w:pPr>
    </w:p>
    <w:p>
      <w:pPr>
        <w:widowControl/>
        <w:kinsoku w:val="0"/>
        <w:overflowPunct w:val="0"/>
        <w:spacing w:line="360" w:lineRule="auto"/>
        <w:jc w:val="center"/>
        <w:textAlignment w:val="baseline"/>
        <w:rPr>
          <w:rFonts w:hint="eastAsia" w:ascii="宋体" w:hAnsi="宋体" w:eastAsia="宋体" w:cs="宋体"/>
          <w:b/>
          <w:bCs/>
          <w:color w:val="000000" w:themeColor="text1"/>
          <w:kern w:val="0"/>
          <w:sz w:val="24"/>
          <w:szCs w:val="24"/>
          <w:lang w:eastAsia="zh-CN"/>
          <w14:textFill>
            <w14:solidFill>
              <w14:schemeClr w14:val="tx1"/>
            </w14:solidFill>
          </w14:textFill>
        </w:rPr>
      </w:pPr>
    </w:p>
    <w:p>
      <w:pPr>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br w:type="page"/>
      </w:r>
    </w:p>
    <w:p>
      <w:pPr>
        <w:widowControl/>
        <w:kinsoku w:val="0"/>
        <w:overflowPunct w:val="0"/>
        <w:spacing w:line="360" w:lineRule="auto"/>
        <w:jc w:val="center"/>
        <w:textAlignment w:val="baseline"/>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临床检验专用冰箱性能参数</w:t>
      </w: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w:t>
      </w:r>
      <w:r>
        <w:rPr>
          <w:rFonts w:hint="eastAsia" w:ascii="宋体" w:hAnsi="宋体" w:cs="宋体"/>
          <w:b/>
          <w:bCs/>
          <w:color w:val="000000" w:themeColor="text1"/>
          <w:kern w:val="0"/>
          <w:sz w:val="24"/>
          <w:szCs w:val="24"/>
          <w:lang w:val="en-US" w:eastAsia="zh-CN"/>
          <w14:textFill>
            <w14:solidFill>
              <w14:schemeClr w14:val="tx1"/>
            </w14:solidFill>
          </w14:textFill>
        </w:rPr>
        <w:t>2</w:t>
      </w:r>
    </w:p>
    <w:p>
      <w:pPr>
        <w:widowControl/>
        <w:kinsoku w:val="0"/>
        <w:overflowPunct w:val="0"/>
        <w:spacing w:line="360" w:lineRule="auto"/>
        <w:jc w:val="left"/>
        <w:textAlignment w:val="baseline"/>
        <w:rPr>
          <w:rFonts w:hint="eastAsia" w:ascii="黑体" w:hAnsi="黑体" w:eastAsia="黑体" w:cs="黑体"/>
          <w:kern w:val="24"/>
          <w:sz w:val="24"/>
        </w:rPr>
      </w:pPr>
      <w:r>
        <w:rPr>
          <w:rFonts w:hint="eastAsia" w:ascii="黑体" w:hAnsi="黑体" w:eastAsia="黑体" w:cs="黑体"/>
          <w:kern w:val="24"/>
          <w:sz w:val="24"/>
        </w:rPr>
        <w:t>1、有效容积≥31</w:t>
      </w:r>
      <w:r>
        <w:rPr>
          <w:rFonts w:hint="eastAsia" w:ascii="黑体" w:hAnsi="黑体" w:eastAsia="黑体" w:cs="黑体"/>
          <w:kern w:val="24"/>
          <w:sz w:val="24"/>
          <w:lang w:val="en-US" w:eastAsia="zh-CN"/>
        </w:rPr>
        <w:t>0</w:t>
      </w:r>
      <w:r>
        <w:rPr>
          <w:rFonts w:hint="eastAsia" w:ascii="黑体" w:hAnsi="黑体" w:eastAsia="黑体" w:cs="黑体"/>
          <w:kern w:val="24"/>
          <w:sz w:val="24"/>
        </w:rPr>
        <w:t>L。</w:t>
      </w:r>
    </w:p>
    <w:p>
      <w:pPr>
        <w:widowControl/>
        <w:kinsoku w:val="0"/>
        <w:overflowPunct w:val="0"/>
        <w:spacing w:line="360" w:lineRule="auto"/>
        <w:jc w:val="left"/>
        <w:textAlignment w:val="baseline"/>
        <w:rPr>
          <w:rFonts w:hint="eastAsia" w:ascii="黑体" w:hAnsi="黑体" w:eastAsia="黑体" w:cs="黑体"/>
          <w:color w:val="FF0000"/>
          <w:kern w:val="24"/>
          <w:sz w:val="24"/>
        </w:rPr>
      </w:pPr>
      <w:r>
        <w:rPr>
          <w:rFonts w:hint="eastAsia" w:ascii="黑体" w:hAnsi="黑体" w:eastAsia="黑体" w:cs="黑体"/>
          <w:kern w:val="24"/>
          <w:sz w:val="24"/>
        </w:rPr>
        <w:t>2、电脑板控制，冷藏冷冻温度同时显示，冷藏显示精度0.1 ℃，冷冻显示精度1 ℃。冷藏温度范围2～8℃，冷冻温度-10~-30℃可调。</w:t>
      </w:r>
    </w:p>
    <w:p>
      <w:pPr>
        <w:widowControl/>
        <w:kinsoku w:val="0"/>
        <w:overflowPunct w:val="0"/>
        <w:spacing w:line="360" w:lineRule="auto"/>
        <w:jc w:val="left"/>
        <w:textAlignment w:val="baseline"/>
        <w:rPr>
          <w:rFonts w:hint="eastAsia" w:ascii="黑体" w:hAnsi="黑体" w:eastAsia="黑体" w:cs="黑体"/>
          <w:color w:val="FF0000"/>
          <w:kern w:val="24"/>
          <w:sz w:val="24"/>
        </w:rPr>
      </w:pPr>
      <w:r>
        <w:rPr>
          <w:rFonts w:hint="eastAsia" w:ascii="黑体" w:hAnsi="黑体" w:eastAsia="黑体" w:cs="黑体"/>
          <w:kern w:val="24"/>
          <w:sz w:val="24"/>
        </w:rPr>
        <w:t>3、多种报警功能：超温报警、传感器故障报警、环温超标报警、断电报警、电池电量低报警；两种报警方式（声音蜂鸣报警、闪烁报警），可接远程报警；断电报警持续48小时。</w:t>
      </w:r>
    </w:p>
    <w:p>
      <w:pPr>
        <w:widowControl/>
        <w:kinsoku w:val="0"/>
        <w:overflowPunct w:val="0"/>
        <w:spacing w:line="360" w:lineRule="auto"/>
        <w:jc w:val="left"/>
        <w:textAlignment w:val="baseline"/>
        <w:rPr>
          <w:rFonts w:hint="eastAsia" w:ascii="黑体" w:hAnsi="黑体" w:eastAsia="黑体" w:cs="黑体"/>
          <w:kern w:val="24"/>
          <w:sz w:val="24"/>
        </w:rPr>
      </w:pPr>
      <w:r>
        <w:rPr>
          <w:rFonts w:hint="eastAsia" w:ascii="黑体" w:hAnsi="黑体" w:eastAsia="黑体" w:cs="黑体"/>
          <w:kern w:val="24"/>
          <w:sz w:val="24"/>
        </w:rPr>
        <w:t>4、名牌压缩机，碳氢制冷剂。</w:t>
      </w:r>
    </w:p>
    <w:p>
      <w:pPr>
        <w:widowControl/>
        <w:kinsoku w:val="0"/>
        <w:overflowPunct w:val="0"/>
        <w:spacing w:line="360" w:lineRule="auto"/>
        <w:jc w:val="left"/>
        <w:textAlignment w:val="baseline"/>
        <w:rPr>
          <w:rFonts w:hint="eastAsia" w:ascii="黑体" w:hAnsi="黑体" w:eastAsia="黑体" w:cs="黑体"/>
          <w:kern w:val="24"/>
          <w:sz w:val="24"/>
        </w:rPr>
      </w:pPr>
      <w:r>
        <w:rPr>
          <w:rFonts w:hint="eastAsia" w:ascii="黑体" w:hAnsi="黑体" w:eastAsia="黑体" w:cs="黑体"/>
          <w:kern w:val="24"/>
          <w:sz w:val="24"/>
        </w:rPr>
        <w:t>5、ADDA风机，冷藏温度更均匀。</w:t>
      </w:r>
    </w:p>
    <w:p>
      <w:pPr>
        <w:widowControl/>
        <w:kinsoku w:val="0"/>
        <w:overflowPunct w:val="0"/>
        <w:spacing w:line="360" w:lineRule="auto"/>
        <w:jc w:val="left"/>
        <w:textAlignment w:val="baseline"/>
        <w:rPr>
          <w:rFonts w:hint="eastAsia" w:ascii="黑体" w:hAnsi="黑体" w:eastAsia="黑体" w:cs="黑体"/>
          <w:color w:val="FF0000"/>
          <w:kern w:val="24"/>
          <w:sz w:val="24"/>
        </w:rPr>
      </w:pPr>
      <w:r>
        <w:rPr>
          <w:rFonts w:hint="eastAsia" w:ascii="黑体" w:hAnsi="黑体" w:eastAsia="黑体" w:cs="黑体"/>
          <w:kern w:val="24"/>
          <w:sz w:val="24"/>
        </w:rPr>
        <w:t>6、安全设计：双门双</w:t>
      </w:r>
      <w:r>
        <w:rPr>
          <w:rFonts w:hint="eastAsia" w:ascii="黑体" w:hAnsi="黑体" w:eastAsia="黑体" w:cs="黑体"/>
          <w:bCs/>
          <w:kern w:val="24"/>
          <w:sz w:val="24"/>
        </w:rPr>
        <w:t>锁扣设计，每个锁扣均可外挂锁，满足安全要求</w:t>
      </w:r>
      <w:r>
        <w:rPr>
          <w:rFonts w:hint="eastAsia" w:ascii="黑体" w:hAnsi="黑体" w:eastAsia="黑体" w:cs="黑体"/>
          <w:kern w:val="24"/>
          <w:sz w:val="24"/>
        </w:rPr>
        <w:t>；</w:t>
      </w:r>
      <w:r>
        <w:rPr>
          <w:rFonts w:hint="eastAsia" w:ascii="黑体" w:hAnsi="黑体" w:eastAsia="黑体" w:cs="黑体"/>
          <w:color w:val="FF0000"/>
          <w:kern w:val="24"/>
          <w:sz w:val="24"/>
        </w:rPr>
        <w:t xml:space="preserve"> </w:t>
      </w:r>
    </w:p>
    <w:p>
      <w:pPr>
        <w:widowControl/>
        <w:kinsoku w:val="0"/>
        <w:overflowPunct w:val="0"/>
        <w:spacing w:line="360" w:lineRule="auto"/>
        <w:jc w:val="left"/>
        <w:textAlignment w:val="baseline"/>
        <w:rPr>
          <w:rFonts w:hint="eastAsia" w:ascii="黑体" w:hAnsi="黑体" w:eastAsia="黑体" w:cs="黑体"/>
          <w:color w:val="FF0000"/>
          <w:kern w:val="24"/>
          <w:sz w:val="24"/>
        </w:rPr>
      </w:pPr>
      <w:r>
        <w:rPr>
          <w:rFonts w:hint="eastAsia" w:ascii="黑体" w:hAnsi="黑体" w:eastAsia="黑体" w:cs="黑体"/>
          <w:kern w:val="24"/>
          <w:sz w:val="24"/>
        </w:rPr>
        <w:t>7、冷藏、冷冻双功能。</w:t>
      </w:r>
      <w:r>
        <w:rPr>
          <w:rFonts w:hint="eastAsia" w:ascii="黑体" w:hAnsi="黑体" w:eastAsia="黑体" w:cs="黑体"/>
          <w:kern w:val="24"/>
          <w:sz w:val="24"/>
          <w:lang w:eastAsia="zh-CN"/>
        </w:rPr>
        <w:t>≥</w:t>
      </w:r>
      <w:r>
        <w:rPr>
          <w:rFonts w:hint="eastAsia" w:ascii="黑体" w:hAnsi="黑体" w:eastAsia="黑体" w:cs="黑体"/>
          <w:kern w:val="24"/>
          <w:sz w:val="24"/>
        </w:rPr>
        <w:t>21</w:t>
      </w:r>
      <w:r>
        <w:rPr>
          <w:rFonts w:hint="eastAsia" w:ascii="黑体" w:hAnsi="黑体" w:eastAsia="黑体" w:cs="黑体"/>
          <w:kern w:val="24"/>
          <w:sz w:val="24"/>
          <w:lang w:val="en-US" w:eastAsia="zh-CN"/>
        </w:rPr>
        <w:t>5</w:t>
      </w:r>
      <w:r>
        <w:rPr>
          <w:rFonts w:hint="eastAsia" w:ascii="黑体" w:hAnsi="黑体" w:eastAsia="黑体" w:cs="黑体"/>
          <w:kern w:val="24"/>
          <w:sz w:val="24"/>
        </w:rPr>
        <w:t>L大冷藏室,</w:t>
      </w:r>
      <w:r>
        <w:rPr>
          <w:rFonts w:hint="eastAsia" w:ascii="黑体" w:hAnsi="黑体" w:eastAsia="黑体" w:cs="黑体"/>
          <w:kern w:val="24"/>
          <w:sz w:val="24"/>
          <w:lang w:eastAsia="zh-CN"/>
        </w:rPr>
        <w:t>≥</w:t>
      </w:r>
      <w:r>
        <w:rPr>
          <w:rFonts w:hint="eastAsia" w:ascii="黑体" w:hAnsi="黑体" w:eastAsia="黑体" w:cs="黑体"/>
          <w:kern w:val="24"/>
          <w:sz w:val="24"/>
          <w:lang w:val="en-US" w:eastAsia="zh-CN"/>
        </w:rPr>
        <w:t>95</w:t>
      </w:r>
      <w:r>
        <w:rPr>
          <w:rFonts w:hint="eastAsia" w:ascii="黑体" w:hAnsi="黑体" w:eastAsia="黑体" w:cs="黑体"/>
          <w:kern w:val="24"/>
          <w:sz w:val="24"/>
        </w:rPr>
        <w:t>L冷冻室。</w:t>
      </w:r>
    </w:p>
    <w:p>
      <w:pPr>
        <w:widowControl/>
        <w:kinsoku w:val="0"/>
        <w:overflowPunct w:val="0"/>
        <w:spacing w:line="360" w:lineRule="auto"/>
        <w:jc w:val="left"/>
        <w:textAlignment w:val="baseline"/>
        <w:rPr>
          <w:rFonts w:hint="eastAsia" w:ascii="黑体" w:hAnsi="黑体" w:eastAsia="黑体" w:cs="黑体"/>
          <w:kern w:val="24"/>
          <w:sz w:val="24"/>
        </w:rPr>
      </w:pPr>
      <w:r>
        <w:rPr>
          <w:rFonts w:hint="eastAsia" w:ascii="黑体" w:hAnsi="黑体" w:eastAsia="黑体" w:cs="黑体"/>
          <w:kern w:val="24"/>
          <w:sz w:val="24"/>
        </w:rPr>
        <w:t>8、冷藏、冷冻独立制冷系统，可单独停用。</w:t>
      </w:r>
    </w:p>
    <w:p>
      <w:pPr>
        <w:widowControl/>
        <w:kinsoku w:val="0"/>
        <w:overflowPunct w:val="0"/>
        <w:spacing w:line="360" w:lineRule="auto"/>
        <w:jc w:val="left"/>
        <w:textAlignment w:val="baseline"/>
        <w:rPr>
          <w:rFonts w:hint="eastAsia" w:ascii="黑体" w:hAnsi="黑体" w:eastAsia="黑体" w:cs="黑体"/>
          <w:kern w:val="24"/>
          <w:sz w:val="24"/>
        </w:rPr>
      </w:pPr>
      <w:r>
        <w:rPr>
          <w:rFonts w:hint="eastAsia" w:ascii="黑体" w:hAnsi="黑体" w:eastAsia="黑体" w:cs="黑体"/>
          <w:kern w:val="24"/>
          <w:sz w:val="24"/>
        </w:rPr>
        <w:t>9、产品带有2个测试孔，方便用户对箱内温度进行监测。</w:t>
      </w:r>
    </w:p>
    <w:p>
      <w:pPr>
        <w:widowControl/>
        <w:kinsoku w:val="0"/>
        <w:overflowPunct w:val="0"/>
        <w:spacing w:line="360" w:lineRule="auto"/>
        <w:jc w:val="left"/>
        <w:textAlignment w:val="baseline"/>
        <w:rPr>
          <w:rFonts w:hint="eastAsia" w:ascii="黑体" w:hAnsi="黑体" w:eastAsia="黑体" w:cs="黑体"/>
          <w:sz w:val="24"/>
        </w:rPr>
      </w:pPr>
      <w:r>
        <w:rPr>
          <w:rFonts w:hint="eastAsia" w:ascii="黑体" w:hAnsi="黑体" w:eastAsia="黑体" w:cs="黑体"/>
          <w:kern w:val="24"/>
          <w:sz w:val="24"/>
        </w:rPr>
        <w:t>10、选配USB</w:t>
      </w:r>
      <w:r>
        <w:rPr>
          <w:rFonts w:hint="eastAsia" w:ascii="黑体" w:hAnsi="黑体" w:eastAsia="黑体" w:cs="黑体"/>
          <w:sz w:val="24"/>
        </w:rPr>
        <w:t>接口模块，</w:t>
      </w:r>
      <w:r>
        <w:rPr>
          <w:rFonts w:hint="eastAsia" w:ascii="黑体" w:hAnsi="黑体" w:eastAsia="黑体" w:cs="黑体"/>
          <w:kern w:val="24"/>
          <w:sz w:val="24"/>
        </w:rPr>
        <w:t>可自动保存箱内十年温度数据，</w:t>
      </w:r>
      <w:r>
        <w:rPr>
          <w:rFonts w:hint="eastAsia" w:ascii="黑体" w:hAnsi="黑体" w:eastAsia="黑体" w:cs="黑体"/>
          <w:sz w:val="24"/>
        </w:rPr>
        <w:t>方便人员导出数据。</w:t>
      </w:r>
    </w:p>
    <w:p>
      <w:pPr>
        <w:widowControl/>
        <w:kinsoku w:val="0"/>
        <w:overflowPunct w:val="0"/>
        <w:spacing w:line="360" w:lineRule="auto"/>
        <w:jc w:val="left"/>
        <w:textAlignment w:val="baseline"/>
        <w:rPr>
          <w:rFonts w:hint="eastAsia" w:ascii="黑体" w:hAnsi="黑体" w:eastAsia="黑体" w:cs="黑体"/>
          <w:kern w:val="24"/>
          <w:sz w:val="24"/>
        </w:rPr>
      </w:pPr>
      <w:r>
        <w:rPr>
          <w:rFonts w:hint="eastAsia" w:ascii="黑体" w:hAnsi="黑体" w:eastAsia="黑体" w:cs="黑体"/>
          <w:kern w:val="24"/>
          <w:sz w:val="24"/>
        </w:rPr>
        <w:t>11、选配打印机。</w:t>
      </w:r>
    </w:p>
    <w:p>
      <w:pPr>
        <w:widowControl/>
        <w:kinsoku w:val="0"/>
        <w:overflowPunct w:val="0"/>
        <w:spacing w:line="360" w:lineRule="auto"/>
        <w:jc w:val="left"/>
        <w:textAlignment w:val="baseline"/>
        <w:rPr>
          <w:rFonts w:hint="eastAsia" w:ascii="黑体" w:hAnsi="黑体" w:eastAsia="黑体" w:cs="黑体"/>
          <w:kern w:val="24"/>
          <w:sz w:val="24"/>
        </w:rPr>
      </w:pPr>
      <w:r>
        <w:rPr>
          <w:rFonts w:hint="eastAsia" w:ascii="黑体" w:hAnsi="黑体" w:eastAsia="黑体" w:cs="黑体"/>
          <w:kern w:val="24"/>
          <w:sz w:val="24"/>
        </w:rPr>
        <w:t>12、设有监控功能，可远程报警、可网络监控（选配）</w:t>
      </w:r>
    </w:p>
    <w:p>
      <w:pPr>
        <w:spacing w:line="360" w:lineRule="auto"/>
        <w:rPr>
          <w:rFonts w:hint="eastAsia" w:ascii="黑体" w:hAnsi="黑体" w:eastAsia="黑体" w:cs="黑体"/>
          <w:sz w:val="24"/>
        </w:rPr>
      </w:pPr>
      <w:r>
        <w:rPr>
          <w:rFonts w:hint="eastAsia" w:ascii="黑体" w:hAnsi="黑体" w:eastAsia="黑体" w:cs="黑体"/>
          <w:sz w:val="24"/>
        </w:rPr>
        <w:t>13、发泡门设计，满足避光保存要求。</w:t>
      </w:r>
    </w:p>
    <w:p>
      <w:pPr>
        <w:spacing w:line="360" w:lineRule="auto"/>
        <w:rPr>
          <w:rFonts w:hint="eastAsia" w:ascii="黑体" w:hAnsi="黑体" w:eastAsia="黑体" w:cs="黑体"/>
          <w:sz w:val="24"/>
        </w:rPr>
      </w:pPr>
      <w:r>
        <w:rPr>
          <w:rFonts w:hint="eastAsia" w:ascii="黑体" w:hAnsi="黑体" w:eastAsia="黑体" w:cs="黑体"/>
          <w:sz w:val="24"/>
        </w:rPr>
        <w:t>14、</w:t>
      </w:r>
      <w:r>
        <w:rPr>
          <w:rFonts w:hint="eastAsia" w:ascii="黑体" w:hAnsi="黑体" w:eastAsia="黑体" w:cs="黑体"/>
          <w:kern w:val="0"/>
          <w:sz w:val="24"/>
        </w:rPr>
        <w:t>产品具有医疗器械注册证</w:t>
      </w:r>
    </w:p>
    <w:p>
      <w:pPr>
        <w:spacing w:line="360" w:lineRule="auto"/>
        <w:rPr>
          <w:rFonts w:hint="eastAsia" w:ascii="黑体" w:hAnsi="黑体" w:eastAsia="黑体" w:cs="黑体"/>
          <w:sz w:val="24"/>
        </w:rPr>
      </w:pPr>
      <w:r>
        <w:rPr>
          <w:rFonts w:hint="eastAsia" w:ascii="黑体" w:hAnsi="黑体" w:eastAsia="黑体" w:cs="黑体"/>
          <w:sz w:val="24"/>
        </w:rPr>
        <w:t>15、产品配有4个脚轮和2个平衡底脚；</w:t>
      </w:r>
    </w:p>
    <w:p>
      <w:pPr>
        <w:spacing w:line="360" w:lineRule="auto"/>
        <w:rPr>
          <w:rFonts w:hint="eastAsia" w:ascii="黑体" w:hAnsi="黑体" w:eastAsia="黑体" w:cs="黑体"/>
          <w:sz w:val="24"/>
        </w:rPr>
      </w:pPr>
      <w:r>
        <w:rPr>
          <w:rFonts w:hint="eastAsia" w:ascii="黑体" w:hAnsi="黑体" w:eastAsia="黑体" w:cs="黑体"/>
          <w:sz w:val="24"/>
        </w:rPr>
        <w:t>16、WiFi功能配合收集APP实时监控冰箱运行状况。</w:t>
      </w:r>
    </w:p>
    <w:p>
      <w:pPr>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br w:type="page"/>
      </w:r>
    </w:p>
    <w:p>
      <w:pPr>
        <w:spacing w:line="360" w:lineRule="auto"/>
        <w:jc w:val="center"/>
        <w:rPr>
          <w:rFonts w:hint="eastAsia"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临床检验专用冰箱性能参数</w:t>
      </w: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w:t>
      </w:r>
      <w:r>
        <w:rPr>
          <w:rFonts w:hint="eastAsia" w:cs="宋体"/>
          <w:b/>
          <w:bCs/>
          <w:color w:val="000000" w:themeColor="text1"/>
          <w:kern w:val="0"/>
          <w:sz w:val="24"/>
          <w:szCs w:val="24"/>
          <w:lang w:val="en-US" w:eastAsia="zh-CN"/>
          <w14:textFill>
            <w14:solidFill>
              <w14:schemeClr w14:val="tx1"/>
            </w14:solidFill>
          </w14:textFill>
        </w:rPr>
        <w:t>3</w:t>
      </w:r>
    </w:p>
    <w:p>
      <w:pPr>
        <w:spacing w:line="360" w:lineRule="auto"/>
        <w:rPr>
          <w:rFonts w:hint="eastAsia" w:ascii="黑体" w:hAnsi="黑体" w:eastAsia="黑体" w:cs="黑体"/>
          <w:color w:val="000000"/>
          <w:sz w:val="24"/>
        </w:rPr>
      </w:pPr>
      <w:r>
        <w:rPr>
          <w:rFonts w:hint="eastAsia" w:ascii="黑体" w:hAnsi="黑体" w:eastAsia="黑体" w:cs="黑体"/>
          <w:color w:val="000000"/>
          <w:sz w:val="24"/>
        </w:rPr>
        <w:t xml:space="preserve">一、用途：保存生物制品、病毒、病菌、红细胞、白细胞等，适用于医院、血站、疾控中心、科研院所等 </w:t>
      </w:r>
    </w:p>
    <w:p>
      <w:pPr>
        <w:spacing w:line="360" w:lineRule="auto"/>
        <w:rPr>
          <w:rFonts w:hint="eastAsia" w:ascii="黑体" w:hAnsi="黑体" w:eastAsia="黑体" w:cs="黑体"/>
          <w:color w:val="000000"/>
          <w:sz w:val="24"/>
        </w:rPr>
      </w:pPr>
      <w:r>
        <w:rPr>
          <w:rFonts w:hint="eastAsia" w:ascii="黑体" w:hAnsi="黑体" w:eastAsia="黑体" w:cs="黑体"/>
          <w:color w:val="000000"/>
          <w:sz w:val="24"/>
        </w:rPr>
        <w:t xml:space="preserve">二、技术要求及配置： </w:t>
      </w:r>
    </w:p>
    <w:p>
      <w:pPr>
        <w:spacing w:line="360" w:lineRule="auto"/>
        <w:rPr>
          <w:rFonts w:hint="eastAsia" w:ascii="黑体" w:hAnsi="黑体" w:eastAsia="黑体" w:cs="黑体"/>
          <w:color w:val="000000"/>
          <w:sz w:val="24"/>
        </w:rPr>
      </w:pPr>
      <w:r>
        <w:rPr>
          <w:rFonts w:hint="eastAsia" w:ascii="黑体" w:hAnsi="黑体" w:eastAsia="黑体" w:cs="黑体"/>
          <w:color w:val="000000"/>
          <w:sz w:val="24"/>
        </w:rPr>
        <w:t xml:space="preserve">2.1、工作条件：环境温度10～32℃，工作环境湿度：20-80%，电源220V±10% ，50 Hz±1HZ。 </w:t>
      </w:r>
    </w:p>
    <w:p>
      <w:pPr>
        <w:spacing w:line="360" w:lineRule="auto"/>
        <w:rPr>
          <w:rFonts w:hint="eastAsia" w:ascii="黑体" w:hAnsi="黑体" w:eastAsia="黑体" w:cs="黑体"/>
          <w:color w:val="000000"/>
          <w:sz w:val="24"/>
        </w:rPr>
      </w:pPr>
      <w:r>
        <w:rPr>
          <w:rFonts w:hint="eastAsia" w:ascii="黑体" w:hAnsi="黑体" w:eastAsia="黑体" w:cs="黑体"/>
          <w:color w:val="000000"/>
          <w:sz w:val="24"/>
        </w:rPr>
        <w:t xml:space="preserve">2.2、样式：立式。 </w:t>
      </w:r>
    </w:p>
    <w:p>
      <w:pPr>
        <w:spacing w:line="360" w:lineRule="auto"/>
        <w:rPr>
          <w:rFonts w:hint="eastAsia" w:ascii="黑体" w:hAnsi="黑体" w:eastAsia="黑体" w:cs="黑体"/>
          <w:color w:val="000000"/>
          <w:sz w:val="24"/>
        </w:rPr>
      </w:pPr>
      <w:r>
        <w:rPr>
          <w:rFonts w:hint="eastAsia" w:ascii="黑体" w:hAnsi="黑体" w:eastAsia="黑体" w:cs="黑体"/>
          <w:color w:val="000000"/>
          <w:sz w:val="24"/>
        </w:rPr>
        <w:t>2.3、有效容积：</w:t>
      </w:r>
      <w:r>
        <w:rPr>
          <w:rFonts w:hint="eastAsia" w:ascii="黑体" w:hAnsi="黑体" w:eastAsia="黑体" w:cs="黑体"/>
          <w:color w:val="000000"/>
          <w:sz w:val="24"/>
          <w:lang w:eastAsia="zh-CN"/>
        </w:rPr>
        <w:t>≥</w:t>
      </w:r>
      <w:r>
        <w:rPr>
          <w:rFonts w:hint="eastAsia" w:ascii="黑体" w:hAnsi="黑体" w:eastAsia="黑体" w:cs="黑体"/>
          <w:color w:val="000000"/>
          <w:sz w:val="24"/>
        </w:rPr>
        <w:t xml:space="preserve">340L。 </w:t>
      </w:r>
    </w:p>
    <w:p>
      <w:pPr>
        <w:spacing w:line="360" w:lineRule="auto"/>
        <w:rPr>
          <w:rFonts w:hint="eastAsia" w:ascii="黑体" w:hAnsi="黑体" w:eastAsia="黑体" w:cs="黑体"/>
          <w:color w:val="000000"/>
          <w:sz w:val="24"/>
        </w:rPr>
      </w:pPr>
      <w:r>
        <w:rPr>
          <w:rFonts w:hint="eastAsia" w:ascii="黑体" w:hAnsi="黑体" w:eastAsia="黑体" w:cs="黑体"/>
          <w:color w:val="000000"/>
          <w:sz w:val="24"/>
        </w:rPr>
        <w:t>2.4、显示：LED数码温度显示，可实时显示箱内温度和各种设定参数（温度、电压、环境温度、压缩机运行状态等），运行状态一目了然。</w:t>
      </w:r>
    </w:p>
    <w:p>
      <w:pPr>
        <w:spacing w:line="360" w:lineRule="auto"/>
        <w:rPr>
          <w:rFonts w:hint="eastAsia" w:ascii="黑体" w:hAnsi="黑体" w:eastAsia="黑体" w:cs="黑体"/>
          <w:color w:val="000000"/>
          <w:sz w:val="24"/>
        </w:rPr>
      </w:pPr>
      <w:r>
        <w:rPr>
          <w:rFonts w:hint="eastAsia" w:ascii="黑体" w:hAnsi="黑体" w:eastAsia="黑体" w:cs="黑体"/>
          <w:color w:val="000000"/>
          <w:sz w:val="24"/>
        </w:rPr>
        <w:t>2.5、温度控制：高精度微电脑温度控制系统，箱内温度-40℃～-86℃范围内任意设定且可稳定运行。</w:t>
      </w:r>
    </w:p>
    <w:p>
      <w:pPr>
        <w:spacing w:line="360" w:lineRule="auto"/>
        <w:rPr>
          <w:rFonts w:hint="eastAsia" w:ascii="黑体" w:hAnsi="黑体" w:eastAsia="黑体" w:cs="黑体"/>
          <w:color w:val="000000"/>
          <w:sz w:val="24"/>
        </w:rPr>
      </w:pPr>
      <w:r>
        <w:rPr>
          <w:rFonts w:hint="eastAsia" w:ascii="黑体" w:hAnsi="黑体" w:eastAsia="黑体" w:cs="黑体"/>
          <w:color w:val="000000"/>
          <w:sz w:val="24"/>
        </w:rPr>
        <w:t xml:space="preserve">2.6、箱体材料：优质结构钢板，经先进防腐磷化、喷涂工艺。 </w:t>
      </w:r>
    </w:p>
    <w:p>
      <w:pPr>
        <w:spacing w:line="360" w:lineRule="auto"/>
        <w:rPr>
          <w:rFonts w:hint="eastAsia" w:ascii="黑体" w:hAnsi="黑体" w:eastAsia="黑体" w:cs="黑体"/>
          <w:color w:val="000000"/>
          <w:sz w:val="24"/>
        </w:rPr>
      </w:pPr>
      <w:r>
        <w:rPr>
          <w:rFonts w:hint="eastAsia" w:ascii="黑体" w:hAnsi="黑体" w:eastAsia="黑体" w:cs="黑体"/>
          <w:color w:val="000000"/>
          <w:sz w:val="24"/>
        </w:rPr>
        <w:t>2.7、内胆材料：采用全不锈钢材质内胆，抗腐蚀，使用寿命长，清洗方便。</w:t>
      </w:r>
    </w:p>
    <w:p>
      <w:pPr>
        <w:spacing w:line="360" w:lineRule="auto"/>
        <w:rPr>
          <w:rFonts w:hint="eastAsia" w:ascii="黑体" w:hAnsi="黑体" w:eastAsia="黑体" w:cs="黑体"/>
          <w:color w:val="000000"/>
          <w:sz w:val="24"/>
        </w:rPr>
      </w:pPr>
      <w:r>
        <w:rPr>
          <w:rFonts w:hint="eastAsia" w:ascii="黑体" w:hAnsi="黑体" w:eastAsia="黑体" w:cs="黑体"/>
          <w:color w:val="000000"/>
          <w:sz w:val="24"/>
        </w:rPr>
        <w:t>2.8、保温材料：采用加厚保温层及VIP保温板，多道门封设计，保温效果好。</w:t>
      </w:r>
    </w:p>
    <w:p>
      <w:pPr>
        <w:spacing w:line="360" w:lineRule="auto"/>
        <w:rPr>
          <w:rFonts w:hint="eastAsia" w:ascii="黑体" w:hAnsi="黑体" w:eastAsia="黑体" w:cs="黑体"/>
          <w:color w:val="000000"/>
          <w:sz w:val="24"/>
        </w:rPr>
      </w:pPr>
      <w:r>
        <w:rPr>
          <w:rFonts w:hint="eastAsia" w:ascii="黑体" w:hAnsi="黑体" w:eastAsia="黑体" w:cs="黑体"/>
          <w:color w:val="000000"/>
          <w:sz w:val="24"/>
        </w:rPr>
        <w:t xml:space="preserve">2.9、安全存储：完善的声光报警系统（高低温、开门、电压异常、断电报警、传感器故障、冷凝器散热差、系统故障等），物品存储更安全； </w:t>
      </w:r>
    </w:p>
    <w:p>
      <w:pPr>
        <w:spacing w:line="360" w:lineRule="auto"/>
        <w:rPr>
          <w:rFonts w:hint="eastAsia" w:ascii="黑体" w:hAnsi="黑体" w:eastAsia="黑体" w:cs="黑体"/>
          <w:color w:val="000000"/>
          <w:sz w:val="24"/>
        </w:rPr>
      </w:pPr>
      <w:r>
        <w:rPr>
          <w:rFonts w:hint="eastAsia" w:ascii="黑体" w:hAnsi="黑体" w:eastAsia="黑体" w:cs="黑体"/>
          <w:color w:val="000000"/>
          <w:sz w:val="24"/>
        </w:rPr>
        <w:t>2.10、双锁设计，键盘锁定和密码保护功能，防止随意调整运行参数；</w:t>
      </w:r>
    </w:p>
    <w:p>
      <w:pPr>
        <w:spacing w:line="360" w:lineRule="auto"/>
        <w:rPr>
          <w:rFonts w:hint="eastAsia" w:ascii="黑体" w:hAnsi="黑体" w:eastAsia="黑体" w:cs="黑体"/>
          <w:color w:val="000000"/>
          <w:sz w:val="24"/>
        </w:rPr>
      </w:pPr>
      <w:r>
        <w:rPr>
          <w:rFonts w:hint="eastAsia" w:ascii="黑体" w:hAnsi="黑体" w:eastAsia="黑体" w:cs="黑体"/>
          <w:color w:val="000000"/>
          <w:sz w:val="24"/>
        </w:rPr>
        <w:t>2.115、进口高效压缩机，动力强劲，质量更可靠，进口EBM低噪音风机，节能高效。冷凝风机及压缩机散热风机可根据环境温度变化及压缩机运行状态智能开停。</w:t>
      </w:r>
    </w:p>
    <w:p>
      <w:pPr>
        <w:spacing w:line="360" w:lineRule="auto"/>
        <w:rPr>
          <w:rFonts w:hint="eastAsia" w:ascii="黑体" w:hAnsi="黑体" w:eastAsia="黑体" w:cs="黑体"/>
          <w:color w:val="000000"/>
          <w:sz w:val="24"/>
        </w:rPr>
      </w:pPr>
      <w:r>
        <w:rPr>
          <w:rFonts w:hint="eastAsia" w:ascii="黑体" w:hAnsi="黑体" w:eastAsia="黑体" w:cs="黑体"/>
          <w:color w:val="000000"/>
          <w:sz w:val="24"/>
        </w:rPr>
        <w:t xml:space="preserve">2.12、测试孔设计，方便测试箱内温度。 </w:t>
      </w:r>
    </w:p>
    <w:p>
      <w:pPr>
        <w:spacing w:line="360" w:lineRule="auto"/>
        <w:rPr>
          <w:rFonts w:hint="eastAsia" w:ascii="黑体" w:hAnsi="黑体" w:eastAsia="黑体" w:cs="黑体"/>
          <w:color w:val="000000"/>
          <w:sz w:val="24"/>
        </w:rPr>
      </w:pPr>
      <w:r>
        <w:rPr>
          <w:rFonts w:hint="eastAsia" w:ascii="黑体" w:hAnsi="黑体" w:eastAsia="黑体" w:cs="黑体"/>
          <w:color w:val="000000"/>
          <w:sz w:val="24"/>
        </w:rPr>
        <w:t xml:space="preserve">2.13、25℃环温时，降温速度≤4.2小时。 </w:t>
      </w:r>
    </w:p>
    <w:p>
      <w:pPr>
        <w:spacing w:line="360" w:lineRule="auto"/>
        <w:rPr>
          <w:rFonts w:hint="eastAsia" w:ascii="黑体" w:hAnsi="黑体" w:eastAsia="黑体" w:cs="黑体"/>
          <w:color w:val="000000"/>
          <w:sz w:val="24"/>
        </w:rPr>
      </w:pPr>
      <w:r>
        <w:rPr>
          <w:rFonts w:hint="eastAsia" w:ascii="黑体" w:hAnsi="黑体" w:eastAsia="黑体" w:cs="黑体"/>
          <w:color w:val="000000"/>
          <w:sz w:val="24"/>
        </w:rPr>
        <w:t>2.14、可存储2英寸标准冻存盒</w:t>
      </w:r>
      <w:r>
        <w:rPr>
          <w:rFonts w:hint="eastAsia" w:ascii="黑体" w:hAnsi="黑体" w:eastAsia="黑体" w:cs="黑体"/>
          <w:color w:val="000000"/>
          <w:sz w:val="24"/>
          <w:lang w:eastAsia="zh-CN"/>
        </w:rPr>
        <w:t>≥</w:t>
      </w:r>
      <w:r>
        <w:rPr>
          <w:rFonts w:hint="eastAsia" w:ascii="黑体" w:hAnsi="黑体" w:eastAsia="黑体" w:cs="黑体"/>
          <w:color w:val="000000"/>
          <w:sz w:val="24"/>
        </w:rPr>
        <w:t>21</w:t>
      </w:r>
      <w:r>
        <w:rPr>
          <w:rFonts w:hint="eastAsia" w:ascii="黑体" w:hAnsi="黑体" w:eastAsia="黑体" w:cs="黑体"/>
          <w:color w:val="000000"/>
          <w:sz w:val="24"/>
          <w:lang w:val="en-US" w:eastAsia="zh-CN"/>
        </w:rPr>
        <w:t>0</w:t>
      </w:r>
      <w:r>
        <w:rPr>
          <w:rFonts w:hint="eastAsia" w:ascii="黑体" w:hAnsi="黑体" w:eastAsia="黑体" w:cs="黑体"/>
          <w:color w:val="000000"/>
          <w:sz w:val="24"/>
        </w:rPr>
        <w:t>个，2ml内旋冻存管21</w:t>
      </w:r>
      <w:r>
        <w:rPr>
          <w:rFonts w:hint="eastAsia" w:ascii="黑体" w:hAnsi="黑体" w:eastAsia="黑体" w:cs="黑体"/>
          <w:color w:val="000000"/>
          <w:sz w:val="24"/>
          <w:lang w:val="en-US" w:eastAsia="zh-CN"/>
        </w:rPr>
        <w:t>0</w:t>
      </w:r>
      <w:r>
        <w:rPr>
          <w:rFonts w:hint="eastAsia" w:ascii="黑体" w:hAnsi="黑体" w:eastAsia="黑体" w:cs="黑体"/>
          <w:color w:val="000000"/>
          <w:sz w:val="24"/>
        </w:rPr>
        <w:t>00个。</w:t>
      </w:r>
    </w:p>
    <w:p>
      <w:pPr>
        <w:spacing w:line="360" w:lineRule="auto"/>
        <w:rPr>
          <w:rFonts w:hint="eastAsia" w:ascii="黑体" w:hAnsi="黑体" w:eastAsia="黑体" w:cs="黑体"/>
          <w:color w:val="000000"/>
          <w:sz w:val="24"/>
          <w:lang w:eastAsia="zh-CN"/>
        </w:rPr>
      </w:pPr>
      <w:r>
        <w:rPr>
          <w:rFonts w:hint="eastAsia" w:ascii="黑体" w:hAnsi="黑体" w:eastAsia="黑体" w:cs="黑体"/>
          <w:color w:val="000000"/>
          <w:sz w:val="24"/>
        </w:rPr>
        <w:t>2.15、医疗器械产品注册证</w:t>
      </w:r>
      <w:r>
        <w:rPr>
          <w:rFonts w:hint="eastAsia" w:ascii="黑体" w:hAnsi="黑体" w:eastAsia="黑体" w:cs="黑体"/>
          <w:color w:val="000000"/>
          <w:sz w:val="24"/>
          <w:lang w:eastAsia="zh-CN"/>
        </w:rPr>
        <w:t>。</w:t>
      </w:r>
    </w:p>
    <w:p>
      <w:pPr>
        <w:spacing w:line="360" w:lineRule="auto"/>
        <w:rPr>
          <w:rFonts w:hint="eastAsia" w:ascii="黑体" w:hAnsi="黑体" w:eastAsia="黑体" w:cs="黑体"/>
          <w:color w:val="000000"/>
          <w:sz w:val="24"/>
        </w:rPr>
      </w:pPr>
      <w:r>
        <w:rPr>
          <w:rFonts w:hint="eastAsia" w:ascii="黑体" w:hAnsi="黑体" w:eastAsia="黑体" w:cs="黑体"/>
          <w:color w:val="000000"/>
          <w:sz w:val="24"/>
          <w:lang w:val="en-US" w:eastAsia="zh-CN"/>
        </w:rPr>
        <w:t>2.16</w:t>
      </w:r>
      <w:r>
        <w:rPr>
          <w:rFonts w:hint="eastAsia" w:ascii="黑体" w:hAnsi="黑体" w:eastAsia="黑体" w:cs="黑体"/>
          <w:color w:val="000000"/>
          <w:sz w:val="24"/>
        </w:rPr>
        <w:t>验收合格后，整机免费保修五年。</w:t>
      </w:r>
    </w:p>
    <w:p>
      <w:pPr>
        <w:spacing w:line="360" w:lineRule="auto"/>
        <w:rPr>
          <w:rFonts w:hint="eastAsia" w:ascii="黑体" w:hAnsi="黑体" w:eastAsia="黑体" w:cs="黑体"/>
          <w:color w:val="000000"/>
          <w:sz w:val="24"/>
        </w:rPr>
      </w:pPr>
      <w:r>
        <w:rPr>
          <w:rFonts w:hint="eastAsia" w:ascii="黑体" w:hAnsi="黑体" w:eastAsia="黑体" w:cs="黑体"/>
          <w:color w:val="000000"/>
          <w:sz w:val="24"/>
          <w:lang w:val="en-US" w:eastAsia="zh-CN"/>
        </w:rPr>
        <w:t>2.17</w:t>
      </w:r>
      <w:r>
        <w:rPr>
          <w:rFonts w:hint="eastAsia" w:ascii="黑体" w:hAnsi="黑体" w:eastAsia="黑体" w:cs="黑体"/>
          <w:color w:val="000000"/>
          <w:sz w:val="24"/>
        </w:rPr>
        <w:t>接到维修通知后，2小时内响应，48小时内实施维修服务。</w:t>
      </w:r>
    </w:p>
    <w:p>
      <w:pPr>
        <w:rPr>
          <w:rFonts w:hint="eastAsia"/>
          <w:b/>
          <w:bCs/>
          <w:sz w:val="24"/>
          <w:szCs w:val="32"/>
          <w:lang w:eastAsia="zh-CN"/>
        </w:rPr>
      </w:pPr>
      <w:r>
        <w:rPr>
          <w:rFonts w:hint="eastAsia"/>
          <w:b/>
          <w:bCs/>
          <w:sz w:val="24"/>
          <w:szCs w:val="32"/>
          <w:lang w:eastAsia="zh-CN"/>
        </w:rPr>
        <w:br w:type="page"/>
      </w:r>
    </w:p>
    <w:p>
      <w:pPr>
        <w:jc w:val="center"/>
        <w:rPr>
          <w:rFonts w:hint="eastAsia"/>
          <w:b/>
          <w:bCs/>
          <w:sz w:val="24"/>
          <w:szCs w:val="32"/>
          <w:lang w:val="en-US" w:eastAsia="zh-CN"/>
        </w:rPr>
      </w:pPr>
      <w:r>
        <w:rPr>
          <w:rFonts w:hint="eastAsia"/>
          <w:b/>
          <w:bCs/>
          <w:sz w:val="24"/>
          <w:szCs w:val="32"/>
          <w:lang w:eastAsia="zh-CN"/>
        </w:rPr>
        <w:t>临床检验试管架</w:t>
      </w:r>
      <w:r>
        <w:rPr>
          <w:rFonts w:hint="eastAsia"/>
          <w:b/>
          <w:bCs/>
          <w:sz w:val="24"/>
          <w:szCs w:val="32"/>
          <w:lang w:val="en-US" w:eastAsia="zh-CN"/>
        </w:rPr>
        <w:t xml:space="preserve"> 性能参数</w:t>
      </w:r>
    </w:p>
    <w:p>
      <w:pPr>
        <w:jc w:val="center"/>
        <w:rPr>
          <w:rFonts w:hint="eastAsia"/>
          <w:b/>
          <w:bCs/>
          <w:sz w:val="24"/>
          <w:szCs w:val="32"/>
          <w:lang w:val="en-US" w:eastAsia="zh-CN"/>
        </w:rPr>
      </w:pPr>
    </w:p>
    <w:p>
      <w:pPr>
        <w:jc w:val="center"/>
        <w:rPr>
          <w:rFonts w:hint="eastAsia"/>
          <w:b/>
          <w:bCs/>
          <w:sz w:val="24"/>
          <w:szCs w:val="32"/>
          <w:lang w:val="en-US" w:eastAsia="zh-CN"/>
        </w:rPr>
      </w:pPr>
    </w:p>
    <w:p>
      <w:pPr>
        <w:rPr>
          <w:rFonts w:hint="eastAsia" w:ascii="黑体" w:hAnsi="黑体" w:eastAsia="黑体" w:cs="黑体"/>
          <w:sz w:val="24"/>
          <w:szCs w:val="32"/>
        </w:rPr>
      </w:pPr>
      <w:r>
        <w:rPr>
          <w:rFonts w:hint="eastAsia" w:ascii="黑体" w:hAnsi="黑体" w:eastAsia="黑体" w:cs="黑体"/>
          <w:sz w:val="24"/>
          <w:szCs w:val="32"/>
        </w:rPr>
        <w:t>96孔试管架参数: (10 混1)</w:t>
      </w:r>
    </w:p>
    <w:p>
      <w:pPr>
        <w:rPr>
          <w:rFonts w:hint="eastAsia" w:ascii="黑体" w:hAnsi="黑体" w:eastAsia="黑体" w:cs="黑体"/>
          <w:sz w:val="24"/>
          <w:szCs w:val="32"/>
        </w:rPr>
      </w:pPr>
      <w:r>
        <w:rPr>
          <w:rFonts w:hint="eastAsia" w:ascii="黑体" w:hAnsi="黑体" w:eastAsia="黑体" w:cs="黑体"/>
          <w:sz w:val="24"/>
          <w:szCs w:val="32"/>
        </w:rPr>
        <w:t>孔数: 96孔(10混1)</w:t>
      </w:r>
    </w:p>
    <w:p>
      <w:pPr>
        <w:rPr>
          <w:rFonts w:hint="eastAsia" w:ascii="黑体" w:hAnsi="黑体" w:eastAsia="黑体" w:cs="黑体"/>
          <w:sz w:val="24"/>
          <w:szCs w:val="32"/>
        </w:rPr>
      </w:pPr>
      <w:r>
        <w:rPr>
          <w:rFonts w:hint="eastAsia" w:ascii="黑体" w:hAnsi="黑体" w:eastAsia="黑体" w:cs="黑体"/>
          <w:sz w:val="24"/>
          <w:szCs w:val="32"/>
        </w:rPr>
        <w:t>孔径: 19mm</w:t>
      </w:r>
    </w:p>
    <w:p>
      <w:pPr>
        <w:jc w:val="center"/>
        <w:rPr>
          <w:rFonts w:hint="eastAsia" w:eastAsiaTheme="minorEastAsia"/>
          <w:b/>
          <w:bCs/>
          <w:lang w:eastAsia="zh-CN"/>
        </w:rPr>
      </w:pPr>
      <w:r>
        <w:rPr>
          <w:rFonts w:hint="eastAsia"/>
          <w:b/>
          <w:bCs/>
          <w:sz w:val="32"/>
          <w:szCs w:val="32"/>
        </w:rPr>
        <w:t>混匀振荡器</w:t>
      </w:r>
      <w:r>
        <w:rPr>
          <w:rFonts w:hint="eastAsia"/>
          <w:b/>
          <w:bCs/>
          <w:sz w:val="32"/>
          <w:szCs w:val="32"/>
          <w:lang w:eastAsia="zh-CN"/>
        </w:rPr>
        <w:t>性能参数</w:t>
      </w:r>
    </w:p>
    <w:p>
      <w:pPr>
        <w:rPr>
          <w:rFonts w:hint="eastAsia" w:ascii="黑体" w:hAnsi="黑体" w:eastAsia="黑体" w:cs="黑体"/>
          <w:sz w:val="24"/>
          <w:szCs w:val="24"/>
        </w:rPr>
      </w:pPr>
      <w:r>
        <w:rPr>
          <w:rFonts w:hint="eastAsia" w:ascii="黑体" w:hAnsi="黑体" w:eastAsia="黑体" w:cs="黑体"/>
          <w:sz w:val="24"/>
          <w:szCs w:val="24"/>
        </w:rPr>
        <w:t>一、产品特点:</w:t>
      </w:r>
    </w:p>
    <w:p>
      <w:pPr>
        <w:rPr>
          <w:rFonts w:hint="eastAsia" w:ascii="黑体" w:hAnsi="黑体" w:eastAsia="黑体" w:cs="黑体"/>
          <w:sz w:val="24"/>
          <w:szCs w:val="24"/>
        </w:rPr>
      </w:pPr>
      <w:r>
        <w:rPr>
          <w:rFonts w:hint="eastAsia" w:ascii="黑体" w:hAnsi="黑体" w:eastAsia="黑体" w:cs="黑体"/>
          <w:sz w:val="24"/>
          <w:szCs w:val="24"/>
        </w:rPr>
        <w:t>1、外形迷你小巧，功能强大，吸盘式机脚，超强防震，适合高速工</w:t>
      </w:r>
    </w:p>
    <w:p>
      <w:pPr>
        <w:rPr>
          <w:rFonts w:hint="eastAsia" w:ascii="黑体" w:hAnsi="黑体" w:eastAsia="黑体" w:cs="黑体"/>
          <w:sz w:val="24"/>
          <w:szCs w:val="24"/>
        </w:rPr>
      </w:pPr>
      <w:r>
        <w:rPr>
          <w:rFonts w:hint="eastAsia" w:ascii="黑体" w:hAnsi="黑体" w:eastAsia="黑体" w:cs="黑体"/>
          <w:sz w:val="24"/>
          <w:szCs w:val="24"/>
        </w:rPr>
        <w:t>作。</w:t>
      </w:r>
    </w:p>
    <w:p>
      <w:pPr>
        <w:rPr>
          <w:rFonts w:hint="eastAsia" w:ascii="黑体" w:hAnsi="黑体" w:eastAsia="黑体" w:cs="黑体"/>
          <w:sz w:val="24"/>
          <w:szCs w:val="24"/>
        </w:rPr>
      </w:pPr>
      <w:r>
        <w:rPr>
          <w:rFonts w:hint="eastAsia" w:ascii="黑体" w:hAnsi="黑体" w:eastAsia="黑体" w:cs="黑体"/>
          <w:sz w:val="24"/>
          <w:szCs w:val="24"/>
        </w:rPr>
        <w:t>2、多种混匀模式，有点动模式和连续运行模式。</w:t>
      </w:r>
    </w:p>
    <w:p>
      <w:pPr>
        <w:rPr>
          <w:rFonts w:hint="eastAsia" w:ascii="黑体" w:hAnsi="黑体" w:eastAsia="黑体" w:cs="黑体"/>
          <w:sz w:val="24"/>
          <w:szCs w:val="24"/>
        </w:rPr>
      </w:pPr>
      <w:r>
        <w:rPr>
          <w:rFonts w:hint="eastAsia" w:ascii="黑体" w:hAnsi="黑体" w:eastAsia="黑体" w:cs="黑体"/>
          <w:sz w:val="24"/>
          <w:szCs w:val="24"/>
        </w:rPr>
        <w:t>3、转速可调，速度范围广，0-2800rpm/min, 电机无级调速，低速平</w:t>
      </w:r>
    </w:p>
    <w:p>
      <w:pPr>
        <w:rPr>
          <w:rFonts w:hint="eastAsia" w:ascii="黑体" w:hAnsi="黑体" w:eastAsia="黑体" w:cs="黑体"/>
          <w:sz w:val="24"/>
          <w:szCs w:val="24"/>
        </w:rPr>
      </w:pPr>
      <w:r>
        <w:rPr>
          <w:rFonts w:hint="eastAsia" w:ascii="黑体" w:hAnsi="黑体" w:eastAsia="黑体" w:cs="黑体"/>
          <w:sz w:val="24"/>
          <w:szCs w:val="24"/>
        </w:rPr>
        <w:t>稳，高速强劲。</w:t>
      </w:r>
    </w:p>
    <w:p>
      <w:pPr>
        <w:rPr>
          <w:rFonts w:hint="eastAsia" w:ascii="黑体" w:hAnsi="黑体" w:eastAsia="黑体" w:cs="黑体"/>
          <w:sz w:val="24"/>
          <w:szCs w:val="24"/>
        </w:rPr>
      </w:pPr>
      <w:r>
        <w:rPr>
          <w:rFonts w:hint="eastAsia" w:ascii="黑体" w:hAnsi="黑体" w:eastAsia="黑体" w:cs="黑体"/>
          <w:sz w:val="24"/>
          <w:szCs w:val="24"/>
        </w:rPr>
        <w:t>4、振动模块安装方便，产品稳固可靠，偏心轴承设计经久耐用。</w:t>
      </w:r>
    </w:p>
    <w:p>
      <w:pPr>
        <w:rPr>
          <w:rFonts w:hint="eastAsia" w:ascii="黑体" w:hAnsi="黑体" w:eastAsia="黑体" w:cs="黑体"/>
          <w:sz w:val="24"/>
          <w:szCs w:val="24"/>
        </w:rPr>
      </w:pPr>
      <w:r>
        <w:rPr>
          <w:rFonts w:hint="eastAsia" w:ascii="黑体" w:hAnsi="黑体" w:eastAsia="黑体" w:cs="黑体"/>
          <w:sz w:val="24"/>
          <w:szCs w:val="24"/>
        </w:rPr>
        <w:t>5、有多种振动模块适配</w:t>
      </w:r>
      <w:r>
        <w:rPr>
          <w:rFonts w:hint="eastAsia" w:ascii="黑体" w:hAnsi="黑体" w:eastAsia="黑体" w:cs="黑体"/>
          <w:sz w:val="24"/>
          <w:szCs w:val="24"/>
          <w:lang w:eastAsia="zh-CN"/>
        </w:rPr>
        <w:t>器可供选择</w:t>
      </w:r>
      <w:r>
        <w:rPr>
          <w:rFonts w:hint="eastAsia" w:ascii="黑体" w:hAnsi="黑体" w:eastAsia="黑体" w:cs="黑体"/>
          <w:sz w:val="24"/>
          <w:szCs w:val="24"/>
        </w:rPr>
        <w:t>(可用于Eppendorf管等)。</w:t>
      </w:r>
    </w:p>
    <w:p>
      <w:pPr>
        <w:rPr>
          <w:rFonts w:hint="eastAsia" w:ascii="黑体" w:hAnsi="黑体" w:eastAsia="黑体" w:cs="黑体"/>
          <w:sz w:val="24"/>
          <w:szCs w:val="24"/>
        </w:rPr>
      </w:pPr>
      <w:r>
        <w:rPr>
          <w:rFonts w:hint="eastAsia" w:ascii="黑体" w:hAnsi="黑体" w:eastAsia="黑体" w:cs="黑体"/>
          <w:sz w:val="24"/>
          <w:szCs w:val="24"/>
        </w:rPr>
        <w:t>二、产品参数:</w:t>
      </w:r>
    </w:p>
    <w:p>
      <w:pPr>
        <w:rPr>
          <w:rFonts w:hint="eastAsia" w:ascii="黑体" w:hAnsi="黑体" w:eastAsia="黑体" w:cs="黑体"/>
          <w:sz w:val="24"/>
          <w:szCs w:val="24"/>
          <w:lang w:val="en-US" w:eastAsia="zh-CN"/>
        </w:rPr>
      </w:pPr>
      <w:r>
        <w:rPr>
          <w:rFonts w:hint="eastAsia" w:ascii="黑体" w:hAnsi="黑体" w:eastAsia="黑体" w:cs="黑体"/>
          <w:sz w:val="24"/>
          <w:szCs w:val="24"/>
        </w:rPr>
        <w:t>1.操作显示方式:</w:t>
      </w:r>
      <w:r>
        <w:rPr>
          <w:rFonts w:hint="eastAsia" w:ascii="黑体" w:hAnsi="黑体" w:eastAsia="黑体" w:cs="黑体"/>
          <w:sz w:val="24"/>
          <w:szCs w:val="24"/>
          <w:lang w:eastAsia="zh-CN"/>
        </w:rPr>
        <w:t>旋钮</w:t>
      </w:r>
      <w:r>
        <w:rPr>
          <w:rFonts w:hint="eastAsia" w:ascii="黑体" w:hAnsi="黑体" w:eastAsia="黑体" w:cs="黑体"/>
          <w:sz w:val="24"/>
          <w:szCs w:val="24"/>
          <w:lang w:val="en-US" w:eastAsia="zh-CN"/>
        </w:rPr>
        <w:t>+刻度</w:t>
      </w:r>
    </w:p>
    <w:p>
      <w:pPr>
        <w:rPr>
          <w:rFonts w:hint="eastAsia" w:ascii="黑体" w:hAnsi="黑体" w:eastAsia="黑体" w:cs="黑体"/>
          <w:sz w:val="24"/>
          <w:szCs w:val="24"/>
        </w:rPr>
      </w:pPr>
      <w:r>
        <w:rPr>
          <w:rFonts w:hint="eastAsia" w:ascii="黑体" w:hAnsi="黑体" w:eastAsia="黑体" w:cs="黑体"/>
          <w:sz w:val="24"/>
          <w:szCs w:val="24"/>
        </w:rPr>
        <w:t xml:space="preserve">2.圆周直径: 3mm </w:t>
      </w:r>
    </w:p>
    <w:p>
      <w:pPr>
        <w:rPr>
          <w:rFonts w:hint="eastAsia" w:ascii="黑体" w:hAnsi="黑体" w:eastAsia="黑体" w:cs="黑体"/>
          <w:sz w:val="24"/>
          <w:szCs w:val="24"/>
        </w:rPr>
      </w:pPr>
      <w:r>
        <w:rPr>
          <w:rFonts w:hint="eastAsia" w:ascii="黑体" w:hAnsi="黑体" w:eastAsia="黑体" w:cs="黑体"/>
          <w:sz w:val="24"/>
          <w:szCs w:val="24"/>
        </w:rPr>
        <w:t>3.振荡方式:圆周</w:t>
      </w:r>
    </w:p>
    <w:p>
      <w:pPr>
        <w:rPr>
          <w:rFonts w:hint="eastAsia" w:ascii="黑体" w:hAnsi="黑体" w:eastAsia="黑体" w:cs="黑体"/>
          <w:sz w:val="24"/>
          <w:szCs w:val="24"/>
          <w:lang w:eastAsia="zh-CN"/>
        </w:rPr>
      </w:pPr>
      <w:r>
        <w:rPr>
          <w:rFonts w:hint="eastAsia" w:ascii="黑体" w:hAnsi="黑体" w:eastAsia="黑体" w:cs="黑体"/>
          <w:sz w:val="24"/>
          <w:szCs w:val="24"/>
        </w:rPr>
        <w:t>4.运行方式:连续运转或</w:t>
      </w:r>
      <w:r>
        <w:rPr>
          <w:rFonts w:hint="eastAsia" w:ascii="黑体" w:hAnsi="黑体" w:eastAsia="黑体" w:cs="黑体"/>
          <w:sz w:val="24"/>
          <w:szCs w:val="24"/>
          <w:lang w:eastAsia="zh-CN"/>
        </w:rPr>
        <w:t>点动</w:t>
      </w:r>
    </w:p>
    <w:p>
      <w:pPr>
        <w:rPr>
          <w:rFonts w:hint="eastAsia" w:ascii="黑体" w:hAnsi="黑体" w:eastAsia="黑体" w:cs="黑体"/>
          <w:sz w:val="24"/>
          <w:szCs w:val="24"/>
        </w:rPr>
      </w:pPr>
      <w:r>
        <w:rPr>
          <w:rFonts w:hint="eastAsia" w:ascii="黑体" w:hAnsi="黑体" w:eastAsia="黑体" w:cs="黑体"/>
          <w:sz w:val="24"/>
          <w:szCs w:val="24"/>
        </w:rPr>
        <w:t>5.速度范围: 0-2800rpm .</w:t>
      </w:r>
    </w:p>
    <w:p>
      <w:pPr>
        <w:rPr>
          <w:rFonts w:hint="eastAsia" w:ascii="黑体" w:hAnsi="黑体" w:eastAsia="黑体" w:cs="黑体"/>
          <w:sz w:val="24"/>
          <w:szCs w:val="24"/>
        </w:rPr>
      </w:pPr>
      <w:r>
        <w:rPr>
          <w:rFonts w:hint="eastAsia" w:ascii="黑体" w:hAnsi="黑体" w:eastAsia="黑体" w:cs="黑体"/>
          <w:sz w:val="24"/>
          <w:szCs w:val="24"/>
        </w:rPr>
        <w:t>6.定时范围: /</w:t>
      </w:r>
    </w:p>
    <w:p>
      <w:pPr>
        <w:rPr>
          <w:rFonts w:hint="eastAsia" w:ascii="黑体" w:hAnsi="黑体" w:eastAsia="黑体" w:cs="黑体"/>
          <w:sz w:val="24"/>
          <w:szCs w:val="24"/>
        </w:rPr>
      </w:pPr>
      <w:r>
        <w:rPr>
          <w:rFonts w:hint="eastAsia" w:ascii="黑体" w:hAnsi="黑体" w:eastAsia="黑体" w:cs="黑体"/>
          <w:sz w:val="24"/>
          <w:szCs w:val="24"/>
        </w:rPr>
        <w:t>7.输入电源: AC 220V/ AC 110V, 50/60Hz</w:t>
      </w:r>
    </w:p>
    <w:p>
      <w:pPr>
        <w:rPr>
          <w:rFonts w:hint="eastAsia" w:ascii="黑体" w:hAnsi="黑体" w:eastAsia="黑体" w:cs="黑体"/>
          <w:sz w:val="24"/>
          <w:szCs w:val="24"/>
        </w:rPr>
      </w:pPr>
      <w:r>
        <w:rPr>
          <w:rFonts w:hint="eastAsia" w:ascii="黑体" w:hAnsi="黑体" w:eastAsia="黑体" w:cs="黑体"/>
          <w:sz w:val="24"/>
          <w:szCs w:val="24"/>
        </w:rPr>
        <w:t>8.功率: 60W</w:t>
      </w:r>
    </w:p>
    <w:p>
      <w:pPr>
        <w:jc w:val="center"/>
      </w:pPr>
      <w:r>
        <w:rPr>
          <w:rFonts w:hint="eastAsia"/>
          <w:b/>
          <w:bCs/>
          <w:sz w:val="30"/>
          <w:szCs w:val="30"/>
          <w:lang w:eastAsia="zh-CN"/>
        </w:rPr>
        <w:t>八联管离心机参数</w:t>
      </w:r>
      <w:r>
        <w:rPr>
          <w:rFonts w:hint="eastAsia"/>
          <w:lang w:val="en-US" w:eastAsia="zh-CN"/>
        </w:rPr>
        <w:t xml:space="preserve">       </w:t>
      </w:r>
    </w:p>
    <w:p>
      <w:pPr>
        <w:keepNext w:val="0"/>
        <w:keepLines w:val="0"/>
        <w:pageBreakBefore w:val="0"/>
        <w:widowControl/>
        <w:kinsoku/>
        <w:wordWrap/>
        <w:overflowPunct/>
        <w:topLinePunct w:val="0"/>
        <w:autoSpaceDE/>
        <w:autoSpaceDN/>
        <w:bidi w:val="0"/>
        <w:adjustRightInd/>
        <w:snapToGrid/>
        <w:spacing w:before="75" w:after="75" w:line="360" w:lineRule="auto"/>
        <w:rPr>
          <w:rFonts w:hint="eastAsia" w:ascii="黑体" w:hAnsi="黑体" w:eastAsia="黑体" w:cs="黑体"/>
          <w:sz w:val="24"/>
          <w:szCs w:val="24"/>
          <w:lang w:eastAsia="zh-CN"/>
        </w:rPr>
      </w:pPr>
      <w:r>
        <w:rPr>
          <w:rFonts w:hint="eastAsia" w:ascii="黑体" w:hAnsi="黑体" w:eastAsia="黑体" w:cs="黑体"/>
          <w:bCs/>
          <w:kern w:val="0"/>
          <w:sz w:val="24"/>
          <w:szCs w:val="24"/>
        </w:rPr>
        <w:t>一、技术参数</w:t>
      </w:r>
    </w:p>
    <w:tbl>
      <w:tblPr>
        <w:tblStyle w:val="42"/>
        <w:tblpPr w:leftFromText="180" w:rightFromText="180" w:vertAnchor="text" w:horzAnchor="page" w:tblpX="1834" w:tblpY="45"/>
        <w:tblOverlap w:val="never"/>
        <w:tblW w:w="8460" w:type="dxa"/>
        <w:tblInd w:w="0" w:type="dxa"/>
        <w:shd w:val="clear" w:color="auto" w:fill="auto"/>
        <w:tblLayout w:type="fixed"/>
        <w:tblCellMar>
          <w:top w:w="0" w:type="dxa"/>
          <w:left w:w="0" w:type="dxa"/>
          <w:bottom w:w="0" w:type="dxa"/>
          <w:right w:w="0" w:type="dxa"/>
        </w:tblCellMar>
      </w:tblPr>
      <w:tblGrid>
        <w:gridCol w:w="2295"/>
        <w:gridCol w:w="6165"/>
      </w:tblGrid>
      <w:tr>
        <w:tblPrEx>
          <w:shd w:val="clear" w:color="auto" w:fill="auto"/>
          <w:tblCellMar>
            <w:top w:w="0" w:type="dxa"/>
            <w:left w:w="0" w:type="dxa"/>
            <w:bottom w:w="0" w:type="dxa"/>
            <w:right w:w="0" w:type="dxa"/>
          </w:tblCellMar>
        </w:tblPrEx>
        <w:trPr>
          <w:trHeight w:val="600" w:hRule="atLeast"/>
        </w:trPr>
        <w:tc>
          <w:tcPr>
            <w:tcW w:w="229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性能参数    产品参数</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color w:val="auto"/>
                <w:sz w:val="24"/>
                <w:szCs w:val="24"/>
                <w:u w:val="none"/>
              </w:rPr>
            </w:pPr>
          </w:p>
        </w:tc>
      </w:tr>
      <w:tr>
        <w:tblPrEx>
          <w:shd w:val="clear" w:color="auto" w:fill="auto"/>
          <w:tblCellMar>
            <w:top w:w="0" w:type="dxa"/>
            <w:left w:w="0" w:type="dxa"/>
            <w:bottom w:w="0" w:type="dxa"/>
            <w:right w:w="0" w:type="dxa"/>
          </w:tblCellMar>
        </w:tblPrEx>
        <w:trPr>
          <w:trHeight w:val="455"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最大转速</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5000rpm</w:t>
            </w:r>
          </w:p>
        </w:tc>
      </w:tr>
      <w:tr>
        <w:tblPrEx>
          <w:shd w:val="clear" w:color="auto" w:fill="auto"/>
          <w:tblCellMar>
            <w:top w:w="0" w:type="dxa"/>
            <w:left w:w="0" w:type="dxa"/>
            <w:bottom w:w="0" w:type="dxa"/>
            <w:right w:w="0" w:type="dxa"/>
          </w:tblCellMar>
        </w:tblPrEx>
        <w:trPr>
          <w:trHeight w:val="44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最大相对离心力</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1350X g</w:t>
            </w:r>
          </w:p>
        </w:tc>
      </w:tr>
      <w:tr>
        <w:tblPrEx>
          <w:shd w:val="clear" w:color="auto" w:fill="auto"/>
          <w:tblCellMar>
            <w:top w:w="0" w:type="dxa"/>
            <w:left w:w="0" w:type="dxa"/>
            <w:bottom w:w="0" w:type="dxa"/>
            <w:right w:w="0" w:type="dxa"/>
          </w:tblCellMar>
        </w:tblPrEx>
        <w:trPr>
          <w:trHeight w:val="6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样品处理量</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0.2/0.5/1.5/2.0mlx8;</w:t>
            </w:r>
            <w:r>
              <w:rPr>
                <w:rFonts w:hint="eastAsia" w:ascii="黑体" w:hAnsi="黑体" w:eastAsia="黑体" w:cs="黑体"/>
                <w:i w:val="0"/>
                <w:color w:val="auto"/>
                <w:kern w:val="0"/>
                <w:sz w:val="24"/>
                <w:szCs w:val="24"/>
                <w:u w:val="none"/>
                <w:lang w:val="en-US" w:eastAsia="zh-CN" w:bidi="ar"/>
              </w:rPr>
              <w:br w:type="textWrapping"/>
            </w:r>
            <w:r>
              <w:rPr>
                <w:rFonts w:hint="eastAsia" w:ascii="黑体" w:hAnsi="黑体" w:eastAsia="黑体" w:cs="黑体"/>
                <w:i w:val="0"/>
                <w:color w:val="auto"/>
                <w:kern w:val="0"/>
                <w:sz w:val="24"/>
                <w:szCs w:val="24"/>
                <w:u w:val="none"/>
                <w:lang w:val="en-US" w:eastAsia="zh-CN" w:bidi="ar"/>
              </w:rPr>
              <w:t>8x4x0.2ml PCR排管（可用8联管）</w:t>
            </w:r>
          </w:p>
        </w:tc>
      </w:tr>
      <w:tr>
        <w:tblPrEx>
          <w:shd w:val="clear" w:color="auto" w:fill="auto"/>
          <w:tblCellMar>
            <w:top w:w="0" w:type="dxa"/>
            <w:left w:w="0" w:type="dxa"/>
            <w:bottom w:w="0" w:type="dxa"/>
            <w:right w:w="0" w:type="dxa"/>
          </w:tblCellMar>
        </w:tblPrEx>
        <w:trPr>
          <w:trHeight w:val="515"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电源参数</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AC110/220V，50/60Hz  20W</w:t>
            </w:r>
          </w:p>
        </w:tc>
      </w:tr>
      <w:tr>
        <w:tblPrEx>
          <w:shd w:val="clear" w:color="auto" w:fill="auto"/>
          <w:tblCellMar>
            <w:top w:w="0" w:type="dxa"/>
            <w:left w:w="0" w:type="dxa"/>
            <w:bottom w:w="0" w:type="dxa"/>
            <w:right w:w="0" w:type="dxa"/>
          </w:tblCellMar>
        </w:tblPrEx>
        <w:trPr>
          <w:trHeight w:val="44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噪音</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≤45dB</w:t>
            </w:r>
          </w:p>
        </w:tc>
      </w:tr>
    </w:tbl>
    <w:p>
      <w:pPr>
        <w:keepNext w:val="0"/>
        <w:keepLines w:val="0"/>
        <w:pageBreakBefore w:val="0"/>
        <w:kinsoku/>
        <w:wordWrap/>
        <w:overflowPunct/>
        <w:topLinePunct w:val="0"/>
        <w:autoSpaceDE/>
        <w:autoSpaceDN/>
        <w:bidi w:val="0"/>
        <w:adjustRightInd/>
        <w:snapToGrid/>
        <w:spacing w:line="360" w:lineRule="auto"/>
        <w:rPr>
          <w:rFonts w:hint="eastAsia" w:ascii="黑体" w:hAnsi="黑体" w:eastAsia="黑体" w:cs="黑体"/>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before="75" w:after="75" w:line="360" w:lineRule="auto"/>
        <w:jc w:val="left"/>
        <w:rPr>
          <w:rFonts w:hint="eastAsia" w:ascii="黑体" w:hAnsi="黑体" w:eastAsia="黑体" w:cs="黑体"/>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75" w:after="75" w:line="360" w:lineRule="auto"/>
        <w:jc w:val="left"/>
        <w:rPr>
          <w:rFonts w:hint="eastAsia" w:ascii="黑体" w:hAnsi="黑体" w:eastAsia="黑体" w:cs="黑体"/>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75" w:after="75" w:line="360" w:lineRule="auto"/>
        <w:jc w:val="left"/>
        <w:rPr>
          <w:rFonts w:hint="eastAsia" w:ascii="黑体" w:hAnsi="黑体" w:eastAsia="黑体" w:cs="黑体"/>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75" w:after="75" w:line="360" w:lineRule="auto"/>
        <w:jc w:val="left"/>
        <w:rPr>
          <w:rFonts w:hint="eastAsia" w:ascii="黑体" w:hAnsi="黑体" w:eastAsia="黑体" w:cs="黑体"/>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75" w:after="75" w:line="360" w:lineRule="auto"/>
        <w:jc w:val="left"/>
        <w:rPr>
          <w:rFonts w:hint="eastAsia" w:ascii="黑体" w:hAnsi="黑体" w:eastAsia="黑体" w:cs="黑体"/>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75" w:after="75" w:line="360" w:lineRule="auto"/>
        <w:jc w:val="left"/>
        <w:rPr>
          <w:rFonts w:hint="eastAsia" w:ascii="黑体" w:hAnsi="黑体" w:eastAsia="黑体" w:cs="黑体"/>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75" w:after="75" w:line="360" w:lineRule="auto"/>
        <w:jc w:val="left"/>
        <w:rPr>
          <w:rFonts w:hint="eastAsia" w:ascii="黑体" w:hAnsi="黑体" w:eastAsia="黑体" w:cs="黑体"/>
          <w:bCs/>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75" w:after="75" w:line="360" w:lineRule="auto"/>
        <w:jc w:val="left"/>
        <w:rPr>
          <w:rFonts w:hint="eastAsia" w:ascii="黑体" w:hAnsi="黑体" w:eastAsia="黑体" w:cs="黑体"/>
          <w:sz w:val="24"/>
          <w:szCs w:val="24"/>
          <w:lang w:eastAsia="zh-CN"/>
        </w:rPr>
      </w:pPr>
      <w:r>
        <w:rPr>
          <w:rFonts w:hint="eastAsia" w:ascii="黑体" w:hAnsi="黑体" w:eastAsia="黑体" w:cs="黑体"/>
          <w:bCs/>
          <w:kern w:val="0"/>
          <w:sz w:val="24"/>
          <w:szCs w:val="24"/>
          <w:lang w:eastAsia="zh-CN"/>
        </w:rPr>
        <w:t>二、主要作用</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迷你离心机主要用于微量离心、快速从试管壁或试管盖上甩下试剂以及试管或排管的慢速离心。具有特质卡扣设计，轻松安装和更换转头，不翻盖开关功能，合盖即转，开盖即停，操作简单。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lang w:eastAsia="zh-CN"/>
        </w:rPr>
      </w:pPr>
      <w:r>
        <w:rPr>
          <w:rFonts w:hint="eastAsia" w:ascii="黑体" w:hAnsi="黑体" w:eastAsia="黑体" w:cs="黑体"/>
          <w:bCs/>
          <w:kern w:val="0"/>
          <w:sz w:val="24"/>
          <w:szCs w:val="24"/>
          <w:lang w:eastAsia="zh-CN"/>
        </w:rPr>
        <w:t>三、主要特点</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1、独特的转子卡扣设计，方便转子更换；</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黑体" w:hAnsi="黑体" w:eastAsia="黑体" w:cs="黑体"/>
          <w:sz w:val="24"/>
          <w:szCs w:val="24"/>
        </w:rPr>
      </w:pPr>
      <w:r>
        <w:rPr>
          <w:rFonts w:hint="eastAsia" w:ascii="黑体" w:hAnsi="黑体" w:eastAsia="黑体" w:cs="黑体"/>
          <w:sz w:val="24"/>
          <w:szCs w:val="24"/>
          <w:lang w:val="en-US" w:eastAsia="zh-CN"/>
        </w:rPr>
        <w:t xml:space="preserve">    2</w:t>
      </w:r>
      <w:r>
        <w:rPr>
          <w:rFonts w:hint="eastAsia" w:ascii="黑体" w:hAnsi="黑体" w:eastAsia="黑体" w:cs="黑体"/>
          <w:sz w:val="24"/>
          <w:szCs w:val="24"/>
        </w:rPr>
        <w:t>、直流电机：连续运行模式；</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3</w:t>
      </w:r>
      <w:r>
        <w:rPr>
          <w:rFonts w:hint="eastAsia" w:ascii="黑体" w:hAnsi="黑体" w:eastAsia="黑体" w:cs="黑体"/>
          <w:sz w:val="24"/>
          <w:szCs w:val="24"/>
        </w:rPr>
        <w:t>、运行平稳，超低噪音，噪音≤45dB；</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、外型小巧美观，一机多用</w:t>
      </w:r>
      <w:r>
        <w:rPr>
          <w:rFonts w:hint="eastAsia" w:ascii="黑体" w:hAnsi="黑体" w:eastAsia="黑体" w:cs="黑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Cs/>
          <w:kern w:val="0"/>
          <w:sz w:val="24"/>
          <w:szCs w:val="24"/>
          <w:lang w:eastAsia="zh-CN"/>
        </w:rPr>
      </w:pPr>
      <w:r>
        <w:rPr>
          <w:rFonts w:hint="eastAsia" w:ascii="黑体" w:hAnsi="黑体" w:eastAsia="黑体" w:cs="黑体"/>
          <w:bCs/>
          <w:kern w:val="0"/>
          <w:sz w:val="24"/>
          <w:szCs w:val="24"/>
          <w:lang w:eastAsia="zh-CN"/>
        </w:rPr>
        <w:t>四、适配转子</w:t>
      </w:r>
    </w:p>
    <w:p>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b/>
          <w:bCs/>
          <w:sz w:val="32"/>
          <w:szCs w:val="32"/>
        </w:rPr>
      </w:pPr>
      <w:r>
        <w:rPr>
          <w:rFonts w:hint="eastAsia" w:ascii="黑体" w:hAnsi="黑体" w:eastAsia="黑体" w:cs="黑体"/>
          <w:b w:val="0"/>
          <w:bCs w:val="0"/>
          <w:sz w:val="24"/>
          <w:szCs w:val="24"/>
          <w:lang w:val="en-US" w:eastAsia="zh-CN"/>
        </w:rPr>
        <w:t>离心机配备两个转子：8x2/1.5ml转子，8x4x0.2ml转子可供4排8孔x0.2ml的PCR专用试管使用。随机附带0.2ml和0.5ml试管适配器。</w:t>
      </w:r>
    </w:p>
    <w:p>
      <w:pPr>
        <w:jc w:val="center"/>
        <w:rPr>
          <w:rFonts w:hint="eastAsia" w:eastAsiaTheme="minorEastAsia"/>
          <w:b/>
          <w:bCs/>
          <w:sz w:val="32"/>
          <w:szCs w:val="32"/>
          <w:lang w:eastAsia="zh-CN"/>
        </w:rPr>
      </w:pPr>
      <w:r>
        <w:rPr>
          <w:rFonts w:hint="eastAsia"/>
          <w:b/>
          <w:bCs/>
          <w:sz w:val="32"/>
          <w:szCs w:val="32"/>
        </w:rPr>
        <w:t>微孔板离心机</w:t>
      </w:r>
      <w:r>
        <w:rPr>
          <w:rFonts w:hint="eastAsia"/>
          <w:b/>
          <w:bCs/>
          <w:sz w:val="32"/>
          <w:szCs w:val="32"/>
          <w:lang w:eastAsia="zh-CN"/>
        </w:rPr>
        <w:t>性能参数</w:t>
      </w:r>
    </w:p>
    <w:p>
      <w:pPr>
        <w:rPr>
          <w:rFonts w:hint="eastAsia"/>
          <w:sz w:val="28"/>
          <w:szCs w:val="28"/>
        </w:rPr>
      </w:pPr>
    </w:p>
    <w:p>
      <w:pPr>
        <w:rPr>
          <w:rFonts w:hint="eastAsia" w:ascii="黑体" w:hAnsi="黑体" w:eastAsia="黑体" w:cs="黑体"/>
          <w:sz w:val="24"/>
          <w:szCs w:val="24"/>
        </w:rPr>
      </w:pPr>
      <w:r>
        <w:rPr>
          <w:rFonts w:hint="eastAsia" w:ascii="黑体" w:hAnsi="黑体" w:eastAsia="黑体" w:cs="黑体"/>
          <w:sz w:val="24"/>
          <w:szCs w:val="24"/>
        </w:rPr>
        <w:t>技术参数:</w:t>
      </w:r>
    </w:p>
    <w:p>
      <w:pPr>
        <w:rPr>
          <w:rFonts w:hint="eastAsia" w:ascii="黑体" w:hAnsi="黑体" w:eastAsia="黑体" w:cs="黑体"/>
          <w:sz w:val="24"/>
          <w:szCs w:val="24"/>
        </w:rPr>
      </w:pPr>
      <w:r>
        <w:rPr>
          <w:rFonts w:hint="eastAsia" w:ascii="黑体" w:hAnsi="黑体" w:eastAsia="黑体" w:cs="黑体"/>
          <w:sz w:val="24"/>
          <w:szCs w:val="24"/>
          <w:lang w:eastAsia="zh-CN"/>
        </w:rPr>
        <w:t>转速</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2800rpm</w:t>
      </w:r>
    </w:p>
    <w:p>
      <w:pPr>
        <w:rPr>
          <w:rFonts w:hint="eastAsia" w:ascii="黑体" w:hAnsi="黑体" w:eastAsia="黑体" w:cs="黑体"/>
          <w:sz w:val="24"/>
          <w:szCs w:val="24"/>
        </w:rPr>
      </w:pPr>
      <w:r>
        <w:rPr>
          <w:rFonts w:hint="eastAsia" w:ascii="黑体" w:hAnsi="黑体" w:eastAsia="黑体" w:cs="黑体"/>
          <w:sz w:val="24"/>
          <w:szCs w:val="24"/>
          <w:lang w:eastAsia="zh-CN"/>
        </w:rPr>
        <w:t>最</w:t>
      </w:r>
      <w:r>
        <w:rPr>
          <w:rFonts w:hint="eastAsia" w:ascii="黑体" w:hAnsi="黑体" w:eastAsia="黑体" w:cs="黑体"/>
          <w:sz w:val="24"/>
          <w:szCs w:val="24"/>
        </w:rPr>
        <w:t>大容量</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2块标准PCR动孔板</w:t>
      </w:r>
    </w:p>
    <w:p>
      <w:pPr>
        <w:rPr>
          <w:rFonts w:hint="eastAsia" w:ascii="黑体" w:hAnsi="黑体" w:eastAsia="黑体" w:cs="黑体"/>
          <w:sz w:val="24"/>
          <w:szCs w:val="24"/>
        </w:rPr>
      </w:pPr>
      <w:r>
        <w:rPr>
          <w:rFonts w:hint="eastAsia" w:ascii="黑体" w:hAnsi="黑体" w:eastAsia="黑体" w:cs="黑体"/>
          <w:sz w:val="24"/>
          <w:szCs w:val="24"/>
        </w:rPr>
        <w:t>最大相对离心力</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600xg</w:t>
      </w:r>
    </w:p>
    <w:p>
      <w:pPr>
        <w:rPr>
          <w:rFonts w:hint="eastAsia" w:ascii="黑体" w:hAnsi="黑体" w:eastAsia="黑体" w:cs="黑体"/>
          <w:sz w:val="24"/>
          <w:szCs w:val="24"/>
          <w:lang w:eastAsia="zh-CN"/>
        </w:rPr>
      </w:pPr>
      <w:r>
        <w:rPr>
          <w:rFonts w:hint="eastAsia" w:ascii="黑体" w:hAnsi="黑体" w:eastAsia="黑体" w:cs="黑体"/>
          <w:sz w:val="24"/>
          <w:szCs w:val="24"/>
        </w:rPr>
        <w:t>定时范围</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15-995</w:t>
      </w:r>
      <w:r>
        <w:rPr>
          <w:rFonts w:hint="eastAsia" w:ascii="黑体" w:hAnsi="黑体" w:eastAsia="黑体" w:cs="黑体"/>
          <w:sz w:val="24"/>
          <w:szCs w:val="24"/>
          <w:lang w:eastAsia="zh-CN"/>
        </w:rPr>
        <w:t>秒</w:t>
      </w:r>
    </w:p>
    <w:p>
      <w:pPr>
        <w:rPr>
          <w:rFonts w:hint="eastAsia" w:ascii="黑体" w:hAnsi="黑体" w:eastAsia="黑体" w:cs="黑体"/>
          <w:sz w:val="24"/>
          <w:szCs w:val="24"/>
          <w:lang w:eastAsia="zh-CN"/>
        </w:rPr>
      </w:pPr>
      <w:r>
        <w:rPr>
          <w:rFonts w:hint="eastAsia" w:ascii="黑体" w:hAnsi="黑体" w:eastAsia="黑体" w:cs="黑体"/>
          <w:sz w:val="24"/>
          <w:szCs w:val="24"/>
        </w:rPr>
        <w:t>最快加/减连时间</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10/45</w:t>
      </w:r>
      <w:r>
        <w:rPr>
          <w:rFonts w:hint="eastAsia" w:ascii="黑体" w:hAnsi="黑体" w:eastAsia="黑体" w:cs="黑体"/>
          <w:sz w:val="24"/>
          <w:szCs w:val="24"/>
          <w:lang w:eastAsia="zh-CN"/>
        </w:rPr>
        <w:t>秒</w:t>
      </w:r>
    </w:p>
    <w:p>
      <w:pPr>
        <w:rPr>
          <w:rFonts w:hint="eastAsia" w:ascii="黑体" w:hAnsi="黑体" w:eastAsia="黑体" w:cs="黑体"/>
          <w:sz w:val="24"/>
          <w:szCs w:val="24"/>
        </w:rPr>
      </w:pPr>
      <w:r>
        <w:rPr>
          <w:rFonts w:hint="eastAsia" w:ascii="黑体" w:hAnsi="黑体" w:eastAsia="黑体" w:cs="黑体"/>
          <w:sz w:val="24"/>
          <w:szCs w:val="24"/>
        </w:rPr>
        <w:t>开盖停机</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变持</w:t>
      </w:r>
    </w:p>
    <w:p>
      <w:pPr>
        <w:rPr>
          <w:rFonts w:hint="eastAsia" w:ascii="黑体" w:hAnsi="黑体" w:eastAsia="黑体" w:cs="黑体"/>
          <w:sz w:val="24"/>
          <w:szCs w:val="24"/>
        </w:rPr>
      </w:pPr>
      <w:r>
        <w:rPr>
          <w:rFonts w:hint="eastAsia" w:ascii="黑体" w:hAnsi="黑体" w:eastAsia="黑体" w:cs="黑体"/>
          <w:sz w:val="24"/>
          <w:szCs w:val="24"/>
        </w:rPr>
        <w:t>支持电源</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AC220+22V 5060Hz 5A</w:t>
      </w:r>
    </w:p>
    <w:p>
      <w:pPr>
        <w:rPr>
          <w:color w:val="000000" w:themeColor="text1"/>
          <w:sz w:val="18"/>
          <w:szCs w:val="18"/>
          <w14:textFill>
            <w14:solidFill>
              <w14:schemeClr w14:val="tx1"/>
            </w14:solidFill>
          </w14:textFill>
        </w:rPr>
      </w:pPr>
    </w:p>
    <w:p>
      <w:pPr>
        <w:jc w:val="center"/>
        <w:rPr>
          <w:b/>
          <w:color w:val="auto"/>
          <w:sz w:val="24"/>
          <w:szCs w:val="28"/>
        </w:rPr>
      </w:pPr>
      <w:r>
        <w:rPr>
          <w:rFonts w:hint="eastAsia"/>
          <w:b/>
          <w:bCs/>
          <w:sz w:val="32"/>
          <w:szCs w:val="32"/>
        </w:rPr>
        <w:t>垂直流洁净工作台</w:t>
      </w:r>
      <w:r>
        <w:rPr>
          <w:rFonts w:hint="eastAsia"/>
          <w:b/>
          <w:bCs/>
          <w:sz w:val="32"/>
          <w:szCs w:val="32"/>
          <w:lang w:eastAsia="zh-CN"/>
        </w:rPr>
        <w:t>性能</w:t>
      </w:r>
      <w:r>
        <w:rPr>
          <w:rFonts w:hint="eastAsia"/>
          <w:b/>
          <w:bCs/>
          <w:sz w:val="32"/>
          <w:szCs w:val="32"/>
        </w:rPr>
        <w:t>参数</w:t>
      </w:r>
    </w:p>
    <w:p>
      <w:pPr>
        <w:spacing w:line="360" w:lineRule="auto"/>
        <w:rPr>
          <w:rFonts w:hint="eastAsia" w:ascii="黑体" w:hAnsi="黑体" w:eastAsia="黑体" w:cs="黑体"/>
          <w:b/>
          <w:color w:val="auto"/>
          <w:sz w:val="24"/>
          <w:szCs w:val="24"/>
        </w:rPr>
      </w:pPr>
      <w:r>
        <w:rPr>
          <w:rFonts w:hint="eastAsia" w:ascii="黑体" w:hAnsi="黑体" w:eastAsia="黑体" w:cs="黑体"/>
          <w:b/>
          <w:color w:val="auto"/>
          <w:sz w:val="24"/>
          <w:szCs w:val="24"/>
        </w:rPr>
        <w:t>一：产品用途</w:t>
      </w:r>
    </w:p>
    <w:p>
      <w:pPr>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4"/>
        </w:rPr>
        <w:t>提供局部高洁净度工作环境，保护动物不受外界环境感染。</w:t>
      </w:r>
    </w:p>
    <w:p>
      <w:pPr>
        <w:spacing w:line="360" w:lineRule="auto"/>
        <w:rPr>
          <w:rFonts w:hint="eastAsia" w:ascii="黑体" w:hAnsi="黑体" w:eastAsia="黑体" w:cs="黑体"/>
          <w:b/>
          <w:color w:val="auto"/>
          <w:sz w:val="24"/>
          <w:szCs w:val="24"/>
        </w:rPr>
      </w:pPr>
      <w:r>
        <w:rPr>
          <w:rFonts w:hint="eastAsia" w:ascii="黑体" w:hAnsi="黑体" w:eastAsia="黑体" w:cs="黑体"/>
          <w:b/>
          <w:color w:val="auto"/>
          <w:sz w:val="24"/>
          <w:szCs w:val="24"/>
        </w:rPr>
        <w:t>二：使用环境条件</w:t>
      </w:r>
    </w:p>
    <w:p>
      <w:pPr>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4"/>
        </w:rPr>
        <w:t>温度：5℃-35℃；</w:t>
      </w:r>
    </w:p>
    <w:p>
      <w:pPr>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4"/>
        </w:rPr>
        <w:t>相 对 湿 度：</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rPr>
        <w:t>85%（+35℃时）；</w:t>
      </w:r>
    </w:p>
    <w:p>
      <w:pPr>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4"/>
        </w:rPr>
        <w:t>大 气 压力：86kPa∽106kPa；</w:t>
      </w:r>
    </w:p>
    <w:p>
      <w:pPr>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4"/>
        </w:rPr>
        <w:t>电源：AC 220V，50Hz。</w:t>
      </w:r>
    </w:p>
    <w:p>
      <w:pPr>
        <w:spacing w:line="360" w:lineRule="auto"/>
        <w:rPr>
          <w:rFonts w:hint="eastAsia" w:ascii="黑体" w:hAnsi="黑体" w:eastAsia="黑体" w:cs="黑体"/>
          <w:b/>
          <w:color w:val="auto"/>
          <w:sz w:val="24"/>
          <w:szCs w:val="24"/>
        </w:rPr>
      </w:pPr>
      <w:r>
        <w:rPr>
          <w:rFonts w:hint="eastAsia" w:ascii="黑体" w:hAnsi="黑体" w:eastAsia="黑体" w:cs="黑体"/>
          <w:b/>
          <w:color w:val="auto"/>
          <w:sz w:val="24"/>
          <w:szCs w:val="24"/>
        </w:rPr>
        <w:t>三：产品结构组成</w:t>
      </w:r>
    </w:p>
    <w:p>
      <w:pPr>
        <w:pStyle w:val="54"/>
        <w:numPr>
          <w:ilvl w:val="0"/>
          <w:numId w:val="69"/>
        </w:numPr>
        <w:spacing w:line="360" w:lineRule="auto"/>
        <w:ind w:left="357" w:hanging="357" w:firstLineChars="0"/>
        <w:rPr>
          <w:rFonts w:hint="eastAsia" w:ascii="黑体" w:hAnsi="黑体" w:eastAsia="黑体" w:cs="黑体"/>
          <w:color w:val="auto"/>
          <w:sz w:val="24"/>
          <w:szCs w:val="24"/>
        </w:rPr>
      </w:pPr>
      <w:r>
        <w:rPr>
          <w:rFonts w:hint="eastAsia" w:ascii="黑体" w:hAnsi="黑体" w:eastAsia="黑体" w:cs="黑体"/>
          <w:color w:val="auto"/>
          <w:sz w:val="24"/>
          <w:szCs w:val="24"/>
        </w:rPr>
        <w:t>工作台由机箱、高效过滤器、可变风量送风机组、工作台面、操作板组成，机箱采用优质冷轧钢板制作，表面经酸洗磷化烤漆。</w:t>
      </w:r>
    </w:p>
    <w:p>
      <w:pPr>
        <w:pStyle w:val="54"/>
        <w:numPr>
          <w:ilvl w:val="0"/>
          <w:numId w:val="69"/>
        </w:numPr>
        <w:spacing w:line="360" w:lineRule="auto"/>
        <w:ind w:left="357" w:hanging="357" w:firstLineChars="0"/>
        <w:rPr>
          <w:rFonts w:hint="eastAsia" w:ascii="黑体" w:hAnsi="黑体" w:eastAsia="黑体" w:cs="黑体"/>
          <w:color w:val="auto"/>
          <w:sz w:val="24"/>
          <w:szCs w:val="24"/>
        </w:rPr>
      </w:pPr>
      <w:r>
        <w:rPr>
          <w:rFonts w:hint="eastAsia" w:ascii="黑体" w:hAnsi="黑体" w:eastAsia="黑体" w:cs="黑体"/>
          <w:color w:val="auto"/>
          <w:sz w:val="24"/>
          <w:szCs w:val="24"/>
          <w:lang w:val="zh-CN"/>
        </w:rPr>
        <w:t>设备工作区台面应采用304不锈钢拉丝板，板厚≥1.2mm。</w:t>
      </w:r>
    </w:p>
    <w:p>
      <w:pPr>
        <w:pStyle w:val="54"/>
        <w:numPr>
          <w:ilvl w:val="0"/>
          <w:numId w:val="69"/>
        </w:numPr>
        <w:spacing w:line="360" w:lineRule="auto"/>
        <w:ind w:left="357" w:hanging="357" w:firstLineChars="0"/>
        <w:rPr>
          <w:rFonts w:hint="eastAsia" w:ascii="黑体" w:hAnsi="黑体" w:eastAsia="黑体" w:cs="黑体"/>
          <w:color w:val="auto"/>
          <w:sz w:val="24"/>
          <w:szCs w:val="24"/>
        </w:rPr>
      </w:pPr>
      <w:r>
        <w:rPr>
          <w:rFonts w:hint="eastAsia" w:ascii="黑体" w:hAnsi="黑体" w:eastAsia="黑体" w:cs="黑体"/>
          <w:color w:val="auto"/>
          <w:sz w:val="24"/>
          <w:szCs w:val="24"/>
        </w:rPr>
        <w:t>应</w:t>
      </w:r>
      <w:r>
        <w:rPr>
          <w:rFonts w:hint="eastAsia" w:ascii="黑体" w:hAnsi="黑体" w:eastAsia="黑体" w:cs="黑体"/>
          <w:color w:val="auto"/>
          <w:sz w:val="24"/>
          <w:szCs w:val="24"/>
          <w:lang w:val="zh-CN"/>
        </w:rPr>
        <w:t>内置</w:t>
      </w:r>
      <w:r>
        <w:rPr>
          <w:rFonts w:hint="eastAsia" w:ascii="黑体" w:hAnsi="黑体" w:eastAsia="黑体" w:cs="黑体"/>
          <w:color w:val="auto"/>
          <w:sz w:val="24"/>
          <w:szCs w:val="24"/>
        </w:rPr>
        <w:t>紫外线杀菌灯、荧光灯。</w:t>
      </w:r>
    </w:p>
    <w:p>
      <w:pPr>
        <w:pStyle w:val="54"/>
        <w:numPr>
          <w:ilvl w:val="0"/>
          <w:numId w:val="69"/>
        </w:numPr>
        <w:tabs>
          <w:tab w:val="left" w:pos="1110"/>
        </w:tabs>
        <w:autoSpaceDE w:val="0"/>
        <w:autoSpaceDN w:val="0"/>
        <w:adjustRightInd w:val="0"/>
        <w:spacing w:line="360" w:lineRule="auto"/>
        <w:ind w:left="357" w:hanging="357" w:firstLineChars="0"/>
        <w:rPr>
          <w:rFonts w:hint="eastAsia" w:ascii="黑体" w:hAnsi="黑体" w:eastAsia="黑体" w:cs="黑体"/>
          <w:color w:val="auto"/>
          <w:sz w:val="24"/>
          <w:szCs w:val="24"/>
        </w:rPr>
      </w:pPr>
      <w:r>
        <w:rPr>
          <w:rFonts w:hint="eastAsia" w:ascii="黑体" w:hAnsi="黑体" w:eastAsia="黑体" w:cs="黑体"/>
          <w:color w:val="auto"/>
          <w:sz w:val="24"/>
          <w:szCs w:val="24"/>
        </w:rPr>
        <w:t>产品应采用可调风量的风机系统，风机输出可以多档位控制，至少3档。</w:t>
      </w:r>
    </w:p>
    <w:p>
      <w:pPr>
        <w:spacing w:line="360" w:lineRule="auto"/>
        <w:rPr>
          <w:rFonts w:hint="eastAsia" w:ascii="黑体" w:hAnsi="黑体" w:eastAsia="黑体" w:cs="黑体"/>
          <w:b/>
          <w:color w:val="auto"/>
          <w:sz w:val="24"/>
          <w:szCs w:val="24"/>
        </w:rPr>
      </w:pPr>
      <w:r>
        <w:rPr>
          <w:rFonts w:hint="eastAsia" w:ascii="黑体" w:hAnsi="黑体" w:eastAsia="黑体" w:cs="黑体"/>
          <w:b/>
          <w:color w:val="auto"/>
          <w:sz w:val="24"/>
          <w:szCs w:val="24"/>
        </w:rPr>
        <w:t>四：产品技术参数</w:t>
      </w:r>
    </w:p>
    <w:p>
      <w:pPr>
        <w:pStyle w:val="54"/>
        <w:numPr>
          <w:ilvl w:val="0"/>
          <w:numId w:val="70"/>
        </w:numPr>
        <w:spacing w:line="360" w:lineRule="auto"/>
        <w:ind w:firstLineChars="0"/>
        <w:rPr>
          <w:rFonts w:hint="eastAsia" w:ascii="黑体" w:hAnsi="黑体" w:eastAsia="黑体" w:cs="黑体"/>
          <w:color w:val="auto"/>
          <w:sz w:val="24"/>
          <w:szCs w:val="24"/>
        </w:rPr>
      </w:pPr>
      <w:r>
        <w:rPr>
          <w:rFonts w:hint="eastAsia" w:ascii="黑体" w:hAnsi="黑体" w:eastAsia="黑体" w:cs="黑体"/>
          <w:color w:val="auto"/>
          <w:sz w:val="24"/>
          <w:szCs w:val="24"/>
        </w:rPr>
        <w:t>洁净等级：ISO5级 （100级）；</w:t>
      </w:r>
    </w:p>
    <w:p>
      <w:pPr>
        <w:pStyle w:val="54"/>
        <w:numPr>
          <w:ilvl w:val="0"/>
          <w:numId w:val="70"/>
        </w:numPr>
        <w:spacing w:line="360" w:lineRule="auto"/>
        <w:ind w:firstLineChars="0"/>
        <w:rPr>
          <w:rFonts w:hint="eastAsia" w:ascii="黑体" w:hAnsi="黑体" w:eastAsia="黑体" w:cs="黑体"/>
          <w:color w:val="auto"/>
          <w:sz w:val="24"/>
          <w:szCs w:val="24"/>
        </w:rPr>
      </w:pPr>
      <w:r>
        <w:rPr>
          <w:rFonts w:hint="eastAsia" w:ascii="黑体" w:hAnsi="黑体" w:eastAsia="黑体" w:cs="黑体"/>
          <w:color w:val="auto"/>
          <w:sz w:val="24"/>
          <w:szCs w:val="24"/>
        </w:rPr>
        <w:t>风速≥0.2m/s（可调）；</w:t>
      </w:r>
    </w:p>
    <w:p>
      <w:pPr>
        <w:pStyle w:val="54"/>
        <w:numPr>
          <w:ilvl w:val="0"/>
          <w:numId w:val="70"/>
        </w:numPr>
        <w:spacing w:line="360" w:lineRule="auto"/>
        <w:ind w:firstLineChars="0"/>
        <w:rPr>
          <w:rFonts w:hint="eastAsia" w:ascii="黑体" w:hAnsi="黑体" w:eastAsia="黑体" w:cs="黑体"/>
          <w:color w:val="auto"/>
          <w:sz w:val="24"/>
          <w:szCs w:val="24"/>
        </w:rPr>
      </w:pPr>
      <w:r>
        <w:rPr>
          <w:rFonts w:hint="eastAsia" w:ascii="黑体" w:hAnsi="黑体" w:eastAsia="黑体" w:cs="黑体"/>
          <w:color w:val="auto"/>
          <w:sz w:val="24"/>
          <w:szCs w:val="24"/>
        </w:rPr>
        <w:t>菌落数≤0.5个/皿·时；</w:t>
      </w:r>
    </w:p>
    <w:p>
      <w:pPr>
        <w:pStyle w:val="54"/>
        <w:numPr>
          <w:ilvl w:val="0"/>
          <w:numId w:val="70"/>
        </w:numPr>
        <w:spacing w:line="360" w:lineRule="auto"/>
        <w:ind w:firstLineChars="0"/>
        <w:rPr>
          <w:rFonts w:hint="eastAsia" w:ascii="黑体" w:hAnsi="黑体" w:eastAsia="黑体" w:cs="黑体"/>
          <w:color w:val="auto"/>
          <w:sz w:val="24"/>
          <w:szCs w:val="24"/>
        </w:rPr>
      </w:pPr>
      <w:r>
        <w:rPr>
          <w:rFonts w:hint="eastAsia" w:ascii="黑体" w:hAnsi="黑体" w:eastAsia="黑体" w:cs="黑体"/>
          <w:color w:val="auto"/>
          <w:sz w:val="24"/>
          <w:szCs w:val="24"/>
        </w:rPr>
        <w:t>噪声≤65dB(A)；</w:t>
      </w:r>
    </w:p>
    <w:p>
      <w:pPr>
        <w:pStyle w:val="54"/>
        <w:numPr>
          <w:ilvl w:val="0"/>
          <w:numId w:val="70"/>
        </w:numPr>
        <w:spacing w:line="360" w:lineRule="auto"/>
        <w:ind w:firstLineChars="0"/>
        <w:rPr>
          <w:rFonts w:hint="eastAsia" w:ascii="黑体" w:hAnsi="黑体" w:eastAsia="黑体" w:cs="黑体"/>
          <w:color w:val="auto"/>
          <w:sz w:val="24"/>
          <w:szCs w:val="24"/>
        </w:rPr>
      </w:pPr>
      <w:r>
        <w:rPr>
          <w:rFonts w:hint="eastAsia" w:ascii="黑体" w:hAnsi="黑体" w:eastAsia="黑体" w:cs="黑体"/>
          <w:color w:val="auto"/>
          <w:sz w:val="24"/>
          <w:szCs w:val="24"/>
        </w:rPr>
        <w:t>振动半峰值≤4um；</w:t>
      </w:r>
    </w:p>
    <w:p>
      <w:pPr>
        <w:pStyle w:val="54"/>
        <w:numPr>
          <w:ilvl w:val="0"/>
          <w:numId w:val="70"/>
        </w:numPr>
        <w:spacing w:line="360" w:lineRule="auto"/>
        <w:ind w:firstLineChars="0"/>
        <w:rPr>
          <w:rFonts w:hint="eastAsia" w:ascii="黑体" w:hAnsi="黑体" w:eastAsia="黑体" w:cs="黑体"/>
          <w:color w:val="auto"/>
          <w:sz w:val="24"/>
          <w:szCs w:val="24"/>
        </w:rPr>
      </w:pPr>
      <w:r>
        <w:rPr>
          <w:rFonts w:hint="eastAsia" w:ascii="黑体" w:hAnsi="黑体" w:eastAsia="黑体" w:cs="黑体"/>
          <w:color w:val="auto"/>
          <w:sz w:val="24"/>
          <w:szCs w:val="24"/>
        </w:rPr>
        <w:t>电源：AC,单相220V/50Hz；</w:t>
      </w:r>
    </w:p>
    <w:p>
      <w:pPr>
        <w:pStyle w:val="54"/>
        <w:numPr>
          <w:ilvl w:val="0"/>
          <w:numId w:val="70"/>
        </w:numPr>
        <w:spacing w:line="360" w:lineRule="auto"/>
        <w:ind w:firstLineChars="0"/>
        <w:rPr>
          <w:rFonts w:hint="eastAsia" w:ascii="黑体" w:hAnsi="黑体" w:eastAsia="黑体" w:cs="黑体"/>
          <w:color w:val="auto"/>
          <w:sz w:val="24"/>
          <w:szCs w:val="24"/>
        </w:rPr>
      </w:pPr>
      <w:r>
        <w:rPr>
          <w:rFonts w:hint="eastAsia" w:ascii="黑体" w:hAnsi="黑体" w:eastAsia="黑体" w:cs="黑体"/>
          <w:color w:val="auto"/>
          <w:sz w:val="24"/>
          <w:szCs w:val="24"/>
        </w:rPr>
        <w:t>最大功耗≤0.4kW；</w:t>
      </w:r>
    </w:p>
    <w:p>
      <w:pPr>
        <w:pStyle w:val="54"/>
        <w:numPr>
          <w:ilvl w:val="0"/>
          <w:numId w:val="70"/>
        </w:numPr>
        <w:spacing w:line="360" w:lineRule="auto"/>
        <w:ind w:firstLineChars="0"/>
        <w:rPr>
          <w:rFonts w:hint="eastAsia" w:ascii="黑体" w:hAnsi="黑体" w:eastAsia="黑体" w:cs="黑体"/>
          <w:color w:val="auto"/>
          <w:sz w:val="24"/>
          <w:szCs w:val="24"/>
        </w:rPr>
      </w:pPr>
      <w:r>
        <w:rPr>
          <w:rFonts w:hint="eastAsia" w:ascii="黑体" w:hAnsi="黑体" w:eastAsia="黑体" w:cs="黑体"/>
          <w:color w:val="auto"/>
          <w:sz w:val="24"/>
          <w:szCs w:val="24"/>
        </w:rPr>
        <w:t>前窗应采用配重式升降系统，不能采用卷簧形式，防止卷簧疲劳断裂发生故障。</w:t>
      </w:r>
    </w:p>
    <w:p>
      <w:pPr>
        <w:pStyle w:val="54"/>
        <w:numPr>
          <w:ilvl w:val="0"/>
          <w:numId w:val="70"/>
        </w:numPr>
        <w:spacing w:line="360" w:lineRule="auto"/>
        <w:ind w:firstLineChars="0"/>
        <w:rPr>
          <w:rFonts w:hint="eastAsia" w:ascii="黑体" w:hAnsi="黑体" w:eastAsia="黑体" w:cs="黑体"/>
          <w:color w:val="auto"/>
          <w:sz w:val="24"/>
          <w:szCs w:val="24"/>
        </w:rPr>
      </w:pPr>
      <w:r>
        <w:rPr>
          <w:rFonts w:hint="eastAsia" w:ascii="黑体" w:hAnsi="黑体" w:eastAsia="黑体" w:cs="黑体"/>
          <w:color w:val="auto"/>
          <w:sz w:val="24"/>
          <w:szCs w:val="24"/>
        </w:rPr>
        <w:t>设备应预留高效过滤器漏过率检测口。</w:t>
      </w:r>
    </w:p>
    <w:p>
      <w:pPr>
        <w:pStyle w:val="54"/>
        <w:numPr>
          <w:ilvl w:val="0"/>
          <w:numId w:val="70"/>
        </w:numPr>
        <w:spacing w:line="360" w:lineRule="auto"/>
        <w:ind w:firstLineChars="0"/>
        <w:rPr>
          <w:rFonts w:hint="eastAsia" w:ascii="黑体" w:hAnsi="黑体" w:eastAsia="黑体" w:cs="黑体"/>
          <w:color w:val="auto"/>
          <w:sz w:val="24"/>
          <w:szCs w:val="24"/>
        </w:rPr>
      </w:pPr>
      <w:r>
        <w:rPr>
          <w:rFonts w:hint="eastAsia" w:ascii="黑体" w:hAnsi="黑体" w:eastAsia="黑体" w:cs="黑体"/>
          <w:color w:val="auto"/>
          <w:sz w:val="24"/>
          <w:szCs w:val="24"/>
        </w:rPr>
        <w:t>产品应取得医疗器械注册证</w:t>
      </w:r>
    </w:p>
    <w:p>
      <w:pPr>
        <w:jc w:val="center"/>
        <w:rPr>
          <w:rFonts w:hint="eastAsia"/>
          <w:b/>
          <w:bCs/>
          <w:sz w:val="32"/>
          <w:szCs w:val="32"/>
        </w:rPr>
      </w:pPr>
      <w:r>
        <w:rPr>
          <w:rFonts w:hint="eastAsia"/>
          <w:b/>
          <w:bCs/>
          <w:sz w:val="32"/>
          <w:szCs w:val="32"/>
        </w:rPr>
        <w:t>生物安全柜主要技术参数</w:t>
      </w:r>
    </w:p>
    <w:p>
      <w:pPr>
        <w:widowControl/>
        <w:spacing w:before="75" w:after="75"/>
        <w:rPr>
          <w:rFonts w:hint="eastAsia" w:ascii="黑体" w:hAnsi="黑体" w:eastAsia="黑体" w:cs="黑体"/>
          <w:bCs/>
          <w:kern w:val="0"/>
          <w:sz w:val="24"/>
        </w:rPr>
      </w:pPr>
      <w:r>
        <w:rPr>
          <w:rFonts w:hint="eastAsia" w:ascii="黑体" w:hAnsi="黑体" w:eastAsia="黑体" w:cs="黑体"/>
          <w:bCs/>
          <w:kern w:val="0"/>
          <w:sz w:val="24"/>
        </w:rPr>
        <w:t>一、技术参数</w:t>
      </w:r>
    </w:p>
    <w:p>
      <w:pPr>
        <w:widowControl/>
        <w:spacing w:before="75" w:after="75"/>
        <w:ind w:firstLine="120" w:firstLineChars="50"/>
        <w:rPr>
          <w:rFonts w:hint="eastAsia" w:ascii="黑体" w:hAnsi="黑体" w:eastAsia="黑体" w:cs="黑体"/>
          <w:bCs/>
          <w:kern w:val="0"/>
          <w:sz w:val="24"/>
        </w:rPr>
      </w:pPr>
      <w:r>
        <w:rPr>
          <w:rFonts w:hint="eastAsia" w:ascii="黑体" w:hAnsi="黑体" w:eastAsia="黑体" w:cs="黑体"/>
          <w:bCs/>
          <w:kern w:val="0"/>
          <w:sz w:val="24"/>
        </w:rPr>
        <w:t>1、安全柜基本参数：</w:t>
      </w:r>
    </w:p>
    <w:p>
      <w:pPr>
        <w:widowControl/>
        <w:spacing w:before="75" w:after="75" w:line="276" w:lineRule="auto"/>
        <w:ind w:firstLine="480" w:firstLineChars="200"/>
        <w:rPr>
          <w:rFonts w:hint="eastAsia" w:ascii="黑体" w:hAnsi="黑体" w:eastAsia="黑体" w:cs="黑体"/>
          <w:bCs/>
          <w:kern w:val="0"/>
          <w:sz w:val="24"/>
        </w:rPr>
      </w:pPr>
      <w:r>
        <w:rPr>
          <w:rFonts w:hint="eastAsia" w:ascii="黑体" w:hAnsi="黑体" w:eastAsia="黑体" w:cs="黑体"/>
          <w:bCs/>
          <w:kern w:val="0"/>
          <w:sz w:val="24"/>
        </w:rPr>
        <w:t>（1）分类：A2型，30%外排，70%循环</w:t>
      </w:r>
    </w:p>
    <w:p>
      <w:pPr>
        <w:widowControl/>
        <w:spacing w:before="75" w:after="75" w:line="276" w:lineRule="auto"/>
        <w:ind w:firstLine="480" w:firstLineChars="200"/>
        <w:rPr>
          <w:rFonts w:hint="eastAsia" w:ascii="黑体" w:hAnsi="黑体" w:eastAsia="黑体" w:cs="黑体"/>
          <w:bCs/>
          <w:kern w:val="0"/>
          <w:sz w:val="24"/>
        </w:rPr>
      </w:pPr>
      <w:r>
        <w:rPr>
          <w:rFonts w:hint="eastAsia" w:ascii="黑体" w:hAnsi="黑体" w:eastAsia="黑体" w:cs="黑体"/>
          <w:bCs/>
          <w:kern w:val="0"/>
          <w:sz w:val="24"/>
        </w:rPr>
        <w:t>（</w:t>
      </w:r>
      <w:r>
        <w:rPr>
          <w:rFonts w:hint="eastAsia" w:ascii="黑体" w:hAnsi="黑体" w:eastAsia="黑体" w:cs="黑体"/>
          <w:bCs/>
          <w:kern w:val="0"/>
          <w:sz w:val="24"/>
          <w:lang w:val="en-US" w:eastAsia="zh-CN"/>
        </w:rPr>
        <w:t>2</w:t>
      </w:r>
      <w:r>
        <w:rPr>
          <w:rFonts w:hint="eastAsia" w:ascii="黑体" w:hAnsi="黑体" w:eastAsia="黑体" w:cs="黑体"/>
          <w:bCs/>
          <w:kern w:val="0"/>
          <w:sz w:val="24"/>
        </w:rPr>
        <w:t>）台面距离地面高度：750mm（尺寸可根据要求订制修改）</w:t>
      </w:r>
    </w:p>
    <w:p>
      <w:pPr>
        <w:widowControl/>
        <w:spacing w:before="75" w:after="75" w:line="276" w:lineRule="auto"/>
        <w:ind w:firstLine="480" w:firstLineChars="200"/>
        <w:rPr>
          <w:rFonts w:hint="eastAsia" w:ascii="黑体" w:hAnsi="黑体" w:eastAsia="黑体" w:cs="黑体"/>
          <w:bCs/>
          <w:kern w:val="0"/>
          <w:sz w:val="24"/>
        </w:rPr>
      </w:pPr>
      <w:r>
        <w:rPr>
          <w:rFonts w:hint="eastAsia" w:ascii="黑体" w:hAnsi="黑体" w:eastAsia="黑体" w:cs="黑体"/>
          <w:bCs/>
          <w:kern w:val="0"/>
          <w:sz w:val="24"/>
        </w:rPr>
        <w:t>（</w:t>
      </w:r>
      <w:r>
        <w:rPr>
          <w:rFonts w:hint="eastAsia" w:ascii="黑体" w:hAnsi="黑体" w:eastAsia="黑体" w:cs="黑体"/>
          <w:bCs/>
          <w:kern w:val="0"/>
          <w:sz w:val="24"/>
          <w:lang w:val="en-US" w:eastAsia="zh-CN"/>
        </w:rPr>
        <w:t>3</w:t>
      </w:r>
      <w:r>
        <w:rPr>
          <w:rFonts w:hint="eastAsia" w:ascii="黑体" w:hAnsi="黑体" w:eastAsia="黑体" w:cs="黑体"/>
          <w:bCs/>
          <w:kern w:val="0"/>
          <w:sz w:val="24"/>
        </w:rPr>
        <w:t>）风速： 平均下降风速：0.33±0.025m/s； 平均吸入口风速0.53±0.025m/s</w:t>
      </w:r>
    </w:p>
    <w:p>
      <w:pPr>
        <w:widowControl/>
        <w:spacing w:before="75" w:after="75" w:line="276" w:lineRule="auto"/>
        <w:ind w:firstLine="480" w:firstLineChars="200"/>
        <w:rPr>
          <w:rFonts w:hint="eastAsia" w:ascii="黑体" w:hAnsi="黑体" w:eastAsia="黑体" w:cs="黑体"/>
          <w:bCs/>
          <w:kern w:val="0"/>
          <w:sz w:val="24"/>
        </w:rPr>
      </w:pPr>
      <w:r>
        <w:rPr>
          <w:rFonts w:hint="eastAsia" w:ascii="黑体" w:hAnsi="黑体" w:eastAsia="黑体" w:cs="黑体"/>
          <w:bCs/>
          <w:kern w:val="0"/>
          <w:sz w:val="24"/>
        </w:rPr>
        <w:t>（</w:t>
      </w:r>
      <w:r>
        <w:rPr>
          <w:rFonts w:hint="eastAsia" w:ascii="黑体" w:hAnsi="黑体" w:eastAsia="黑体" w:cs="黑体"/>
          <w:bCs/>
          <w:kern w:val="0"/>
          <w:sz w:val="24"/>
          <w:lang w:val="en-US" w:eastAsia="zh-CN"/>
        </w:rPr>
        <w:t>4</w:t>
      </w:r>
      <w:r>
        <w:rPr>
          <w:rFonts w:hint="eastAsia" w:ascii="黑体" w:hAnsi="黑体" w:eastAsia="黑体" w:cs="黑体"/>
          <w:bCs/>
          <w:kern w:val="0"/>
          <w:sz w:val="24"/>
        </w:rPr>
        <w:t xml:space="preserve">）系统排风总量：500 </w:t>
      </w:r>
      <w:r>
        <w:rPr>
          <w:rFonts w:hint="eastAsia" w:ascii="黑体" w:hAnsi="黑体" w:eastAsia="黑体" w:cs="黑体"/>
          <w:bCs/>
          <w:kern w:val="0"/>
          <w:sz w:val="24"/>
          <w:lang w:val="en-US" w:eastAsia="zh-CN"/>
        </w:rPr>
        <w:t>m³</w:t>
      </w:r>
      <w:r>
        <w:rPr>
          <w:rFonts w:hint="eastAsia" w:ascii="黑体" w:hAnsi="黑体" w:eastAsia="黑体" w:cs="黑体"/>
          <w:bCs/>
          <w:kern w:val="0"/>
          <w:sz w:val="24"/>
        </w:rPr>
        <w:t>/h</w:t>
      </w:r>
    </w:p>
    <w:p>
      <w:pPr>
        <w:widowControl/>
        <w:spacing w:before="75" w:after="75" w:line="276" w:lineRule="auto"/>
        <w:ind w:firstLine="480" w:firstLineChars="200"/>
        <w:rPr>
          <w:rFonts w:hint="eastAsia" w:ascii="黑体" w:hAnsi="黑体" w:eastAsia="黑体" w:cs="黑体"/>
          <w:bCs/>
          <w:kern w:val="0"/>
          <w:sz w:val="24"/>
        </w:rPr>
      </w:pPr>
      <w:r>
        <w:rPr>
          <w:rFonts w:hint="eastAsia" w:ascii="黑体" w:hAnsi="黑体" w:eastAsia="黑体" w:cs="黑体"/>
          <w:bCs/>
          <w:kern w:val="0"/>
          <w:sz w:val="24"/>
        </w:rPr>
        <w:t>（</w:t>
      </w:r>
      <w:r>
        <w:rPr>
          <w:rFonts w:hint="eastAsia" w:ascii="黑体" w:hAnsi="黑体" w:eastAsia="黑体" w:cs="黑体"/>
          <w:bCs/>
          <w:kern w:val="0"/>
          <w:sz w:val="24"/>
          <w:lang w:val="en-US" w:eastAsia="zh-CN"/>
        </w:rPr>
        <w:t>5</w:t>
      </w:r>
      <w:r>
        <w:rPr>
          <w:rFonts w:hint="eastAsia" w:ascii="黑体" w:hAnsi="黑体" w:eastAsia="黑体" w:cs="黑体"/>
          <w:bCs/>
          <w:kern w:val="0"/>
          <w:sz w:val="24"/>
        </w:rPr>
        <w:t>）额定功率：18</w:t>
      </w:r>
      <w:r>
        <w:rPr>
          <w:rFonts w:hint="eastAsia" w:ascii="黑体" w:hAnsi="黑体" w:eastAsia="黑体" w:cs="黑体"/>
          <w:bCs/>
          <w:kern w:val="0"/>
          <w:sz w:val="24"/>
          <w:lang w:val="en-US" w:eastAsia="zh-CN"/>
        </w:rPr>
        <w:t>5</w:t>
      </w:r>
      <w:r>
        <w:rPr>
          <w:rFonts w:hint="eastAsia" w:ascii="黑体" w:hAnsi="黑体" w:eastAsia="黑体" w:cs="黑体"/>
          <w:bCs/>
          <w:kern w:val="0"/>
          <w:sz w:val="24"/>
        </w:rPr>
        <w:t>0W（包含操作区插座负载500W）</w:t>
      </w:r>
    </w:p>
    <w:p>
      <w:pPr>
        <w:widowControl/>
        <w:spacing w:before="75" w:after="75" w:line="276" w:lineRule="auto"/>
        <w:ind w:firstLine="480" w:firstLineChars="200"/>
        <w:rPr>
          <w:rFonts w:hint="eastAsia" w:ascii="黑体" w:hAnsi="黑体" w:eastAsia="黑体" w:cs="黑体"/>
          <w:bCs/>
          <w:kern w:val="0"/>
          <w:sz w:val="24"/>
        </w:rPr>
      </w:pPr>
      <w:r>
        <w:rPr>
          <w:rFonts w:hint="eastAsia" w:ascii="黑体" w:hAnsi="黑体" w:eastAsia="黑体" w:cs="黑体"/>
          <w:bCs/>
          <w:kern w:val="0"/>
          <w:sz w:val="24"/>
        </w:rPr>
        <w:t>（</w:t>
      </w:r>
      <w:r>
        <w:rPr>
          <w:rFonts w:hint="eastAsia" w:ascii="黑体" w:hAnsi="黑体" w:eastAsia="黑体" w:cs="黑体"/>
          <w:bCs/>
          <w:kern w:val="0"/>
          <w:sz w:val="24"/>
          <w:lang w:val="en-US" w:eastAsia="zh-CN"/>
        </w:rPr>
        <w:t>6</w:t>
      </w:r>
      <w:r>
        <w:rPr>
          <w:rFonts w:hint="eastAsia" w:ascii="黑体" w:hAnsi="黑体" w:eastAsia="黑体" w:cs="黑体"/>
          <w:bCs/>
          <w:kern w:val="0"/>
          <w:sz w:val="24"/>
        </w:rPr>
        <w:t>）噪音等级：≤6</w:t>
      </w:r>
      <w:r>
        <w:rPr>
          <w:rFonts w:hint="eastAsia" w:ascii="黑体" w:hAnsi="黑体" w:eastAsia="黑体" w:cs="黑体"/>
          <w:bCs/>
          <w:kern w:val="0"/>
          <w:sz w:val="24"/>
          <w:lang w:val="en-US" w:eastAsia="zh-CN"/>
        </w:rPr>
        <w:t>7</w:t>
      </w:r>
      <w:r>
        <w:rPr>
          <w:rFonts w:hint="eastAsia" w:ascii="黑体" w:hAnsi="黑体" w:eastAsia="黑体" w:cs="黑体"/>
          <w:bCs/>
          <w:kern w:val="0"/>
          <w:sz w:val="24"/>
        </w:rPr>
        <w:t>dB（A）</w:t>
      </w:r>
    </w:p>
    <w:p>
      <w:pPr>
        <w:widowControl/>
        <w:spacing w:before="75" w:after="75" w:line="276" w:lineRule="auto"/>
        <w:ind w:firstLine="480" w:firstLineChars="200"/>
        <w:rPr>
          <w:rFonts w:hint="eastAsia" w:ascii="黑体" w:hAnsi="黑体" w:eastAsia="黑体" w:cs="黑体"/>
          <w:bCs/>
          <w:kern w:val="0"/>
          <w:sz w:val="24"/>
        </w:rPr>
      </w:pPr>
      <w:r>
        <w:rPr>
          <w:rFonts w:hint="eastAsia" w:ascii="黑体" w:hAnsi="黑体" w:eastAsia="黑体" w:cs="黑体"/>
          <w:bCs/>
          <w:kern w:val="0"/>
          <w:sz w:val="24"/>
        </w:rPr>
        <w:t>（</w:t>
      </w:r>
      <w:r>
        <w:rPr>
          <w:rFonts w:hint="eastAsia" w:ascii="黑体" w:hAnsi="黑体" w:eastAsia="黑体" w:cs="黑体"/>
          <w:bCs/>
          <w:kern w:val="0"/>
          <w:sz w:val="24"/>
          <w:lang w:val="en-US" w:eastAsia="zh-CN"/>
        </w:rPr>
        <w:t>7</w:t>
      </w:r>
      <w:r>
        <w:rPr>
          <w:rFonts w:hint="eastAsia" w:ascii="黑体" w:hAnsi="黑体" w:eastAsia="黑体" w:cs="黑体"/>
          <w:bCs/>
          <w:kern w:val="0"/>
          <w:sz w:val="24"/>
        </w:rPr>
        <w:t>）照明：≥</w:t>
      </w:r>
      <w:r>
        <w:rPr>
          <w:rFonts w:hint="eastAsia" w:ascii="黑体" w:hAnsi="黑体" w:eastAsia="黑体" w:cs="黑体"/>
          <w:bCs/>
          <w:kern w:val="0"/>
          <w:sz w:val="24"/>
          <w:lang w:val="en-US" w:eastAsia="zh-CN"/>
        </w:rPr>
        <w:t>10</w:t>
      </w:r>
      <w:r>
        <w:rPr>
          <w:rFonts w:hint="eastAsia" w:ascii="黑体" w:hAnsi="黑体" w:eastAsia="黑体" w:cs="黑体"/>
          <w:bCs/>
          <w:kern w:val="0"/>
          <w:sz w:val="24"/>
        </w:rPr>
        <w:t>00lx</w:t>
      </w:r>
    </w:p>
    <w:p>
      <w:pPr>
        <w:widowControl/>
        <w:spacing w:before="75" w:after="75" w:line="276" w:lineRule="auto"/>
        <w:ind w:firstLine="480" w:firstLineChars="200"/>
        <w:rPr>
          <w:rFonts w:hint="eastAsia" w:ascii="黑体" w:hAnsi="黑体" w:eastAsia="黑体" w:cs="黑体"/>
          <w:bCs/>
          <w:kern w:val="0"/>
          <w:sz w:val="24"/>
        </w:rPr>
      </w:pPr>
      <w:r>
        <w:rPr>
          <w:rFonts w:hint="eastAsia" w:ascii="黑体" w:hAnsi="黑体" w:eastAsia="黑体" w:cs="黑体"/>
          <w:bCs/>
          <w:kern w:val="0"/>
          <w:sz w:val="24"/>
        </w:rPr>
        <w:t>（</w:t>
      </w:r>
      <w:r>
        <w:rPr>
          <w:rFonts w:hint="eastAsia" w:ascii="黑体" w:hAnsi="黑体" w:eastAsia="黑体" w:cs="黑体"/>
          <w:bCs/>
          <w:kern w:val="0"/>
          <w:sz w:val="24"/>
          <w:lang w:val="en-US" w:eastAsia="zh-CN"/>
        </w:rPr>
        <w:t>8</w:t>
      </w:r>
      <w:r>
        <w:rPr>
          <w:rFonts w:hint="eastAsia" w:ascii="黑体" w:hAnsi="黑体" w:eastAsia="黑体" w:cs="黑体"/>
          <w:bCs/>
          <w:kern w:val="0"/>
          <w:sz w:val="24"/>
        </w:rPr>
        <w:t>）过滤效率:送风和排风过滤器均采用世界知名品牌的硼硅酸盐玻璃纤维材质的ULPA高效过滤器，对0.12μm颗粒过滤效率≥99.9995%</w:t>
      </w:r>
    </w:p>
    <w:p>
      <w:pPr>
        <w:widowControl/>
        <w:spacing w:before="75" w:after="75" w:line="276" w:lineRule="auto"/>
        <w:ind w:firstLine="480" w:firstLineChars="200"/>
        <w:rPr>
          <w:rFonts w:hint="eastAsia" w:ascii="黑体" w:hAnsi="黑体" w:eastAsia="黑体" w:cs="黑体"/>
          <w:bCs/>
          <w:kern w:val="0"/>
          <w:sz w:val="24"/>
        </w:rPr>
      </w:pPr>
      <w:r>
        <w:rPr>
          <w:rFonts w:hint="eastAsia" w:ascii="黑体" w:hAnsi="黑体" w:eastAsia="黑体" w:cs="黑体"/>
          <w:bCs/>
          <w:kern w:val="0"/>
          <w:sz w:val="24"/>
        </w:rPr>
        <w:t>（</w:t>
      </w:r>
      <w:r>
        <w:rPr>
          <w:rFonts w:hint="eastAsia" w:ascii="黑体" w:hAnsi="黑体" w:eastAsia="黑体" w:cs="黑体"/>
          <w:bCs/>
          <w:kern w:val="0"/>
          <w:sz w:val="24"/>
          <w:lang w:val="en-US" w:eastAsia="zh-CN"/>
        </w:rPr>
        <w:t>9</w:t>
      </w:r>
      <w:r>
        <w:rPr>
          <w:rFonts w:hint="eastAsia" w:ascii="黑体" w:hAnsi="黑体" w:eastAsia="黑体" w:cs="黑体"/>
          <w:bCs/>
          <w:kern w:val="0"/>
          <w:sz w:val="24"/>
        </w:rPr>
        <w:t>）使用人数：1—2人</w:t>
      </w:r>
    </w:p>
    <w:p>
      <w:pPr>
        <w:widowControl/>
        <w:spacing w:before="75" w:after="75" w:line="276" w:lineRule="auto"/>
        <w:ind w:firstLine="120" w:firstLineChars="50"/>
        <w:rPr>
          <w:rFonts w:hint="eastAsia" w:ascii="黑体" w:hAnsi="黑体" w:eastAsia="黑体" w:cs="黑体"/>
          <w:bCs/>
          <w:kern w:val="0"/>
          <w:sz w:val="24"/>
        </w:rPr>
      </w:pPr>
      <w:r>
        <w:rPr>
          <w:rFonts w:hint="eastAsia" w:ascii="黑体" w:hAnsi="黑体" w:eastAsia="黑体" w:cs="黑体"/>
          <w:bCs/>
          <w:kern w:val="0"/>
          <w:sz w:val="24"/>
        </w:rPr>
        <w:t>2、生物安全性：</w:t>
      </w:r>
    </w:p>
    <w:p>
      <w:pPr>
        <w:widowControl/>
        <w:spacing w:before="75" w:after="75" w:line="276" w:lineRule="auto"/>
        <w:ind w:firstLine="360" w:firstLineChars="150"/>
        <w:rPr>
          <w:rFonts w:hint="eastAsia" w:ascii="黑体" w:hAnsi="黑体" w:eastAsia="黑体" w:cs="黑体"/>
          <w:bCs/>
          <w:kern w:val="0"/>
          <w:sz w:val="24"/>
        </w:rPr>
      </w:pPr>
      <w:r>
        <w:rPr>
          <w:rFonts w:hint="eastAsia" w:ascii="黑体" w:hAnsi="黑体" w:eastAsia="黑体" w:cs="黑体"/>
          <w:bCs/>
          <w:kern w:val="0"/>
          <w:sz w:val="24"/>
          <w:lang w:val="en-US" w:eastAsia="zh-CN"/>
        </w:rPr>
        <w:t xml:space="preserve"> </w:t>
      </w:r>
      <w:r>
        <w:rPr>
          <w:rFonts w:hint="eastAsia" w:ascii="黑体" w:hAnsi="黑体" w:eastAsia="黑体" w:cs="黑体"/>
          <w:bCs/>
          <w:kern w:val="0"/>
          <w:sz w:val="24"/>
        </w:rPr>
        <w:t>（1） 人员安全性：用碘化钾（KI）法测试，前窗操作口的保护因子应</w:t>
      </w:r>
      <w:r>
        <w:rPr>
          <w:rFonts w:hint="eastAsia" w:ascii="黑体" w:hAnsi="黑体" w:eastAsia="黑体" w:cs="黑体"/>
          <w:bCs/>
          <w:kern w:val="0"/>
          <w:sz w:val="24"/>
          <w:lang w:eastAsia="zh-CN"/>
        </w:rPr>
        <w:t>≥</w:t>
      </w:r>
      <w:r>
        <w:rPr>
          <w:rFonts w:hint="eastAsia" w:ascii="黑体" w:hAnsi="黑体" w:eastAsia="黑体" w:cs="黑体"/>
          <w:bCs/>
          <w:kern w:val="0"/>
          <w:sz w:val="24"/>
        </w:rPr>
        <w:t>1×10</w:t>
      </w:r>
      <w:r>
        <w:rPr>
          <w:rFonts w:hint="eastAsia" w:ascii="黑体" w:hAnsi="黑体" w:eastAsia="黑体" w:cs="黑体"/>
          <w:kern w:val="0"/>
          <w:sz w:val="24"/>
          <w:vertAlign w:val="superscript"/>
        </w:rPr>
        <w:t>5</w:t>
      </w:r>
      <w:r>
        <w:rPr>
          <w:rFonts w:hint="eastAsia" w:ascii="黑体" w:hAnsi="黑体" w:eastAsia="黑体" w:cs="黑体"/>
          <w:bCs/>
          <w:kern w:val="0"/>
          <w:sz w:val="24"/>
        </w:rPr>
        <w:t xml:space="preserve"> </w:t>
      </w:r>
    </w:p>
    <w:p>
      <w:pPr>
        <w:widowControl/>
        <w:spacing w:before="75" w:after="75" w:line="276" w:lineRule="auto"/>
        <w:ind w:firstLine="480" w:firstLineChars="200"/>
        <w:rPr>
          <w:rFonts w:hint="eastAsia" w:ascii="黑体" w:hAnsi="黑体" w:eastAsia="黑体" w:cs="黑体"/>
          <w:bCs/>
          <w:kern w:val="0"/>
          <w:sz w:val="24"/>
        </w:rPr>
      </w:pPr>
      <w:r>
        <w:rPr>
          <w:rFonts w:hint="eastAsia" w:ascii="黑体" w:hAnsi="黑体" w:eastAsia="黑体" w:cs="黑体"/>
          <w:bCs/>
          <w:kern w:val="0"/>
          <w:sz w:val="24"/>
        </w:rPr>
        <w:t xml:space="preserve">（2） 产品安全性：菌落数≤5CFU/次 </w:t>
      </w:r>
    </w:p>
    <w:p>
      <w:pPr>
        <w:widowControl/>
        <w:spacing w:before="75" w:after="75" w:line="276" w:lineRule="auto"/>
        <w:ind w:firstLine="480" w:firstLineChars="200"/>
        <w:rPr>
          <w:rFonts w:hint="eastAsia" w:ascii="黑体" w:hAnsi="黑体" w:eastAsia="黑体" w:cs="黑体"/>
          <w:bCs/>
          <w:kern w:val="0"/>
          <w:sz w:val="24"/>
        </w:rPr>
      </w:pPr>
      <w:r>
        <w:rPr>
          <w:rFonts w:hint="eastAsia" w:ascii="黑体" w:hAnsi="黑体" w:eastAsia="黑体" w:cs="黑体"/>
          <w:bCs/>
          <w:kern w:val="0"/>
          <w:sz w:val="24"/>
        </w:rPr>
        <w:t>（3） 交叉污染安全性：菌落数≤2CFU/次</w:t>
      </w:r>
    </w:p>
    <w:p>
      <w:pPr>
        <w:widowControl/>
        <w:spacing w:before="75" w:after="75" w:line="276" w:lineRule="auto"/>
        <w:rPr>
          <w:rFonts w:hint="eastAsia" w:ascii="黑体" w:hAnsi="黑体" w:eastAsia="黑体" w:cs="黑体"/>
          <w:bCs/>
          <w:kern w:val="0"/>
          <w:sz w:val="24"/>
        </w:rPr>
      </w:pPr>
      <w:r>
        <w:rPr>
          <w:rFonts w:hint="eastAsia" w:ascii="黑体" w:hAnsi="黑体" w:eastAsia="黑体" w:cs="黑体"/>
          <w:bCs/>
          <w:kern w:val="0"/>
          <w:sz w:val="24"/>
        </w:rPr>
        <w:t>二、结构功能特点：</w:t>
      </w:r>
    </w:p>
    <w:p>
      <w:pPr>
        <w:widowControl/>
        <w:spacing w:before="75" w:after="75" w:line="276" w:lineRule="auto"/>
        <w:ind w:left="910" w:leftChars="250" w:hanging="360" w:hangingChars="150"/>
        <w:rPr>
          <w:rFonts w:hint="eastAsia" w:ascii="黑体" w:hAnsi="黑体" w:eastAsia="黑体" w:cs="黑体"/>
          <w:bCs/>
          <w:kern w:val="0"/>
          <w:sz w:val="24"/>
        </w:rPr>
      </w:pPr>
      <w:r>
        <w:rPr>
          <w:rFonts w:hint="eastAsia" w:ascii="黑体" w:hAnsi="黑体" w:eastAsia="黑体" w:cs="黑体"/>
          <w:bCs/>
          <w:kern w:val="0"/>
          <w:sz w:val="24"/>
        </w:rPr>
        <w:t>1、</w:t>
      </w:r>
    </w:p>
    <w:p>
      <w:pPr>
        <w:widowControl/>
        <w:spacing w:before="75" w:after="75" w:line="276" w:lineRule="auto"/>
        <w:ind w:left="1050" w:leftChars="150" w:hanging="720" w:hangingChars="300"/>
        <w:rPr>
          <w:rFonts w:hint="eastAsia" w:ascii="黑体" w:hAnsi="黑体" w:eastAsia="黑体" w:cs="黑体"/>
          <w:bCs/>
          <w:kern w:val="0"/>
          <w:sz w:val="24"/>
        </w:rPr>
      </w:pPr>
      <w:r>
        <w:rPr>
          <w:rFonts w:hint="eastAsia" w:ascii="黑体" w:hAnsi="黑体" w:eastAsia="黑体" w:cs="黑体"/>
          <w:bCs/>
          <w:kern w:val="0"/>
          <w:sz w:val="24"/>
          <w:lang w:val="en-US" w:eastAsia="zh-CN"/>
        </w:rPr>
        <w:t xml:space="preserve"> </w:t>
      </w:r>
      <w:r>
        <w:rPr>
          <w:rFonts w:hint="eastAsia" w:ascii="黑体" w:hAnsi="黑体" w:eastAsia="黑体" w:cs="黑体"/>
          <w:bCs/>
          <w:kern w:val="0"/>
          <w:sz w:val="24"/>
        </w:rPr>
        <w:t xml:space="preserve"> 2、柜体采用10°倾斜角设计，符合人体工程学原理，视角更大，操作方便且更加人性化；   </w:t>
      </w:r>
    </w:p>
    <w:p>
      <w:pPr>
        <w:widowControl/>
        <w:spacing w:before="75" w:after="75" w:line="276" w:lineRule="auto"/>
        <w:ind w:left="930" w:leftChars="150" w:hanging="600" w:hangingChars="250"/>
        <w:rPr>
          <w:rFonts w:hint="eastAsia" w:ascii="黑体" w:hAnsi="黑体" w:eastAsia="黑体" w:cs="黑体"/>
          <w:bCs/>
          <w:kern w:val="0"/>
          <w:sz w:val="24"/>
        </w:rPr>
      </w:pPr>
      <w:r>
        <w:rPr>
          <w:rFonts w:hint="eastAsia" w:ascii="黑体" w:hAnsi="黑体" w:eastAsia="黑体" w:cs="黑体"/>
          <w:bCs/>
          <w:kern w:val="0"/>
          <w:sz w:val="24"/>
        </w:rPr>
        <w:t xml:space="preserve">  3、安全柜裸露工作区三侧壁板采用优质304#不锈钢一体化结构，内部可清洗部位采用8mm大圆角处理，不留死角，易于清洁；</w:t>
      </w:r>
    </w:p>
    <w:p>
      <w:pPr>
        <w:widowControl/>
        <w:spacing w:before="75" w:after="75" w:line="276" w:lineRule="auto"/>
        <w:ind w:left="1020" w:leftChars="300" w:hanging="360" w:hangingChars="150"/>
        <w:rPr>
          <w:rFonts w:hint="eastAsia" w:ascii="黑体" w:hAnsi="黑体" w:eastAsia="黑体" w:cs="黑体"/>
          <w:bCs/>
          <w:kern w:val="0"/>
          <w:sz w:val="24"/>
        </w:rPr>
      </w:pPr>
      <w:r>
        <w:rPr>
          <w:rFonts w:hint="eastAsia" w:ascii="黑体" w:hAnsi="黑体" w:eastAsia="黑体" w:cs="黑体"/>
          <w:bCs/>
          <w:kern w:val="0"/>
          <w:sz w:val="24"/>
        </w:rPr>
        <w:t>4、工作区采用四面（左右二侧、后部、底部）负压环绕设计工作区内，保护性更好、更安全；</w:t>
      </w:r>
    </w:p>
    <w:p>
      <w:pPr>
        <w:widowControl/>
        <w:spacing w:before="75" w:after="75" w:line="276" w:lineRule="auto"/>
        <w:ind w:left="1030" w:leftChars="250" w:hanging="480" w:hangingChars="200"/>
        <w:rPr>
          <w:rFonts w:hint="eastAsia" w:ascii="黑体" w:hAnsi="黑体" w:eastAsia="黑体" w:cs="黑体"/>
          <w:bCs/>
          <w:kern w:val="0"/>
          <w:sz w:val="24"/>
        </w:rPr>
      </w:pPr>
      <w:r>
        <w:rPr>
          <w:rFonts w:hint="eastAsia" w:ascii="黑体" w:hAnsi="黑体" w:eastAsia="黑体" w:cs="黑体"/>
          <w:bCs/>
          <w:kern w:val="0"/>
          <w:sz w:val="24"/>
        </w:rPr>
        <w:t xml:space="preserve"> 5、工作台面材质为优质304#不锈钢，采用盆状式设计，即使实验有废液溢出，也不会流入积液槽中，便于清理；</w:t>
      </w:r>
    </w:p>
    <w:p>
      <w:pPr>
        <w:widowControl/>
        <w:spacing w:before="75" w:after="75" w:line="276" w:lineRule="auto"/>
        <w:ind w:left="950" w:leftChars="50" w:hanging="840" w:hangingChars="350"/>
        <w:rPr>
          <w:rFonts w:hint="eastAsia" w:ascii="黑体" w:hAnsi="黑体" w:eastAsia="黑体" w:cs="黑体"/>
          <w:bCs/>
          <w:kern w:val="0"/>
          <w:sz w:val="24"/>
        </w:rPr>
      </w:pPr>
      <w:r>
        <w:rPr>
          <w:rFonts w:hint="eastAsia" w:ascii="黑体" w:hAnsi="黑体" w:eastAsia="黑体" w:cs="黑体"/>
          <w:bCs/>
          <w:kern w:val="0"/>
          <w:sz w:val="24"/>
        </w:rPr>
        <w:t xml:space="preserve">   6、福马脚轮设计：脚轮与支架一体化设计，安全柜即可通过脚轮安全移动，也可以通过调节脚轮支脚进行固定和调平；</w:t>
      </w:r>
    </w:p>
    <w:p>
      <w:pPr>
        <w:widowControl/>
        <w:spacing w:before="75" w:after="75" w:line="276" w:lineRule="auto"/>
        <w:ind w:firstLine="283" w:firstLineChars="118"/>
        <w:rPr>
          <w:rFonts w:hint="eastAsia" w:ascii="黑体" w:hAnsi="黑体" w:eastAsia="黑体" w:cs="黑体"/>
          <w:bCs/>
          <w:kern w:val="0"/>
          <w:sz w:val="24"/>
        </w:rPr>
      </w:pPr>
      <w:r>
        <w:rPr>
          <w:rFonts w:hint="eastAsia" w:ascii="黑体" w:hAnsi="黑体" w:eastAsia="黑体" w:cs="黑体"/>
          <w:bCs/>
          <w:kern w:val="0"/>
          <w:sz w:val="24"/>
        </w:rPr>
        <w:t xml:space="preserve"> </w:t>
      </w:r>
      <w:r>
        <w:rPr>
          <w:rFonts w:hint="eastAsia" w:ascii="黑体" w:hAnsi="黑体" w:eastAsia="黑体" w:cs="黑体"/>
          <w:bCs/>
          <w:kern w:val="0"/>
          <w:sz w:val="24"/>
          <w:lang w:val="en-US" w:eastAsia="zh-CN"/>
        </w:rPr>
        <w:t xml:space="preserve"> </w:t>
      </w:r>
      <w:r>
        <w:rPr>
          <w:rFonts w:hint="eastAsia" w:ascii="黑体" w:hAnsi="黑体" w:eastAsia="黑体" w:cs="黑体"/>
          <w:bCs/>
          <w:kern w:val="0"/>
          <w:sz w:val="24"/>
        </w:rPr>
        <w:t xml:space="preserve"> 7、柜体和支架可分离，支架高度可根据实际情况订制修改；</w:t>
      </w:r>
    </w:p>
    <w:p>
      <w:pPr>
        <w:widowControl/>
        <w:spacing w:before="75" w:after="75" w:line="276" w:lineRule="auto"/>
        <w:ind w:left="980" w:leftChars="118" w:hanging="720" w:hangingChars="300"/>
        <w:rPr>
          <w:rFonts w:hint="eastAsia" w:ascii="黑体" w:hAnsi="黑体" w:eastAsia="黑体" w:cs="黑体"/>
          <w:bCs/>
          <w:kern w:val="0"/>
          <w:sz w:val="24"/>
        </w:rPr>
      </w:pPr>
      <w:r>
        <w:rPr>
          <w:rFonts w:hint="eastAsia" w:ascii="黑体" w:hAnsi="黑体" w:eastAsia="黑体" w:cs="黑体"/>
          <w:bCs/>
          <w:kern w:val="0"/>
          <w:sz w:val="24"/>
        </w:rPr>
        <w:t xml:space="preserve">   8、合理的结构设计：安全柜过滤器和风机的维修、更换，都可在安全柜的前侧进行，更加方便、快捷。</w:t>
      </w:r>
    </w:p>
    <w:p>
      <w:pPr>
        <w:widowControl/>
        <w:spacing w:before="75" w:after="75" w:line="276" w:lineRule="auto"/>
        <w:ind w:left="1000" w:leftChars="182" w:hanging="600" w:hangingChars="250"/>
        <w:rPr>
          <w:rFonts w:hint="eastAsia" w:ascii="黑体" w:hAnsi="黑体" w:eastAsia="黑体" w:cs="黑体"/>
          <w:bCs/>
          <w:kern w:val="0"/>
          <w:sz w:val="24"/>
        </w:rPr>
      </w:pPr>
      <w:r>
        <w:rPr>
          <w:rFonts w:hint="eastAsia" w:ascii="黑体" w:hAnsi="黑体" w:eastAsia="黑体" w:cs="黑体"/>
          <w:bCs/>
          <w:kern w:val="0"/>
          <w:sz w:val="24"/>
        </w:rPr>
        <w:t>9、前窗玻璃采用双层夹胶防爆安全玻璃；即使玻璃破损，也不会伤人，并且生物安全柜还能正常工作，直到实验结束，更好的保护了人员及实验的安全；</w:t>
      </w:r>
    </w:p>
    <w:p>
      <w:pPr>
        <w:widowControl/>
        <w:spacing w:before="75" w:after="75" w:line="276" w:lineRule="auto"/>
        <w:ind w:left="860" w:leftChars="118" w:hanging="600" w:hangingChars="250"/>
        <w:rPr>
          <w:rFonts w:hint="eastAsia" w:ascii="黑体" w:hAnsi="黑体" w:eastAsia="黑体" w:cs="黑体"/>
          <w:bCs/>
          <w:kern w:val="0"/>
          <w:sz w:val="24"/>
        </w:rPr>
      </w:pPr>
      <w:r>
        <w:rPr>
          <w:rFonts w:hint="eastAsia" w:ascii="黑体" w:hAnsi="黑体" w:eastAsia="黑体" w:cs="黑体"/>
          <w:bCs/>
          <w:kern w:val="0"/>
          <w:sz w:val="24"/>
        </w:rPr>
        <w:t xml:space="preserve"> </w:t>
      </w:r>
      <w:r>
        <w:rPr>
          <w:rFonts w:hint="eastAsia" w:ascii="黑体" w:hAnsi="黑体" w:eastAsia="黑体" w:cs="黑体"/>
          <w:bCs/>
          <w:kern w:val="0"/>
          <w:sz w:val="24"/>
          <w:lang w:val="en-US" w:eastAsia="zh-CN"/>
        </w:rPr>
        <w:t>1</w:t>
      </w:r>
      <w:r>
        <w:rPr>
          <w:rFonts w:hint="eastAsia" w:ascii="黑体" w:hAnsi="黑体" w:eastAsia="黑体" w:cs="黑体"/>
          <w:bCs/>
          <w:kern w:val="0"/>
          <w:sz w:val="24"/>
        </w:rPr>
        <w:t>0、</w:t>
      </w:r>
      <w:r>
        <w:rPr>
          <w:rFonts w:hint="eastAsia" w:ascii="黑体" w:hAnsi="黑体" w:eastAsia="黑体" w:cs="黑体"/>
          <w:bCs/>
          <w:kern w:val="0"/>
          <w:sz w:val="24"/>
          <w:lang w:eastAsia="zh-CN"/>
        </w:rPr>
        <w:t>≥</w:t>
      </w:r>
      <w:r>
        <w:rPr>
          <w:rFonts w:hint="eastAsia" w:ascii="黑体" w:hAnsi="黑体" w:eastAsia="黑体" w:cs="黑体"/>
          <w:bCs/>
          <w:kern w:val="0"/>
          <w:sz w:val="24"/>
        </w:rPr>
        <w:t>4.</w:t>
      </w:r>
      <w:r>
        <w:rPr>
          <w:rFonts w:hint="eastAsia" w:ascii="黑体" w:hAnsi="黑体" w:eastAsia="黑体" w:cs="黑体"/>
          <w:bCs/>
          <w:kern w:val="0"/>
          <w:sz w:val="24"/>
          <w:lang w:val="en-US" w:eastAsia="zh-CN"/>
        </w:rPr>
        <w:t>5</w:t>
      </w:r>
      <w:r>
        <w:rPr>
          <w:rFonts w:hint="eastAsia" w:ascii="黑体" w:hAnsi="黑体" w:eastAsia="黑体" w:cs="黑体"/>
          <w:bCs/>
          <w:kern w:val="0"/>
          <w:sz w:val="24"/>
        </w:rPr>
        <w:t>寸L</w:t>
      </w:r>
      <w:r>
        <w:rPr>
          <w:rFonts w:hint="eastAsia" w:ascii="黑体" w:hAnsi="黑体" w:eastAsia="黑体" w:cs="黑体"/>
          <w:bCs/>
          <w:kern w:val="0"/>
          <w:sz w:val="24"/>
          <w:lang w:val="en-US" w:eastAsia="zh-CN"/>
        </w:rPr>
        <w:t>C</w:t>
      </w:r>
      <w:r>
        <w:rPr>
          <w:rFonts w:hint="eastAsia" w:ascii="黑体" w:hAnsi="黑体" w:eastAsia="黑体" w:cs="黑体"/>
          <w:bCs/>
          <w:kern w:val="0"/>
          <w:sz w:val="24"/>
        </w:rPr>
        <w:t>D液晶显示屏，全参数显示,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w:t>
      </w:r>
    </w:p>
    <w:p>
      <w:pPr>
        <w:widowControl/>
        <w:spacing w:before="75" w:after="75" w:line="276" w:lineRule="auto"/>
        <w:ind w:left="860" w:leftChars="118" w:hanging="600" w:hangingChars="250"/>
        <w:rPr>
          <w:rFonts w:hint="eastAsia" w:ascii="黑体" w:hAnsi="黑体" w:eastAsia="黑体" w:cs="黑体"/>
          <w:bCs/>
          <w:kern w:val="0"/>
          <w:sz w:val="24"/>
        </w:rPr>
      </w:pPr>
      <w:r>
        <w:rPr>
          <w:rFonts w:hint="eastAsia" w:ascii="黑体" w:hAnsi="黑体" w:eastAsia="黑体" w:cs="黑体"/>
          <w:bCs/>
          <w:kern w:val="0"/>
          <w:sz w:val="24"/>
        </w:rPr>
        <w:t xml:space="preserve"> 11、脚踏电动、手动按键、遥控电动三种方式灵活控制玻璃门升降，玻璃门升降到安全操作高度时，自动停止升降，使操作更加方便；且玻璃门升降时不用直接接触玻璃，使实验人员更安全；</w:t>
      </w:r>
    </w:p>
    <w:p>
      <w:pPr>
        <w:widowControl/>
        <w:spacing w:before="75" w:after="75" w:line="276" w:lineRule="auto"/>
        <w:ind w:left="860" w:leftChars="118" w:hanging="600" w:hangingChars="250"/>
        <w:rPr>
          <w:rFonts w:hint="eastAsia" w:ascii="黑体" w:hAnsi="黑体" w:eastAsia="黑体" w:cs="黑体"/>
          <w:bCs/>
          <w:kern w:val="0"/>
          <w:sz w:val="24"/>
        </w:rPr>
      </w:pPr>
      <w:r>
        <w:rPr>
          <w:rFonts w:hint="eastAsia" w:ascii="黑体" w:hAnsi="黑体" w:eastAsia="黑体" w:cs="黑体"/>
          <w:bCs/>
          <w:kern w:val="0"/>
          <w:sz w:val="24"/>
        </w:rPr>
        <w:t xml:space="preserve">  12、遥控控制：安全柜的所有按键操作，都可通过遥控控制实现，使安全柜的使用更加快捷方便；且遥控器的使用，大大减少了使用者与安全柜的直接接触，更加保护了使用者的人身安全；</w:t>
      </w:r>
    </w:p>
    <w:p>
      <w:pPr>
        <w:widowControl/>
        <w:spacing w:before="75" w:after="75" w:line="276" w:lineRule="auto"/>
        <w:ind w:left="860" w:leftChars="118" w:hanging="600" w:hangingChars="250"/>
        <w:rPr>
          <w:rFonts w:hint="eastAsia" w:ascii="黑体" w:hAnsi="黑体" w:eastAsia="黑体" w:cs="黑体"/>
          <w:bCs/>
          <w:kern w:val="0"/>
          <w:sz w:val="24"/>
        </w:rPr>
      </w:pPr>
      <w:r>
        <w:rPr>
          <w:rFonts w:hint="eastAsia" w:ascii="黑体" w:hAnsi="黑体" w:eastAsia="黑体" w:cs="黑体"/>
          <w:bCs/>
          <w:kern w:val="0"/>
          <w:sz w:val="24"/>
        </w:rPr>
        <w:t xml:space="preserve">  13、具有预约定时功能，能自动设定安全柜定时开机、关机及紫外灯消毒时间，大大节省了工作时间，提高了工作效率；</w:t>
      </w:r>
    </w:p>
    <w:p>
      <w:pPr>
        <w:widowControl/>
        <w:spacing w:before="75" w:after="75" w:line="276" w:lineRule="auto"/>
        <w:ind w:firstLine="523" w:firstLineChars="218"/>
        <w:rPr>
          <w:rFonts w:hint="eastAsia" w:ascii="黑体" w:hAnsi="黑体" w:eastAsia="黑体" w:cs="黑体"/>
          <w:bCs/>
          <w:kern w:val="0"/>
          <w:sz w:val="24"/>
        </w:rPr>
      </w:pPr>
      <w:r>
        <w:rPr>
          <w:rFonts w:hint="eastAsia" w:ascii="黑体" w:hAnsi="黑体" w:eastAsia="黑体" w:cs="黑体"/>
          <w:bCs/>
          <w:kern w:val="0"/>
          <w:sz w:val="24"/>
        </w:rPr>
        <w:t>14、严格的气密性检测：安全柜内加压500Pa，保持30min后气压不低于450Pa。</w:t>
      </w:r>
    </w:p>
    <w:p>
      <w:pPr>
        <w:widowControl/>
        <w:spacing w:before="75" w:after="75" w:line="276" w:lineRule="auto"/>
        <w:ind w:firstLine="523" w:firstLineChars="218"/>
        <w:rPr>
          <w:rFonts w:hint="eastAsia" w:ascii="黑体" w:hAnsi="黑体" w:eastAsia="黑体" w:cs="黑体"/>
          <w:bCs/>
          <w:kern w:val="0"/>
          <w:sz w:val="24"/>
        </w:rPr>
      </w:pPr>
      <w:r>
        <w:rPr>
          <w:rFonts w:hint="eastAsia" w:ascii="黑体" w:hAnsi="黑体" w:eastAsia="黑体" w:cs="黑体"/>
          <w:bCs/>
          <w:kern w:val="0"/>
          <w:sz w:val="24"/>
        </w:rPr>
        <w:t>15、前窗气流隔断设计：防止了气流通过前窗侧壁及上侧进行泄露，使试验更加安全；</w:t>
      </w:r>
    </w:p>
    <w:p>
      <w:pPr>
        <w:widowControl/>
        <w:spacing w:before="75" w:after="75" w:line="276" w:lineRule="auto"/>
        <w:ind w:left="590" w:leftChars="268"/>
        <w:rPr>
          <w:rFonts w:hint="eastAsia" w:ascii="黑体" w:hAnsi="黑体" w:eastAsia="黑体" w:cs="黑体"/>
          <w:bCs/>
          <w:kern w:val="0"/>
          <w:sz w:val="24"/>
        </w:rPr>
      </w:pPr>
      <w:r>
        <w:rPr>
          <w:rFonts w:hint="eastAsia" w:ascii="黑体" w:hAnsi="黑体" w:eastAsia="黑体" w:cs="黑体"/>
          <w:bCs/>
          <w:kern w:val="0"/>
          <w:sz w:val="24"/>
        </w:rPr>
        <w:t>16、优良的风机选用：风机的电机当安全柜在正常运行而不调整电机的速度控制，经过滤器的风压下降50%时，风机的排气量下降不超过10%</w:t>
      </w:r>
    </w:p>
    <w:p>
      <w:pPr>
        <w:widowControl/>
        <w:spacing w:before="75" w:after="75" w:line="276" w:lineRule="auto"/>
        <w:ind w:firstLine="480" w:firstLineChars="200"/>
        <w:rPr>
          <w:rFonts w:hint="eastAsia" w:ascii="黑体" w:hAnsi="黑体" w:eastAsia="黑体" w:cs="黑体"/>
          <w:bCs/>
          <w:kern w:val="0"/>
          <w:sz w:val="24"/>
        </w:rPr>
      </w:pPr>
      <w:r>
        <w:rPr>
          <w:rFonts w:hint="eastAsia" w:ascii="黑体" w:hAnsi="黑体" w:eastAsia="黑体" w:cs="黑体"/>
          <w:bCs/>
          <w:kern w:val="0"/>
          <w:sz w:val="24"/>
        </w:rPr>
        <w:t>17、完善的报警系统：</w:t>
      </w:r>
    </w:p>
    <w:p>
      <w:pPr>
        <w:widowControl/>
        <w:spacing w:before="75" w:after="75" w:line="276" w:lineRule="auto"/>
        <w:ind w:left="1370" w:leftChars="350" w:hanging="600" w:hangingChars="250"/>
        <w:rPr>
          <w:rFonts w:hint="eastAsia" w:ascii="黑体" w:hAnsi="黑体" w:eastAsia="黑体" w:cs="黑体"/>
          <w:bCs/>
          <w:kern w:val="0"/>
          <w:sz w:val="24"/>
        </w:rPr>
      </w:pPr>
      <w:r>
        <w:rPr>
          <w:rFonts w:hint="eastAsia" w:ascii="黑体" w:hAnsi="黑体" w:eastAsia="黑体" w:cs="黑体"/>
          <w:bCs/>
          <w:kern w:val="0"/>
          <w:sz w:val="24"/>
        </w:rPr>
        <w:t>（1）玻璃门不在安全高度报警：玻璃门安全高度为200mm，当安全柜前侧高于或低于安全高度时，安全柜会声光报警；</w:t>
      </w:r>
    </w:p>
    <w:p>
      <w:pPr>
        <w:widowControl/>
        <w:spacing w:before="75" w:after="75" w:line="276" w:lineRule="auto"/>
        <w:ind w:firstLine="720" w:firstLineChars="300"/>
        <w:rPr>
          <w:rFonts w:hint="eastAsia" w:ascii="黑体" w:hAnsi="黑体" w:eastAsia="黑体" w:cs="黑体"/>
          <w:bCs/>
          <w:kern w:val="0"/>
          <w:sz w:val="24"/>
        </w:rPr>
      </w:pPr>
      <w:r>
        <w:rPr>
          <w:rFonts w:hint="eastAsia" w:ascii="黑体" w:hAnsi="黑体" w:eastAsia="黑体" w:cs="黑体"/>
          <w:bCs/>
          <w:kern w:val="0"/>
          <w:sz w:val="24"/>
        </w:rPr>
        <w:t>（2）过滤器压力超高报警：当过滤器的阻力变大，安全柜会声光报警</w:t>
      </w:r>
    </w:p>
    <w:p>
      <w:pPr>
        <w:widowControl/>
        <w:spacing w:before="75" w:after="75" w:line="276" w:lineRule="auto"/>
        <w:ind w:firstLine="720" w:firstLineChars="300"/>
        <w:rPr>
          <w:rFonts w:hint="eastAsia" w:ascii="黑体" w:hAnsi="黑体" w:eastAsia="黑体" w:cs="黑体"/>
          <w:bCs/>
          <w:kern w:val="0"/>
          <w:sz w:val="24"/>
        </w:rPr>
      </w:pPr>
      <w:r>
        <w:rPr>
          <w:rFonts w:hint="eastAsia" w:ascii="黑体" w:hAnsi="黑体" w:eastAsia="黑体" w:cs="黑体"/>
          <w:bCs/>
          <w:kern w:val="0"/>
          <w:sz w:val="24"/>
        </w:rPr>
        <w:t>（3）过滤器失效更换报警：当过滤器寿命使用到期后，会有过滤器更换声光报警；</w:t>
      </w:r>
    </w:p>
    <w:p>
      <w:pPr>
        <w:widowControl/>
        <w:spacing w:before="75" w:after="75" w:line="276" w:lineRule="auto"/>
        <w:ind w:firstLine="720" w:firstLineChars="300"/>
        <w:rPr>
          <w:rFonts w:hint="eastAsia" w:ascii="黑体" w:hAnsi="黑体" w:eastAsia="黑体" w:cs="黑体"/>
          <w:bCs/>
          <w:kern w:val="0"/>
          <w:sz w:val="24"/>
        </w:rPr>
      </w:pPr>
      <w:r>
        <w:rPr>
          <w:rFonts w:hint="eastAsia" w:ascii="黑体" w:hAnsi="黑体" w:eastAsia="黑体" w:cs="黑体"/>
          <w:bCs/>
          <w:kern w:val="0"/>
          <w:sz w:val="24"/>
        </w:rPr>
        <w:t>（4）气流波动报警：当安全柜的气流波动超过标称值的20%时，声光报警，</w:t>
      </w:r>
    </w:p>
    <w:p>
      <w:pPr>
        <w:widowControl/>
        <w:spacing w:before="75" w:after="75" w:line="276" w:lineRule="auto"/>
        <w:ind w:left="330" w:leftChars="150" w:firstLine="120" w:firstLineChars="50"/>
        <w:rPr>
          <w:rFonts w:hint="eastAsia" w:ascii="黑体" w:hAnsi="黑体" w:eastAsia="黑体" w:cs="黑体"/>
          <w:bCs/>
          <w:kern w:val="0"/>
          <w:sz w:val="24"/>
        </w:rPr>
      </w:pPr>
      <w:r>
        <w:rPr>
          <w:rFonts w:hint="eastAsia" w:ascii="黑体" w:hAnsi="黑体" w:eastAsia="黑体" w:cs="黑体"/>
          <w:bCs/>
          <w:kern w:val="0"/>
          <w:sz w:val="24"/>
        </w:rPr>
        <w:t>18、安全的连锁保护设计：对误操作均设置连锁保护，即使误操作，也不会造成伤害</w:t>
      </w:r>
    </w:p>
    <w:p>
      <w:pPr>
        <w:widowControl/>
        <w:spacing w:before="75" w:after="75" w:line="276" w:lineRule="auto"/>
        <w:ind w:left="557" w:leftChars="253" w:firstLine="240" w:firstLineChars="100"/>
        <w:rPr>
          <w:rFonts w:hint="eastAsia" w:ascii="黑体" w:hAnsi="黑体" w:eastAsia="黑体" w:cs="黑体"/>
          <w:bCs/>
          <w:kern w:val="0"/>
          <w:sz w:val="24"/>
        </w:rPr>
      </w:pPr>
      <w:r>
        <w:rPr>
          <w:rFonts w:hint="eastAsia" w:ascii="黑体" w:hAnsi="黑体" w:eastAsia="黑体" w:cs="黑体"/>
          <w:bCs/>
          <w:kern w:val="0"/>
          <w:sz w:val="24"/>
        </w:rPr>
        <w:t>（1）安全柜风机与玻璃门互锁：当安全柜玻璃门落到最底部时，安全柜风机自动关闭，更改保护了安全柜的使用，增加了安全柜的使用寿命</w:t>
      </w:r>
    </w:p>
    <w:p>
      <w:pPr>
        <w:pStyle w:val="8"/>
        <w:rPr>
          <w:rFonts w:hint="eastAsia" w:ascii="黑体" w:hAnsi="黑体" w:eastAsia="黑体" w:cs="黑体"/>
          <w:bCs/>
          <w:kern w:val="0"/>
          <w:sz w:val="24"/>
        </w:rPr>
      </w:pPr>
      <w:r>
        <w:rPr>
          <w:rFonts w:hint="eastAsia" w:ascii="黑体" w:hAnsi="黑体" w:eastAsia="黑体" w:cs="黑体"/>
          <w:bCs/>
          <w:kern w:val="0"/>
          <w:sz w:val="24"/>
        </w:rPr>
        <w:t>（2）紫外灯与安全柜玻璃门、风机及照明灯互锁：当玻璃落到底部且照明灯不开启时，紫外灯才能开启，防止紫外灯误操作对人体造成危害，更加保护了人员的安全；</w:t>
      </w:r>
    </w:p>
    <w:p>
      <w:pPr>
        <w:pStyle w:val="8"/>
        <w:jc w:val="center"/>
        <w:rPr>
          <w:rFonts w:hint="eastAsia"/>
        </w:rPr>
      </w:pPr>
      <w:r>
        <w:rPr>
          <w:rFonts w:hint="eastAsia" w:ascii="Noto Sans Mono CJK JP Regular" w:hAnsi="Noto Sans Mono CJK JP Regular" w:eastAsia="Noto Sans Mono CJK JP Regular" w:cs="Noto Sans Mono CJK JP Regular"/>
          <w:b/>
          <w:bCs/>
          <w:sz w:val="32"/>
          <w:szCs w:val="32"/>
          <w:lang w:val="zh-CN" w:eastAsia="zh-CN" w:bidi="zh-CN"/>
        </w:rPr>
        <w:t>立式灭菌器参数</w:t>
      </w:r>
    </w:p>
    <w:p>
      <w:pPr>
        <w:numPr>
          <w:ilvl w:val="0"/>
          <w:numId w:val="71"/>
        </w:numPr>
        <w:spacing w:line="276" w:lineRule="auto"/>
        <w:rPr>
          <w:rFonts w:hint="eastAsia" w:ascii="黑体" w:hAnsi="黑体" w:eastAsia="黑体" w:cs="黑体"/>
          <w:b/>
          <w:bCs/>
          <w:color w:val="333333"/>
          <w:sz w:val="24"/>
          <w:szCs w:val="24"/>
          <w:shd w:val="clear" w:color="auto" w:fill="FFFFFF"/>
        </w:rPr>
      </w:pPr>
      <w:r>
        <w:rPr>
          <w:rFonts w:hint="eastAsia" w:ascii="黑体" w:hAnsi="黑体" w:eastAsia="黑体" w:cs="黑体"/>
          <w:b/>
          <w:bCs/>
          <w:color w:val="333333"/>
          <w:sz w:val="24"/>
          <w:szCs w:val="24"/>
          <w:shd w:val="clear" w:color="auto" w:fill="FFFFFF"/>
        </w:rPr>
        <w:t>产品技术参数.</w:t>
      </w:r>
    </w:p>
    <w:p>
      <w:pPr>
        <w:numPr>
          <w:ilvl w:val="0"/>
          <w:numId w:val="0"/>
        </w:numPr>
        <w:spacing w:line="276" w:lineRule="auto"/>
        <w:rPr>
          <w:rFonts w:hint="eastAsia" w:ascii="黑体" w:hAnsi="黑体" w:eastAsia="黑体" w:cs="黑体"/>
          <w:b/>
          <w:bCs/>
          <w:color w:val="333333"/>
          <w:sz w:val="24"/>
          <w:szCs w:val="24"/>
          <w:shd w:val="clear" w:color="auto" w:fill="FFFFFF"/>
          <w:lang w:eastAsia="zh-CN"/>
        </w:rPr>
      </w:pPr>
      <w:r>
        <w:rPr>
          <w:rFonts w:hint="eastAsia" w:ascii="黑体" w:hAnsi="黑体" w:eastAsia="黑体" w:cs="黑体"/>
          <w:color w:val="000000"/>
          <w:kern w:val="0"/>
          <w:sz w:val="24"/>
          <w:szCs w:val="24"/>
        </w:rPr>
        <w:t>容积</w:t>
      </w:r>
      <w:r>
        <w:rPr>
          <w:rFonts w:hint="eastAsia" w:ascii="黑体" w:hAnsi="黑体" w:eastAsia="黑体" w:cs="黑体"/>
          <w:color w:val="000000"/>
          <w:kern w:val="0"/>
          <w:sz w:val="24"/>
          <w:szCs w:val="24"/>
          <w:lang w:eastAsia="zh-CN"/>
        </w:rPr>
        <w:t>：≥</w:t>
      </w:r>
      <w:r>
        <w:rPr>
          <w:rFonts w:hint="eastAsia" w:ascii="黑体" w:hAnsi="黑体" w:eastAsia="黑体" w:cs="黑体"/>
          <w:color w:val="000000"/>
          <w:kern w:val="0"/>
          <w:sz w:val="24"/>
          <w:szCs w:val="24"/>
        </w:rPr>
        <w:t>100L</w:t>
      </w:r>
    </w:p>
    <w:p>
      <w:pPr>
        <w:numPr>
          <w:ilvl w:val="0"/>
          <w:numId w:val="72"/>
        </w:numPr>
        <w:spacing w:line="276" w:lineRule="auto"/>
        <w:rPr>
          <w:rFonts w:hint="eastAsia" w:ascii="黑体" w:hAnsi="黑体" w:eastAsia="黑体" w:cs="黑体"/>
          <w:color w:val="333333"/>
          <w:sz w:val="24"/>
          <w:szCs w:val="24"/>
          <w:shd w:val="clear" w:color="auto" w:fill="FFFFFF"/>
        </w:rPr>
      </w:pPr>
      <w:r>
        <w:rPr>
          <w:rFonts w:hint="eastAsia" w:ascii="黑体" w:hAnsi="黑体" w:eastAsia="黑体" w:cs="黑体"/>
          <w:b/>
          <w:bCs/>
          <w:color w:val="333333"/>
          <w:sz w:val="24"/>
          <w:szCs w:val="24"/>
          <w:shd w:val="clear" w:color="auto" w:fill="FFFFFF"/>
        </w:rPr>
        <w:t>产品技术特点</w:t>
      </w:r>
    </w:p>
    <w:p>
      <w:pPr>
        <w:spacing w:line="276" w:lineRule="auto"/>
        <w:rPr>
          <w:rFonts w:hint="eastAsia" w:ascii="黑体" w:hAnsi="黑体" w:eastAsia="黑体" w:cs="黑体"/>
          <w:color w:val="333333"/>
          <w:sz w:val="24"/>
          <w:szCs w:val="24"/>
          <w:shd w:val="clear" w:color="auto" w:fill="FFFFFF"/>
          <w:lang w:val="en-US" w:eastAsia="zh-CN"/>
        </w:rPr>
      </w:pPr>
      <w:r>
        <w:rPr>
          <w:rFonts w:hint="eastAsia" w:ascii="黑体" w:hAnsi="黑体" w:eastAsia="黑体" w:cs="黑体"/>
          <w:color w:val="333333"/>
          <w:sz w:val="24"/>
          <w:szCs w:val="24"/>
          <w:shd w:val="clear" w:color="auto" w:fill="FFFFFF"/>
        </w:rPr>
        <w:t>1.额定工作压力0.23M</w:t>
      </w:r>
      <w:r>
        <w:rPr>
          <w:rFonts w:hint="eastAsia" w:ascii="黑体" w:hAnsi="黑体" w:eastAsia="黑体" w:cs="黑体"/>
          <w:color w:val="333333"/>
          <w:sz w:val="24"/>
          <w:szCs w:val="24"/>
          <w:shd w:val="clear" w:color="auto" w:fill="FFFFFF"/>
          <w:lang w:val="en-US" w:eastAsia="zh-CN"/>
        </w:rPr>
        <w:t>P</w:t>
      </w:r>
      <w:r>
        <w:rPr>
          <w:rFonts w:hint="eastAsia" w:ascii="黑体" w:hAnsi="黑体" w:eastAsia="黑体" w:cs="黑体"/>
          <w:color w:val="333333"/>
          <w:sz w:val="24"/>
          <w:szCs w:val="24"/>
          <w:shd w:val="clear" w:color="auto" w:fill="FFFFFF"/>
        </w:rPr>
        <w:t>a，</w:t>
      </w:r>
      <w:r>
        <w:rPr>
          <w:rFonts w:hint="eastAsia" w:ascii="黑体" w:hAnsi="黑体" w:eastAsia="黑体" w:cs="黑体"/>
          <w:color w:val="333333"/>
          <w:sz w:val="24"/>
          <w:szCs w:val="24"/>
          <w:shd w:val="clear" w:color="auto" w:fill="FFFFFF"/>
          <w:lang w:val="en-US" w:eastAsia="zh-CN"/>
        </w:rPr>
        <w:t>设计压力0.28MPa，安全阀整定压力 0.28MPa。压力表量程：0-0.4MPa，精度等级1.6级。</w:t>
      </w:r>
    </w:p>
    <w:p>
      <w:pPr>
        <w:spacing w:line="276" w:lineRule="auto"/>
        <w:rPr>
          <w:rFonts w:hint="eastAsia" w:ascii="黑体" w:hAnsi="黑体" w:eastAsia="黑体" w:cs="黑体"/>
          <w:color w:val="333333"/>
          <w:sz w:val="24"/>
          <w:szCs w:val="24"/>
          <w:shd w:val="clear" w:color="auto" w:fill="FFFFFF"/>
          <w:lang w:val="en-US" w:eastAsia="zh-CN"/>
        </w:rPr>
      </w:pPr>
      <w:r>
        <w:rPr>
          <w:rFonts w:hint="eastAsia" w:ascii="黑体" w:hAnsi="黑体" w:eastAsia="黑体" w:cs="黑体"/>
          <w:color w:val="333333"/>
          <w:sz w:val="24"/>
          <w:szCs w:val="24"/>
          <w:shd w:val="clear" w:color="auto" w:fill="FFFFFF"/>
        </w:rPr>
        <w:t>2.额定工作温度134℃</w:t>
      </w:r>
      <w:r>
        <w:rPr>
          <w:rFonts w:hint="eastAsia" w:ascii="黑体" w:hAnsi="黑体" w:eastAsia="黑体" w:cs="黑体"/>
          <w:color w:val="333333"/>
          <w:sz w:val="24"/>
          <w:szCs w:val="24"/>
          <w:shd w:val="clear" w:color="auto" w:fill="FFFFFF"/>
          <w:lang w:eastAsia="zh-CN"/>
        </w:rPr>
        <w:t>，</w:t>
      </w:r>
      <w:r>
        <w:rPr>
          <w:rFonts w:hint="eastAsia" w:ascii="黑体" w:hAnsi="黑体" w:eastAsia="黑体" w:cs="黑体"/>
          <w:color w:val="333333"/>
          <w:sz w:val="24"/>
          <w:szCs w:val="24"/>
          <w:shd w:val="clear" w:color="auto" w:fill="FFFFFF"/>
          <w:lang w:val="en-US" w:eastAsia="zh-CN"/>
        </w:rPr>
        <w:t xml:space="preserve">设计温度150℃ </w:t>
      </w:r>
    </w:p>
    <w:p>
      <w:pPr>
        <w:spacing w:line="276" w:lineRule="auto"/>
        <w:rPr>
          <w:rFonts w:hint="eastAsia" w:ascii="黑体" w:hAnsi="黑体" w:eastAsia="黑体" w:cs="黑体"/>
          <w:color w:val="333333"/>
          <w:sz w:val="24"/>
          <w:szCs w:val="24"/>
          <w:shd w:val="clear" w:color="auto" w:fill="FFFFFF"/>
          <w:lang w:val="en-US" w:eastAsia="zh-CN"/>
        </w:rPr>
      </w:pPr>
      <w:r>
        <w:rPr>
          <w:rFonts w:hint="eastAsia" w:ascii="黑体" w:hAnsi="黑体" w:eastAsia="黑体" w:cs="黑体"/>
          <w:color w:val="333333"/>
          <w:sz w:val="24"/>
          <w:szCs w:val="24"/>
          <w:shd w:val="clear" w:color="auto" w:fill="FFFFFF"/>
        </w:rPr>
        <w:t>3.使用温度105～136℃</w:t>
      </w:r>
      <w:r>
        <w:rPr>
          <w:rFonts w:hint="eastAsia" w:ascii="黑体" w:hAnsi="黑体" w:eastAsia="黑体" w:cs="黑体"/>
          <w:color w:val="333333"/>
          <w:sz w:val="24"/>
          <w:szCs w:val="24"/>
          <w:shd w:val="clear" w:color="auto" w:fill="FFFFFF"/>
          <w:lang w:eastAsia="zh-CN"/>
        </w:rPr>
        <w:t>，</w:t>
      </w:r>
      <w:r>
        <w:rPr>
          <w:rFonts w:hint="eastAsia" w:ascii="黑体" w:hAnsi="黑体" w:eastAsia="黑体" w:cs="黑体"/>
          <w:color w:val="333333"/>
          <w:sz w:val="24"/>
          <w:szCs w:val="24"/>
          <w:shd w:val="clear" w:color="auto" w:fill="FFFFFF"/>
          <w:lang w:val="en-US" w:eastAsia="zh-CN"/>
        </w:rPr>
        <w:t>灭菌时间0-999min</w:t>
      </w:r>
    </w:p>
    <w:p>
      <w:pPr>
        <w:spacing w:line="276" w:lineRule="auto"/>
        <w:rPr>
          <w:rFonts w:hint="eastAsia" w:ascii="黑体" w:hAnsi="黑体" w:eastAsia="黑体" w:cs="黑体"/>
          <w:color w:val="333333"/>
          <w:sz w:val="24"/>
          <w:szCs w:val="24"/>
          <w:shd w:val="clear" w:color="auto" w:fill="FFFFFF"/>
          <w:lang w:val="en-US" w:eastAsia="zh-CN"/>
        </w:rPr>
      </w:pPr>
      <w:r>
        <w:rPr>
          <w:rFonts w:hint="eastAsia" w:ascii="黑体" w:hAnsi="黑体" w:eastAsia="黑体" w:cs="黑体"/>
          <w:color w:val="333333"/>
          <w:sz w:val="24"/>
          <w:szCs w:val="24"/>
          <w:shd w:val="clear" w:color="auto" w:fill="FFFFFF"/>
          <w:lang w:val="en-US" w:eastAsia="zh-CN"/>
        </w:rPr>
        <w:t>保温温度45-60℃，保温时间0-99min</w:t>
      </w:r>
    </w:p>
    <w:p>
      <w:pPr>
        <w:spacing w:line="276" w:lineRule="auto"/>
        <w:rPr>
          <w:rFonts w:hint="eastAsia" w:ascii="黑体" w:hAnsi="黑体" w:eastAsia="黑体" w:cs="黑体"/>
          <w:color w:val="333333"/>
          <w:sz w:val="24"/>
          <w:szCs w:val="24"/>
          <w:shd w:val="clear" w:color="auto" w:fill="FFFFFF"/>
          <w:lang w:val="en-US" w:eastAsia="zh-CN"/>
        </w:rPr>
      </w:pPr>
      <w:r>
        <w:rPr>
          <w:rFonts w:hint="eastAsia" w:ascii="黑体" w:hAnsi="黑体" w:eastAsia="黑体" w:cs="黑体"/>
          <w:color w:val="333333"/>
          <w:sz w:val="24"/>
          <w:szCs w:val="24"/>
          <w:shd w:val="clear" w:color="auto" w:fill="FFFFFF"/>
          <w:lang w:val="en-US" w:eastAsia="zh-CN"/>
        </w:rPr>
        <w:t>具有快排和慢排两种排气方式</w:t>
      </w:r>
    </w:p>
    <w:p>
      <w:pPr>
        <w:spacing w:line="276" w:lineRule="auto"/>
        <w:rPr>
          <w:rFonts w:hint="eastAsia" w:ascii="黑体" w:hAnsi="黑体" w:eastAsia="黑体" w:cs="黑体"/>
          <w:color w:val="333333"/>
          <w:sz w:val="24"/>
          <w:szCs w:val="24"/>
          <w:shd w:val="clear" w:color="auto" w:fill="FFFFFF"/>
        </w:rPr>
      </w:pPr>
      <w:r>
        <w:rPr>
          <w:rFonts w:hint="eastAsia" w:ascii="黑体" w:hAnsi="黑体" w:eastAsia="黑体" w:cs="黑体"/>
          <w:color w:val="333333"/>
          <w:sz w:val="24"/>
          <w:szCs w:val="24"/>
          <w:shd w:val="clear" w:color="auto" w:fill="FFFFFF"/>
        </w:rPr>
        <w:t>4.</w:t>
      </w:r>
      <w:r>
        <w:rPr>
          <w:rFonts w:hint="eastAsia" w:ascii="黑体" w:hAnsi="黑体" w:eastAsia="黑体" w:cs="黑体"/>
          <w:sz w:val="24"/>
          <w:szCs w:val="24"/>
        </w:rPr>
        <w:t>可提供经国家食品药品监督管理局认可检验中心的检测报告。</w:t>
      </w:r>
    </w:p>
    <w:p>
      <w:pPr>
        <w:spacing w:line="276" w:lineRule="auto"/>
        <w:rPr>
          <w:rFonts w:hint="eastAsia" w:ascii="黑体" w:hAnsi="黑体" w:eastAsia="黑体" w:cs="黑体"/>
          <w:color w:val="333333"/>
          <w:sz w:val="24"/>
          <w:szCs w:val="24"/>
          <w:shd w:val="clear" w:color="auto" w:fill="FFFFFF"/>
          <w:lang w:eastAsia="zh-CN"/>
        </w:rPr>
      </w:pPr>
      <w:r>
        <w:rPr>
          <w:rFonts w:hint="eastAsia" w:ascii="黑体" w:hAnsi="黑体" w:eastAsia="黑体" w:cs="黑体"/>
          <w:color w:val="333333"/>
          <w:sz w:val="24"/>
          <w:szCs w:val="24"/>
          <w:shd w:val="clear" w:color="auto" w:fill="FFFFFF"/>
        </w:rPr>
        <w:t>5.灭菌腔体、灭菌提篮均为优质不锈钢SUS304材质制成，内部抛光处理，</w:t>
      </w:r>
      <w:r>
        <w:rPr>
          <w:rFonts w:hint="eastAsia" w:ascii="黑体" w:hAnsi="黑体" w:eastAsia="黑体" w:cs="黑体"/>
          <w:color w:val="333333"/>
          <w:sz w:val="24"/>
          <w:szCs w:val="24"/>
          <w:shd w:val="clear" w:color="auto" w:fill="FFFFFF"/>
          <w:lang w:eastAsia="zh-CN"/>
        </w:rPr>
        <w:t>机器内置水箱，</w:t>
      </w:r>
      <w:r>
        <w:rPr>
          <w:rFonts w:hint="eastAsia" w:ascii="黑体" w:hAnsi="黑体" w:eastAsia="黑体" w:cs="黑体"/>
          <w:color w:val="333333"/>
          <w:sz w:val="24"/>
          <w:szCs w:val="24"/>
          <w:shd w:val="clear" w:color="auto" w:fill="FFFFFF"/>
        </w:rPr>
        <w:t>汽水内循环。</w:t>
      </w:r>
    </w:p>
    <w:p>
      <w:pPr>
        <w:pStyle w:val="54"/>
        <w:spacing w:line="276" w:lineRule="auto"/>
        <w:ind w:left="-374" w:leftChars="-170" w:firstLine="0" w:firstLineChars="0"/>
        <w:rPr>
          <w:rFonts w:hint="eastAsia" w:ascii="黑体" w:hAnsi="黑体" w:eastAsia="黑体" w:cs="黑体"/>
          <w:color w:val="333333"/>
          <w:sz w:val="24"/>
          <w:szCs w:val="24"/>
          <w:shd w:val="clear" w:color="auto" w:fill="FFFFFF"/>
        </w:rPr>
      </w:pPr>
      <w:r>
        <w:rPr>
          <w:rFonts w:hint="eastAsia" w:ascii="黑体" w:hAnsi="黑体" w:eastAsia="黑体" w:cs="黑体"/>
          <w:color w:val="333333"/>
          <w:sz w:val="24"/>
          <w:szCs w:val="24"/>
          <w:shd w:val="clear" w:color="auto" w:fill="FFFFFF"/>
        </w:rPr>
        <w:t xml:space="preserve">   6.手轮式平移门结构，并具有门安全联锁装置及门检测装置，有压力时门无法打开，门关闭不到位程序不能运行。</w:t>
      </w:r>
    </w:p>
    <w:p>
      <w:pPr>
        <w:pStyle w:val="54"/>
        <w:spacing w:line="276" w:lineRule="auto"/>
        <w:ind w:left="-374" w:leftChars="-170" w:firstLine="0" w:firstLineChars="0"/>
        <w:rPr>
          <w:rFonts w:hint="eastAsia" w:ascii="黑体" w:hAnsi="黑体" w:eastAsia="黑体" w:cs="黑体"/>
          <w:color w:val="333333"/>
          <w:sz w:val="24"/>
          <w:szCs w:val="24"/>
          <w:shd w:val="clear" w:color="auto" w:fill="FFFFFF"/>
        </w:rPr>
      </w:pPr>
      <w:r>
        <w:rPr>
          <w:rFonts w:hint="eastAsia" w:ascii="黑体" w:hAnsi="黑体" w:eastAsia="黑体" w:cs="黑体"/>
          <w:color w:val="333333"/>
          <w:sz w:val="24"/>
          <w:szCs w:val="24"/>
          <w:shd w:val="clear" w:color="auto" w:fill="FFFFFF"/>
        </w:rPr>
        <w:t xml:space="preserve">   7.具有防干烧报警、超压自泄、超温保护、电力安全保护，所有报警具有声光警示。</w:t>
      </w:r>
    </w:p>
    <w:p>
      <w:pPr>
        <w:pStyle w:val="54"/>
        <w:spacing w:line="276" w:lineRule="auto"/>
        <w:ind w:left="-374" w:leftChars="-170" w:firstLine="420" w:firstLineChars="0"/>
        <w:rPr>
          <w:rFonts w:hint="eastAsia" w:ascii="黑体" w:hAnsi="黑体" w:eastAsia="黑体" w:cs="黑体"/>
          <w:color w:val="333333"/>
          <w:sz w:val="24"/>
          <w:szCs w:val="24"/>
          <w:shd w:val="clear" w:color="auto" w:fill="FFFFFF"/>
          <w:lang w:eastAsia="zh-CN"/>
        </w:rPr>
      </w:pPr>
      <w:r>
        <w:rPr>
          <w:rFonts w:hint="eastAsia" w:ascii="黑体" w:hAnsi="黑体" w:eastAsia="黑体" w:cs="黑体"/>
          <w:color w:val="333333"/>
          <w:sz w:val="24"/>
          <w:szCs w:val="24"/>
          <w:shd w:val="clear" w:color="auto" w:fill="FFFFFF"/>
        </w:rPr>
        <w:t>防干烧保护装置：水位过低时，系统自动切断加热电源</w:t>
      </w:r>
      <w:r>
        <w:rPr>
          <w:rFonts w:hint="eastAsia" w:ascii="黑体" w:hAnsi="黑体" w:eastAsia="黑体" w:cs="黑体"/>
          <w:color w:val="333333"/>
          <w:sz w:val="24"/>
          <w:szCs w:val="24"/>
          <w:shd w:val="clear" w:color="auto" w:fill="FFFFFF"/>
          <w:lang w:eastAsia="zh-CN"/>
        </w:rPr>
        <w:t>。</w:t>
      </w:r>
    </w:p>
    <w:p>
      <w:pPr>
        <w:pStyle w:val="54"/>
        <w:spacing w:line="276" w:lineRule="auto"/>
        <w:ind w:left="-374" w:leftChars="-170" w:firstLine="420" w:firstLineChars="0"/>
        <w:rPr>
          <w:rFonts w:hint="eastAsia" w:ascii="黑体" w:hAnsi="黑体" w:eastAsia="黑体" w:cs="黑体"/>
          <w:color w:val="333333"/>
          <w:sz w:val="24"/>
          <w:szCs w:val="24"/>
          <w:shd w:val="clear" w:color="auto" w:fill="FFFFFF"/>
          <w:lang w:eastAsia="zh-CN"/>
        </w:rPr>
      </w:pPr>
      <w:r>
        <w:rPr>
          <w:rFonts w:hint="eastAsia" w:ascii="黑体" w:hAnsi="黑体" w:eastAsia="黑体" w:cs="黑体"/>
          <w:color w:val="333333"/>
          <w:sz w:val="24"/>
          <w:szCs w:val="24"/>
          <w:shd w:val="clear" w:color="auto" w:fill="FFFFFF"/>
          <w:lang w:eastAsia="zh-CN"/>
        </w:rPr>
        <w:t>水位检测报警功能：灭菌器内水位未达到规定水位，低水位报警，自动切断加热电源。</w:t>
      </w:r>
    </w:p>
    <w:p>
      <w:pPr>
        <w:pStyle w:val="54"/>
        <w:spacing w:line="276" w:lineRule="auto"/>
        <w:ind w:left="-374" w:leftChars="-170" w:firstLine="420" w:firstLineChars="0"/>
        <w:rPr>
          <w:rFonts w:hint="eastAsia" w:ascii="黑体" w:hAnsi="黑体" w:eastAsia="黑体" w:cs="黑体"/>
          <w:color w:val="333333"/>
          <w:sz w:val="24"/>
          <w:szCs w:val="24"/>
          <w:shd w:val="clear" w:color="auto" w:fill="FFFFFF"/>
          <w:lang w:eastAsia="zh-CN"/>
        </w:rPr>
      </w:pPr>
      <w:r>
        <w:rPr>
          <w:rFonts w:hint="eastAsia" w:ascii="黑体" w:hAnsi="黑体" w:eastAsia="黑体" w:cs="黑体"/>
          <w:color w:val="333333"/>
          <w:sz w:val="24"/>
          <w:szCs w:val="24"/>
          <w:shd w:val="clear" w:color="auto" w:fill="FFFFFF"/>
          <w:lang w:eastAsia="zh-CN"/>
        </w:rPr>
        <w:t>过流保护装置：设备电流过载时，过流保护开关动作，系统自动切断电源。</w:t>
      </w:r>
    </w:p>
    <w:p>
      <w:pPr>
        <w:pStyle w:val="54"/>
        <w:spacing w:line="276" w:lineRule="auto"/>
        <w:ind w:left="-374" w:leftChars="-170" w:firstLine="420" w:firstLineChars="0"/>
        <w:rPr>
          <w:rFonts w:hint="eastAsia" w:ascii="黑体" w:hAnsi="黑体" w:eastAsia="黑体" w:cs="黑体"/>
          <w:color w:val="333333"/>
          <w:sz w:val="24"/>
          <w:szCs w:val="24"/>
          <w:shd w:val="clear" w:color="auto" w:fill="FFFFFF"/>
          <w:lang w:val="en-US" w:eastAsia="zh-CN"/>
        </w:rPr>
      </w:pPr>
      <w:r>
        <w:rPr>
          <w:rFonts w:hint="eastAsia" w:ascii="黑体" w:hAnsi="黑体" w:eastAsia="黑体" w:cs="黑体"/>
          <w:color w:val="333333"/>
          <w:sz w:val="24"/>
          <w:szCs w:val="24"/>
          <w:shd w:val="clear" w:color="auto" w:fill="FFFFFF"/>
          <w:lang w:val="en-US" w:eastAsia="zh-CN"/>
        </w:rPr>
        <w:t>8.采用重力置换和正压脉动排气方式，脉动次数0-9次。</w:t>
      </w:r>
    </w:p>
    <w:p>
      <w:pPr>
        <w:pStyle w:val="54"/>
        <w:spacing w:line="276" w:lineRule="auto"/>
        <w:ind w:left="-374" w:leftChars="-170" w:firstLine="420" w:firstLineChars="0"/>
        <w:rPr>
          <w:rFonts w:hint="eastAsia" w:ascii="黑体" w:hAnsi="黑体" w:eastAsia="黑体" w:cs="黑体"/>
          <w:color w:val="333333"/>
          <w:sz w:val="24"/>
          <w:szCs w:val="24"/>
          <w:shd w:val="clear" w:color="auto" w:fill="FFFFFF"/>
          <w:lang w:val="en-US" w:eastAsia="zh-CN"/>
        </w:rPr>
      </w:pPr>
      <w:r>
        <w:rPr>
          <w:rFonts w:hint="eastAsia" w:ascii="黑体" w:hAnsi="黑体" w:eastAsia="黑体" w:cs="黑体"/>
          <w:color w:val="333333"/>
          <w:sz w:val="24"/>
          <w:szCs w:val="24"/>
          <w:shd w:val="clear" w:color="auto" w:fill="FFFFFF"/>
          <w:lang w:val="en-US" w:eastAsia="zh-CN"/>
        </w:rPr>
        <w:t>9.蒸汽产生方式：主体内加热，直接产生饱和蒸汽，无需外接蒸汽源。</w:t>
      </w:r>
    </w:p>
    <w:p>
      <w:pPr>
        <w:pStyle w:val="54"/>
        <w:spacing w:line="276" w:lineRule="auto"/>
        <w:ind w:left="-374" w:leftChars="-170" w:firstLine="420" w:firstLineChars="0"/>
        <w:rPr>
          <w:rFonts w:hint="eastAsia" w:ascii="黑体" w:hAnsi="黑体" w:eastAsia="黑体" w:cs="黑体"/>
          <w:color w:val="333333"/>
          <w:sz w:val="24"/>
          <w:szCs w:val="24"/>
          <w:shd w:val="clear" w:color="auto" w:fill="FFFFFF"/>
          <w:lang w:val="en-US" w:eastAsia="zh-CN"/>
        </w:rPr>
      </w:pPr>
      <w:r>
        <w:rPr>
          <w:rFonts w:hint="eastAsia" w:ascii="黑体" w:hAnsi="黑体" w:eastAsia="黑体" w:cs="黑体"/>
          <w:color w:val="333333"/>
          <w:sz w:val="24"/>
          <w:szCs w:val="24"/>
          <w:shd w:val="clear" w:color="auto" w:fill="FFFFFF"/>
          <w:lang w:val="en-US" w:eastAsia="zh-CN"/>
        </w:rPr>
        <w:t>10.门罩采用玻璃钢高效隔热材料。</w:t>
      </w:r>
    </w:p>
    <w:p>
      <w:pPr>
        <w:pStyle w:val="54"/>
        <w:spacing w:line="276" w:lineRule="auto"/>
        <w:ind w:left="-374" w:leftChars="-170" w:firstLine="420" w:firstLineChars="0"/>
        <w:rPr>
          <w:rFonts w:hint="eastAsia" w:ascii="黑体" w:hAnsi="黑体" w:eastAsia="黑体" w:cs="黑体"/>
          <w:color w:val="333333"/>
          <w:sz w:val="24"/>
          <w:szCs w:val="24"/>
          <w:shd w:val="clear" w:color="auto" w:fill="FFFFFF"/>
          <w:lang w:val="en-US" w:eastAsia="zh-CN"/>
        </w:rPr>
      </w:pPr>
      <w:r>
        <w:rPr>
          <w:rFonts w:hint="eastAsia" w:ascii="黑体" w:hAnsi="黑体" w:eastAsia="黑体" w:cs="黑体"/>
          <w:color w:val="333333"/>
          <w:sz w:val="24"/>
          <w:szCs w:val="24"/>
          <w:shd w:val="clear" w:color="auto" w:fill="FFFFFF"/>
          <w:lang w:val="en-US" w:eastAsia="zh-CN"/>
        </w:rPr>
        <w:t>11.测试接口为G1/2A接口。</w:t>
      </w:r>
    </w:p>
    <w:p>
      <w:pPr>
        <w:pStyle w:val="54"/>
        <w:spacing w:line="276" w:lineRule="auto"/>
        <w:ind w:firstLine="0" w:firstLineChars="0"/>
        <w:rPr>
          <w:rFonts w:hint="eastAsia" w:ascii="黑体" w:hAnsi="黑体" w:eastAsia="黑体" w:cs="黑体"/>
          <w:sz w:val="24"/>
          <w:szCs w:val="24"/>
        </w:rPr>
      </w:pPr>
      <w:r>
        <w:rPr>
          <w:rFonts w:hint="eastAsia" w:ascii="黑体" w:hAnsi="黑体" w:eastAsia="黑体" w:cs="黑体"/>
          <w:color w:val="333333"/>
          <w:sz w:val="24"/>
          <w:szCs w:val="24"/>
          <w:shd w:val="clear" w:color="auto" w:fill="FFFFFF"/>
          <w:lang w:val="en-US" w:eastAsia="zh-CN"/>
        </w:rPr>
        <w:t>12</w:t>
      </w:r>
      <w:r>
        <w:rPr>
          <w:rFonts w:hint="eastAsia" w:ascii="黑体" w:hAnsi="黑体" w:eastAsia="黑体" w:cs="黑体"/>
          <w:color w:val="333333"/>
          <w:sz w:val="24"/>
          <w:szCs w:val="24"/>
          <w:shd w:val="clear" w:color="auto" w:fill="FFFFFF"/>
        </w:rPr>
        <w:t>.</w:t>
      </w:r>
      <w:r>
        <w:rPr>
          <w:rFonts w:hint="eastAsia" w:ascii="黑体" w:hAnsi="黑体" w:eastAsia="黑体" w:cs="黑体"/>
          <w:sz w:val="24"/>
          <w:szCs w:val="24"/>
        </w:rPr>
        <w:t>LED数字显示灭菌腔内温度、时间和故障报警代码。</w:t>
      </w:r>
      <w:r>
        <w:rPr>
          <w:rFonts w:hint="eastAsia" w:ascii="黑体" w:hAnsi="黑体" w:eastAsia="黑体" w:cs="黑体"/>
          <w:sz w:val="24"/>
          <w:szCs w:val="24"/>
          <w:lang w:val="en-US" w:eastAsia="zh-CN"/>
        </w:rPr>
        <w:t>温度显示精度0.1℃。</w:t>
      </w:r>
    </w:p>
    <w:p>
      <w:pPr>
        <w:pStyle w:val="54"/>
        <w:spacing w:line="276" w:lineRule="auto"/>
        <w:ind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13</w:t>
      </w:r>
      <w:r>
        <w:rPr>
          <w:rFonts w:hint="eastAsia" w:ascii="黑体" w:hAnsi="黑体" w:eastAsia="黑体" w:cs="黑体"/>
          <w:sz w:val="24"/>
          <w:szCs w:val="24"/>
        </w:rPr>
        <w:t>.自胀式硅橡胶密封圈，密封效果好，使用寿命长。</w:t>
      </w:r>
    </w:p>
    <w:p>
      <w:pPr>
        <w:pStyle w:val="54"/>
        <w:spacing w:line="276" w:lineRule="auto"/>
        <w:ind w:left="-374" w:leftChars="-170" w:firstLine="0" w:firstLineChars="0"/>
        <w:rPr>
          <w:rFonts w:hint="eastAsia" w:ascii="黑体" w:hAnsi="黑体" w:eastAsia="黑体" w:cs="黑体"/>
          <w:sz w:val="24"/>
          <w:szCs w:val="24"/>
        </w:rPr>
      </w:pPr>
      <w:r>
        <w:rPr>
          <w:rFonts w:hint="eastAsia" w:ascii="黑体" w:hAnsi="黑体" w:eastAsia="黑体" w:cs="黑体"/>
          <w:color w:val="333333"/>
          <w:sz w:val="24"/>
          <w:szCs w:val="24"/>
          <w:shd w:val="clear" w:color="auto" w:fill="FFFFFF"/>
        </w:rPr>
        <w:t xml:space="preserve">  1</w:t>
      </w:r>
      <w:r>
        <w:rPr>
          <w:rFonts w:hint="eastAsia" w:ascii="黑体" w:hAnsi="黑体" w:eastAsia="黑体" w:cs="黑体"/>
          <w:color w:val="333333"/>
          <w:sz w:val="24"/>
          <w:szCs w:val="24"/>
          <w:shd w:val="clear" w:color="auto" w:fill="FFFFFF"/>
          <w:lang w:val="en-US" w:eastAsia="zh-CN"/>
        </w:rPr>
        <w:t>4</w:t>
      </w:r>
      <w:r>
        <w:rPr>
          <w:rFonts w:hint="eastAsia" w:ascii="黑体" w:hAnsi="黑体" w:eastAsia="黑体" w:cs="黑体"/>
          <w:color w:val="333333"/>
          <w:sz w:val="24"/>
          <w:szCs w:val="24"/>
          <w:shd w:val="clear" w:color="auto" w:fill="FFFFFF"/>
        </w:rPr>
        <w:t>.</w:t>
      </w:r>
      <w:r>
        <w:rPr>
          <w:rFonts w:hint="eastAsia" w:ascii="黑体" w:hAnsi="黑体" w:eastAsia="黑体" w:cs="黑体"/>
          <w:sz w:val="24"/>
          <w:szCs w:val="24"/>
        </w:rPr>
        <w:t>电磁阀使用</w:t>
      </w:r>
      <w:r>
        <w:rPr>
          <w:rFonts w:hint="eastAsia" w:ascii="黑体" w:hAnsi="黑体" w:eastAsia="黑体" w:cs="黑体"/>
          <w:sz w:val="24"/>
          <w:szCs w:val="24"/>
          <w:lang w:val="en-US" w:eastAsia="zh-CN"/>
        </w:rPr>
        <w:t>国际知名</w:t>
      </w:r>
      <w:r>
        <w:rPr>
          <w:rFonts w:hint="eastAsia" w:ascii="黑体" w:hAnsi="黑体" w:eastAsia="黑体" w:cs="黑体"/>
          <w:sz w:val="24"/>
          <w:szCs w:val="24"/>
        </w:rPr>
        <w:t>品牌，压力表、安全阀均按照国家标准提供编号、铭牌、合格证等强制性资料。</w:t>
      </w:r>
    </w:p>
    <w:p>
      <w:pPr>
        <w:pStyle w:val="54"/>
        <w:spacing w:line="276" w:lineRule="auto"/>
        <w:ind w:left="-374" w:leftChars="-170" w:firstLine="0" w:firstLineChars="0"/>
        <w:rPr>
          <w:rFonts w:hint="eastAsia" w:ascii="黑体" w:hAnsi="黑体" w:eastAsia="黑体" w:cs="黑体"/>
          <w:sz w:val="24"/>
          <w:szCs w:val="24"/>
        </w:rPr>
      </w:pPr>
      <w:r>
        <w:rPr>
          <w:rFonts w:hint="eastAsia" w:ascii="黑体" w:hAnsi="黑体" w:eastAsia="黑体" w:cs="黑体"/>
          <w:color w:val="333333"/>
          <w:sz w:val="24"/>
          <w:szCs w:val="24"/>
          <w:shd w:val="clear" w:color="auto" w:fill="FFFFFF"/>
        </w:rPr>
        <w:t xml:space="preserve">  1</w:t>
      </w:r>
      <w:r>
        <w:rPr>
          <w:rFonts w:hint="eastAsia" w:ascii="黑体" w:hAnsi="黑体" w:eastAsia="黑体" w:cs="黑体"/>
          <w:color w:val="333333"/>
          <w:sz w:val="24"/>
          <w:szCs w:val="24"/>
          <w:shd w:val="clear" w:color="auto" w:fill="FFFFFF"/>
          <w:lang w:val="en-US" w:eastAsia="zh-CN"/>
        </w:rPr>
        <w:t>5</w:t>
      </w:r>
      <w:r>
        <w:rPr>
          <w:rFonts w:hint="eastAsia" w:ascii="黑体" w:hAnsi="黑体" w:eastAsia="黑体" w:cs="黑体"/>
          <w:color w:val="333333"/>
          <w:sz w:val="24"/>
          <w:szCs w:val="24"/>
          <w:shd w:val="clear" w:color="auto" w:fill="FFFFFF"/>
        </w:rPr>
        <w:t>.</w:t>
      </w:r>
      <w:r>
        <w:rPr>
          <w:rFonts w:hint="eastAsia" w:ascii="黑体" w:hAnsi="黑体" w:eastAsia="黑体" w:cs="黑体"/>
          <w:sz w:val="24"/>
          <w:szCs w:val="24"/>
        </w:rPr>
        <w:t>微电脑控制，具有器械、敷料、液体等五项固定程序，两项自定义程序，并具有干燥功能。</w:t>
      </w:r>
    </w:p>
    <w:p>
      <w:pPr>
        <w:pStyle w:val="54"/>
        <w:spacing w:line="276" w:lineRule="auto"/>
        <w:ind w:left="-374" w:leftChars="-170" w:firstLine="0" w:firstLineChars="0"/>
        <w:rPr>
          <w:rFonts w:hint="eastAsia" w:ascii="黑体" w:hAnsi="黑体" w:eastAsia="黑体" w:cs="黑体"/>
          <w:sz w:val="24"/>
          <w:szCs w:val="24"/>
        </w:rPr>
      </w:pPr>
      <w:r>
        <w:rPr>
          <w:rFonts w:hint="eastAsia" w:ascii="黑体" w:hAnsi="黑体" w:eastAsia="黑体" w:cs="黑体"/>
          <w:sz w:val="24"/>
          <w:szCs w:val="24"/>
        </w:rPr>
        <w:t xml:space="preserve">  1</w:t>
      </w:r>
      <w:r>
        <w:rPr>
          <w:rFonts w:hint="eastAsia" w:ascii="黑体" w:hAnsi="黑体" w:eastAsia="黑体" w:cs="黑体"/>
          <w:sz w:val="24"/>
          <w:szCs w:val="24"/>
          <w:lang w:val="en-US" w:eastAsia="zh-CN"/>
        </w:rPr>
        <w:t>6</w:t>
      </w:r>
      <w:r>
        <w:rPr>
          <w:rFonts w:hint="eastAsia" w:ascii="黑体" w:hAnsi="黑体" w:eastAsia="黑体" w:cs="黑体"/>
          <w:sz w:val="24"/>
          <w:szCs w:val="24"/>
        </w:rPr>
        <w:t>.设备注水、升温、灭菌、排气、干燥整个流程全自动运行，灭菌完成后声光提醒。</w:t>
      </w:r>
    </w:p>
    <w:p>
      <w:pPr>
        <w:pStyle w:val="54"/>
        <w:spacing w:line="276" w:lineRule="auto"/>
        <w:ind w:left="-374" w:leftChars="-170" w:firstLine="0" w:firstLineChars="0"/>
        <w:rPr>
          <w:rFonts w:hint="eastAsia" w:ascii="黑体" w:hAnsi="黑体" w:eastAsia="黑体" w:cs="黑体"/>
          <w:color w:val="333333"/>
          <w:sz w:val="24"/>
          <w:szCs w:val="24"/>
          <w:shd w:val="clear" w:color="auto" w:fill="FFFFFF"/>
        </w:rPr>
      </w:pPr>
      <w:r>
        <w:rPr>
          <w:rFonts w:hint="eastAsia" w:ascii="黑体" w:hAnsi="黑体" w:eastAsia="黑体" w:cs="黑体"/>
          <w:sz w:val="24"/>
          <w:szCs w:val="24"/>
        </w:rPr>
        <w:t xml:space="preserve">  1</w:t>
      </w:r>
      <w:r>
        <w:rPr>
          <w:rFonts w:hint="eastAsia" w:ascii="黑体" w:hAnsi="黑体" w:eastAsia="黑体" w:cs="黑体"/>
          <w:sz w:val="24"/>
          <w:szCs w:val="24"/>
          <w:lang w:val="en-US" w:eastAsia="zh-CN"/>
        </w:rPr>
        <w:t>7</w:t>
      </w:r>
      <w:r>
        <w:rPr>
          <w:rFonts w:hint="eastAsia" w:ascii="黑体" w:hAnsi="黑体" w:eastAsia="黑体" w:cs="黑体"/>
          <w:sz w:val="24"/>
          <w:szCs w:val="24"/>
        </w:rPr>
        <w:t>.</w:t>
      </w:r>
      <w:r>
        <w:rPr>
          <w:rFonts w:hint="eastAsia" w:ascii="黑体" w:hAnsi="黑体" w:eastAsia="黑体" w:cs="黑体"/>
          <w:color w:val="333333"/>
          <w:sz w:val="24"/>
          <w:szCs w:val="24"/>
          <w:shd w:val="clear" w:color="auto" w:fill="FFFFFF"/>
        </w:rPr>
        <w:t>灭菌腔体温度均匀性：≤2℃，干燥温度范围：50~120℃。</w:t>
      </w:r>
    </w:p>
    <w:p>
      <w:pPr>
        <w:pStyle w:val="54"/>
        <w:spacing w:line="276" w:lineRule="auto"/>
        <w:ind w:left="-374" w:leftChars="-170" w:firstLine="0" w:firstLineChars="0"/>
        <w:rPr>
          <w:rFonts w:hint="eastAsia" w:ascii="黑体" w:hAnsi="黑体" w:eastAsia="黑体" w:cs="黑体"/>
          <w:color w:val="333333"/>
          <w:sz w:val="24"/>
          <w:szCs w:val="24"/>
          <w:shd w:val="clear" w:color="auto" w:fill="FFFFFF"/>
        </w:rPr>
      </w:pPr>
      <w:r>
        <w:rPr>
          <w:rFonts w:hint="eastAsia" w:ascii="黑体" w:hAnsi="黑体" w:eastAsia="黑体" w:cs="黑体"/>
          <w:color w:val="333333"/>
          <w:sz w:val="24"/>
          <w:szCs w:val="24"/>
          <w:shd w:val="clear" w:color="auto" w:fill="FFFFFF"/>
        </w:rPr>
        <w:t xml:space="preserve">  1</w:t>
      </w:r>
      <w:r>
        <w:rPr>
          <w:rFonts w:hint="eastAsia" w:ascii="黑体" w:hAnsi="黑体" w:eastAsia="黑体" w:cs="黑体"/>
          <w:color w:val="333333"/>
          <w:sz w:val="24"/>
          <w:szCs w:val="24"/>
          <w:shd w:val="clear" w:color="auto" w:fill="FFFFFF"/>
          <w:lang w:val="en-US" w:eastAsia="zh-CN"/>
        </w:rPr>
        <w:t>8</w:t>
      </w:r>
      <w:r>
        <w:rPr>
          <w:rFonts w:hint="eastAsia" w:ascii="黑体" w:hAnsi="黑体" w:eastAsia="黑体" w:cs="黑体"/>
          <w:color w:val="333333"/>
          <w:sz w:val="24"/>
          <w:szCs w:val="24"/>
          <w:shd w:val="clear" w:color="auto" w:fill="FFFFFF"/>
        </w:rPr>
        <w:t>.脉动排气技术，确保蒸汽饱和度。</w:t>
      </w:r>
    </w:p>
    <w:p>
      <w:pPr>
        <w:pStyle w:val="54"/>
        <w:spacing w:line="276" w:lineRule="auto"/>
        <w:ind w:left="-374" w:leftChars="-170" w:firstLine="0" w:firstLineChars="0"/>
        <w:rPr>
          <w:rFonts w:hint="eastAsia" w:ascii="黑体" w:hAnsi="黑体" w:eastAsia="黑体" w:cs="黑体"/>
          <w:color w:val="333333"/>
          <w:sz w:val="24"/>
          <w:szCs w:val="24"/>
          <w:shd w:val="clear" w:color="auto" w:fill="FFFFFF"/>
        </w:rPr>
      </w:pPr>
      <w:r>
        <w:rPr>
          <w:rFonts w:hint="eastAsia" w:ascii="黑体" w:hAnsi="黑体" w:eastAsia="黑体" w:cs="黑体"/>
          <w:color w:val="333333"/>
          <w:sz w:val="24"/>
          <w:szCs w:val="24"/>
          <w:shd w:val="clear" w:color="auto" w:fill="FFFFFF"/>
        </w:rPr>
        <w:t xml:space="preserve">  1</w:t>
      </w:r>
      <w:r>
        <w:rPr>
          <w:rFonts w:hint="eastAsia" w:ascii="黑体" w:hAnsi="黑体" w:eastAsia="黑体" w:cs="黑体"/>
          <w:color w:val="333333"/>
          <w:sz w:val="24"/>
          <w:szCs w:val="24"/>
          <w:shd w:val="clear" w:color="auto" w:fill="FFFFFF"/>
          <w:lang w:val="en-US" w:eastAsia="zh-CN"/>
        </w:rPr>
        <w:t>9</w:t>
      </w:r>
      <w:r>
        <w:rPr>
          <w:rFonts w:hint="eastAsia" w:ascii="黑体" w:hAnsi="黑体" w:eastAsia="黑体" w:cs="黑体"/>
          <w:color w:val="333333"/>
          <w:sz w:val="24"/>
          <w:szCs w:val="24"/>
          <w:shd w:val="clear" w:color="auto" w:fill="FFFFFF"/>
        </w:rPr>
        <w:t>.全防护式门罩，铰链、转轴均不外露。</w:t>
      </w:r>
    </w:p>
    <w:p>
      <w:pPr>
        <w:pStyle w:val="54"/>
        <w:spacing w:line="276" w:lineRule="auto"/>
        <w:ind w:left="-374" w:leftChars="-170" w:firstLine="0" w:firstLineChars="0"/>
        <w:rPr>
          <w:rFonts w:hint="eastAsia" w:ascii="黑体" w:hAnsi="黑体" w:eastAsia="黑体" w:cs="黑体"/>
          <w:color w:val="333333"/>
          <w:sz w:val="24"/>
          <w:szCs w:val="24"/>
          <w:shd w:val="clear" w:color="auto" w:fill="FFFFFF"/>
        </w:rPr>
      </w:pPr>
      <w:r>
        <w:rPr>
          <w:rFonts w:hint="eastAsia" w:ascii="黑体" w:hAnsi="黑体" w:eastAsia="黑体" w:cs="黑体"/>
          <w:color w:val="333333"/>
          <w:sz w:val="24"/>
          <w:szCs w:val="24"/>
          <w:shd w:val="clear" w:color="auto" w:fill="FFFFFF"/>
        </w:rPr>
        <w:t xml:space="preserve">  </w:t>
      </w:r>
      <w:r>
        <w:rPr>
          <w:rFonts w:hint="eastAsia" w:ascii="黑体" w:hAnsi="黑体" w:eastAsia="黑体" w:cs="黑体"/>
          <w:color w:val="333333"/>
          <w:sz w:val="24"/>
          <w:szCs w:val="24"/>
          <w:shd w:val="clear" w:color="auto" w:fill="FFFFFF"/>
          <w:lang w:val="en-US" w:eastAsia="zh-CN"/>
        </w:rPr>
        <w:t>20</w:t>
      </w:r>
      <w:r>
        <w:rPr>
          <w:rFonts w:hint="eastAsia" w:ascii="黑体" w:hAnsi="黑体" w:eastAsia="黑体" w:cs="黑体"/>
          <w:color w:val="333333"/>
          <w:sz w:val="24"/>
          <w:szCs w:val="24"/>
          <w:shd w:val="clear" w:color="auto" w:fill="FFFFFF"/>
        </w:rPr>
        <w:t>.具有快速排气和慢速排气功能，避免灭菌液体溢出</w:t>
      </w:r>
      <w:r>
        <w:rPr>
          <w:rFonts w:hint="eastAsia" w:ascii="黑体" w:hAnsi="黑体" w:eastAsia="黑体" w:cs="黑体"/>
          <w:color w:val="333333"/>
          <w:sz w:val="24"/>
          <w:szCs w:val="24"/>
          <w:shd w:val="clear" w:color="auto" w:fill="FFFFFF"/>
          <w:lang w:eastAsia="zh-CN"/>
        </w:rPr>
        <w:t>，</w:t>
      </w:r>
      <w:r>
        <w:rPr>
          <w:rFonts w:hint="eastAsia" w:ascii="黑体" w:hAnsi="黑体" w:eastAsia="黑体" w:cs="黑体"/>
          <w:color w:val="333333"/>
          <w:sz w:val="24"/>
          <w:szCs w:val="24"/>
          <w:shd w:val="clear" w:color="auto" w:fill="FFFFFF"/>
          <w:lang w:val="en-US" w:eastAsia="zh-CN"/>
        </w:rPr>
        <w:t>慢排采用316慢排螺钉耐腐蚀性能优良</w:t>
      </w:r>
      <w:r>
        <w:rPr>
          <w:rFonts w:hint="eastAsia" w:ascii="黑体" w:hAnsi="黑体" w:eastAsia="黑体" w:cs="黑体"/>
          <w:color w:val="333333"/>
          <w:sz w:val="24"/>
          <w:szCs w:val="24"/>
          <w:shd w:val="clear" w:color="auto" w:fill="FFFFFF"/>
        </w:rPr>
        <w:t>。</w:t>
      </w:r>
    </w:p>
    <w:p>
      <w:pPr>
        <w:pStyle w:val="54"/>
        <w:spacing w:line="276" w:lineRule="auto"/>
        <w:ind w:left="-374" w:leftChars="-170" w:firstLine="0" w:firstLineChars="0"/>
        <w:rPr>
          <w:rFonts w:hint="eastAsia" w:ascii="黑体" w:hAnsi="黑体" w:eastAsia="黑体" w:cs="黑体"/>
          <w:color w:val="333333"/>
          <w:sz w:val="24"/>
          <w:szCs w:val="24"/>
          <w:shd w:val="clear" w:color="auto" w:fill="FFFFFF"/>
        </w:rPr>
      </w:pPr>
      <w:r>
        <w:rPr>
          <w:rFonts w:hint="eastAsia" w:ascii="黑体" w:hAnsi="黑体" w:eastAsia="黑体" w:cs="黑体"/>
          <w:color w:val="333333"/>
          <w:sz w:val="24"/>
          <w:szCs w:val="24"/>
          <w:shd w:val="clear" w:color="auto" w:fill="FFFFFF"/>
        </w:rPr>
        <w:t xml:space="preserve">  </w:t>
      </w:r>
      <w:r>
        <w:rPr>
          <w:rFonts w:hint="eastAsia" w:ascii="黑体" w:hAnsi="黑体" w:eastAsia="黑体" w:cs="黑体"/>
          <w:color w:val="333333"/>
          <w:sz w:val="24"/>
          <w:szCs w:val="24"/>
          <w:shd w:val="clear" w:color="auto" w:fill="FFFFFF"/>
          <w:lang w:val="en-US" w:eastAsia="zh-CN"/>
        </w:rPr>
        <w:t>21</w:t>
      </w:r>
      <w:r>
        <w:rPr>
          <w:rFonts w:hint="eastAsia" w:ascii="黑体" w:hAnsi="黑体" w:eastAsia="黑体" w:cs="黑体"/>
          <w:color w:val="333333"/>
          <w:sz w:val="24"/>
          <w:szCs w:val="24"/>
          <w:shd w:val="clear" w:color="auto" w:fill="FFFFFF"/>
        </w:rPr>
        <w:t>.具有快速维修窗口，电气部分维护无需拆解外罩。</w:t>
      </w:r>
    </w:p>
    <w:p>
      <w:pPr>
        <w:pStyle w:val="54"/>
        <w:spacing w:line="276" w:lineRule="auto"/>
        <w:ind w:left="-374" w:leftChars="-170" w:firstLine="240" w:firstLineChars="100"/>
        <w:rPr>
          <w:rFonts w:hint="eastAsia" w:ascii="黑体" w:hAnsi="黑体" w:eastAsia="黑体" w:cs="黑体"/>
          <w:color w:val="333333"/>
          <w:sz w:val="24"/>
          <w:szCs w:val="24"/>
          <w:shd w:val="clear" w:color="auto" w:fill="FFFFFF"/>
        </w:rPr>
      </w:pPr>
      <w:r>
        <w:rPr>
          <w:rFonts w:hint="eastAsia" w:ascii="黑体" w:hAnsi="黑体" w:eastAsia="黑体" w:cs="黑体"/>
          <w:color w:val="333333"/>
          <w:sz w:val="24"/>
          <w:szCs w:val="24"/>
          <w:shd w:val="clear" w:color="auto" w:fill="FFFFFF"/>
          <w:lang w:val="en-US" w:eastAsia="zh-CN"/>
        </w:rPr>
        <w:t>22</w:t>
      </w:r>
      <w:r>
        <w:rPr>
          <w:rFonts w:hint="eastAsia" w:ascii="黑体" w:hAnsi="黑体" w:eastAsia="黑体" w:cs="黑体"/>
          <w:color w:val="333333"/>
          <w:sz w:val="24"/>
          <w:szCs w:val="24"/>
          <w:shd w:val="clear" w:color="auto" w:fill="FFFFFF"/>
        </w:rPr>
        <w:t>.</w:t>
      </w:r>
      <w:r>
        <w:rPr>
          <w:rFonts w:hint="eastAsia" w:ascii="黑体" w:hAnsi="黑体" w:eastAsia="黑体" w:cs="黑体"/>
          <w:color w:val="333333"/>
          <w:sz w:val="24"/>
          <w:szCs w:val="24"/>
          <w:shd w:val="clear" w:color="auto" w:fill="FFFFFF"/>
          <w:lang w:val="en-US" w:eastAsia="zh-CN"/>
        </w:rPr>
        <w:t>防水型门检测开关，部件性能更加可靠稳定。</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多用途恒温箱（干式恒温箱  性能参数</w:t>
      </w:r>
    </w:p>
    <w:p>
      <w:pPr>
        <w:rPr>
          <w:rFonts w:hint="eastAsia" w:ascii="黑体" w:hAnsi="黑体" w:eastAsia="黑体" w:cs="黑体"/>
          <w:sz w:val="24"/>
          <w:szCs w:val="24"/>
          <w:lang w:val="en-US" w:eastAsia="zh-CN"/>
        </w:rPr>
      </w:pP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产品形式：立式</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冷却/加热方式：风冷+发热丝</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噪    音：≤50dB(a)</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功    率：200W</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电    源：AC220V，50Hz</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温度范围：0-100℃</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有效容积：≥430L</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温度显示：LCD数字式</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外门锁扣：有</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1、产品结构为立式箱体。主体分为四部分：电气控制系统，制冷系统、加热系统、显示系统。</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2、箱门内侧门胆采用凹凸型结构设计，增加了箱门的保温性能，门上装有大视野三层钢化玻璃观察窗，便于随时观察箱体内物品。</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3、门与箱体密闭处采用耐高温、抗老化性好的纳米材料门封条，有效的防止热量损失,并可以延长加热元件寿命,有效保证工作室的密封性。</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4、箱体内部采用高密度聚氨酯整体发泡，保温层厚度合理设计，使设备在高温运行时热量不外传，保温效果好。</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5、自动化霜功能，适合高温高湿地区，外门防凝露的应用，85%湿度无凝露。</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6、微电脑程序控制温度，LCD数码显示、无须按键输入，屏幕直接触摸选项，可随意设定所需温度，数字式显示，读数极为方便，控温精度高。</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7、完善的报警系统，可实现高低温报警系统、断电报警、传感器故障报警保证安全运行防止发生意外</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8、采用新型风道设计和循环系统设计，气流方向更加科学合理，使工作室内温度均匀恒温。采用高性能电机及风叶，具有空气对流微风装置，内腔空气可以更新循环。制冷系统与制热系统匹配合理，降温或加热速度快，设定的温度在短时间里，即可达到设置温度要求、温度度高。</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9、采用新型全封闭压缩机，运转平衡，噪音低，使用寿命长。</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10、 此产品可做嵌入式恒温加热设备，可将产品直接嵌入在壁橱或墙壁中，不占用多余空间。</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11、箱体外壳均采用优良A3钢板数控机床加工成型,外壳表面进行防静电\防腐化喷塑处理,增加了外观质感和洁净度。</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12、箱体采用双重安全锁设计，可实现双人双管，保证物品安全，</w:t>
      </w:r>
    </w:p>
    <w:p>
      <w:pPr>
        <w:rPr>
          <w:rFonts w:hint="eastAsia" w:ascii="黑体" w:hAnsi="Arial" w:eastAsia="黑体"/>
          <w:sz w:val="36"/>
          <w:szCs w:val="36"/>
        </w:rPr>
      </w:pPr>
      <w:r>
        <w:rPr>
          <w:rFonts w:hint="eastAsia" w:ascii="黑体" w:hAnsi="黑体" w:eastAsia="黑体" w:cs="黑体"/>
          <w:sz w:val="24"/>
          <w:szCs w:val="24"/>
          <w:lang w:val="en-US" w:eastAsia="zh-CN"/>
        </w:rPr>
        <w:t>13、机器底部采用高可固定式PU万向轮。</w:t>
      </w:r>
    </w:p>
    <w:p>
      <w:pPr>
        <w:jc w:val="center"/>
        <w:rPr>
          <w:rFonts w:hint="eastAsia" w:ascii="黑体" w:hAnsi="Arial" w:eastAsia="黑体"/>
          <w:b/>
          <w:bCs/>
          <w:sz w:val="36"/>
          <w:szCs w:val="36"/>
        </w:rPr>
      </w:pPr>
      <w:r>
        <w:rPr>
          <w:rFonts w:hint="eastAsia" w:ascii="黑体" w:hAnsi="Arial" w:eastAsia="黑体"/>
          <w:b/>
          <w:bCs/>
          <w:sz w:val="36"/>
          <w:szCs w:val="36"/>
        </w:rPr>
        <w:t>实时荧光定量PCR仪技术参数表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260"/>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728" w:type="dxa"/>
            <w:noWrap w:val="0"/>
            <w:vAlign w:val="center"/>
          </w:tcPr>
          <w:p>
            <w:pPr>
              <w:rPr>
                <w:rFonts w:hint="eastAsia" w:ascii="黑体" w:hAnsi="黑体" w:eastAsia="黑体" w:cs="黑体"/>
                <w:sz w:val="24"/>
                <w:szCs w:val="28"/>
              </w:rPr>
            </w:pPr>
            <w:r>
              <w:rPr>
                <w:rFonts w:hint="eastAsia" w:ascii="黑体" w:hAnsi="黑体" w:eastAsia="黑体" w:cs="黑体"/>
                <w:sz w:val="24"/>
                <w:szCs w:val="28"/>
              </w:rPr>
              <w:t>技术参数名称</w:t>
            </w:r>
          </w:p>
        </w:tc>
        <w:tc>
          <w:tcPr>
            <w:tcW w:w="3260" w:type="dxa"/>
            <w:noWrap w:val="0"/>
            <w:vAlign w:val="center"/>
          </w:tcPr>
          <w:p>
            <w:pPr>
              <w:jc w:val="both"/>
              <w:rPr>
                <w:rFonts w:hint="eastAsia" w:ascii="黑体" w:hAnsi="黑体" w:eastAsia="黑体" w:cs="黑体"/>
                <w:sz w:val="24"/>
                <w:szCs w:val="24"/>
              </w:rPr>
            </w:pPr>
            <w:r>
              <w:rPr>
                <w:rFonts w:hint="eastAsia" w:ascii="黑体" w:hAnsi="黑体" w:eastAsia="黑体" w:cs="黑体"/>
                <w:sz w:val="24"/>
                <w:szCs w:val="24"/>
              </w:rPr>
              <w:t>实时荧光定量PCR</w:t>
            </w:r>
          </w:p>
          <w:p>
            <w:pPr>
              <w:jc w:val="center"/>
              <w:rPr>
                <w:rFonts w:hint="eastAsia" w:ascii="黑体" w:hAnsi="黑体" w:eastAsia="黑体" w:cs="黑体"/>
                <w:sz w:val="24"/>
                <w:szCs w:val="24"/>
              </w:rPr>
            </w:pPr>
            <w:r>
              <w:rPr>
                <w:rFonts w:hint="eastAsia" w:ascii="黑体" w:hAnsi="黑体" w:eastAsia="黑体" w:cs="黑体"/>
                <w:sz w:val="24"/>
                <w:szCs w:val="24"/>
              </w:rPr>
              <w:t>检测系统主要技术参数</w:t>
            </w:r>
          </w:p>
        </w:tc>
        <w:tc>
          <w:tcPr>
            <w:tcW w:w="3937"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28" w:type="dxa"/>
            <w:noWrap w:val="0"/>
            <w:vAlign w:val="center"/>
          </w:tcPr>
          <w:p>
            <w:pPr>
              <w:rPr>
                <w:rFonts w:hint="eastAsia" w:ascii="黑体" w:hAnsi="黑体" w:eastAsia="黑体" w:cs="黑体"/>
                <w:b/>
                <w:sz w:val="24"/>
                <w:szCs w:val="28"/>
              </w:rPr>
            </w:pPr>
            <w:r>
              <w:rPr>
                <w:rFonts w:hint="eastAsia" w:ascii="黑体" w:hAnsi="黑体" w:eastAsia="黑体" w:cs="黑体"/>
                <w:b/>
                <w:sz w:val="24"/>
                <w:szCs w:val="28"/>
              </w:rPr>
              <w:t>激发光源</w:t>
            </w:r>
          </w:p>
        </w:tc>
        <w:tc>
          <w:tcPr>
            <w:tcW w:w="3260" w:type="dxa"/>
            <w:noWrap w:val="0"/>
            <w:vAlign w:val="center"/>
          </w:tcPr>
          <w:p>
            <w:pPr>
              <w:rPr>
                <w:rFonts w:hint="eastAsia" w:ascii="黑体" w:hAnsi="黑体" w:eastAsia="黑体" w:cs="黑体"/>
                <w:sz w:val="24"/>
                <w:szCs w:val="24"/>
              </w:rPr>
            </w:pPr>
            <w:r>
              <w:rPr>
                <w:rFonts w:hint="eastAsia" w:ascii="黑体" w:hAnsi="黑体" w:eastAsia="黑体" w:cs="黑体"/>
                <w:sz w:val="24"/>
                <w:szCs w:val="24"/>
              </w:rPr>
              <w:t xml:space="preserve">    大功率LED光源</w:t>
            </w:r>
          </w:p>
        </w:tc>
        <w:tc>
          <w:tcPr>
            <w:tcW w:w="3937" w:type="dxa"/>
            <w:noWrap w:val="0"/>
            <w:vAlign w:val="center"/>
          </w:tcPr>
          <w:p>
            <w:pPr>
              <w:rPr>
                <w:rFonts w:hint="eastAsia" w:ascii="黑体" w:hAnsi="黑体" w:eastAsia="黑体" w:cs="黑体"/>
                <w:bCs/>
                <w:sz w:val="24"/>
                <w:szCs w:val="24"/>
              </w:rPr>
            </w:pPr>
            <w:r>
              <w:rPr>
                <w:rFonts w:hint="eastAsia" w:ascii="黑体" w:hAnsi="黑体" w:eastAsia="黑体" w:cs="黑体"/>
                <w:bCs/>
                <w:sz w:val="24"/>
                <w:szCs w:val="24"/>
              </w:rPr>
              <w:t>冷光源，10万小时免维护,比同类仪器LED光源灵敏度更高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28" w:type="dxa"/>
            <w:noWrap w:val="0"/>
            <w:vAlign w:val="center"/>
          </w:tcPr>
          <w:p>
            <w:pPr>
              <w:rPr>
                <w:rFonts w:hint="eastAsia" w:ascii="黑体" w:hAnsi="黑体" w:eastAsia="黑体" w:cs="黑体"/>
                <w:b/>
                <w:sz w:val="24"/>
                <w:szCs w:val="28"/>
              </w:rPr>
            </w:pPr>
            <w:r>
              <w:rPr>
                <w:rFonts w:hint="eastAsia" w:ascii="黑体" w:hAnsi="黑体" w:eastAsia="黑体" w:cs="黑体"/>
                <w:b/>
                <w:sz w:val="24"/>
                <w:szCs w:val="28"/>
              </w:rPr>
              <w:t>检测器</w:t>
            </w:r>
          </w:p>
        </w:tc>
        <w:tc>
          <w:tcPr>
            <w:tcW w:w="326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高灵敏度光电传感器</w:t>
            </w:r>
          </w:p>
        </w:tc>
        <w:tc>
          <w:tcPr>
            <w:tcW w:w="3937" w:type="dxa"/>
            <w:noWrap w:val="0"/>
            <w:vAlign w:val="center"/>
          </w:tcPr>
          <w:p>
            <w:pPr>
              <w:rPr>
                <w:rFonts w:hint="eastAsia" w:ascii="黑体" w:hAnsi="黑体" w:eastAsia="黑体" w:cs="黑体"/>
                <w:bCs/>
                <w:sz w:val="24"/>
                <w:szCs w:val="24"/>
              </w:rPr>
            </w:pPr>
            <w:r>
              <w:rPr>
                <w:rFonts w:hint="eastAsia" w:ascii="黑体" w:hAnsi="黑体" w:eastAsia="黑体" w:cs="黑体"/>
                <w:bCs/>
                <w:sz w:val="24"/>
                <w:szCs w:val="24"/>
              </w:rPr>
              <w:t>灵敏度比CCD探测器高10倍，无孔间的边缘干扰影响。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黑体" w:hAnsi="黑体" w:eastAsia="黑体" w:cs="黑体"/>
                <w:b/>
                <w:color w:val="000000"/>
                <w:sz w:val="24"/>
                <w:szCs w:val="28"/>
              </w:rPr>
            </w:pPr>
            <w:r>
              <w:rPr>
                <w:rFonts w:hint="eastAsia" w:ascii="宋体" w:hAnsi="宋体" w:cs="宋体"/>
                <w:szCs w:val="21"/>
              </w:rPr>
              <w:t>▲</w:t>
            </w:r>
            <w:r>
              <w:rPr>
                <w:rFonts w:hint="eastAsia" w:ascii="黑体" w:hAnsi="黑体" w:eastAsia="黑体" w:cs="黑体"/>
                <w:b/>
                <w:color w:val="000000"/>
                <w:sz w:val="24"/>
                <w:szCs w:val="28"/>
              </w:rPr>
              <w:t>样本容量</w:t>
            </w:r>
          </w:p>
        </w:tc>
        <w:tc>
          <w:tcPr>
            <w:tcW w:w="3260" w:type="dxa"/>
            <w:noWrap w:val="0"/>
            <w:vAlign w:val="center"/>
          </w:tcPr>
          <w:p>
            <w:pPr>
              <w:jc w:val="center"/>
              <w:rPr>
                <w:rFonts w:hint="eastAsia" w:ascii="黑体" w:hAnsi="黑体" w:eastAsia="黑体" w:cs="黑体"/>
                <w:color w:val="000000"/>
                <w:sz w:val="24"/>
                <w:szCs w:val="24"/>
              </w:rPr>
            </w:pPr>
            <w:r>
              <w:rPr>
                <w:rFonts w:hint="eastAsia" w:ascii="黑体" w:hAnsi="黑体" w:eastAsia="黑体" w:cs="黑体"/>
                <w:color w:val="000000"/>
                <w:sz w:val="24"/>
                <w:szCs w:val="24"/>
              </w:rPr>
              <w:t>96孔</w:t>
            </w:r>
          </w:p>
          <w:p>
            <w:pPr>
              <w:jc w:val="center"/>
              <w:rPr>
                <w:rFonts w:hint="eastAsia" w:ascii="黑体" w:hAnsi="黑体" w:eastAsia="黑体" w:cs="黑体"/>
                <w:color w:val="000000"/>
                <w:sz w:val="24"/>
                <w:szCs w:val="24"/>
              </w:rPr>
            </w:pPr>
          </w:p>
        </w:tc>
        <w:tc>
          <w:tcPr>
            <w:tcW w:w="3937" w:type="dxa"/>
            <w:noWrap w:val="0"/>
            <w:vAlign w:val="center"/>
          </w:tcPr>
          <w:p>
            <w:pPr>
              <w:snapToGrid w:val="0"/>
              <w:rPr>
                <w:rFonts w:hint="eastAsia" w:ascii="黑体" w:hAnsi="黑体" w:eastAsia="黑体" w:cs="黑体"/>
                <w:bCs/>
                <w:color w:val="000000"/>
                <w:sz w:val="24"/>
                <w:szCs w:val="24"/>
              </w:rPr>
            </w:pPr>
            <w:r>
              <w:rPr>
                <w:rFonts w:hint="eastAsia" w:ascii="黑体" w:hAnsi="黑体" w:eastAsia="黑体" w:cs="黑体"/>
                <w:bCs/>
                <w:color w:val="000000"/>
                <w:sz w:val="24"/>
                <w:szCs w:val="24"/>
              </w:rPr>
              <w:t>同时运行两个不同的反应程序，具有两台荧光PCR仪器的功能(如:DNA和RNA反应程序同时运行)，运行同一个程序时，是一台96*0.2ml的荧光PCR仪，灵活应用，是目前唯一的双反应模块仪器。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728" w:type="dxa"/>
            <w:noWrap w:val="0"/>
            <w:vAlign w:val="center"/>
          </w:tcPr>
          <w:p>
            <w:pPr>
              <w:rPr>
                <w:rFonts w:hint="eastAsia" w:ascii="黑体" w:hAnsi="黑体" w:eastAsia="黑体" w:cs="黑体"/>
                <w:b/>
                <w:color w:val="000000"/>
                <w:sz w:val="24"/>
                <w:szCs w:val="28"/>
              </w:rPr>
            </w:pPr>
            <w:r>
              <w:rPr>
                <w:rFonts w:hint="eastAsia" w:ascii="黑体" w:hAnsi="黑体" w:eastAsia="黑体" w:cs="黑体"/>
                <w:b/>
                <w:color w:val="000000"/>
                <w:sz w:val="24"/>
                <w:szCs w:val="28"/>
              </w:rPr>
              <w:t>荧光检测波长</w:t>
            </w:r>
          </w:p>
          <w:p>
            <w:pPr>
              <w:rPr>
                <w:rFonts w:hint="eastAsia" w:ascii="黑体" w:hAnsi="黑体" w:eastAsia="黑体" w:cs="黑体"/>
                <w:b/>
                <w:color w:val="000000"/>
                <w:sz w:val="24"/>
                <w:szCs w:val="28"/>
              </w:rPr>
            </w:pPr>
          </w:p>
        </w:tc>
        <w:tc>
          <w:tcPr>
            <w:tcW w:w="3260" w:type="dxa"/>
            <w:noWrap w:val="0"/>
            <w:vAlign w:val="center"/>
          </w:tcPr>
          <w:p>
            <w:pPr>
              <w:snapToGrid w:val="0"/>
              <w:rPr>
                <w:rFonts w:hint="eastAsia" w:ascii="黑体" w:hAnsi="黑体" w:eastAsia="黑体" w:cs="黑体"/>
                <w:color w:val="000000"/>
                <w:sz w:val="24"/>
                <w:szCs w:val="24"/>
              </w:rPr>
            </w:pPr>
            <w:r>
              <w:rPr>
                <w:rFonts w:hint="eastAsia" w:ascii="黑体" w:hAnsi="黑体" w:eastAsia="黑体" w:cs="黑体"/>
                <w:color w:val="000000"/>
                <w:sz w:val="24"/>
                <w:szCs w:val="24"/>
              </w:rPr>
              <w:t>通道1:470nm-510nm</w:t>
            </w:r>
          </w:p>
          <w:p>
            <w:pPr>
              <w:snapToGrid w:val="0"/>
              <w:rPr>
                <w:rFonts w:hint="eastAsia" w:ascii="黑体" w:hAnsi="黑体" w:eastAsia="黑体" w:cs="黑体"/>
                <w:color w:val="000000"/>
                <w:sz w:val="24"/>
                <w:szCs w:val="24"/>
              </w:rPr>
            </w:pPr>
            <w:r>
              <w:rPr>
                <w:rFonts w:hint="eastAsia" w:ascii="黑体" w:hAnsi="黑体" w:eastAsia="黑体" w:cs="黑体"/>
                <w:color w:val="000000"/>
                <w:sz w:val="24"/>
                <w:szCs w:val="24"/>
              </w:rPr>
              <w:t>通道2:530nm-565nm</w:t>
            </w:r>
          </w:p>
          <w:p>
            <w:pPr>
              <w:snapToGrid w:val="0"/>
              <w:rPr>
                <w:rFonts w:hint="eastAsia" w:ascii="黑体" w:hAnsi="黑体" w:eastAsia="黑体" w:cs="黑体"/>
                <w:color w:val="000000"/>
                <w:sz w:val="24"/>
                <w:szCs w:val="24"/>
              </w:rPr>
            </w:pPr>
            <w:r>
              <w:rPr>
                <w:rFonts w:hint="eastAsia" w:ascii="黑体" w:hAnsi="黑体" w:eastAsia="黑体" w:cs="黑体"/>
                <w:color w:val="000000"/>
                <w:sz w:val="24"/>
                <w:szCs w:val="24"/>
              </w:rPr>
              <w:t>通道3:580nm-620nm</w:t>
            </w:r>
          </w:p>
          <w:p>
            <w:pPr>
              <w:snapToGrid w:val="0"/>
              <w:rPr>
                <w:rFonts w:hint="eastAsia" w:ascii="黑体" w:hAnsi="黑体" w:eastAsia="黑体" w:cs="黑体"/>
                <w:color w:val="000000"/>
                <w:sz w:val="24"/>
                <w:szCs w:val="24"/>
              </w:rPr>
            </w:pPr>
            <w:r>
              <w:rPr>
                <w:rFonts w:hint="eastAsia" w:ascii="黑体" w:hAnsi="黑体" w:eastAsia="黑体" w:cs="黑体"/>
                <w:color w:val="000000"/>
                <w:sz w:val="24"/>
                <w:szCs w:val="24"/>
              </w:rPr>
              <w:t>通道4:630nm-665nm</w:t>
            </w:r>
          </w:p>
          <w:p>
            <w:pPr>
              <w:snapToGrid w:val="0"/>
              <w:rPr>
                <w:rFonts w:hint="eastAsia" w:ascii="黑体" w:hAnsi="黑体" w:eastAsia="黑体" w:cs="黑体"/>
                <w:color w:val="000000"/>
                <w:sz w:val="24"/>
                <w:szCs w:val="24"/>
              </w:rPr>
            </w:pPr>
            <w:r>
              <w:rPr>
                <w:rFonts w:hint="eastAsia" w:ascii="黑体" w:hAnsi="黑体" w:eastAsia="黑体" w:cs="黑体"/>
                <w:color w:val="000000"/>
                <w:sz w:val="24"/>
                <w:szCs w:val="24"/>
              </w:rPr>
              <w:t>通道5: 预留</w:t>
            </w:r>
          </w:p>
          <w:p>
            <w:pPr>
              <w:snapToGrid w:val="0"/>
              <w:rPr>
                <w:rFonts w:hint="eastAsia" w:ascii="黑体" w:hAnsi="黑体" w:eastAsia="黑体" w:cs="黑体"/>
                <w:color w:val="000000"/>
                <w:sz w:val="24"/>
                <w:szCs w:val="24"/>
              </w:rPr>
            </w:pPr>
            <w:r>
              <w:rPr>
                <w:rFonts w:hint="eastAsia" w:ascii="黑体" w:hAnsi="黑体" w:eastAsia="黑体" w:cs="黑体"/>
                <w:color w:val="000000"/>
                <w:sz w:val="24"/>
                <w:szCs w:val="24"/>
              </w:rPr>
              <w:t>通道6: 预留</w:t>
            </w:r>
          </w:p>
        </w:tc>
        <w:tc>
          <w:tcPr>
            <w:tcW w:w="3937" w:type="dxa"/>
            <w:noWrap w:val="0"/>
            <w:vAlign w:val="center"/>
          </w:tcPr>
          <w:p>
            <w:pPr>
              <w:rPr>
                <w:rFonts w:hint="eastAsia" w:ascii="黑体" w:hAnsi="黑体" w:eastAsia="黑体" w:cs="黑体"/>
                <w:color w:val="000000"/>
                <w:sz w:val="24"/>
                <w:szCs w:val="24"/>
              </w:rPr>
            </w:pPr>
            <w:r>
              <w:rPr>
                <w:rFonts w:hint="eastAsia" w:ascii="黑体" w:hAnsi="黑体" w:eastAsia="黑体" w:cs="黑体"/>
                <w:color w:val="000000"/>
                <w:sz w:val="24"/>
                <w:szCs w:val="24"/>
              </w:rPr>
              <w:t>多通道检测完全规避交叉干扰，无需任何繁杂的校正。</w:t>
            </w:r>
          </w:p>
          <w:p>
            <w:pPr>
              <w:rPr>
                <w:rFonts w:hint="eastAsia" w:ascii="黑体" w:hAnsi="黑体" w:eastAsia="黑体" w:cs="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黑体" w:hAnsi="黑体" w:eastAsia="黑体" w:cs="黑体"/>
                <w:b/>
                <w:sz w:val="24"/>
                <w:szCs w:val="28"/>
              </w:rPr>
            </w:pPr>
            <w:r>
              <w:rPr>
                <w:rFonts w:hint="eastAsia" w:ascii="黑体" w:hAnsi="黑体" w:eastAsia="黑体" w:cs="黑体"/>
                <w:b/>
                <w:sz w:val="24"/>
                <w:szCs w:val="28"/>
              </w:rPr>
              <w:t>可检测的荧光素及染料</w:t>
            </w:r>
          </w:p>
        </w:tc>
        <w:tc>
          <w:tcPr>
            <w:tcW w:w="3260" w:type="dxa"/>
            <w:noWrap w:val="0"/>
            <w:vAlign w:val="center"/>
          </w:tcPr>
          <w:p>
            <w:pPr>
              <w:snapToGrid w:val="0"/>
              <w:jc w:val="left"/>
              <w:rPr>
                <w:rFonts w:hint="eastAsia" w:ascii="黑体" w:hAnsi="黑体" w:eastAsia="黑体" w:cs="黑体"/>
                <w:sz w:val="24"/>
                <w:szCs w:val="24"/>
              </w:rPr>
            </w:pPr>
            <w:r>
              <w:rPr>
                <w:rFonts w:hint="eastAsia" w:ascii="黑体" w:hAnsi="黑体" w:eastAsia="黑体" w:cs="黑体"/>
                <w:sz w:val="24"/>
                <w:szCs w:val="24"/>
              </w:rPr>
              <w:t>FAM,SYBR，VIC, HEX, Joe, TET，TMRA，CY3，ROX, Texas Red, CY5</w:t>
            </w:r>
          </w:p>
        </w:tc>
        <w:tc>
          <w:tcPr>
            <w:tcW w:w="3937" w:type="dxa"/>
            <w:noWrap w:val="0"/>
            <w:vAlign w:val="center"/>
          </w:tcPr>
          <w:p>
            <w:pPr>
              <w:rPr>
                <w:rFonts w:hint="eastAsia" w:ascii="黑体" w:hAnsi="黑体" w:eastAsia="黑体" w:cs="黑体"/>
                <w:bCs/>
                <w:sz w:val="24"/>
                <w:szCs w:val="24"/>
              </w:rPr>
            </w:pPr>
            <w:r>
              <w:rPr>
                <w:rFonts w:hint="eastAsia" w:ascii="黑体" w:hAnsi="黑体" w:eastAsia="黑体" w:cs="黑体"/>
                <w:bCs/>
                <w:sz w:val="24"/>
                <w:szCs w:val="24"/>
              </w:rPr>
              <w:t>使用最佳滤光片组合,通道之间无干扰，仪器适用开放式试剂。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黑体" w:hAnsi="黑体" w:eastAsia="黑体" w:cs="黑体"/>
                <w:b/>
                <w:sz w:val="24"/>
                <w:szCs w:val="28"/>
              </w:rPr>
            </w:pPr>
            <w:r>
              <w:rPr>
                <w:rFonts w:hint="eastAsia" w:ascii="黑体" w:hAnsi="黑体" w:eastAsia="黑体" w:cs="黑体"/>
                <w:b/>
                <w:sz w:val="24"/>
                <w:szCs w:val="28"/>
              </w:rPr>
              <w:t>检测方式</w:t>
            </w:r>
          </w:p>
        </w:tc>
        <w:tc>
          <w:tcPr>
            <w:tcW w:w="3260" w:type="dxa"/>
            <w:noWrap w:val="0"/>
            <w:vAlign w:val="center"/>
          </w:tcPr>
          <w:p>
            <w:pPr>
              <w:snapToGrid w:val="0"/>
              <w:rPr>
                <w:rFonts w:hint="eastAsia" w:ascii="黑体" w:hAnsi="黑体" w:eastAsia="黑体" w:cs="黑体"/>
                <w:sz w:val="24"/>
                <w:szCs w:val="24"/>
              </w:rPr>
            </w:pPr>
            <w:r>
              <w:rPr>
                <w:rFonts w:hint="eastAsia" w:ascii="黑体" w:hAnsi="黑体" w:eastAsia="黑体" w:cs="黑体"/>
                <w:sz w:val="24"/>
                <w:szCs w:val="24"/>
              </w:rPr>
              <w:t>反应管的底部侧面激发、检测</w:t>
            </w:r>
          </w:p>
        </w:tc>
        <w:tc>
          <w:tcPr>
            <w:tcW w:w="3937" w:type="dxa"/>
            <w:noWrap w:val="0"/>
            <w:vAlign w:val="center"/>
          </w:tcPr>
          <w:p>
            <w:pPr>
              <w:rPr>
                <w:rFonts w:hint="eastAsia" w:ascii="黑体" w:hAnsi="黑体" w:eastAsia="黑体" w:cs="黑体"/>
                <w:bCs/>
                <w:sz w:val="24"/>
                <w:szCs w:val="24"/>
              </w:rPr>
            </w:pPr>
            <w:r>
              <w:rPr>
                <w:rFonts w:hint="eastAsia" w:ascii="黑体" w:hAnsi="黑体" w:eastAsia="黑体" w:cs="黑体"/>
                <w:bCs/>
                <w:sz w:val="24"/>
                <w:szCs w:val="24"/>
              </w:rPr>
              <w:t>提高光源的传输及检测效率、灵敏度。 光的检测效率高，因为底部侧面是反应管壁最薄处，同时，非常适合磁珠吸附法的PCR反应检测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黑体" w:hAnsi="黑体" w:eastAsia="黑体" w:cs="黑体"/>
                <w:b/>
                <w:sz w:val="24"/>
                <w:szCs w:val="28"/>
              </w:rPr>
            </w:pPr>
            <w:r>
              <w:rPr>
                <w:rFonts w:hint="eastAsia" w:ascii="黑体" w:hAnsi="黑体" w:eastAsia="黑体" w:cs="黑体"/>
                <w:b/>
                <w:sz w:val="24"/>
                <w:szCs w:val="28"/>
              </w:rPr>
              <w:t>激发、检测光的传输模式</w:t>
            </w:r>
          </w:p>
        </w:tc>
        <w:tc>
          <w:tcPr>
            <w:tcW w:w="3260" w:type="dxa"/>
            <w:noWrap w:val="0"/>
            <w:vAlign w:val="center"/>
          </w:tcPr>
          <w:p>
            <w:pPr>
              <w:snapToGrid w:val="0"/>
              <w:rPr>
                <w:rFonts w:hint="eastAsia" w:ascii="黑体" w:hAnsi="黑体" w:eastAsia="黑体" w:cs="黑体"/>
                <w:sz w:val="24"/>
                <w:szCs w:val="24"/>
              </w:rPr>
            </w:pPr>
            <w:r>
              <w:rPr>
                <w:rFonts w:hint="eastAsia" w:ascii="黑体" w:hAnsi="黑体" w:eastAsia="黑体" w:cs="黑体"/>
                <w:sz w:val="24"/>
                <w:szCs w:val="24"/>
              </w:rPr>
              <w:t>每一反应孔独立的光纤传输</w:t>
            </w:r>
          </w:p>
        </w:tc>
        <w:tc>
          <w:tcPr>
            <w:tcW w:w="3937" w:type="dxa"/>
            <w:noWrap w:val="0"/>
            <w:vAlign w:val="center"/>
          </w:tcPr>
          <w:p>
            <w:pPr>
              <w:rPr>
                <w:rFonts w:hint="eastAsia" w:ascii="黑体" w:hAnsi="黑体" w:eastAsia="黑体" w:cs="黑体"/>
                <w:bCs/>
                <w:sz w:val="24"/>
                <w:szCs w:val="24"/>
              </w:rPr>
            </w:pPr>
            <w:r>
              <w:rPr>
                <w:rFonts w:hint="eastAsia" w:ascii="黑体" w:hAnsi="黑体" w:eastAsia="黑体" w:cs="黑体"/>
                <w:bCs/>
                <w:sz w:val="24"/>
                <w:szCs w:val="24"/>
              </w:rPr>
              <w:t>独立的输入输出光纤传导对应着每一反应孔，无孔与孔间的光检测干扰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黑体" w:hAnsi="黑体" w:eastAsia="黑体" w:cs="黑体"/>
                <w:b/>
                <w:szCs w:val="21"/>
              </w:rPr>
            </w:pPr>
            <w:r>
              <w:rPr>
                <w:rFonts w:hint="eastAsia" w:ascii="黑体" w:hAnsi="黑体" w:eastAsia="黑体" w:cs="黑体"/>
                <w:b/>
                <w:szCs w:val="21"/>
              </w:rPr>
              <w:t>软件应用模式</w:t>
            </w:r>
          </w:p>
        </w:tc>
        <w:tc>
          <w:tcPr>
            <w:tcW w:w="3260" w:type="dxa"/>
            <w:noWrap w:val="0"/>
            <w:vAlign w:val="center"/>
          </w:tcPr>
          <w:p>
            <w:pPr>
              <w:snapToGrid w:val="0"/>
              <w:rPr>
                <w:rFonts w:hint="eastAsia" w:ascii="黑体" w:hAnsi="黑体" w:eastAsia="黑体" w:cs="黑体"/>
                <w:sz w:val="24"/>
                <w:szCs w:val="24"/>
              </w:rPr>
            </w:pPr>
            <w:r>
              <w:rPr>
                <w:rFonts w:hint="eastAsia" w:ascii="黑体" w:hAnsi="黑体" w:eastAsia="黑体" w:cs="黑体"/>
                <w:sz w:val="24"/>
                <w:szCs w:val="24"/>
              </w:rPr>
              <w:t>定量/定性、熔解曲线、多管多项目分析、相对定量、等位基因、HRM、SAT实时荧光等温扩增</w:t>
            </w:r>
          </w:p>
        </w:tc>
        <w:tc>
          <w:tcPr>
            <w:tcW w:w="3937" w:type="dxa"/>
            <w:noWrap w:val="0"/>
            <w:vAlign w:val="center"/>
          </w:tcPr>
          <w:p>
            <w:pPr>
              <w:rPr>
                <w:rFonts w:hint="eastAsia" w:ascii="黑体" w:hAnsi="黑体" w:eastAsia="黑体" w:cs="黑体"/>
                <w:bCs/>
                <w:sz w:val="24"/>
                <w:szCs w:val="24"/>
              </w:rPr>
            </w:pPr>
            <w:r>
              <w:rPr>
                <w:rFonts w:hint="eastAsia" w:ascii="黑体" w:hAnsi="黑体" w:eastAsia="黑体" w:cs="黑体"/>
                <w:bCs/>
                <w:sz w:val="24"/>
                <w:szCs w:val="24"/>
              </w:rPr>
              <w:t>多项目管理设置程序管理、项目实验运行程序安全密码锁定功能,分析软件试剂封装技术功能,自动判断分析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黑体" w:hAnsi="黑体" w:eastAsia="黑体" w:cs="黑体"/>
                <w:b/>
                <w:sz w:val="24"/>
                <w:szCs w:val="28"/>
              </w:rPr>
            </w:pPr>
            <w:r>
              <w:rPr>
                <w:rFonts w:hint="eastAsia" w:ascii="黑体" w:hAnsi="黑体" w:eastAsia="黑体" w:cs="黑体"/>
                <w:b/>
                <w:sz w:val="24"/>
                <w:szCs w:val="28"/>
              </w:rPr>
              <w:t>模块温度范围</w:t>
            </w:r>
          </w:p>
        </w:tc>
        <w:tc>
          <w:tcPr>
            <w:tcW w:w="326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4℃-99℃</w:t>
            </w:r>
          </w:p>
        </w:tc>
        <w:tc>
          <w:tcPr>
            <w:tcW w:w="3937" w:type="dxa"/>
            <w:noWrap w:val="0"/>
            <w:vAlign w:val="center"/>
          </w:tcPr>
          <w:p>
            <w:pPr>
              <w:rPr>
                <w:rFonts w:hint="eastAsia" w:ascii="黑体" w:hAnsi="黑体" w:eastAsia="黑体" w:cs="黑体"/>
                <w:bCs/>
                <w:sz w:val="24"/>
                <w:szCs w:val="24"/>
              </w:rPr>
            </w:pPr>
            <w:r>
              <w:rPr>
                <w:rFonts w:hint="eastAsia" w:ascii="黑体" w:hAnsi="黑体" w:eastAsia="黑体" w:cs="黑体"/>
                <w:bCs/>
                <w:sz w:val="24"/>
                <w:szCs w:val="24"/>
              </w:rPr>
              <w:t>控温范围广，试剂可以在机器上4℃保存.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黑体" w:hAnsi="黑体" w:eastAsia="黑体" w:cs="黑体"/>
                <w:b/>
                <w:sz w:val="24"/>
                <w:szCs w:val="28"/>
              </w:rPr>
            </w:pPr>
            <w:r>
              <w:rPr>
                <w:rFonts w:hint="eastAsia" w:ascii="黑体" w:hAnsi="黑体" w:eastAsia="黑体" w:cs="黑体"/>
                <w:b/>
                <w:sz w:val="24"/>
                <w:szCs w:val="28"/>
              </w:rPr>
              <w:t>检测动力学范围</w:t>
            </w:r>
          </w:p>
        </w:tc>
        <w:tc>
          <w:tcPr>
            <w:tcW w:w="3260" w:type="dxa"/>
            <w:noWrap w:val="0"/>
            <w:vAlign w:val="center"/>
          </w:tcPr>
          <w:p>
            <w:pPr>
              <w:jc w:val="center"/>
              <w:rPr>
                <w:rFonts w:hint="eastAsia" w:ascii="黑体" w:hAnsi="黑体" w:eastAsia="黑体" w:cs="黑体"/>
                <w:sz w:val="24"/>
                <w:szCs w:val="24"/>
                <w:vertAlign w:val="superscript"/>
              </w:rPr>
            </w:pPr>
            <w:r>
              <w:rPr>
                <w:rFonts w:hint="eastAsia" w:ascii="黑体" w:hAnsi="黑体" w:eastAsia="黑体" w:cs="黑体"/>
                <w:sz w:val="24"/>
                <w:szCs w:val="24"/>
              </w:rPr>
              <w:t>10</w:t>
            </w:r>
            <w:r>
              <w:rPr>
                <w:rFonts w:hint="eastAsia" w:ascii="黑体" w:hAnsi="黑体" w:eastAsia="黑体" w:cs="黑体"/>
                <w:sz w:val="24"/>
                <w:szCs w:val="24"/>
                <w:vertAlign w:val="superscript"/>
              </w:rPr>
              <w:t>0</w:t>
            </w:r>
            <w:r>
              <w:rPr>
                <w:rFonts w:hint="eastAsia" w:ascii="黑体" w:hAnsi="黑体" w:eastAsia="黑体" w:cs="黑体"/>
                <w:sz w:val="24"/>
                <w:szCs w:val="24"/>
                <w:vertAlign w:val="superscript"/>
              </w:rPr>
              <w:softHyphen/>
            </w:r>
            <w:r>
              <w:rPr>
                <w:rFonts w:hint="eastAsia" w:ascii="黑体" w:hAnsi="黑体" w:eastAsia="黑体" w:cs="黑体"/>
                <w:sz w:val="24"/>
                <w:szCs w:val="24"/>
              </w:rPr>
              <w:t>-10</w:t>
            </w:r>
            <w:r>
              <w:rPr>
                <w:rFonts w:hint="eastAsia" w:ascii="黑体" w:hAnsi="黑体" w:eastAsia="黑体" w:cs="黑体"/>
                <w:color w:val="000000"/>
                <w:sz w:val="24"/>
                <w:szCs w:val="24"/>
                <w:vertAlign w:val="superscript"/>
              </w:rPr>
              <w:t>10</w:t>
            </w:r>
          </w:p>
        </w:tc>
        <w:tc>
          <w:tcPr>
            <w:tcW w:w="3937" w:type="dxa"/>
            <w:noWrap w:val="0"/>
            <w:vAlign w:val="center"/>
          </w:tcPr>
          <w:p>
            <w:pPr>
              <w:rPr>
                <w:rFonts w:hint="eastAsia" w:ascii="黑体" w:hAnsi="黑体" w:eastAsia="黑体" w:cs="黑体"/>
                <w:bCs/>
                <w:sz w:val="24"/>
                <w:szCs w:val="24"/>
              </w:rPr>
            </w:pPr>
            <w:r>
              <w:rPr>
                <w:rFonts w:hint="eastAsia" w:ascii="黑体" w:hAnsi="黑体" w:eastAsia="黑体" w:cs="黑体"/>
                <w:bCs/>
                <w:sz w:val="24"/>
                <w:szCs w:val="24"/>
              </w:rPr>
              <w:t>宽广的动力学范围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黑体" w:hAnsi="黑体" w:eastAsia="黑体" w:cs="黑体"/>
                <w:b/>
                <w:sz w:val="24"/>
                <w:szCs w:val="28"/>
              </w:rPr>
            </w:pPr>
            <w:r>
              <w:rPr>
                <w:rFonts w:hint="eastAsia" w:ascii="黑体" w:hAnsi="黑体" w:eastAsia="黑体" w:cs="黑体"/>
                <w:b/>
                <w:sz w:val="24"/>
                <w:szCs w:val="28"/>
              </w:rPr>
              <w:t>最小检测模板</w:t>
            </w:r>
          </w:p>
        </w:tc>
        <w:tc>
          <w:tcPr>
            <w:tcW w:w="326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单个拷贝</w:t>
            </w:r>
          </w:p>
        </w:tc>
        <w:tc>
          <w:tcPr>
            <w:tcW w:w="3937" w:type="dxa"/>
            <w:noWrap w:val="0"/>
            <w:vAlign w:val="center"/>
          </w:tcPr>
          <w:p>
            <w:pPr>
              <w:rPr>
                <w:rFonts w:hint="eastAsia" w:ascii="黑体" w:hAnsi="黑体" w:eastAsia="黑体" w:cs="黑体"/>
                <w:bCs/>
                <w:sz w:val="24"/>
                <w:szCs w:val="24"/>
              </w:rPr>
            </w:pPr>
            <w:r>
              <w:rPr>
                <w:rFonts w:hint="eastAsia" w:ascii="黑体" w:hAnsi="黑体" w:eastAsia="黑体" w:cs="黑体"/>
                <w:bCs/>
                <w:sz w:val="24"/>
                <w:szCs w:val="24"/>
              </w:rPr>
              <w:t>在理想的实验环境，可以达到100%的扩增分析,高扩增效率.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黑体" w:hAnsi="黑体" w:eastAsia="黑体" w:cs="黑体"/>
                <w:b/>
                <w:color w:val="000000"/>
                <w:sz w:val="24"/>
                <w:szCs w:val="28"/>
              </w:rPr>
            </w:pPr>
            <w:r>
              <w:rPr>
                <w:rFonts w:hint="eastAsia" w:ascii="黑体" w:hAnsi="黑体" w:eastAsia="黑体" w:cs="黑体"/>
                <w:b/>
                <w:color w:val="000000"/>
                <w:sz w:val="24"/>
                <w:szCs w:val="28"/>
              </w:rPr>
              <w:t>反应容积</w:t>
            </w:r>
          </w:p>
        </w:tc>
        <w:tc>
          <w:tcPr>
            <w:tcW w:w="3260" w:type="dxa"/>
            <w:noWrap w:val="0"/>
            <w:vAlign w:val="center"/>
          </w:tcPr>
          <w:p>
            <w:pPr>
              <w:jc w:val="center"/>
              <w:rPr>
                <w:rFonts w:hint="eastAsia" w:ascii="黑体" w:hAnsi="黑体" w:eastAsia="黑体" w:cs="黑体"/>
                <w:color w:val="000000"/>
                <w:sz w:val="24"/>
                <w:szCs w:val="24"/>
              </w:rPr>
            </w:pPr>
            <w:r>
              <w:rPr>
                <w:rFonts w:hint="eastAsia" w:ascii="黑体" w:hAnsi="黑体" w:eastAsia="黑体" w:cs="黑体"/>
                <w:color w:val="000000"/>
                <w:sz w:val="24"/>
                <w:szCs w:val="24"/>
              </w:rPr>
              <w:t>15ul-100ul</w:t>
            </w:r>
          </w:p>
        </w:tc>
        <w:tc>
          <w:tcPr>
            <w:tcW w:w="3937" w:type="dxa"/>
            <w:noWrap w:val="0"/>
            <w:vAlign w:val="center"/>
          </w:tcPr>
          <w:p>
            <w:pPr>
              <w:rPr>
                <w:rFonts w:hint="eastAsia" w:ascii="黑体" w:hAnsi="黑体" w:eastAsia="黑体" w:cs="黑体"/>
                <w:bCs/>
                <w:color w:val="000000"/>
                <w:sz w:val="24"/>
                <w:szCs w:val="24"/>
              </w:rPr>
            </w:pPr>
            <w:r>
              <w:rPr>
                <w:rFonts w:hint="eastAsia" w:ascii="黑体" w:hAnsi="黑体" w:eastAsia="黑体" w:cs="黑体"/>
                <w:bCs/>
                <w:color w:val="000000"/>
                <w:sz w:val="24"/>
                <w:szCs w:val="24"/>
              </w:rPr>
              <w:t>宽广的反应体系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黑体" w:hAnsi="黑体" w:eastAsia="黑体" w:cs="黑体"/>
                <w:b/>
                <w:color w:val="000000"/>
                <w:sz w:val="24"/>
                <w:szCs w:val="28"/>
              </w:rPr>
            </w:pPr>
            <w:r>
              <w:rPr>
                <w:rFonts w:hint="eastAsia" w:ascii="黑体" w:hAnsi="黑体" w:eastAsia="黑体" w:cs="黑体"/>
                <w:b/>
                <w:color w:val="000000"/>
                <w:sz w:val="24"/>
                <w:szCs w:val="28"/>
              </w:rPr>
              <w:t>控温模式</w:t>
            </w:r>
          </w:p>
        </w:tc>
        <w:tc>
          <w:tcPr>
            <w:tcW w:w="3260" w:type="dxa"/>
            <w:noWrap w:val="0"/>
            <w:vAlign w:val="center"/>
          </w:tcPr>
          <w:p>
            <w:pPr>
              <w:jc w:val="center"/>
              <w:rPr>
                <w:rFonts w:hint="eastAsia" w:ascii="黑体" w:hAnsi="黑体" w:eastAsia="黑体" w:cs="黑体"/>
                <w:color w:val="000000"/>
                <w:sz w:val="24"/>
                <w:szCs w:val="24"/>
              </w:rPr>
            </w:pPr>
            <w:r>
              <w:rPr>
                <w:rFonts w:hint="eastAsia" w:ascii="黑体" w:hAnsi="黑体" w:eastAsia="黑体" w:cs="黑体"/>
                <w:color w:val="000000"/>
                <w:sz w:val="24"/>
                <w:szCs w:val="24"/>
              </w:rPr>
              <w:t>半导体热电模块</w:t>
            </w:r>
          </w:p>
        </w:tc>
        <w:tc>
          <w:tcPr>
            <w:tcW w:w="3937" w:type="dxa"/>
            <w:noWrap w:val="0"/>
            <w:vAlign w:val="center"/>
          </w:tcPr>
          <w:p>
            <w:pPr>
              <w:rPr>
                <w:rFonts w:hint="eastAsia" w:ascii="黑体" w:hAnsi="黑体" w:eastAsia="黑体" w:cs="黑体"/>
                <w:bCs/>
                <w:color w:val="000000"/>
                <w:sz w:val="24"/>
                <w:szCs w:val="24"/>
              </w:rPr>
            </w:pPr>
            <w:r>
              <w:rPr>
                <w:rFonts w:hint="eastAsia" w:ascii="黑体" w:hAnsi="黑体" w:eastAsia="黑体" w:cs="黑体"/>
                <w:bCs/>
                <w:color w:val="000000"/>
                <w:sz w:val="24"/>
                <w:szCs w:val="24"/>
              </w:rPr>
              <w:t>多种控温模式,控温稳定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黑体" w:hAnsi="黑体" w:eastAsia="黑体" w:cs="黑体"/>
                <w:b/>
                <w:color w:val="000000"/>
                <w:sz w:val="24"/>
                <w:szCs w:val="28"/>
              </w:rPr>
            </w:pPr>
            <w:r>
              <w:rPr>
                <w:rFonts w:hint="eastAsia" w:ascii="黑体" w:hAnsi="黑体" w:eastAsia="黑体" w:cs="黑体"/>
                <w:b/>
                <w:color w:val="000000"/>
                <w:sz w:val="24"/>
                <w:szCs w:val="28"/>
              </w:rPr>
              <w:t>升温速率(MAX)</w:t>
            </w:r>
          </w:p>
        </w:tc>
        <w:tc>
          <w:tcPr>
            <w:tcW w:w="3260" w:type="dxa"/>
            <w:noWrap w:val="0"/>
            <w:vAlign w:val="center"/>
          </w:tcPr>
          <w:p>
            <w:pPr>
              <w:jc w:val="center"/>
              <w:rPr>
                <w:rFonts w:hint="eastAsia" w:ascii="黑体" w:hAnsi="黑体" w:eastAsia="黑体" w:cs="黑体"/>
                <w:color w:val="000000"/>
                <w:sz w:val="24"/>
                <w:szCs w:val="24"/>
              </w:rPr>
            </w:pPr>
            <w:r>
              <w:rPr>
                <w:rFonts w:hint="eastAsia" w:ascii="黑体" w:hAnsi="黑体" w:eastAsia="黑体" w:cs="黑体"/>
                <w:color w:val="000000"/>
                <w:sz w:val="24"/>
                <w:szCs w:val="24"/>
              </w:rPr>
              <w:t>4℃/S</w:t>
            </w:r>
          </w:p>
        </w:tc>
        <w:tc>
          <w:tcPr>
            <w:tcW w:w="3937" w:type="dxa"/>
            <w:noWrap w:val="0"/>
            <w:vAlign w:val="center"/>
          </w:tcPr>
          <w:p>
            <w:pPr>
              <w:rPr>
                <w:rFonts w:hint="eastAsia" w:ascii="黑体" w:hAnsi="黑体" w:eastAsia="黑体" w:cs="黑体"/>
                <w:color w:val="000000"/>
                <w:sz w:val="24"/>
                <w:szCs w:val="24"/>
              </w:rPr>
            </w:pPr>
            <w:r>
              <w:rPr>
                <w:rFonts w:hint="eastAsia" w:ascii="黑体" w:hAnsi="黑体" w:eastAsia="黑体" w:cs="黑体"/>
                <w:color w:val="000000"/>
                <w:sz w:val="24"/>
                <w:szCs w:val="24"/>
              </w:rPr>
              <w:t>快速的升降温速率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728" w:type="dxa"/>
            <w:noWrap w:val="0"/>
            <w:vAlign w:val="center"/>
          </w:tcPr>
          <w:p>
            <w:pPr>
              <w:rPr>
                <w:rFonts w:hint="eastAsia" w:ascii="黑体" w:hAnsi="黑体" w:eastAsia="黑体" w:cs="黑体"/>
                <w:b/>
                <w:color w:val="000000"/>
                <w:sz w:val="24"/>
                <w:szCs w:val="28"/>
              </w:rPr>
            </w:pPr>
            <w:r>
              <w:rPr>
                <w:rFonts w:hint="eastAsia" w:ascii="黑体" w:hAnsi="黑体" w:eastAsia="黑体" w:cs="黑体"/>
                <w:b/>
                <w:color w:val="000000"/>
                <w:sz w:val="24"/>
                <w:szCs w:val="28"/>
              </w:rPr>
              <w:t>温控精度</w:t>
            </w:r>
          </w:p>
          <w:p>
            <w:pPr>
              <w:rPr>
                <w:rFonts w:hint="eastAsia" w:ascii="黑体" w:hAnsi="黑体" w:eastAsia="黑体" w:cs="黑体"/>
                <w:b/>
                <w:color w:val="000000"/>
                <w:sz w:val="24"/>
                <w:szCs w:val="28"/>
              </w:rPr>
            </w:pPr>
            <w:r>
              <w:rPr>
                <w:rFonts w:hint="eastAsia" w:ascii="黑体" w:hAnsi="黑体" w:eastAsia="黑体" w:cs="黑体"/>
                <w:b/>
                <w:color w:val="000000"/>
                <w:sz w:val="24"/>
                <w:szCs w:val="28"/>
              </w:rPr>
              <w:t>（HRM高分辨熔解曲线）</w:t>
            </w:r>
          </w:p>
        </w:tc>
        <w:tc>
          <w:tcPr>
            <w:tcW w:w="3260" w:type="dxa"/>
            <w:noWrap w:val="0"/>
            <w:vAlign w:val="center"/>
          </w:tcPr>
          <w:p>
            <w:pPr>
              <w:jc w:val="center"/>
              <w:rPr>
                <w:rFonts w:hint="eastAsia" w:ascii="黑体" w:hAnsi="黑体" w:eastAsia="黑体" w:cs="黑体"/>
                <w:color w:val="000000"/>
                <w:sz w:val="24"/>
                <w:szCs w:val="24"/>
              </w:rPr>
            </w:pPr>
            <w:r>
              <w:rPr>
                <w:rFonts w:hint="eastAsia" w:ascii="黑体" w:hAnsi="黑体" w:eastAsia="黑体" w:cs="黑体"/>
                <w:color w:val="000000"/>
                <w:sz w:val="24"/>
                <w:szCs w:val="24"/>
              </w:rPr>
              <w:t>±0.1℃</w:t>
            </w:r>
          </w:p>
        </w:tc>
        <w:tc>
          <w:tcPr>
            <w:tcW w:w="3937" w:type="dxa"/>
            <w:noWrap w:val="0"/>
            <w:vAlign w:val="center"/>
          </w:tcPr>
          <w:p>
            <w:pPr>
              <w:rPr>
                <w:rFonts w:hint="eastAsia" w:ascii="黑体" w:hAnsi="黑体" w:eastAsia="黑体" w:cs="黑体"/>
                <w:color w:val="000000"/>
                <w:sz w:val="24"/>
                <w:szCs w:val="24"/>
              </w:rPr>
            </w:pPr>
            <w:r>
              <w:rPr>
                <w:rFonts w:hint="eastAsia" w:ascii="黑体" w:hAnsi="黑体" w:eastAsia="黑体" w:cs="黑体"/>
                <w:color w:val="000000"/>
                <w:sz w:val="24"/>
                <w:szCs w:val="24"/>
              </w:rPr>
              <w:t>控温精度达到±0.1,以保证实验的精确</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rPr>
              <w:t>可做HRM，这是许多同类仪器无法达到的精度。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黑体" w:hAnsi="黑体" w:eastAsia="黑体" w:cs="黑体"/>
                <w:b/>
                <w:color w:val="000000"/>
                <w:sz w:val="24"/>
                <w:szCs w:val="28"/>
              </w:rPr>
            </w:pPr>
            <w:r>
              <w:rPr>
                <w:rFonts w:hint="eastAsia" w:ascii="黑体" w:hAnsi="黑体" w:eastAsia="黑体" w:cs="黑体"/>
                <w:b/>
                <w:color w:val="000000"/>
                <w:sz w:val="24"/>
                <w:szCs w:val="28"/>
              </w:rPr>
              <w:t>样品间温度</w:t>
            </w:r>
          </w:p>
          <w:p>
            <w:pPr>
              <w:rPr>
                <w:rFonts w:hint="eastAsia" w:ascii="黑体" w:hAnsi="黑体" w:eastAsia="黑体" w:cs="黑体"/>
                <w:b/>
                <w:color w:val="000000"/>
                <w:sz w:val="24"/>
                <w:szCs w:val="28"/>
              </w:rPr>
            </w:pPr>
            <w:r>
              <w:rPr>
                <w:rFonts w:hint="eastAsia" w:ascii="黑体" w:hAnsi="黑体" w:eastAsia="黑体" w:cs="黑体"/>
                <w:b/>
                <w:color w:val="000000"/>
                <w:sz w:val="24"/>
                <w:szCs w:val="28"/>
              </w:rPr>
              <w:t>均匀性</w:t>
            </w:r>
          </w:p>
        </w:tc>
        <w:tc>
          <w:tcPr>
            <w:tcW w:w="3260" w:type="dxa"/>
            <w:noWrap w:val="0"/>
            <w:vAlign w:val="center"/>
          </w:tcPr>
          <w:p>
            <w:pPr>
              <w:jc w:val="center"/>
              <w:rPr>
                <w:rFonts w:hint="eastAsia" w:ascii="黑体" w:hAnsi="黑体" w:eastAsia="黑体" w:cs="黑体"/>
                <w:color w:val="000000"/>
                <w:sz w:val="24"/>
                <w:szCs w:val="24"/>
              </w:rPr>
            </w:pPr>
            <w:r>
              <w:rPr>
                <w:rFonts w:hint="eastAsia" w:ascii="黑体" w:hAnsi="黑体" w:eastAsia="黑体" w:cs="黑体"/>
                <w:color w:val="000000"/>
                <w:sz w:val="24"/>
                <w:szCs w:val="24"/>
              </w:rPr>
              <w:t>±0.1℃</w:t>
            </w:r>
          </w:p>
        </w:tc>
        <w:tc>
          <w:tcPr>
            <w:tcW w:w="3937" w:type="dxa"/>
            <w:noWrap w:val="0"/>
            <w:vAlign w:val="center"/>
          </w:tcPr>
          <w:p>
            <w:pPr>
              <w:rPr>
                <w:rFonts w:hint="eastAsia" w:ascii="黑体" w:hAnsi="黑体" w:eastAsia="黑体" w:cs="黑体"/>
                <w:bCs/>
                <w:color w:val="000000"/>
                <w:sz w:val="24"/>
                <w:szCs w:val="24"/>
              </w:rPr>
            </w:pPr>
            <w:r>
              <w:rPr>
                <w:rFonts w:hint="eastAsia" w:ascii="黑体" w:hAnsi="黑体" w:eastAsia="黑体" w:cs="黑体"/>
                <w:color w:val="000000"/>
                <w:sz w:val="24"/>
                <w:szCs w:val="24"/>
              </w:rPr>
              <w:t>完美的温度均匀性。 实测温度均匀性为±0.1，保证孔与孔之间温度完全一致。</w:t>
            </w:r>
          </w:p>
        </w:tc>
      </w:tr>
      <w:tr>
        <w:tblPrEx>
          <w:tblCellMar>
            <w:top w:w="0" w:type="dxa"/>
            <w:left w:w="108" w:type="dxa"/>
            <w:bottom w:w="0" w:type="dxa"/>
            <w:right w:w="108" w:type="dxa"/>
          </w:tblCellMar>
        </w:tblPrEx>
        <w:trPr>
          <w:trHeight w:val="588" w:hRule="atLeast"/>
          <w:jc w:val="center"/>
        </w:trPr>
        <w:tc>
          <w:tcPr>
            <w:tcW w:w="1728" w:type="dxa"/>
            <w:noWrap w:val="0"/>
            <w:vAlign w:val="center"/>
          </w:tcPr>
          <w:p>
            <w:pPr>
              <w:rPr>
                <w:rFonts w:hint="eastAsia" w:ascii="黑体" w:hAnsi="黑体" w:eastAsia="黑体" w:cs="黑体"/>
                <w:b/>
                <w:color w:val="000000"/>
                <w:sz w:val="24"/>
                <w:szCs w:val="28"/>
              </w:rPr>
            </w:pPr>
            <w:r>
              <w:rPr>
                <w:rFonts w:hint="eastAsia" w:ascii="黑体" w:hAnsi="黑体" w:eastAsia="黑体" w:cs="黑体"/>
                <w:b/>
                <w:color w:val="000000"/>
                <w:sz w:val="24"/>
                <w:szCs w:val="28"/>
              </w:rPr>
              <w:t>重量</w:t>
            </w:r>
          </w:p>
        </w:tc>
        <w:tc>
          <w:tcPr>
            <w:tcW w:w="3260" w:type="dxa"/>
            <w:noWrap w:val="0"/>
            <w:vAlign w:val="center"/>
          </w:tcPr>
          <w:p>
            <w:pPr>
              <w:jc w:val="center"/>
              <w:rPr>
                <w:rFonts w:hint="eastAsia" w:ascii="黑体" w:hAnsi="黑体" w:eastAsia="黑体" w:cs="黑体"/>
                <w:color w:val="000000"/>
                <w:sz w:val="24"/>
                <w:szCs w:val="24"/>
              </w:rPr>
            </w:pPr>
          </w:p>
        </w:tc>
        <w:tc>
          <w:tcPr>
            <w:tcW w:w="3937" w:type="dxa"/>
            <w:noWrap w:val="0"/>
            <w:vAlign w:val="center"/>
          </w:tcPr>
          <w:p>
            <w:pPr>
              <w:rPr>
                <w:rFonts w:hint="eastAsia" w:ascii="黑体" w:hAnsi="黑体" w:eastAsia="黑体" w:cs="黑体"/>
                <w:bCs/>
                <w:color w:val="000000"/>
                <w:sz w:val="24"/>
                <w:szCs w:val="24"/>
              </w:rPr>
            </w:pPr>
            <w:r>
              <w:rPr>
                <w:rFonts w:hint="eastAsia" w:ascii="黑体" w:hAnsi="黑体" w:eastAsia="黑体" w:cs="黑体"/>
                <w:bCs/>
                <w:color w:val="000000"/>
                <w:sz w:val="24"/>
                <w:szCs w:val="24"/>
              </w:rPr>
              <w:t>重量轻便于移动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728" w:type="dxa"/>
            <w:noWrap w:val="0"/>
            <w:vAlign w:val="center"/>
          </w:tcPr>
          <w:p>
            <w:pPr>
              <w:rPr>
                <w:rFonts w:hint="eastAsia" w:ascii="黑体" w:hAnsi="黑体" w:eastAsia="黑体" w:cs="黑体"/>
                <w:b/>
                <w:color w:val="000000"/>
                <w:sz w:val="24"/>
                <w:szCs w:val="28"/>
                <w:lang w:eastAsia="zh-CN"/>
              </w:rPr>
            </w:pPr>
            <w:r>
              <w:rPr>
                <w:rFonts w:hint="eastAsia" w:ascii="黑体" w:hAnsi="黑体" w:eastAsia="黑体" w:cs="黑体"/>
                <w:b/>
                <w:color w:val="000000"/>
                <w:sz w:val="24"/>
                <w:szCs w:val="28"/>
                <w:lang w:eastAsia="zh-CN"/>
              </w:rPr>
              <w:t>体积</w:t>
            </w:r>
          </w:p>
        </w:tc>
        <w:tc>
          <w:tcPr>
            <w:tcW w:w="3260" w:type="dxa"/>
            <w:noWrap w:val="0"/>
            <w:vAlign w:val="center"/>
          </w:tcPr>
          <w:p>
            <w:pPr>
              <w:jc w:val="center"/>
              <w:rPr>
                <w:rFonts w:hint="eastAsia" w:ascii="黑体" w:hAnsi="黑体" w:eastAsia="黑体" w:cs="黑体"/>
                <w:color w:val="000000"/>
                <w:sz w:val="24"/>
                <w:szCs w:val="24"/>
              </w:rPr>
            </w:pPr>
          </w:p>
        </w:tc>
        <w:tc>
          <w:tcPr>
            <w:tcW w:w="3937" w:type="dxa"/>
            <w:noWrap w:val="0"/>
            <w:vAlign w:val="center"/>
          </w:tcPr>
          <w:p>
            <w:pPr>
              <w:rPr>
                <w:rFonts w:hint="eastAsia" w:ascii="黑体" w:hAnsi="黑体" w:eastAsia="黑体" w:cs="黑体"/>
                <w:bCs/>
                <w:color w:val="000000"/>
                <w:sz w:val="24"/>
                <w:szCs w:val="24"/>
              </w:rPr>
            </w:pPr>
            <w:r>
              <w:rPr>
                <w:rFonts w:hint="eastAsia" w:ascii="黑体" w:hAnsi="黑体" w:eastAsia="黑体" w:cs="黑体"/>
                <w:bCs/>
                <w:color w:val="000000"/>
                <w:sz w:val="24"/>
                <w:szCs w:val="24"/>
              </w:rPr>
              <w:t>体积小，外形美观，采用一次成形模具合成，仪器使用寿命长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728" w:type="dxa"/>
            <w:noWrap w:val="0"/>
            <w:vAlign w:val="center"/>
          </w:tcPr>
          <w:p>
            <w:pPr>
              <w:rPr>
                <w:rFonts w:hint="eastAsia" w:ascii="黑体" w:hAnsi="黑体" w:eastAsia="黑体" w:cs="黑体"/>
                <w:b/>
                <w:color w:val="000000"/>
                <w:sz w:val="24"/>
                <w:szCs w:val="28"/>
              </w:rPr>
            </w:pPr>
            <w:r>
              <w:rPr>
                <w:rFonts w:hint="eastAsia" w:ascii="黑体" w:hAnsi="黑体" w:eastAsia="黑体" w:cs="黑体"/>
                <w:b/>
                <w:color w:val="000000"/>
                <w:sz w:val="24"/>
                <w:szCs w:val="28"/>
              </w:rPr>
              <w:t>断电保护</w:t>
            </w:r>
          </w:p>
        </w:tc>
        <w:tc>
          <w:tcPr>
            <w:tcW w:w="3260" w:type="dxa"/>
            <w:noWrap w:val="0"/>
            <w:vAlign w:val="center"/>
          </w:tcPr>
          <w:p>
            <w:pPr>
              <w:jc w:val="center"/>
              <w:rPr>
                <w:rFonts w:hint="eastAsia" w:ascii="黑体" w:hAnsi="黑体" w:eastAsia="黑体" w:cs="黑体"/>
                <w:color w:val="000000"/>
                <w:sz w:val="24"/>
                <w:szCs w:val="24"/>
              </w:rPr>
            </w:pPr>
            <w:r>
              <w:rPr>
                <w:rFonts w:hint="eastAsia" w:ascii="黑体" w:hAnsi="黑体" w:eastAsia="黑体" w:cs="黑体"/>
                <w:color w:val="000000"/>
                <w:sz w:val="24"/>
                <w:szCs w:val="24"/>
              </w:rPr>
              <w:t>有断电保护功能</w:t>
            </w:r>
          </w:p>
        </w:tc>
        <w:tc>
          <w:tcPr>
            <w:tcW w:w="3937" w:type="dxa"/>
            <w:noWrap w:val="0"/>
            <w:vAlign w:val="center"/>
          </w:tcPr>
          <w:p>
            <w:pPr>
              <w:rPr>
                <w:rFonts w:hint="eastAsia" w:ascii="黑体" w:hAnsi="黑体" w:eastAsia="黑体" w:cs="黑体"/>
                <w:bCs/>
                <w:color w:val="000000"/>
                <w:sz w:val="24"/>
                <w:szCs w:val="24"/>
              </w:rPr>
            </w:pPr>
            <w:r>
              <w:rPr>
                <w:rFonts w:hint="eastAsia" w:ascii="黑体" w:hAnsi="黑体" w:eastAsia="黑体" w:cs="黑体"/>
                <w:bCs/>
                <w:color w:val="000000"/>
                <w:sz w:val="24"/>
                <w:szCs w:val="24"/>
              </w:rPr>
              <w:t>在实验过程中遇到断电时,具有程序记忆功能,来电时可继续运行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28" w:type="dxa"/>
            <w:noWrap w:val="0"/>
            <w:vAlign w:val="center"/>
          </w:tcPr>
          <w:p>
            <w:pPr>
              <w:rPr>
                <w:rFonts w:hint="eastAsia" w:ascii="黑体" w:hAnsi="黑体" w:eastAsia="黑体" w:cs="黑体"/>
                <w:b/>
                <w:color w:val="000000"/>
                <w:sz w:val="24"/>
                <w:szCs w:val="28"/>
              </w:rPr>
            </w:pPr>
            <w:r>
              <w:rPr>
                <w:rFonts w:hint="eastAsia" w:ascii="黑体" w:hAnsi="黑体" w:eastAsia="黑体" w:cs="黑体"/>
                <w:b/>
                <w:color w:val="000000"/>
                <w:sz w:val="24"/>
                <w:szCs w:val="28"/>
              </w:rPr>
              <w:t>输入电源</w:t>
            </w:r>
          </w:p>
        </w:tc>
        <w:tc>
          <w:tcPr>
            <w:tcW w:w="3260" w:type="dxa"/>
            <w:noWrap w:val="0"/>
            <w:vAlign w:val="center"/>
          </w:tcPr>
          <w:p>
            <w:pPr>
              <w:jc w:val="center"/>
              <w:rPr>
                <w:rFonts w:hint="eastAsia" w:ascii="黑体" w:hAnsi="黑体" w:eastAsia="黑体" w:cs="黑体"/>
                <w:color w:val="000000"/>
                <w:sz w:val="24"/>
                <w:szCs w:val="24"/>
              </w:rPr>
            </w:pPr>
            <w:r>
              <w:rPr>
                <w:rFonts w:hint="eastAsia" w:ascii="黑体" w:hAnsi="黑体" w:eastAsia="黑体" w:cs="黑体"/>
                <w:color w:val="000000"/>
                <w:sz w:val="24"/>
                <w:szCs w:val="24"/>
              </w:rPr>
              <w:t>AC200V-240V  50HZ</w:t>
            </w:r>
          </w:p>
        </w:tc>
        <w:tc>
          <w:tcPr>
            <w:tcW w:w="3937" w:type="dxa"/>
            <w:noWrap w:val="0"/>
            <w:vAlign w:val="center"/>
          </w:tcPr>
          <w:p>
            <w:pPr>
              <w:rPr>
                <w:rFonts w:hint="eastAsia" w:ascii="黑体" w:hAnsi="黑体" w:eastAsia="黑体"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28" w:type="dxa"/>
            <w:noWrap w:val="0"/>
            <w:vAlign w:val="center"/>
          </w:tcPr>
          <w:p>
            <w:pPr>
              <w:rPr>
                <w:rFonts w:hint="eastAsia" w:ascii="黑体" w:hAnsi="黑体" w:eastAsia="黑体" w:cs="黑体"/>
                <w:szCs w:val="21"/>
              </w:rPr>
            </w:pPr>
            <w:r>
              <w:rPr>
                <w:rFonts w:hint="eastAsia" w:ascii="黑体" w:hAnsi="黑体" w:eastAsia="黑体" w:cs="黑体"/>
                <w:b/>
                <w:sz w:val="24"/>
                <w:szCs w:val="28"/>
              </w:rPr>
              <w:t>耗能</w:t>
            </w:r>
          </w:p>
        </w:tc>
        <w:tc>
          <w:tcPr>
            <w:tcW w:w="326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≤850VA</w:t>
            </w:r>
          </w:p>
        </w:tc>
        <w:tc>
          <w:tcPr>
            <w:tcW w:w="3937" w:type="dxa"/>
            <w:noWrap w:val="0"/>
            <w:vAlign w:val="center"/>
          </w:tcPr>
          <w:p>
            <w:pPr>
              <w:rPr>
                <w:rFonts w:hint="eastAsia" w:ascii="黑体" w:hAnsi="黑体" w:eastAsia="黑体" w:cs="黑体"/>
                <w:bCs/>
                <w:sz w:val="24"/>
                <w:szCs w:val="24"/>
              </w:rPr>
            </w:pPr>
            <w:r>
              <w:rPr>
                <w:rFonts w:hint="eastAsia" w:ascii="黑体" w:hAnsi="黑体" w:eastAsia="黑体" w:cs="黑体"/>
                <w:bCs/>
                <w:sz w:val="24"/>
                <w:szCs w:val="24"/>
              </w:rPr>
              <w:t>耗能低，噪音小，节能环保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28" w:type="dxa"/>
            <w:noWrap w:val="0"/>
            <w:vAlign w:val="center"/>
          </w:tcPr>
          <w:p>
            <w:pPr>
              <w:rPr>
                <w:rFonts w:hint="eastAsia" w:ascii="黑体" w:hAnsi="黑体" w:eastAsia="黑体" w:cs="黑体"/>
                <w:b/>
                <w:color w:val="000000"/>
                <w:sz w:val="24"/>
                <w:szCs w:val="28"/>
              </w:rPr>
            </w:pPr>
            <w:r>
              <w:rPr>
                <w:rFonts w:hint="eastAsia" w:ascii="黑体" w:hAnsi="黑体" w:eastAsia="黑体" w:cs="黑体"/>
                <w:b/>
                <w:color w:val="000000"/>
                <w:sz w:val="24"/>
                <w:szCs w:val="28"/>
              </w:rPr>
              <w:t>操作系统</w:t>
            </w:r>
          </w:p>
        </w:tc>
        <w:tc>
          <w:tcPr>
            <w:tcW w:w="3260" w:type="dxa"/>
            <w:noWrap w:val="0"/>
            <w:vAlign w:val="center"/>
          </w:tcPr>
          <w:p>
            <w:pPr>
              <w:snapToGrid w:val="0"/>
              <w:rPr>
                <w:rFonts w:hint="eastAsia" w:ascii="黑体" w:hAnsi="黑体" w:eastAsia="黑体" w:cs="黑体"/>
                <w:color w:val="000000"/>
                <w:sz w:val="24"/>
                <w:szCs w:val="24"/>
              </w:rPr>
            </w:pPr>
            <w:r>
              <w:rPr>
                <w:rFonts w:hint="eastAsia" w:ascii="黑体" w:hAnsi="黑体" w:eastAsia="黑体" w:cs="黑体"/>
                <w:color w:val="000000"/>
                <w:sz w:val="24"/>
                <w:szCs w:val="24"/>
              </w:rPr>
              <w:t>中、英文Win 7/8/10</w:t>
            </w:r>
          </w:p>
        </w:tc>
        <w:tc>
          <w:tcPr>
            <w:tcW w:w="3937" w:type="dxa"/>
            <w:noWrap w:val="0"/>
            <w:vAlign w:val="center"/>
          </w:tcPr>
          <w:p>
            <w:pPr>
              <w:rPr>
                <w:rFonts w:hint="eastAsia" w:ascii="黑体" w:hAnsi="黑体" w:eastAsia="黑体" w:cs="黑体"/>
                <w:color w:val="000000"/>
                <w:sz w:val="24"/>
                <w:szCs w:val="24"/>
              </w:rPr>
            </w:pPr>
            <w:r>
              <w:rPr>
                <w:rFonts w:hint="eastAsia" w:ascii="黑体" w:hAnsi="黑体" w:eastAsia="黑体" w:cs="黑体"/>
                <w:bCs/>
                <w:color w:val="000000"/>
                <w:sz w:val="24"/>
                <w:szCs w:val="24"/>
              </w:rPr>
              <w:t>适合多种操作系统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28" w:type="dxa"/>
            <w:noWrap w:val="0"/>
            <w:vAlign w:val="center"/>
          </w:tcPr>
          <w:p>
            <w:pPr>
              <w:rPr>
                <w:rFonts w:hint="eastAsia" w:ascii="黑体" w:hAnsi="黑体" w:eastAsia="黑体" w:cs="黑体"/>
                <w:b/>
                <w:sz w:val="24"/>
                <w:szCs w:val="28"/>
              </w:rPr>
            </w:pPr>
            <w:r>
              <w:rPr>
                <w:rFonts w:hint="eastAsia" w:ascii="黑体" w:hAnsi="黑体" w:eastAsia="黑体" w:cs="黑体"/>
                <w:b/>
                <w:sz w:val="24"/>
                <w:szCs w:val="28"/>
              </w:rPr>
              <w:t>热 盖</w:t>
            </w:r>
          </w:p>
        </w:tc>
        <w:tc>
          <w:tcPr>
            <w:tcW w:w="326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电子自动锁控热盖</w:t>
            </w:r>
          </w:p>
        </w:tc>
        <w:tc>
          <w:tcPr>
            <w:tcW w:w="3937" w:type="dxa"/>
            <w:noWrap w:val="0"/>
            <w:vAlign w:val="center"/>
          </w:tcPr>
          <w:p>
            <w:pPr>
              <w:rPr>
                <w:rFonts w:hint="eastAsia" w:ascii="黑体" w:hAnsi="黑体" w:eastAsia="黑体" w:cs="黑体"/>
                <w:sz w:val="24"/>
                <w:szCs w:val="24"/>
              </w:rPr>
            </w:pPr>
            <w:r>
              <w:rPr>
                <w:rFonts w:hint="eastAsia" w:ascii="黑体" w:hAnsi="黑体" w:eastAsia="黑体" w:cs="黑体"/>
                <w:bCs/>
                <w:sz w:val="24"/>
                <w:szCs w:val="24"/>
              </w:rPr>
              <w:t>运行时热盖自动调节及锁住功能，根据不同的反应管而自动调节位置，保证反应体系不挥发，确保定量的准确性。在运行时自动锁住功能可以防止实验时误操作。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28" w:type="dxa"/>
            <w:noWrap w:val="0"/>
            <w:vAlign w:val="center"/>
          </w:tcPr>
          <w:p>
            <w:pPr>
              <w:rPr>
                <w:rFonts w:hint="eastAsia" w:ascii="黑体" w:hAnsi="黑体" w:eastAsia="黑体" w:cs="黑体"/>
                <w:b/>
                <w:sz w:val="24"/>
                <w:szCs w:val="28"/>
              </w:rPr>
            </w:pPr>
            <w:r>
              <w:rPr>
                <w:rFonts w:hint="eastAsia" w:ascii="黑体" w:hAnsi="黑体" w:eastAsia="黑体" w:cs="黑体"/>
                <w:b/>
                <w:sz w:val="24"/>
                <w:szCs w:val="28"/>
              </w:rPr>
              <w:t>操作软件</w:t>
            </w:r>
          </w:p>
        </w:tc>
        <w:tc>
          <w:tcPr>
            <w:tcW w:w="326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全中文/全英文</w:t>
            </w:r>
          </w:p>
        </w:tc>
        <w:tc>
          <w:tcPr>
            <w:tcW w:w="3937" w:type="dxa"/>
            <w:noWrap w:val="0"/>
            <w:vAlign w:val="center"/>
          </w:tcPr>
          <w:p>
            <w:pPr>
              <w:rPr>
                <w:rFonts w:hint="eastAsia" w:ascii="黑体" w:hAnsi="黑体" w:eastAsia="黑体" w:cs="黑体"/>
                <w:sz w:val="24"/>
                <w:szCs w:val="24"/>
              </w:rPr>
            </w:pPr>
            <w:r>
              <w:rPr>
                <w:rFonts w:hint="eastAsia" w:ascii="黑体" w:hAnsi="黑体" w:eastAsia="黑体" w:cs="黑体"/>
                <w:bCs/>
                <w:sz w:val="24"/>
                <w:szCs w:val="24"/>
              </w:rPr>
              <w:t>检测分析软件升级方便，功能齐全，容错性强，模板编辑便捷，自动生成独立的打印报告单，数据可共享，</w:t>
            </w:r>
            <w:r>
              <w:rPr>
                <w:rFonts w:hint="eastAsia" w:ascii="黑体" w:hAnsi="黑体" w:eastAsia="黑体" w:cs="黑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28" w:type="dxa"/>
            <w:noWrap w:val="0"/>
            <w:vAlign w:val="center"/>
          </w:tcPr>
          <w:p>
            <w:pPr>
              <w:rPr>
                <w:rFonts w:hint="eastAsia" w:ascii="黑体" w:hAnsi="黑体" w:eastAsia="黑体" w:cs="黑体"/>
                <w:b/>
                <w:sz w:val="24"/>
                <w:szCs w:val="28"/>
              </w:rPr>
            </w:pPr>
            <w:r>
              <w:rPr>
                <w:rFonts w:hint="eastAsia" w:ascii="黑体" w:hAnsi="黑体" w:eastAsia="黑体" w:cs="黑体"/>
                <w:b/>
                <w:sz w:val="24"/>
                <w:szCs w:val="28"/>
              </w:rPr>
              <w:t>注册认证</w:t>
            </w:r>
          </w:p>
        </w:tc>
        <w:tc>
          <w:tcPr>
            <w:tcW w:w="326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CFDA、CE</w:t>
            </w:r>
          </w:p>
          <w:p>
            <w:pPr>
              <w:jc w:val="center"/>
              <w:rPr>
                <w:rFonts w:hint="eastAsia" w:ascii="黑体" w:hAnsi="黑体" w:eastAsia="黑体" w:cs="黑体"/>
                <w:sz w:val="24"/>
                <w:szCs w:val="24"/>
              </w:rPr>
            </w:pPr>
          </w:p>
        </w:tc>
        <w:tc>
          <w:tcPr>
            <w:tcW w:w="3937" w:type="dxa"/>
            <w:noWrap w:val="0"/>
            <w:vAlign w:val="center"/>
          </w:tcPr>
          <w:p>
            <w:pPr>
              <w:rPr>
                <w:rFonts w:hint="eastAsia" w:ascii="黑体" w:hAnsi="黑体" w:eastAsia="黑体" w:cs="黑体"/>
                <w:bCs/>
                <w:sz w:val="24"/>
                <w:szCs w:val="24"/>
                <w:highlight w:val="yellow"/>
              </w:rPr>
            </w:pPr>
            <w:r>
              <w:rPr>
                <w:rFonts w:hint="eastAsia" w:ascii="黑体" w:hAnsi="黑体" w:eastAsia="黑体" w:cs="黑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28" w:type="dxa"/>
            <w:noWrap w:val="0"/>
            <w:vAlign w:val="center"/>
          </w:tcPr>
          <w:p>
            <w:pPr>
              <w:rPr>
                <w:rFonts w:hint="eastAsia" w:ascii="黑体" w:hAnsi="黑体" w:eastAsia="黑体" w:cs="黑体"/>
                <w:b/>
                <w:sz w:val="32"/>
                <w:szCs w:val="32"/>
              </w:rPr>
            </w:pPr>
            <w:r>
              <w:rPr>
                <w:rFonts w:hint="eastAsia" w:ascii="黑体" w:hAnsi="黑体" w:eastAsia="黑体" w:cs="黑体"/>
                <w:b/>
                <w:sz w:val="24"/>
                <w:szCs w:val="24"/>
              </w:rPr>
              <w:t>备注</w:t>
            </w:r>
          </w:p>
        </w:tc>
        <w:tc>
          <w:tcPr>
            <w:tcW w:w="3260" w:type="dxa"/>
            <w:noWrap w:val="0"/>
            <w:vAlign w:val="center"/>
          </w:tcPr>
          <w:p>
            <w:pPr>
              <w:jc w:val="center"/>
              <w:rPr>
                <w:rFonts w:hint="eastAsia" w:ascii="黑体" w:hAnsi="黑体" w:eastAsia="黑体" w:cs="黑体"/>
                <w:sz w:val="30"/>
                <w:szCs w:val="30"/>
              </w:rPr>
            </w:pPr>
          </w:p>
        </w:tc>
        <w:tc>
          <w:tcPr>
            <w:tcW w:w="3937" w:type="dxa"/>
            <w:noWrap w:val="0"/>
            <w:vAlign w:val="center"/>
          </w:tcPr>
          <w:p>
            <w:pPr>
              <w:snapToGrid w:val="0"/>
              <w:rPr>
                <w:rFonts w:hint="eastAsia" w:ascii="黑体" w:hAnsi="黑体" w:eastAsia="黑体" w:cs="黑体"/>
                <w:bCs/>
                <w:szCs w:val="21"/>
              </w:rPr>
            </w:pPr>
          </w:p>
        </w:tc>
      </w:tr>
    </w:tbl>
    <w:p>
      <w:pPr>
        <w:rPr>
          <w:rFonts w:hint="eastAsia" w:ascii="黑体" w:hAnsi="Arial" w:eastAsia="黑体"/>
          <w:b/>
          <w:bCs/>
          <w:sz w:val="36"/>
          <w:szCs w:val="36"/>
        </w:rPr>
      </w:pPr>
      <w:r>
        <w:rPr>
          <w:rFonts w:hint="eastAsia" w:ascii="黑体" w:hAnsi="Arial" w:eastAsia="黑体"/>
          <w:b/>
          <w:bCs/>
          <w:sz w:val="36"/>
          <w:szCs w:val="36"/>
        </w:rPr>
        <w:br w:type="page"/>
      </w:r>
    </w:p>
    <w:p>
      <w:pPr>
        <w:jc w:val="center"/>
        <w:rPr>
          <w:rFonts w:hint="eastAsia" w:ascii="黑体" w:hAnsi="Arial" w:eastAsia="黑体"/>
          <w:b/>
          <w:bCs/>
          <w:sz w:val="36"/>
          <w:szCs w:val="36"/>
        </w:rPr>
      </w:pPr>
      <w:r>
        <w:rPr>
          <w:rFonts w:hint="eastAsia" w:ascii="黑体" w:hAnsi="Arial" w:eastAsia="黑体"/>
          <w:b/>
          <w:bCs/>
          <w:sz w:val="36"/>
          <w:szCs w:val="36"/>
        </w:rPr>
        <w:t>样本前处理系统CDS-606 参数 V1</w:t>
      </w:r>
    </w:p>
    <w:p>
      <w:pPr>
        <w:pStyle w:val="54"/>
        <w:numPr>
          <w:ilvl w:val="0"/>
          <w:numId w:val="73"/>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主要用途：</w:t>
      </w:r>
    </w:p>
    <w:p>
      <w:pPr>
        <w:pStyle w:val="54"/>
        <w:snapToGrid w:val="0"/>
        <w:spacing w:line="360" w:lineRule="auto"/>
        <w:ind w:left="720" w:firstLine="0" w:firstLineChars="0"/>
        <w:rPr>
          <w:rFonts w:hint="eastAsia" w:ascii="黑体" w:hAnsi="黑体" w:eastAsia="黑体" w:cs="黑体"/>
          <w:sz w:val="24"/>
          <w:szCs w:val="24"/>
        </w:rPr>
      </w:pPr>
      <w:r>
        <w:rPr>
          <w:rFonts w:hint="eastAsia" w:ascii="黑体" w:hAnsi="黑体" w:eastAsia="黑体" w:cs="黑体"/>
          <w:sz w:val="24"/>
          <w:szCs w:val="24"/>
        </w:rPr>
        <w:t>适用于新冠病毒核酸检测大量样品的前处理，日处理通量超万份。支持一键式软件操作，可以高效、安全准确的将样品从采集管快速分装到96孔深孔板中，处理后的样品管，原盖盖回，深孔板可继续进行后续的自动化核酸提取及检测，整个处理过程中信息实时同步，无缝对接。</w:t>
      </w:r>
    </w:p>
    <w:p>
      <w:pPr>
        <w:pStyle w:val="54"/>
        <w:numPr>
          <w:ilvl w:val="0"/>
          <w:numId w:val="73"/>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参数</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设备可自动对样本进行扫码识别、开盖、样品快速分装至96深孔板、关盖、样本复位、整个过程无需人工操作。</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支持孔板类型：96孔ANSI各种高度的深孔板和浅孔板。</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自动开盖模块：≥4个。</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进样类型：可适配常规螺旋型10mL/15ml的采样管的开盖和关盖，原管上样，无需取出拭子；适配5混1，10混1等多种混检模式（内含多个拭子），无须将拭子头取出即可吸样；其余规格如5ml可定制适配器。</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lang w:val="en-US" w:eastAsia="zh-CN"/>
        </w:rPr>
        <w:t>设备同时可以选配20混1升级方案，适配20ml/30ml采样管，快速实现20混1混检模式。</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*设备支持无码、一维码、二维码多种类型采样管上机。</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配备条码扫描模块：≥3个</w:t>
      </w:r>
      <w:bookmarkStart w:id="82" w:name="_Hlk93499133"/>
      <w:r>
        <w:rPr>
          <w:rFonts w:hint="eastAsia" w:ascii="黑体" w:hAnsi="黑体" w:eastAsia="黑体" w:cs="黑体"/>
          <w:sz w:val="24"/>
          <w:szCs w:val="24"/>
        </w:rPr>
        <w:t>，一维码、二维码通用</w:t>
      </w:r>
      <w:bookmarkEnd w:id="82"/>
      <w:r>
        <w:rPr>
          <w:rFonts w:hint="eastAsia" w:ascii="黑体" w:hAnsi="黑体" w:eastAsia="黑体" w:cs="黑体"/>
          <w:sz w:val="24"/>
          <w:szCs w:val="24"/>
        </w:rPr>
        <w:t>。</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扫码、开盖模块可同时并行工作。</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*异常不停机，如可自动识别扫码错误、未开盖样品管、堵塞错误等，错误样品管自动放回原位，继续运行。</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移液通道：≥4个。</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*处理</w:t>
      </w:r>
      <w:r>
        <w:rPr>
          <w:rFonts w:hint="eastAsia" w:ascii="黑体" w:hAnsi="黑体" w:eastAsia="黑体" w:cs="黑体"/>
          <w:sz w:val="24"/>
          <w:szCs w:val="24"/>
          <w:lang w:val="en-US" w:eastAsia="zh-CN"/>
        </w:rPr>
        <w:t>速度</w:t>
      </w:r>
      <w:r>
        <w:rPr>
          <w:rFonts w:hint="eastAsia" w:ascii="黑体" w:hAnsi="黑体" w:eastAsia="黑体" w:cs="黑体"/>
          <w:sz w:val="24"/>
          <w:szCs w:val="24"/>
        </w:rPr>
        <w:t>：</w:t>
      </w:r>
      <w:r>
        <w:rPr>
          <w:rFonts w:hint="eastAsia" w:ascii="黑体" w:hAnsi="黑体" w:eastAsia="黑体" w:cs="黑体"/>
          <w:sz w:val="24"/>
          <w:szCs w:val="24"/>
          <w:lang w:val="en-US" w:eastAsia="zh-CN"/>
        </w:rPr>
        <w:t>96样本</w:t>
      </w:r>
      <w:r>
        <w:rPr>
          <w:rFonts w:hint="eastAsia" w:ascii="黑体" w:hAnsi="黑体" w:eastAsia="黑体" w:cs="黑体"/>
          <w:sz w:val="24"/>
          <w:szCs w:val="24"/>
        </w:rPr>
        <w:t>/</w:t>
      </w:r>
      <w:r>
        <w:rPr>
          <w:rFonts w:hint="eastAsia" w:ascii="黑体" w:hAnsi="黑体" w:eastAsia="黑体" w:cs="黑体"/>
          <w:sz w:val="24"/>
          <w:szCs w:val="24"/>
          <w:lang w:val="en-US" w:eastAsia="zh-CN"/>
        </w:rPr>
        <w:t>10分钟</w:t>
      </w:r>
      <w:r>
        <w:rPr>
          <w:rFonts w:hint="eastAsia" w:ascii="黑体" w:hAnsi="黑体" w:eastAsia="黑体" w:cs="黑体"/>
          <w:sz w:val="24"/>
          <w:szCs w:val="24"/>
        </w:rPr>
        <w:t>。</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移液范围：1μL-1000μL；CV 值：100μl≤0.75%。</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*上料料盘：单个料盘存储量，96个</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5-15ml采样管</w:t>
      </w:r>
      <w:r>
        <w:rPr>
          <w:rFonts w:hint="eastAsia" w:ascii="黑体" w:hAnsi="黑体" w:eastAsia="黑体" w:cs="黑体"/>
          <w:sz w:val="24"/>
          <w:szCs w:val="24"/>
          <w:lang w:eastAsia="zh-CN"/>
        </w:rPr>
        <w:t>）</w:t>
      </w:r>
      <w:r>
        <w:rPr>
          <w:rFonts w:hint="eastAsia" w:ascii="黑体" w:hAnsi="黑体" w:eastAsia="黑体" w:cs="黑体"/>
          <w:sz w:val="24"/>
          <w:szCs w:val="24"/>
        </w:rPr>
        <w:t>；每批次上样料盘6个，样品总储存量：576</w:t>
      </w:r>
      <w:r>
        <w:rPr>
          <w:rFonts w:hint="eastAsia" w:ascii="黑体" w:hAnsi="黑体" w:eastAsia="黑体" w:cs="黑体"/>
          <w:sz w:val="24"/>
          <w:szCs w:val="24"/>
          <w:lang w:val="en-US" w:eastAsia="zh-CN"/>
        </w:rPr>
        <w:t>个</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5-15ml采样管</w:t>
      </w:r>
      <w:r>
        <w:rPr>
          <w:rFonts w:hint="eastAsia" w:ascii="黑体" w:hAnsi="黑体" w:eastAsia="黑体" w:cs="黑体"/>
          <w:sz w:val="24"/>
          <w:szCs w:val="24"/>
          <w:lang w:eastAsia="zh-CN"/>
        </w:rPr>
        <w:t>）</w:t>
      </w:r>
      <w:r>
        <w:rPr>
          <w:rFonts w:hint="eastAsia" w:ascii="黑体" w:hAnsi="黑体" w:eastAsia="黑体" w:cs="黑体"/>
          <w:sz w:val="24"/>
          <w:szCs w:val="24"/>
        </w:rPr>
        <w:t>/批次。</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lang w:val="en-US" w:eastAsia="zh-CN"/>
        </w:rPr>
        <w:t>支持选配20ml-30ml采样管</w:t>
      </w:r>
      <w:r>
        <w:rPr>
          <w:rFonts w:hint="eastAsia" w:ascii="黑体" w:hAnsi="黑体" w:eastAsia="黑体" w:cs="黑体"/>
          <w:sz w:val="24"/>
          <w:szCs w:val="24"/>
        </w:rPr>
        <w:t>上料料盘：单个料盘存储量，</w:t>
      </w:r>
      <w:r>
        <w:rPr>
          <w:rFonts w:hint="eastAsia" w:ascii="黑体" w:hAnsi="黑体" w:eastAsia="黑体" w:cs="黑体"/>
          <w:sz w:val="24"/>
          <w:szCs w:val="24"/>
          <w:lang w:val="en-US" w:eastAsia="zh-CN"/>
        </w:rPr>
        <w:t>48</w:t>
      </w:r>
      <w:r>
        <w:rPr>
          <w:rFonts w:hint="eastAsia" w:ascii="黑体" w:hAnsi="黑体" w:eastAsia="黑体" w:cs="黑体"/>
          <w:sz w:val="24"/>
          <w:szCs w:val="24"/>
        </w:rPr>
        <w:t>个</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20-30ml采样管</w:t>
      </w:r>
      <w:r>
        <w:rPr>
          <w:rFonts w:hint="eastAsia" w:ascii="黑体" w:hAnsi="黑体" w:eastAsia="黑体" w:cs="黑体"/>
          <w:sz w:val="24"/>
          <w:szCs w:val="24"/>
          <w:lang w:eastAsia="zh-CN"/>
        </w:rPr>
        <w:t>）</w:t>
      </w:r>
      <w:r>
        <w:rPr>
          <w:rFonts w:hint="eastAsia" w:ascii="黑体" w:hAnsi="黑体" w:eastAsia="黑体" w:cs="黑体"/>
          <w:sz w:val="24"/>
          <w:szCs w:val="24"/>
        </w:rPr>
        <w:t>；每批次上样料盘6个，样品总储存量：</w:t>
      </w:r>
      <w:r>
        <w:rPr>
          <w:rFonts w:hint="eastAsia" w:ascii="黑体" w:hAnsi="黑体" w:eastAsia="黑体" w:cs="黑体"/>
          <w:sz w:val="24"/>
          <w:szCs w:val="24"/>
          <w:lang w:val="en-US" w:eastAsia="zh-CN"/>
        </w:rPr>
        <w:t>192个</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20-30ml采样管</w:t>
      </w:r>
      <w:r>
        <w:rPr>
          <w:rFonts w:hint="eastAsia" w:ascii="黑体" w:hAnsi="黑体" w:eastAsia="黑体" w:cs="黑体"/>
          <w:sz w:val="24"/>
          <w:szCs w:val="24"/>
          <w:lang w:eastAsia="zh-CN"/>
        </w:rPr>
        <w:t>）</w:t>
      </w:r>
      <w:r>
        <w:rPr>
          <w:rFonts w:hint="eastAsia" w:ascii="黑体" w:hAnsi="黑体" w:eastAsia="黑体" w:cs="黑体"/>
          <w:sz w:val="24"/>
          <w:szCs w:val="24"/>
        </w:rPr>
        <w:t>/批次。</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*枪头存储量：576个/批次。</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*深孔板存储量：6块/批次。</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lang w:val="en-US" w:eastAsia="zh-CN"/>
        </w:rPr>
        <w:t>*</w:t>
      </w:r>
      <w:r>
        <w:rPr>
          <w:rFonts w:hint="eastAsia" w:ascii="黑体" w:hAnsi="黑体" w:eastAsia="黑体" w:cs="黑体"/>
          <w:sz w:val="24"/>
          <w:szCs w:val="24"/>
        </w:rPr>
        <w:t>支持16/96通道核酸抽提板的样本排列方式，兼容大部分核酸抽提试剂盒和核酸抽提仪</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支持1分1和1分6两种模式。</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自带HEPA负压系统，回风过滤器为H14级，</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"mailto:过滤效率99.995%25@0.3μm" </w:instrText>
      </w:r>
      <w:r>
        <w:rPr>
          <w:rFonts w:hint="eastAsia" w:ascii="黑体" w:hAnsi="黑体" w:eastAsia="黑体" w:cs="黑体"/>
          <w:sz w:val="24"/>
          <w:szCs w:val="24"/>
        </w:rPr>
        <w:fldChar w:fldCharType="separate"/>
      </w:r>
      <w:r>
        <w:rPr>
          <w:rStyle w:val="48"/>
          <w:rFonts w:hint="eastAsia" w:ascii="黑体" w:hAnsi="黑体" w:eastAsia="黑体" w:cs="黑体"/>
          <w:color w:val="auto"/>
          <w:sz w:val="24"/>
          <w:szCs w:val="24"/>
          <w:u w:val="none"/>
        </w:rPr>
        <w:t>过滤效率99.995%@0.3μm</w:t>
      </w:r>
      <w:r>
        <w:rPr>
          <w:rStyle w:val="48"/>
          <w:rFonts w:hint="eastAsia" w:ascii="黑体" w:hAnsi="黑体" w:eastAsia="黑体" w:cs="黑体"/>
          <w:color w:val="auto"/>
          <w:sz w:val="24"/>
          <w:szCs w:val="24"/>
          <w:u w:val="none"/>
        </w:rPr>
        <w:fldChar w:fldCharType="end"/>
      </w:r>
      <w:r>
        <w:rPr>
          <w:rFonts w:hint="eastAsia" w:ascii="黑体" w:hAnsi="黑体" w:eastAsia="黑体" w:cs="黑体"/>
          <w:sz w:val="24"/>
          <w:szCs w:val="24"/>
        </w:rPr>
        <w:t>。保证全程处于密闭负压环境，避免污染物泄露。</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具备开机自检、状态监测、错误报警、日志管理、用户权限管理、操作界面多语言等功能，开盖、扫码、分装错误时可自动报警，并记录错误孔位。</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*数据定期自动备份，可与LIS、LIMS等系统对接，方便数据信息化共享。</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具有安全防护面板，配备门锁和门锁感应器，可防止非法进入工作台面，可在任一时间进行暂停，处理异常事件。</w:t>
      </w:r>
    </w:p>
    <w:p>
      <w:pPr>
        <w:pStyle w:val="54"/>
        <w:numPr>
          <w:ilvl w:val="1"/>
          <w:numId w:val="74"/>
        </w:numPr>
        <w:snapToGrid w:val="0"/>
        <w:spacing w:line="360" w:lineRule="auto"/>
        <w:ind w:firstLineChars="0"/>
        <w:rPr>
          <w:rFonts w:hint="eastAsia" w:ascii="黑体" w:hAnsi="黑体" w:eastAsia="黑体" w:cs="黑体"/>
          <w:sz w:val="24"/>
          <w:szCs w:val="24"/>
        </w:rPr>
      </w:pPr>
      <w:r>
        <w:rPr>
          <w:rFonts w:hint="eastAsia" w:ascii="黑体" w:hAnsi="黑体" w:eastAsia="黑体" w:cs="黑体"/>
          <w:sz w:val="24"/>
          <w:szCs w:val="24"/>
          <w:lang w:val="en-US" w:eastAsia="zh-CN"/>
        </w:rPr>
        <w:t>*投标产品需要提供相关自主知识产品凭证（包括产品测试报告或原型机文件等证明资料）。</w:t>
      </w:r>
    </w:p>
    <w:p>
      <w:pPr>
        <w:pStyle w:val="54"/>
        <w:numPr>
          <w:ilvl w:val="1"/>
          <w:numId w:val="74"/>
        </w:numPr>
        <w:snapToGrid w:val="0"/>
        <w:spacing w:line="360" w:lineRule="auto"/>
        <w:ind w:firstLineChars="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设备随机配备200个上样料盘</w:t>
      </w:r>
    </w:p>
    <w:p>
      <w:pPr>
        <w:pStyle w:val="54"/>
        <w:numPr>
          <w:ilvl w:val="1"/>
          <w:numId w:val="74"/>
        </w:numPr>
        <w:snapToGrid w:val="0"/>
        <w:spacing w:line="360" w:lineRule="auto"/>
        <w:ind w:firstLineChars="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质保期3年以上。</w:t>
      </w:r>
    </w:p>
    <w:p>
      <w:pPr>
        <w:pStyle w:val="266"/>
        <w:numPr>
          <w:ilvl w:val="0"/>
          <w:numId w:val="0"/>
        </w:numPr>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为有助于投标人选择投标产品，</w:t>
      </w:r>
      <w:r>
        <w:rPr>
          <w:rFonts w:hint="eastAsia" w:ascii="黑体" w:hAnsi="黑体" w:eastAsia="黑体" w:cs="黑体"/>
          <w:b/>
          <w:bCs/>
          <w:color w:val="auto"/>
          <w:sz w:val="24"/>
          <w:szCs w:val="24"/>
          <w:highlight w:val="none"/>
          <w:lang w:val="en-US" w:eastAsia="zh-CN"/>
        </w:rPr>
        <w:t>如果参数</w:t>
      </w:r>
      <w:r>
        <w:rPr>
          <w:rFonts w:hint="eastAsia" w:ascii="黑体" w:hAnsi="黑体" w:eastAsia="黑体" w:cs="黑体"/>
          <w:b/>
          <w:bCs/>
          <w:color w:val="auto"/>
          <w:sz w:val="24"/>
          <w:szCs w:val="24"/>
          <w:highlight w:val="none"/>
        </w:rPr>
        <w:t>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pPr>
        <w:pStyle w:val="266"/>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lang w:val="en-US" w:eastAsia="zh-CN"/>
        </w:rPr>
        <w:t>2</w:t>
      </w:r>
      <w:r>
        <w:rPr>
          <w:rFonts w:hint="eastAsia" w:ascii="黑体" w:hAnsi="黑体" w:eastAsia="黑体" w:cs="黑体"/>
          <w:b/>
          <w:bCs/>
          <w:color w:val="auto"/>
          <w:sz w:val="24"/>
          <w:szCs w:val="24"/>
          <w:highlight w:val="none"/>
        </w:rPr>
        <w:t>、投标人应当在投标文件中列出完成本项目并通过验收所需的所有各项服务等明细表及全部费用。中标人必须确保整体通过用户方及有关主管部门验收，所发生的验收费用由中标人承担。</w:t>
      </w:r>
    </w:p>
    <w:p>
      <w:pPr>
        <w:pStyle w:val="266"/>
        <w:spacing w:line="360" w:lineRule="auto"/>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lang w:val="en-US" w:eastAsia="zh-CN"/>
        </w:rPr>
        <w:t>3</w:t>
      </w:r>
      <w:r>
        <w:rPr>
          <w:rFonts w:hint="eastAsia" w:ascii="黑体" w:hAnsi="黑体" w:eastAsia="黑体" w:cs="黑体"/>
          <w:b/>
          <w:bCs/>
          <w:color w:val="auto"/>
          <w:sz w:val="24"/>
          <w:szCs w:val="24"/>
          <w:highlight w:val="none"/>
        </w:rPr>
        <w:t>、如对本招标文件有任何疑问或要求澄清，请按本招标文件的规定提出，否则视同理解和接受。</w:t>
      </w:r>
    </w:p>
    <w:p>
      <w:pPr>
        <w:widowControl/>
        <w:autoSpaceDE/>
        <w:autoSpaceDN/>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、如投标文件中提供了相应的承诺函，中标后，招标文件中服务要求及上述服务承诺未能兑现的，采购人有权终止合同，由此产生的后果及责任由中标供应商承担。</w:t>
      </w:r>
    </w:p>
    <w:p>
      <w:pPr>
        <w:widowControl/>
        <w:autoSpaceDE/>
        <w:autoSpaceDN/>
        <w:rPr>
          <w:rFonts w:hint="eastAsia" w:ascii="黑体" w:hAnsi="黑体" w:eastAsia="黑体" w:cs="黑体"/>
          <w:b/>
          <w:color w:val="auto"/>
          <w:sz w:val="32"/>
          <w:szCs w:val="32"/>
          <w:highlight w:val="none"/>
        </w:rPr>
      </w:pPr>
      <w:r>
        <w:rPr>
          <w:rFonts w:hint="eastAsia" w:ascii="黑体" w:hAnsi="黑体" w:eastAsia="黑体" w:cs="黑体"/>
          <w:b/>
          <w:color w:val="auto"/>
          <w:highlight w:val="none"/>
        </w:rPr>
        <w:br w:type="page"/>
      </w:r>
    </w:p>
    <w:p>
      <w:pPr>
        <w:pStyle w:val="5"/>
        <w:spacing w:line="665" w:lineRule="exact"/>
        <w:jc w:val="center"/>
        <w:rPr>
          <w:rFonts w:hint="eastAsia" w:ascii="黑体" w:hAnsi="黑体" w:eastAsia="黑体" w:cs="黑体"/>
          <w:b/>
          <w:color w:val="auto"/>
          <w:sz w:val="44"/>
          <w:szCs w:val="44"/>
          <w:highlight w:val="none"/>
        </w:rPr>
      </w:pPr>
      <w:bookmarkStart w:id="83" w:name="_Toc22729"/>
      <w:r>
        <w:rPr>
          <w:rFonts w:hint="eastAsia" w:ascii="黑体" w:hAnsi="黑体" w:eastAsia="黑体" w:cs="黑体"/>
          <w:b/>
          <w:color w:val="auto"/>
          <w:sz w:val="44"/>
          <w:szCs w:val="44"/>
          <w:highlight w:val="none"/>
        </w:rPr>
        <w:t>第七章</w:t>
      </w:r>
      <w:r>
        <w:rPr>
          <w:rFonts w:hint="eastAsia" w:ascii="黑体" w:hAnsi="黑体" w:eastAsia="黑体" w:cs="黑体"/>
          <w:b/>
          <w:color w:val="auto"/>
          <w:sz w:val="44"/>
          <w:szCs w:val="44"/>
          <w:highlight w:val="none"/>
          <w:lang w:val="en-US" w:eastAsia="zh-CN"/>
        </w:rPr>
        <w:t xml:space="preserve">  </w:t>
      </w:r>
      <w:r>
        <w:rPr>
          <w:rFonts w:hint="eastAsia" w:ascii="黑体" w:hAnsi="黑体" w:eastAsia="黑体" w:cs="黑体"/>
          <w:b/>
          <w:color w:val="auto"/>
          <w:sz w:val="44"/>
          <w:szCs w:val="44"/>
          <w:highlight w:val="none"/>
        </w:rPr>
        <w:t>投标文件格式</w:t>
      </w:r>
      <w:bookmarkEnd w:id="83"/>
    </w:p>
    <w:p>
      <w:pPr>
        <w:pStyle w:val="19"/>
        <w:spacing w:before="2"/>
        <w:ind w:left="0"/>
        <w:rPr>
          <w:rFonts w:hint="eastAsia" w:ascii="黑体" w:hAnsi="黑体" w:eastAsia="黑体" w:cs="黑体"/>
          <w:color w:val="auto"/>
          <w:sz w:val="21"/>
          <w:highlight w:val="none"/>
        </w:rPr>
      </w:pPr>
    </w:p>
    <w:p>
      <w:pPr>
        <w:spacing w:line="283" w:lineRule="auto"/>
        <w:ind w:left="4872" w:right="5591"/>
        <w:jc w:val="both"/>
        <w:rPr>
          <w:rFonts w:hint="eastAsia" w:ascii="黑体" w:hAnsi="黑体" w:eastAsia="黑体" w:cs="黑体"/>
          <w:color w:val="auto"/>
          <w:sz w:val="72"/>
          <w:highlight w:val="none"/>
        </w:rPr>
      </w:pPr>
      <w:r>
        <w:rPr>
          <w:rFonts w:hint="eastAsia" w:ascii="黑体" w:hAnsi="黑体" w:eastAsia="黑体" w:cs="黑体"/>
          <w:color w:val="auto"/>
          <w:sz w:val="72"/>
          <w:highlight w:val="none"/>
        </w:rPr>
        <w:t>投标文件</w:t>
      </w:r>
    </w:p>
    <w:p>
      <w:pPr>
        <w:pStyle w:val="19"/>
        <w:ind w:left="0"/>
        <w:rPr>
          <w:rFonts w:hint="eastAsia" w:ascii="黑体" w:hAnsi="黑体" w:eastAsia="黑体" w:cs="黑体"/>
          <w:color w:val="auto"/>
          <w:sz w:val="72"/>
          <w:highlight w:val="none"/>
        </w:rPr>
      </w:pPr>
    </w:p>
    <w:p>
      <w:pPr>
        <w:pStyle w:val="19"/>
        <w:spacing w:before="7"/>
        <w:ind w:left="0"/>
        <w:rPr>
          <w:rFonts w:hint="eastAsia" w:ascii="黑体" w:hAnsi="黑体" w:eastAsia="黑体" w:cs="黑体"/>
          <w:color w:val="auto"/>
          <w:sz w:val="62"/>
          <w:highlight w:val="none"/>
        </w:rPr>
      </w:pPr>
    </w:p>
    <w:p>
      <w:pPr>
        <w:tabs>
          <w:tab w:val="left" w:pos="7463"/>
        </w:tabs>
        <w:spacing w:line="649" w:lineRule="exact"/>
        <w:ind w:left="3050"/>
        <w:rPr>
          <w:rFonts w:hint="eastAsia" w:ascii="黑体" w:hAnsi="黑体" w:eastAsia="黑体" w:cs="黑体"/>
          <w:b/>
          <w:color w:val="auto"/>
          <w:sz w:val="32"/>
          <w:highlight w:val="none"/>
        </w:rPr>
      </w:pPr>
      <w:r>
        <w:rPr>
          <w:rFonts w:hint="eastAsia" w:ascii="黑体" w:hAnsi="黑体" w:eastAsia="黑体" w:cs="黑体"/>
          <w:color w:val="auto"/>
          <w:sz w:val="32"/>
          <w:highlight w:val="none"/>
        </w:rPr>
        <w:t>投标供应</w:t>
      </w:r>
      <w:r>
        <w:rPr>
          <w:rFonts w:hint="eastAsia" w:ascii="黑体" w:hAnsi="黑体" w:eastAsia="黑体" w:cs="黑体"/>
          <w:color w:val="auto"/>
          <w:spacing w:val="3"/>
          <w:sz w:val="32"/>
          <w:highlight w:val="none"/>
        </w:rPr>
        <w:t>商</w:t>
      </w:r>
      <w:r>
        <w:rPr>
          <w:rFonts w:hint="eastAsia" w:ascii="黑体" w:hAnsi="黑体" w:eastAsia="黑体" w:cs="黑体"/>
          <w:color w:val="auto"/>
          <w:sz w:val="32"/>
          <w:highlight w:val="none"/>
        </w:rPr>
        <w:t>：</w:t>
      </w:r>
      <w:r>
        <w:rPr>
          <w:rFonts w:hint="eastAsia" w:ascii="黑体" w:hAnsi="黑体" w:eastAsia="黑体" w:cs="黑体"/>
          <w:b/>
          <w:color w:val="auto"/>
          <w:sz w:val="32"/>
          <w:highlight w:val="none"/>
          <w:u w:val="single"/>
        </w:rPr>
        <w:tab/>
      </w:r>
    </w:p>
    <w:p>
      <w:pPr>
        <w:tabs>
          <w:tab w:val="left" w:pos="1044"/>
          <w:tab w:val="left" w:pos="1757"/>
        </w:tabs>
        <w:spacing w:line="649" w:lineRule="exact"/>
        <w:ind w:left="398"/>
        <w:jc w:val="center"/>
        <w:rPr>
          <w:rFonts w:hint="eastAsia" w:ascii="黑体" w:hAnsi="黑体" w:eastAsia="黑体" w:cs="黑体"/>
          <w:b/>
          <w:color w:val="auto"/>
          <w:sz w:val="32"/>
          <w:highlight w:val="none"/>
        </w:rPr>
      </w:pPr>
      <w:r>
        <w:rPr>
          <w:rFonts w:hint="eastAsia" w:ascii="黑体" w:hAnsi="黑体" w:eastAsia="黑体" w:cs="黑体"/>
          <w:color w:val="auto"/>
          <w:sz w:val="32"/>
          <w:highlight w:val="none"/>
          <w:u w:val="single"/>
        </w:rPr>
        <w:tab/>
      </w:r>
      <w:r>
        <w:rPr>
          <w:rFonts w:hint="eastAsia" w:ascii="黑体" w:hAnsi="黑体" w:eastAsia="黑体" w:cs="黑体"/>
          <w:color w:val="auto"/>
          <w:sz w:val="32"/>
          <w:highlight w:val="none"/>
        </w:rPr>
        <w:t xml:space="preserve">年 </w:t>
      </w:r>
      <w:r>
        <w:rPr>
          <w:rFonts w:hint="eastAsia" w:ascii="黑体" w:hAnsi="黑体" w:eastAsia="黑体" w:cs="黑体"/>
          <w:color w:val="auto"/>
          <w:sz w:val="32"/>
          <w:highlight w:val="none"/>
          <w:u w:val="single"/>
        </w:rPr>
        <w:tab/>
      </w:r>
      <w:r>
        <w:rPr>
          <w:rFonts w:hint="eastAsia" w:ascii="黑体" w:hAnsi="黑体" w:eastAsia="黑体" w:cs="黑体"/>
          <w:color w:val="auto"/>
          <w:sz w:val="32"/>
          <w:highlight w:val="none"/>
          <w:u w:val="single"/>
        </w:rPr>
        <w:t xml:space="preserve">  </w:t>
      </w:r>
      <w:r>
        <w:rPr>
          <w:rFonts w:hint="eastAsia" w:ascii="黑体" w:hAnsi="黑体" w:eastAsia="黑体" w:cs="黑体"/>
          <w:color w:val="auto"/>
          <w:sz w:val="32"/>
          <w:highlight w:val="none"/>
        </w:rPr>
        <w:t xml:space="preserve">月 </w:t>
      </w:r>
      <w:r>
        <w:rPr>
          <w:rFonts w:hint="eastAsia" w:ascii="黑体" w:hAnsi="黑体" w:eastAsia="黑体" w:cs="黑体"/>
          <w:b/>
          <w:color w:val="auto"/>
          <w:sz w:val="32"/>
          <w:highlight w:val="none"/>
          <w:u w:val="single"/>
        </w:rPr>
        <w:tab/>
      </w:r>
      <w:r>
        <w:rPr>
          <w:rFonts w:hint="eastAsia" w:ascii="黑体" w:hAnsi="黑体" w:eastAsia="黑体" w:cs="黑体"/>
          <w:color w:val="auto"/>
          <w:sz w:val="32"/>
          <w:highlight w:val="none"/>
        </w:rPr>
        <w:t>日</w:t>
      </w:r>
    </w:p>
    <w:p>
      <w:pPr>
        <w:spacing w:line="649" w:lineRule="exact"/>
        <w:jc w:val="center"/>
        <w:rPr>
          <w:rFonts w:hint="eastAsia" w:ascii="黑体" w:hAnsi="黑体" w:eastAsia="黑体" w:cs="黑体"/>
          <w:color w:val="auto"/>
          <w:sz w:val="32"/>
          <w:highlight w:val="none"/>
        </w:rPr>
        <w:sectPr>
          <w:pgSz w:w="11910" w:h="16850"/>
          <w:pgMar w:top="1440" w:right="1080" w:bottom="1440" w:left="1080" w:header="877" w:footer="1068" w:gutter="0"/>
          <w:cols w:space="720" w:num="1"/>
        </w:sectPr>
      </w:pPr>
    </w:p>
    <w:p>
      <w:pPr>
        <w:pStyle w:val="6"/>
        <w:adjustRightInd w:val="0"/>
        <w:snapToGrid w:val="0"/>
        <w:spacing w:line="400" w:lineRule="atLeast"/>
        <w:jc w:val="left"/>
        <w:rPr>
          <w:rFonts w:hint="eastAsia" w:ascii="黑体" w:hAnsi="黑体" w:eastAsia="黑体" w:cs="黑体"/>
          <w:b/>
          <w:bCs/>
          <w:sz w:val="24"/>
        </w:rPr>
      </w:pPr>
      <w:bookmarkStart w:id="84" w:name="_Toc15235"/>
      <w:bookmarkStart w:id="85" w:name="_Toc27014"/>
      <w:bookmarkStart w:id="86" w:name="_Toc39945705"/>
      <w:bookmarkStart w:id="87" w:name="_Toc39669644"/>
      <w:r>
        <w:rPr>
          <w:rFonts w:hint="eastAsia" w:ascii="黑体" w:hAnsi="黑体" w:eastAsia="黑体" w:cs="黑体"/>
          <w:b/>
          <w:bCs/>
          <w:sz w:val="24"/>
        </w:rPr>
        <w:t>附件一：投 标 书</w:t>
      </w:r>
      <w:bookmarkEnd w:id="84"/>
      <w:bookmarkEnd w:id="85"/>
      <w:bookmarkEnd w:id="86"/>
      <w:bookmarkEnd w:id="87"/>
    </w:p>
    <w:p>
      <w:pPr>
        <w:adjustRightInd w:val="0"/>
        <w:snapToGrid w:val="0"/>
        <w:spacing w:line="400" w:lineRule="atLeast"/>
        <w:rPr>
          <w:rFonts w:hint="eastAsia" w:ascii="黑体" w:hAnsi="黑体" w:eastAsia="黑体" w:cs="黑体"/>
          <w:sz w:val="24"/>
          <w:u w:val="single"/>
        </w:rPr>
      </w:pPr>
      <w:r>
        <w:rPr>
          <w:rFonts w:hint="eastAsia" w:ascii="黑体" w:hAnsi="黑体" w:eastAsia="黑体" w:cs="黑体"/>
          <w:sz w:val="24"/>
        </w:rPr>
        <w:t>致：</w:t>
      </w:r>
      <w:r>
        <w:rPr>
          <w:rFonts w:hint="eastAsia" w:ascii="黑体" w:hAnsi="黑体" w:eastAsia="黑体" w:cs="黑体"/>
          <w:sz w:val="24"/>
          <w:u w:val="single"/>
        </w:rPr>
        <w:t xml:space="preserve"> </w:t>
      </w:r>
      <w:r>
        <w:rPr>
          <w:rFonts w:hint="eastAsia" w:ascii="黑体" w:hAnsi="黑体" w:eastAsia="黑体" w:cs="黑体"/>
          <w:sz w:val="24"/>
          <w:u w:val="single"/>
          <w:lang w:val="en-US" w:eastAsia="zh-CN"/>
        </w:rPr>
        <w:t xml:space="preserve">                    </w:t>
      </w:r>
      <w:r>
        <w:rPr>
          <w:rFonts w:hint="eastAsia" w:ascii="黑体" w:hAnsi="黑体" w:eastAsia="黑体" w:cs="黑体"/>
          <w:sz w:val="24"/>
          <w:u w:val="single"/>
        </w:rPr>
        <w:t xml:space="preserve">  </w:t>
      </w:r>
    </w:p>
    <w:p>
      <w:pPr>
        <w:adjustRightInd w:val="0"/>
        <w:snapToGrid w:val="0"/>
        <w:spacing w:line="400" w:lineRule="atLeast"/>
        <w:ind w:firstLine="555"/>
        <w:rPr>
          <w:rFonts w:hint="eastAsia" w:ascii="黑体" w:hAnsi="黑体" w:eastAsia="黑体" w:cs="黑体"/>
          <w:sz w:val="24"/>
        </w:rPr>
      </w:pPr>
      <w:r>
        <w:rPr>
          <w:rFonts w:hint="eastAsia" w:ascii="黑体" w:hAnsi="黑体" w:eastAsia="黑体" w:cs="黑体"/>
          <w:sz w:val="24"/>
        </w:rPr>
        <w:t>根据贵方为</w:t>
      </w:r>
      <w:r>
        <w:rPr>
          <w:rFonts w:hint="eastAsia" w:ascii="黑体" w:hAnsi="黑体" w:eastAsia="黑体" w:cs="黑体"/>
          <w:sz w:val="24"/>
          <w:u w:val="single"/>
        </w:rPr>
        <w:t xml:space="preserve">　　　（项目名称）    </w:t>
      </w:r>
      <w:r>
        <w:rPr>
          <w:rFonts w:hint="eastAsia" w:ascii="黑体" w:hAnsi="黑体" w:eastAsia="黑体" w:cs="黑体"/>
          <w:sz w:val="24"/>
        </w:rPr>
        <w:t>项目</w:t>
      </w:r>
      <w:r>
        <w:rPr>
          <w:rFonts w:hint="eastAsia" w:ascii="黑体" w:hAnsi="黑体" w:eastAsia="黑体" w:cs="黑体"/>
          <w:sz w:val="24"/>
          <w:lang w:val="en-US" w:eastAsia="zh-CN"/>
        </w:rPr>
        <w:t>招标</w:t>
      </w:r>
      <w:r>
        <w:rPr>
          <w:rFonts w:hint="eastAsia" w:ascii="黑体" w:hAnsi="黑体" w:eastAsia="黑体" w:cs="黑体"/>
          <w:sz w:val="24"/>
        </w:rPr>
        <w:t>公告</w:t>
      </w:r>
      <w:r>
        <w:rPr>
          <w:rFonts w:hint="eastAsia" w:ascii="黑体" w:hAnsi="黑体" w:eastAsia="黑体" w:cs="黑体"/>
          <w:sz w:val="24"/>
          <w:u w:val="single"/>
        </w:rPr>
        <w:t>（项目编号）</w:t>
      </w:r>
      <w:r>
        <w:rPr>
          <w:rFonts w:hint="eastAsia" w:ascii="黑体" w:hAnsi="黑体" w:eastAsia="黑体" w:cs="黑体"/>
          <w:sz w:val="24"/>
        </w:rPr>
        <w:t>，签字代表</w:t>
      </w:r>
      <w:r>
        <w:rPr>
          <w:rFonts w:hint="eastAsia" w:ascii="黑体" w:hAnsi="黑体" w:eastAsia="黑体" w:cs="黑体"/>
          <w:sz w:val="24"/>
          <w:u w:val="single"/>
        </w:rPr>
        <w:t>（姓名、职务）</w:t>
      </w:r>
      <w:r>
        <w:rPr>
          <w:rFonts w:hint="eastAsia" w:ascii="黑体" w:hAnsi="黑体" w:eastAsia="黑体" w:cs="黑体"/>
          <w:sz w:val="24"/>
        </w:rPr>
        <w:t>经正式授权并代表供应商</w:t>
      </w:r>
      <w:r>
        <w:rPr>
          <w:rFonts w:hint="eastAsia" w:ascii="黑体" w:hAnsi="黑体" w:eastAsia="黑体" w:cs="黑体"/>
          <w:sz w:val="24"/>
          <w:u w:val="single"/>
        </w:rPr>
        <w:t>（供应商名称、地址）</w:t>
      </w:r>
      <w:r>
        <w:rPr>
          <w:rFonts w:hint="eastAsia" w:ascii="黑体" w:hAnsi="黑体" w:eastAsia="黑体" w:cs="黑体"/>
          <w:sz w:val="24"/>
        </w:rPr>
        <w:t>提交下述文件正本一份和副本贰份。</w:t>
      </w:r>
    </w:p>
    <w:p>
      <w:pPr>
        <w:numPr>
          <w:ilvl w:val="0"/>
          <w:numId w:val="75"/>
        </w:numPr>
        <w:adjustRightInd w:val="0"/>
        <w:snapToGrid w:val="0"/>
        <w:spacing w:line="400" w:lineRule="atLeast"/>
        <w:rPr>
          <w:rFonts w:hint="eastAsia" w:ascii="黑体" w:hAnsi="黑体" w:eastAsia="黑体" w:cs="黑体"/>
          <w:sz w:val="24"/>
        </w:rPr>
      </w:pPr>
      <w:r>
        <w:rPr>
          <w:rFonts w:hint="eastAsia" w:ascii="黑体" w:hAnsi="黑体" w:eastAsia="黑体" w:cs="黑体"/>
          <w:sz w:val="24"/>
        </w:rPr>
        <w:t>开标一览表</w:t>
      </w:r>
    </w:p>
    <w:p>
      <w:pPr>
        <w:numPr>
          <w:ilvl w:val="0"/>
          <w:numId w:val="75"/>
        </w:numPr>
        <w:adjustRightInd w:val="0"/>
        <w:snapToGrid w:val="0"/>
        <w:spacing w:line="400" w:lineRule="atLeast"/>
        <w:rPr>
          <w:rFonts w:hint="eastAsia" w:ascii="黑体" w:hAnsi="黑体" w:eastAsia="黑体" w:cs="黑体"/>
          <w:sz w:val="24"/>
        </w:rPr>
      </w:pPr>
      <w:r>
        <w:rPr>
          <w:rFonts w:hint="eastAsia" w:ascii="黑体" w:hAnsi="黑体" w:eastAsia="黑体" w:cs="黑体"/>
          <w:sz w:val="24"/>
        </w:rPr>
        <w:t>投标分项报价表</w:t>
      </w:r>
    </w:p>
    <w:p>
      <w:pPr>
        <w:numPr>
          <w:ilvl w:val="0"/>
          <w:numId w:val="75"/>
        </w:numPr>
        <w:adjustRightInd w:val="0"/>
        <w:snapToGrid w:val="0"/>
        <w:spacing w:line="400" w:lineRule="atLeast"/>
        <w:rPr>
          <w:rFonts w:hint="eastAsia" w:ascii="黑体" w:hAnsi="黑体" w:eastAsia="黑体" w:cs="黑体"/>
          <w:sz w:val="24"/>
        </w:rPr>
      </w:pPr>
      <w:r>
        <w:rPr>
          <w:rFonts w:hint="eastAsia" w:ascii="黑体" w:hAnsi="黑体" w:eastAsia="黑体" w:cs="黑体"/>
          <w:sz w:val="24"/>
        </w:rPr>
        <w:t>规格、技术参数、功能偏离表</w:t>
      </w:r>
    </w:p>
    <w:p>
      <w:pPr>
        <w:numPr>
          <w:ilvl w:val="0"/>
          <w:numId w:val="75"/>
        </w:numPr>
        <w:adjustRightInd w:val="0"/>
        <w:snapToGrid w:val="0"/>
        <w:spacing w:line="400" w:lineRule="atLeast"/>
        <w:rPr>
          <w:rFonts w:hint="eastAsia" w:ascii="黑体" w:hAnsi="黑体" w:eastAsia="黑体" w:cs="黑体"/>
          <w:sz w:val="24"/>
        </w:rPr>
      </w:pPr>
      <w:r>
        <w:rPr>
          <w:rFonts w:hint="eastAsia" w:ascii="黑体" w:hAnsi="黑体" w:eastAsia="黑体" w:cs="黑体"/>
          <w:sz w:val="24"/>
        </w:rPr>
        <w:t>技术条款偏离表</w:t>
      </w:r>
    </w:p>
    <w:p>
      <w:pPr>
        <w:numPr>
          <w:ilvl w:val="0"/>
          <w:numId w:val="75"/>
        </w:numPr>
        <w:adjustRightInd w:val="0"/>
        <w:snapToGrid w:val="0"/>
        <w:spacing w:line="400" w:lineRule="atLeast"/>
        <w:rPr>
          <w:rFonts w:hint="eastAsia" w:ascii="黑体" w:hAnsi="黑体" w:eastAsia="黑体" w:cs="黑体"/>
          <w:sz w:val="24"/>
        </w:rPr>
      </w:pPr>
      <w:r>
        <w:rPr>
          <w:rFonts w:hint="eastAsia" w:ascii="黑体" w:hAnsi="黑体" w:eastAsia="黑体" w:cs="黑体"/>
          <w:sz w:val="24"/>
        </w:rPr>
        <w:t>商务条款偏离表</w:t>
      </w:r>
    </w:p>
    <w:p>
      <w:pPr>
        <w:numPr>
          <w:ilvl w:val="0"/>
          <w:numId w:val="75"/>
        </w:numPr>
        <w:adjustRightInd w:val="0"/>
        <w:snapToGrid w:val="0"/>
        <w:spacing w:line="400" w:lineRule="atLeast"/>
        <w:rPr>
          <w:rFonts w:hint="eastAsia" w:ascii="黑体" w:hAnsi="黑体" w:eastAsia="黑体" w:cs="黑体"/>
          <w:sz w:val="24"/>
        </w:rPr>
      </w:pPr>
      <w:r>
        <w:rPr>
          <w:rFonts w:hint="eastAsia" w:ascii="黑体" w:hAnsi="黑体" w:eastAsia="黑体" w:cs="黑体"/>
          <w:sz w:val="24"/>
        </w:rPr>
        <w:t>按</w:t>
      </w:r>
      <w:r>
        <w:rPr>
          <w:rFonts w:hint="eastAsia" w:ascii="黑体" w:hAnsi="黑体" w:eastAsia="黑体" w:cs="黑体"/>
          <w:sz w:val="24"/>
          <w:lang w:val="en-US" w:eastAsia="zh-CN"/>
        </w:rPr>
        <w:t>招标</w:t>
      </w:r>
      <w:r>
        <w:rPr>
          <w:rFonts w:hint="eastAsia" w:ascii="黑体" w:hAnsi="黑体" w:eastAsia="黑体" w:cs="黑体"/>
          <w:sz w:val="24"/>
        </w:rPr>
        <w:t>文件供应商须知、技术规格要求及其他要求提供有关文件</w:t>
      </w:r>
    </w:p>
    <w:p>
      <w:pPr>
        <w:numPr>
          <w:ilvl w:val="0"/>
          <w:numId w:val="75"/>
        </w:numPr>
        <w:adjustRightInd w:val="0"/>
        <w:snapToGrid w:val="0"/>
        <w:spacing w:line="400" w:lineRule="atLeast"/>
        <w:rPr>
          <w:rFonts w:hint="eastAsia" w:ascii="黑体" w:hAnsi="黑体" w:eastAsia="黑体" w:cs="黑体"/>
          <w:sz w:val="24"/>
        </w:rPr>
      </w:pPr>
      <w:r>
        <w:rPr>
          <w:rFonts w:hint="eastAsia" w:ascii="黑体" w:hAnsi="黑体" w:eastAsia="黑体" w:cs="黑体"/>
          <w:sz w:val="24"/>
        </w:rPr>
        <w:t>资格证明文件</w:t>
      </w:r>
    </w:p>
    <w:p>
      <w:pPr>
        <w:numPr>
          <w:ilvl w:val="0"/>
          <w:numId w:val="75"/>
        </w:numPr>
        <w:adjustRightInd w:val="0"/>
        <w:snapToGrid w:val="0"/>
        <w:spacing w:line="400" w:lineRule="atLeast"/>
        <w:rPr>
          <w:rFonts w:hint="eastAsia" w:ascii="黑体" w:hAnsi="黑体" w:eastAsia="黑体" w:cs="黑体"/>
          <w:sz w:val="24"/>
        </w:rPr>
      </w:pPr>
      <w:r>
        <w:rPr>
          <w:rFonts w:hint="eastAsia" w:ascii="黑体" w:hAnsi="黑体" w:eastAsia="黑体" w:cs="黑体"/>
          <w:sz w:val="24"/>
        </w:rPr>
        <w:t>投标保证金，形式</w:t>
      </w:r>
      <w:r>
        <w:rPr>
          <w:rFonts w:hint="eastAsia" w:ascii="黑体" w:hAnsi="黑体" w:eastAsia="黑体" w:cs="黑体"/>
          <w:sz w:val="24"/>
          <w:u w:val="single"/>
        </w:rPr>
        <w:t>（汇票或电汇）</w:t>
      </w:r>
      <w:r>
        <w:rPr>
          <w:rFonts w:hint="eastAsia" w:ascii="黑体" w:hAnsi="黑体" w:eastAsia="黑体" w:cs="黑体"/>
          <w:sz w:val="24"/>
        </w:rPr>
        <w:t>，金额为</w:t>
      </w:r>
      <w:r>
        <w:rPr>
          <w:rFonts w:hint="eastAsia" w:ascii="黑体" w:hAnsi="黑体" w:eastAsia="黑体" w:cs="黑体"/>
          <w:sz w:val="24"/>
          <w:u w:val="single"/>
        </w:rPr>
        <w:t>（注明币种）</w:t>
      </w:r>
      <w:r>
        <w:rPr>
          <w:rFonts w:hint="eastAsia" w:ascii="黑体" w:hAnsi="黑体" w:eastAsia="黑体" w:cs="黑体"/>
          <w:sz w:val="24"/>
        </w:rPr>
        <w:t>。</w:t>
      </w:r>
    </w:p>
    <w:p>
      <w:pPr>
        <w:adjustRightInd w:val="0"/>
        <w:snapToGrid w:val="0"/>
        <w:spacing w:line="400" w:lineRule="atLeast"/>
        <w:ind w:firstLine="555"/>
        <w:rPr>
          <w:rFonts w:hint="eastAsia" w:ascii="黑体" w:hAnsi="黑体" w:eastAsia="黑体" w:cs="黑体"/>
          <w:sz w:val="24"/>
        </w:rPr>
      </w:pPr>
      <w:r>
        <w:rPr>
          <w:rFonts w:hint="eastAsia" w:ascii="黑体" w:hAnsi="黑体" w:eastAsia="黑体" w:cs="黑体"/>
          <w:sz w:val="24"/>
        </w:rPr>
        <w:t>据此函，签字代表宣布同意如下：</w:t>
      </w:r>
    </w:p>
    <w:p>
      <w:pPr>
        <w:adjustRightInd w:val="0"/>
        <w:snapToGrid w:val="0"/>
        <w:spacing w:line="400" w:lineRule="atLeast"/>
        <w:ind w:left="1112" w:hanging="560"/>
        <w:rPr>
          <w:rFonts w:hint="eastAsia" w:ascii="黑体" w:hAnsi="黑体" w:eastAsia="黑体" w:cs="黑体"/>
          <w:sz w:val="24"/>
        </w:rPr>
      </w:pPr>
      <w:r>
        <w:rPr>
          <w:rFonts w:hint="eastAsia" w:ascii="黑体" w:hAnsi="黑体" w:eastAsia="黑体" w:cs="黑体"/>
          <w:sz w:val="24"/>
        </w:rPr>
        <w:t>1．所附投标报价表中规定的应提交和交付的货物和服务投标总价为</w:t>
      </w:r>
      <w:r>
        <w:rPr>
          <w:rFonts w:hint="eastAsia" w:ascii="黑体" w:hAnsi="黑体" w:eastAsia="黑体" w:cs="黑体"/>
          <w:sz w:val="24"/>
          <w:u w:val="single"/>
        </w:rPr>
        <w:t>（注明币种，并用文字和数字表示的投标总价</w:t>
      </w:r>
      <w:r>
        <w:rPr>
          <w:rFonts w:hint="eastAsia" w:ascii="黑体" w:hAnsi="黑体" w:eastAsia="黑体" w:cs="黑体"/>
          <w:sz w:val="24"/>
        </w:rPr>
        <w:t>）。</w:t>
      </w:r>
    </w:p>
    <w:p>
      <w:pPr>
        <w:adjustRightInd w:val="0"/>
        <w:snapToGrid w:val="0"/>
        <w:spacing w:line="400" w:lineRule="atLeast"/>
        <w:ind w:firstLine="555"/>
        <w:rPr>
          <w:rFonts w:hint="eastAsia" w:ascii="黑体" w:hAnsi="黑体" w:eastAsia="黑体" w:cs="黑体"/>
          <w:sz w:val="24"/>
        </w:rPr>
      </w:pPr>
      <w:r>
        <w:rPr>
          <w:rFonts w:hint="eastAsia" w:ascii="黑体" w:hAnsi="黑体" w:eastAsia="黑体" w:cs="黑体"/>
          <w:sz w:val="24"/>
        </w:rPr>
        <w:t>2．供应商将按</w:t>
      </w:r>
      <w:r>
        <w:rPr>
          <w:rFonts w:hint="eastAsia" w:ascii="黑体" w:hAnsi="黑体" w:eastAsia="黑体" w:cs="黑体"/>
          <w:sz w:val="24"/>
          <w:lang w:val="en-US" w:eastAsia="zh-CN"/>
        </w:rPr>
        <w:t>招标</w:t>
      </w:r>
      <w:r>
        <w:rPr>
          <w:rFonts w:hint="eastAsia" w:ascii="黑体" w:hAnsi="黑体" w:eastAsia="黑体" w:cs="黑体"/>
          <w:sz w:val="24"/>
        </w:rPr>
        <w:t>文件的规定履行合同责任和义务；</w:t>
      </w:r>
    </w:p>
    <w:p>
      <w:pPr>
        <w:adjustRightInd w:val="0"/>
        <w:snapToGrid w:val="0"/>
        <w:spacing w:line="400" w:lineRule="atLeast"/>
        <w:ind w:left="1112" w:hanging="560"/>
        <w:rPr>
          <w:rFonts w:hint="eastAsia" w:ascii="黑体" w:hAnsi="黑体" w:eastAsia="黑体" w:cs="黑体"/>
          <w:sz w:val="24"/>
        </w:rPr>
      </w:pPr>
      <w:r>
        <w:rPr>
          <w:rFonts w:hint="eastAsia" w:ascii="黑体" w:hAnsi="黑体" w:eastAsia="黑体" w:cs="黑体"/>
          <w:sz w:val="24"/>
        </w:rPr>
        <w:t>3．供应商已详细审查全部</w:t>
      </w:r>
      <w:r>
        <w:rPr>
          <w:rFonts w:hint="eastAsia" w:ascii="黑体" w:hAnsi="黑体" w:eastAsia="黑体" w:cs="黑体"/>
          <w:sz w:val="24"/>
          <w:lang w:val="en-US" w:eastAsia="zh-CN"/>
        </w:rPr>
        <w:t>招标</w:t>
      </w:r>
      <w:r>
        <w:rPr>
          <w:rFonts w:hint="eastAsia" w:ascii="黑体" w:hAnsi="黑体" w:eastAsia="黑体" w:cs="黑体"/>
          <w:sz w:val="24"/>
        </w:rPr>
        <w:t>文件，包括修改文件（如有的话）。我们完全理解并同意放弃对这方面有不明及误解的权利。</w:t>
      </w:r>
    </w:p>
    <w:p>
      <w:pPr>
        <w:adjustRightInd w:val="0"/>
        <w:snapToGrid w:val="0"/>
        <w:spacing w:line="400" w:lineRule="atLeast"/>
        <w:ind w:firstLine="555"/>
        <w:rPr>
          <w:rFonts w:hint="eastAsia" w:ascii="黑体" w:hAnsi="黑体" w:eastAsia="黑体" w:cs="黑体"/>
          <w:sz w:val="24"/>
        </w:rPr>
      </w:pPr>
      <w:r>
        <w:rPr>
          <w:rFonts w:hint="eastAsia" w:ascii="黑体" w:hAnsi="黑体" w:eastAsia="黑体" w:cs="黑体"/>
          <w:sz w:val="24"/>
        </w:rPr>
        <w:t>4．本投标有效期自开标之日起</w:t>
      </w:r>
      <w:r>
        <w:rPr>
          <w:rFonts w:hint="eastAsia" w:ascii="黑体" w:hAnsi="黑体" w:eastAsia="黑体" w:cs="黑体"/>
          <w:sz w:val="24"/>
          <w:u w:val="single"/>
        </w:rPr>
        <w:t>　　　　</w:t>
      </w:r>
      <w:r>
        <w:rPr>
          <w:rFonts w:hint="eastAsia" w:ascii="黑体" w:hAnsi="黑体" w:eastAsia="黑体" w:cs="黑体"/>
          <w:sz w:val="24"/>
        </w:rPr>
        <w:t>个日历日。</w:t>
      </w:r>
    </w:p>
    <w:p>
      <w:pPr>
        <w:adjustRightInd w:val="0"/>
        <w:snapToGrid w:val="0"/>
        <w:spacing w:line="400" w:lineRule="atLeast"/>
        <w:ind w:left="900" w:hanging="348"/>
        <w:rPr>
          <w:rFonts w:hint="eastAsia" w:ascii="黑体" w:hAnsi="黑体" w:eastAsia="黑体" w:cs="黑体"/>
          <w:sz w:val="24"/>
        </w:rPr>
      </w:pPr>
      <w:r>
        <w:rPr>
          <w:rFonts w:hint="eastAsia" w:ascii="黑体" w:hAnsi="黑体" w:eastAsia="黑体" w:cs="黑体"/>
          <w:sz w:val="24"/>
        </w:rPr>
        <w:t>5．如果在规定的开标时间后，供应商在投标有效期内撤回投标，其投标保证金将被贵方没收。</w:t>
      </w:r>
    </w:p>
    <w:p>
      <w:pPr>
        <w:adjustRightInd w:val="0"/>
        <w:snapToGrid w:val="0"/>
        <w:spacing w:line="400" w:lineRule="atLeast"/>
        <w:ind w:left="900" w:hanging="335"/>
        <w:rPr>
          <w:rFonts w:hint="eastAsia" w:ascii="黑体" w:hAnsi="黑体" w:eastAsia="黑体" w:cs="黑体"/>
          <w:sz w:val="24"/>
        </w:rPr>
      </w:pPr>
      <w:r>
        <w:rPr>
          <w:rFonts w:hint="eastAsia" w:ascii="黑体" w:hAnsi="黑体" w:eastAsia="黑体" w:cs="黑体"/>
          <w:sz w:val="24"/>
        </w:rPr>
        <w:t>6．供应商同意提供按照贵方可能要求的与其投标有关的一切数据或资料，完全理解贵方不一定要接受最低价的投标或收到的任何投标。</w:t>
      </w:r>
    </w:p>
    <w:p>
      <w:pPr>
        <w:adjustRightInd w:val="0"/>
        <w:snapToGrid w:val="0"/>
        <w:spacing w:line="400" w:lineRule="atLeast"/>
        <w:ind w:firstLine="570"/>
        <w:rPr>
          <w:rFonts w:hint="eastAsia" w:ascii="黑体" w:hAnsi="黑体" w:eastAsia="黑体" w:cs="黑体"/>
          <w:sz w:val="24"/>
        </w:rPr>
      </w:pPr>
      <w:r>
        <w:rPr>
          <w:rFonts w:hint="eastAsia" w:ascii="黑体" w:hAnsi="黑体" w:eastAsia="黑体" w:cs="黑体"/>
          <w:sz w:val="24"/>
        </w:rPr>
        <w:t>7．与本投标有关的一切正式往来信函请寄：</w:t>
      </w:r>
    </w:p>
    <w:p>
      <w:pPr>
        <w:adjustRightInd w:val="0"/>
        <w:snapToGrid w:val="0"/>
        <w:spacing w:line="400" w:lineRule="atLeast"/>
        <w:ind w:firstLine="280"/>
        <w:rPr>
          <w:rFonts w:hint="eastAsia" w:ascii="黑体" w:hAnsi="黑体" w:eastAsia="黑体" w:cs="黑体"/>
          <w:sz w:val="24"/>
        </w:rPr>
      </w:pPr>
      <w:r>
        <w:rPr>
          <w:rFonts w:hint="eastAsia" w:ascii="黑体" w:hAnsi="黑体" w:eastAsia="黑体" w:cs="黑体"/>
          <w:sz w:val="24"/>
        </w:rPr>
        <w:t>地址：</w:t>
      </w:r>
      <w:r>
        <w:rPr>
          <w:rFonts w:hint="eastAsia" w:ascii="黑体" w:hAnsi="黑体" w:eastAsia="黑体" w:cs="黑体"/>
          <w:sz w:val="24"/>
          <w:u w:val="single"/>
        </w:rPr>
        <w:t>　　　　　　　　    　　</w:t>
      </w:r>
      <w:r>
        <w:rPr>
          <w:rFonts w:hint="eastAsia" w:ascii="黑体" w:hAnsi="黑体" w:eastAsia="黑体" w:cs="黑体"/>
          <w:sz w:val="24"/>
        </w:rPr>
        <w:t>邮编：</w:t>
      </w:r>
      <w:r>
        <w:rPr>
          <w:rFonts w:hint="eastAsia" w:ascii="黑体" w:hAnsi="黑体" w:eastAsia="黑体" w:cs="黑体"/>
          <w:sz w:val="24"/>
          <w:u w:val="single"/>
        </w:rPr>
        <w:t>　　　　   　　　　　</w:t>
      </w:r>
    </w:p>
    <w:p>
      <w:pPr>
        <w:adjustRightInd w:val="0"/>
        <w:snapToGrid w:val="0"/>
        <w:spacing w:line="400" w:lineRule="atLeast"/>
        <w:rPr>
          <w:rFonts w:hint="eastAsia" w:ascii="黑体" w:hAnsi="黑体" w:eastAsia="黑体" w:cs="黑体"/>
          <w:sz w:val="24"/>
        </w:rPr>
      </w:pPr>
      <w:r>
        <w:rPr>
          <w:rFonts w:hint="eastAsia" w:ascii="黑体" w:hAnsi="黑体" w:eastAsia="黑体" w:cs="黑体"/>
          <w:sz w:val="24"/>
        </w:rPr>
        <w:t>　电话：</w:t>
      </w:r>
      <w:r>
        <w:rPr>
          <w:rFonts w:hint="eastAsia" w:ascii="黑体" w:hAnsi="黑体" w:eastAsia="黑体" w:cs="黑体"/>
          <w:sz w:val="24"/>
          <w:u w:val="single"/>
        </w:rPr>
        <w:t xml:space="preserve">　　　　　　　　　　    </w:t>
      </w:r>
      <w:r>
        <w:rPr>
          <w:rFonts w:hint="eastAsia" w:ascii="黑体" w:hAnsi="黑体" w:eastAsia="黑体" w:cs="黑体"/>
          <w:sz w:val="24"/>
        </w:rPr>
        <w:t>传真：</w:t>
      </w:r>
      <w:r>
        <w:rPr>
          <w:rFonts w:hint="eastAsia" w:ascii="黑体" w:hAnsi="黑体" w:eastAsia="黑体" w:cs="黑体"/>
          <w:sz w:val="24"/>
          <w:u w:val="single"/>
        </w:rPr>
        <w:t>　   　　　　　　　　</w:t>
      </w:r>
    </w:p>
    <w:p>
      <w:pPr>
        <w:adjustRightInd w:val="0"/>
        <w:snapToGrid w:val="0"/>
        <w:spacing w:line="400" w:lineRule="atLeast"/>
        <w:rPr>
          <w:rFonts w:hint="eastAsia" w:ascii="黑体" w:hAnsi="黑体" w:eastAsia="黑体" w:cs="黑体"/>
          <w:sz w:val="24"/>
        </w:rPr>
      </w:pPr>
      <w:r>
        <w:rPr>
          <w:rFonts w:hint="eastAsia" w:ascii="黑体" w:hAnsi="黑体" w:eastAsia="黑体" w:cs="黑体"/>
          <w:sz w:val="24"/>
        </w:rPr>
        <w:t>　</w:t>
      </w:r>
      <w:r>
        <w:rPr>
          <w:rFonts w:hint="eastAsia" w:ascii="黑体" w:hAnsi="黑体" w:eastAsia="黑体" w:cs="黑体"/>
          <w:sz w:val="24"/>
          <w:lang w:eastAsia="zh-CN"/>
        </w:rPr>
        <w:t>供应商法人或授权代表签字</w:t>
      </w:r>
      <w:r>
        <w:rPr>
          <w:rFonts w:hint="eastAsia" w:ascii="黑体" w:hAnsi="黑体" w:eastAsia="黑体" w:cs="黑体"/>
          <w:sz w:val="24"/>
        </w:rPr>
        <w:t>：</w:t>
      </w:r>
      <w:r>
        <w:rPr>
          <w:rFonts w:hint="eastAsia" w:ascii="黑体" w:hAnsi="黑体" w:eastAsia="黑体" w:cs="黑体"/>
          <w:sz w:val="24"/>
          <w:u w:val="single"/>
        </w:rPr>
        <w:t>　　　　　　　　　　</w:t>
      </w:r>
    </w:p>
    <w:p>
      <w:pPr>
        <w:adjustRightInd w:val="0"/>
        <w:snapToGrid w:val="0"/>
        <w:spacing w:line="400" w:lineRule="atLeast"/>
        <w:rPr>
          <w:rFonts w:hint="eastAsia" w:ascii="黑体" w:hAnsi="黑体" w:eastAsia="黑体" w:cs="黑体"/>
          <w:sz w:val="24"/>
        </w:rPr>
      </w:pPr>
      <w:r>
        <w:rPr>
          <w:rFonts w:hint="eastAsia" w:ascii="黑体" w:hAnsi="黑体" w:eastAsia="黑体" w:cs="黑体"/>
          <w:sz w:val="24"/>
        </w:rPr>
        <w:t>　供应商名称：</w:t>
      </w:r>
      <w:r>
        <w:rPr>
          <w:rFonts w:hint="eastAsia" w:ascii="黑体" w:hAnsi="黑体" w:eastAsia="黑体" w:cs="黑体"/>
          <w:sz w:val="24"/>
          <w:u w:val="single"/>
        </w:rPr>
        <w:t>　      　　　　　　　　</w:t>
      </w:r>
    </w:p>
    <w:p>
      <w:pPr>
        <w:adjustRightInd w:val="0"/>
        <w:snapToGrid w:val="0"/>
        <w:spacing w:line="400" w:lineRule="atLeast"/>
        <w:rPr>
          <w:rFonts w:hint="eastAsia" w:ascii="黑体" w:hAnsi="黑体" w:eastAsia="黑体" w:cs="黑体"/>
          <w:sz w:val="24"/>
        </w:rPr>
      </w:pPr>
      <w:r>
        <w:rPr>
          <w:rFonts w:hint="eastAsia" w:ascii="黑体" w:hAnsi="黑体" w:eastAsia="黑体" w:cs="黑体"/>
          <w:sz w:val="24"/>
        </w:rPr>
        <w:t>　公      章：</w:t>
      </w:r>
      <w:r>
        <w:rPr>
          <w:rFonts w:hint="eastAsia" w:ascii="黑体" w:hAnsi="黑体" w:eastAsia="黑体" w:cs="黑体"/>
          <w:sz w:val="24"/>
          <w:u w:val="single"/>
        </w:rPr>
        <w:t>　　　　　　　　　　</w:t>
      </w:r>
    </w:p>
    <w:p>
      <w:pPr>
        <w:adjustRightInd w:val="0"/>
        <w:snapToGrid w:val="0"/>
        <w:spacing w:line="400" w:lineRule="atLeast"/>
        <w:rPr>
          <w:rFonts w:hint="eastAsia" w:ascii="黑体" w:hAnsi="黑体" w:eastAsia="黑体" w:cs="黑体"/>
          <w:sz w:val="24"/>
        </w:rPr>
      </w:pPr>
      <w:r>
        <w:rPr>
          <w:rFonts w:hint="eastAsia" w:ascii="黑体" w:hAnsi="黑体" w:eastAsia="黑体" w:cs="黑体"/>
          <w:sz w:val="24"/>
        </w:rPr>
        <w:t>　日　　　期：</w:t>
      </w:r>
      <w:r>
        <w:rPr>
          <w:rFonts w:hint="eastAsia" w:ascii="黑体" w:hAnsi="黑体" w:eastAsia="黑体" w:cs="黑体"/>
          <w:sz w:val="24"/>
          <w:u w:val="single"/>
        </w:rPr>
        <w:t>　　 　</w:t>
      </w:r>
      <w:r>
        <w:rPr>
          <w:rFonts w:hint="eastAsia" w:ascii="黑体" w:hAnsi="黑体" w:eastAsia="黑体" w:cs="黑体"/>
          <w:sz w:val="24"/>
        </w:rPr>
        <w:t>年</w:t>
      </w:r>
      <w:r>
        <w:rPr>
          <w:rFonts w:hint="eastAsia" w:ascii="黑体" w:hAnsi="黑体" w:eastAsia="黑体" w:cs="黑体"/>
          <w:sz w:val="24"/>
          <w:u w:val="single"/>
        </w:rPr>
        <w:t xml:space="preserve">　  </w:t>
      </w:r>
      <w:r>
        <w:rPr>
          <w:rFonts w:hint="eastAsia" w:ascii="黑体" w:hAnsi="黑体" w:eastAsia="黑体" w:cs="黑体"/>
          <w:sz w:val="24"/>
        </w:rPr>
        <w:t>月</w:t>
      </w:r>
      <w:r>
        <w:rPr>
          <w:rFonts w:hint="eastAsia" w:ascii="黑体" w:hAnsi="黑体" w:eastAsia="黑体" w:cs="黑体"/>
          <w:sz w:val="24"/>
          <w:u w:val="single"/>
        </w:rPr>
        <w:t xml:space="preserve">  　</w:t>
      </w:r>
      <w:r>
        <w:rPr>
          <w:rFonts w:hint="eastAsia" w:ascii="黑体" w:hAnsi="黑体" w:eastAsia="黑体" w:cs="黑体"/>
          <w:sz w:val="24"/>
        </w:rPr>
        <w:t>日</w:t>
      </w:r>
    </w:p>
    <w:p>
      <w:pPr>
        <w:adjustRightInd w:val="0"/>
        <w:snapToGrid w:val="0"/>
        <w:spacing w:line="400" w:lineRule="atLeast"/>
        <w:rPr>
          <w:rFonts w:hint="eastAsia" w:ascii="黑体" w:hAnsi="黑体" w:eastAsia="黑体" w:cs="黑体"/>
          <w:sz w:val="24"/>
        </w:rPr>
        <w:sectPr>
          <w:pgSz w:w="11907" w:h="16840"/>
          <w:pgMar w:top="1440" w:right="1080" w:bottom="1440" w:left="1080" w:header="851" w:footer="68" w:gutter="0"/>
          <w:pgNumType w:fmt="decimal"/>
          <w:cols w:space="720" w:num="1"/>
          <w:docGrid w:type="lines" w:linePitch="409" w:charSpace="0"/>
        </w:sectPr>
      </w:pPr>
    </w:p>
    <w:p>
      <w:pPr>
        <w:pStyle w:val="6"/>
        <w:jc w:val="left"/>
        <w:rPr>
          <w:rFonts w:hint="eastAsia" w:ascii="黑体" w:hAnsi="黑体" w:eastAsia="黑体" w:cs="黑体"/>
          <w:b/>
          <w:bCs/>
          <w:sz w:val="24"/>
        </w:rPr>
      </w:pPr>
      <w:bookmarkStart w:id="88" w:name="_Toc2721"/>
      <w:bookmarkStart w:id="89" w:name="_Toc39669645"/>
      <w:bookmarkStart w:id="90" w:name="_Toc39945706"/>
      <w:bookmarkStart w:id="91" w:name="_Toc18124"/>
      <w:r>
        <w:rPr>
          <w:rFonts w:hint="eastAsia" w:ascii="黑体" w:hAnsi="黑体" w:eastAsia="黑体" w:cs="黑体"/>
          <w:b/>
          <w:bCs/>
          <w:sz w:val="24"/>
        </w:rPr>
        <w:t>附件二：开标一览表</w:t>
      </w:r>
      <w:bookmarkEnd w:id="88"/>
      <w:bookmarkEnd w:id="89"/>
      <w:bookmarkEnd w:id="90"/>
      <w:bookmarkEnd w:id="91"/>
    </w:p>
    <w:p>
      <w:pPr>
        <w:spacing w:line="500" w:lineRule="exact"/>
        <w:rPr>
          <w:rFonts w:hint="eastAsia" w:ascii="黑体" w:hAnsi="黑体" w:eastAsia="黑体" w:cs="黑体"/>
          <w:color w:val="auto"/>
          <w:sz w:val="24"/>
          <w:highlight w:val="none"/>
          <w:u w:val="single"/>
          <w:lang w:val="en-US" w:eastAsia="zh-CN"/>
        </w:rPr>
      </w:pPr>
      <w:r>
        <w:rPr>
          <w:rFonts w:hint="eastAsia" w:ascii="黑体" w:hAnsi="黑体" w:eastAsia="黑体" w:cs="黑体"/>
          <w:color w:val="auto"/>
          <w:sz w:val="24"/>
          <w:highlight w:val="none"/>
        </w:rPr>
        <w:t>项目名称：</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u w:val="single"/>
          <w:lang w:val="en-US" w:eastAsia="zh-CN"/>
        </w:rPr>
        <w:t xml:space="preserve">   </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u w:val="single"/>
          <w:lang w:val="en-US" w:eastAsia="zh-CN"/>
        </w:rPr>
        <w:t xml:space="preserve">    </w:t>
      </w:r>
      <w:r>
        <w:rPr>
          <w:rFonts w:hint="eastAsia" w:ascii="黑体" w:hAnsi="黑体" w:eastAsia="黑体" w:cs="黑体"/>
          <w:color w:val="auto"/>
          <w:sz w:val="24"/>
          <w:highlight w:val="none"/>
          <w:u w:val="single"/>
        </w:rPr>
        <w:t xml:space="preserve">  </w:t>
      </w:r>
      <w:r>
        <w:rPr>
          <w:rFonts w:hint="eastAsia" w:ascii="黑体" w:hAnsi="黑体" w:eastAsia="黑体" w:cs="黑体"/>
          <w:sz w:val="24"/>
        </w:rPr>
        <w:t>项目编号/包号：</w:t>
      </w:r>
      <w:r>
        <w:rPr>
          <w:rFonts w:hint="eastAsia" w:ascii="黑体" w:hAnsi="黑体" w:eastAsia="黑体" w:cs="黑体"/>
          <w:color w:val="auto"/>
          <w:sz w:val="24"/>
          <w:highlight w:val="none"/>
          <w:lang w:val="en-US" w:eastAsia="zh-CN"/>
        </w:rPr>
        <w:t xml:space="preserve"> </w:t>
      </w:r>
      <w:r>
        <w:rPr>
          <w:rFonts w:hint="eastAsia" w:ascii="黑体" w:hAnsi="黑体" w:eastAsia="黑体" w:cs="黑体"/>
          <w:color w:val="auto"/>
          <w:sz w:val="24"/>
          <w:highlight w:val="none"/>
          <w:u w:val="single"/>
          <w:lang w:val="en-US" w:eastAsia="zh-CN"/>
        </w:rPr>
        <w:t xml:space="preserve">                      </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pStyle w:val="64"/>
              <w:spacing w:line="500" w:lineRule="exact"/>
              <w:jc w:val="both"/>
              <w:rPr>
                <w:rFonts w:hint="eastAsia" w:ascii="黑体" w:hAnsi="黑体" w:eastAsia="黑体" w:cs="黑体"/>
                <w:color w:val="auto"/>
                <w:highlight w:val="none"/>
              </w:rPr>
            </w:pPr>
            <w:r>
              <w:rPr>
                <w:rFonts w:hint="eastAsia" w:ascii="黑体" w:hAnsi="黑体" w:eastAsia="黑体" w:cs="黑体"/>
                <w:color w:val="auto"/>
                <w:highlight w:val="none"/>
                <w:lang w:val="en-US" w:eastAsia="zh-CN"/>
              </w:rPr>
              <w:t>供应商</w:t>
            </w:r>
            <w:r>
              <w:rPr>
                <w:rFonts w:hint="eastAsia" w:ascii="黑体" w:hAnsi="黑体" w:eastAsia="黑体" w:cs="黑体"/>
                <w:color w:val="auto"/>
                <w:highlight w:val="none"/>
              </w:rPr>
              <w:t>名称</w:t>
            </w:r>
          </w:p>
        </w:tc>
        <w:tc>
          <w:tcPr>
            <w:tcW w:w="8126" w:type="dxa"/>
          </w:tcPr>
          <w:p>
            <w:pPr>
              <w:pStyle w:val="64"/>
              <w:spacing w:line="500" w:lineRule="exact"/>
              <w:jc w:val="both"/>
              <w:rPr>
                <w:rFonts w:hint="eastAsia" w:ascii="黑体" w:hAnsi="黑体" w:eastAsia="黑体" w:cs="黑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vAlign w:val="center"/>
          </w:tcPr>
          <w:p>
            <w:pPr>
              <w:pStyle w:val="64"/>
              <w:spacing w:line="500" w:lineRule="exact"/>
              <w:jc w:val="both"/>
              <w:rPr>
                <w:rFonts w:hint="eastAsia" w:ascii="黑体" w:hAnsi="黑体" w:eastAsia="黑体" w:cs="黑体"/>
                <w:color w:val="auto"/>
                <w:highlight w:val="none"/>
              </w:rPr>
            </w:pPr>
            <w:r>
              <w:rPr>
                <w:rFonts w:hint="eastAsia" w:ascii="黑体" w:hAnsi="黑体" w:eastAsia="黑体" w:cs="黑体"/>
                <w:color w:val="auto"/>
                <w:highlight w:val="none"/>
              </w:rPr>
              <w:t>投标报价</w:t>
            </w:r>
          </w:p>
        </w:tc>
        <w:tc>
          <w:tcPr>
            <w:tcW w:w="8126" w:type="dxa"/>
          </w:tcPr>
          <w:p>
            <w:pPr>
              <w:pStyle w:val="64"/>
              <w:spacing w:line="500" w:lineRule="exact"/>
              <w:jc w:val="both"/>
              <w:rPr>
                <w:rFonts w:hint="eastAsia" w:ascii="黑体" w:hAnsi="黑体" w:eastAsia="黑体" w:cs="黑体"/>
                <w:color w:val="auto"/>
                <w:highlight w:val="none"/>
              </w:rPr>
            </w:pPr>
            <w:r>
              <w:rPr>
                <w:rFonts w:hint="eastAsia" w:ascii="黑体" w:hAnsi="黑体" w:eastAsia="黑体" w:cs="黑体"/>
                <w:color w:val="auto"/>
                <w:highlight w:val="none"/>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tcPr>
          <w:p>
            <w:pPr>
              <w:pStyle w:val="64"/>
              <w:spacing w:line="500" w:lineRule="exact"/>
              <w:jc w:val="both"/>
              <w:rPr>
                <w:rFonts w:hint="eastAsia" w:ascii="黑体" w:hAnsi="黑体" w:eastAsia="黑体" w:cs="黑体"/>
                <w:color w:val="auto"/>
                <w:highlight w:val="none"/>
              </w:rPr>
            </w:pPr>
          </w:p>
        </w:tc>
        <w:tc>
          <w:tcPr>
            <w:tcW w:w="8126" w:type="dxa"/>
          </w:tcPr>
          <w:p>
            <w:pPr>
              <w:pStyle w:val="64"/>
              <w:spacing w:line="500" w:lineRule="exact"/>
              <w:jc w:val="both"/>
              <w:rPr>
                <w:rFonts w:hint="eastAsia" w:ascii="黑体" w:hAnsi="黑体" w:eastAsia="黑体" w:cs="黑体"/>
                <w:color w:val="auto"/>
                <w:highlight w:val="none"/>
              </w:rPr>
            </w:pPr>
            <w:r>
              <w:rPr>
                <w:rFonts w:hint="eastAsia" w:ascii="黑体" w:hAnsi="黑体" w:eastAsia="黑体" w:cs="黑体"/>
                <w:color w:val="auto"/>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pStyle w:val="64"/>
              <w:spacing w:line="500" w:lineRule="exact"/>
              <w:jc w:val="both"/>
              <w:rPr>
                <w:rFonts w:hint="eastAsia" w:ascii="黑体" w:hAnsi="黑体" w:eastAsia="黑体" w:cs="黑体"/>
                <w:color w:val="auto"/>
                <w:highlight w:val="none"/>
              </w:rPr>
            </w:pPr>
            <w:r>
              <w:rPr>
                <w:rFonts w:hint="eastAsia" w:ascii="黑体" w:hAnsi="黑体" w:eastAsia="黑体" w:cs="黑体"/>
                <w:color w:val="auto"/>
                <w:highlight w:val="none"/>
              </w:rPr>
              <w:t>交货期</w:t>
            </w:r>
          </w:p>
        </w:tc>
        <w:tc>
          <w:tcPr>
            <w:tcW w:w="8126" w:type="dxa"/>
          </w:tcPr>
          <w:p>
            <w:pPr>
              <w:pStyle w:val="64"/>
              <w:spacing w:line="500" w:lineRule="exact"/>
              <w:jc w:val="both"/>
              <w:rPr>
                <w:rFonts w:hint="eastAsia"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pStyle w:val="64"/>
              <w:spacing w:line="500" w:lineRule="exact"/>
              <w:jc w:val="both"/>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质保期</w:t>
            </w:r>
          </w:p>
        </w:tc>
        <w:tc>
          <w:tcPr>
            <w:tcW w:w="8126" w:type="dxa"/>
          </w:tcPr>
          <w:p>
            <w:pPr>
              <w:pStyle w:val="64"/>
              <w:spacing w:line="500" w:lineRule="exact"/>
              <w:jc w:val="both"/>
              <w:rPr>
                <w:rFonts w:hint="eastAsia"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pStyle w:val="64"/>
              <w:spacing w:line="500" w:lineRule="exact"/>
              <w:jc w:val="both"/>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备注</w:t>
            </w:r>
          </w:p>
        </w:tc>
        <w:tc>
          <w:tcPr>
            <w:tcW w:w="8126" w:type="dxa"/>
          </w:tcPr>
          <w:p>
            <w:pPr>
              <w:pStyle w:val="64"/>
              <w:spacing w:line="500" w:lineRule="exact"/>
              <w:jc w:val="both"/>
              <w:rPr>
                <w:rFonts w:hint="eastAsia" w:ascii="黑体" w:hAnsi="黑体" w:eastAsia="黑体" w:cs="黑体"/>
                <w:color w:val="auto"/>
                <w:highlight w:val="none"/>
              </w:rPr>
            </w:pPr>
          </w:p>
        </w:tc>
      </w:tr>
    </w:tbl>
    <w:p>
      <w:pPr>
        <w:pStyle w:val="64"/>
        <w:spacing w:line="500" w:lineRule="exact"/>
        <w:rPr>
          <w:rFonts w:hint="eastAsia" w:ascii="黑体" w:hAnsi="黑体" w:eastAsia="黑体" w:cs="黑体"/>
          <w:color w:val="auto"/>
          <w:highlight w:val="none"/>
        </w:rPr>
      </w:pPr>
      <w:r>
        <w:rPr>
          <w:rFonts w:hint="eastAsia" w:ascii="黑体" w:hAnsi="黑体" w:eastAsia="黑体" w:cs="黑体"/>
          <w:color w:val="auto"/>
          <w:highlight w:val="none"/>
        </w:rPr>
        <w:t>兹声明：以上投标报价在投标有效期内一直有效。</w:t>
      </w:r>
    </w:p>
    <w:p>
      <w:pPr>
        <w:spacing w:line="500" w:lineRule="exact"/>
        <w:rPr>
          <w:rFonts w:hint="eastAsia" w:ascii="黑体" w:hAnsi="黑体" w:eastAsia="黑体" w:cs="黑体"/>
          <w:bCs/>
          <w:color w:val="auto"/>
          <w:sz w:val="24"/>
          <w:highlight w:val="none"/>
        </w:rPr>
      </w:pPr>
      <w:r>
        <w:rPr>
          <w:rFonts w:hint="eastAsia" w:ascii="黑体" w:hAnsi="黑体" w:eastAsia="黑体" w:cs="黑体"/>
          <w:color w:val="auto"/>
          <w:highlight w:val="none"/>
          <w:lang w:val="en-US" w:eastAsia="zh-CN"/>
        </w:rPr>
        <w:t>供应商</w:t>
      </w:r>
      <w:r>
        <w:rPr>
          <w:rFonts w:hint="eastAsia" w:ascii="黑体" w:hAnsi="黑体" w:eastAsia="黑体" w:cs="黑体"/>
          <w:color w:val="auto"/>
          <w:highlight w:val="none"/>
        </w:rPr>
        <w:t>名称</w:t>
      </w:r>
      <w:r>
        <w:rPr>
          <w:rFonts w:hint="eastAsia" w:ascii="黑体" w:hAnsi="黑体" w:eastAsia="黑体" w:cs="黑体"/>
          <w:bCs/>
          <w:color w:val="auto"/>
          <w:sz w:val="24"/>
          <w:highlight w:val="none"/>
        </w:rPr>
        <w:t>（公章）：</w:t>
      </w:r>
    </w:p>
    <w:p>
      <w:pPr>
        <w:pStyle w:val="65"/>
        <w:keepNext w:val="0"/>
        <w:keepLines w:val="0"/>
        <w:adjustRightInd/>
        <w:spacing w:before="0" w:line="500" w:lineRule="exact"/>
        <w:textAlignment w:val="auto"/>
        <w:outlineLvl w:val="9"/>
        <w:rPr>
          <w:rFonts w:hint="eastAsia" w:ascii="黑体" w:hAnsi="黑体" w:eastAsia="黑体" w:cs="黑体"/>
          <w:b w:val="0"/>
          <w:color w:val="auto"/>
          <w:kern w:val="2"/>
          <w:sz w:val="24"/>
          <w:highlight w:val="none"/>
          <w:u w:val="single"/>
          <w:lang w:val="en-US" w:eastAsia="zh-CN"/>
        </w:rPr>
      </w:pPr>
      <w:r>
        <w:rPr>
          <w:rFonts w:hint="eastAsia" w:ascii="黑体" w:hAnsi="黑体" w:eastAsia="黑体" w:cs="黑体"/>
          <w:b w:val="0"/>
          <w:bCs w:val="0"/>
          <w:sz w:val="24"/>
          <w:szCs w:val="22"/>
          <w:lang w:val="zh-CN" w:eastAsia="zh-CN" w:bidi="zh-CN"/>
        </w:rPr>
        <w:t>供应商法人或授权代表签字</w:t>
      </w:r>
      <w:r>
        <w:rPr>
          <w:rFonts w:hint="eastAsia" w:ascii="黑体" w:hAnsi="黑体" w:eastAsia="黑体" w:cs="黑体"/>
          <w:b w:val="0"/>
          <w:color w:val="auto"/>
          <w:sz w:val="24"/>
          <w:highlight w:val="none"/>
        </w:rPr>
        <w:t>：</w:t>
      </w:r>
      <w:r>
        <w:rPr>
          <w:rFonts w:hint="eastAsia" w:ascii="黑体" w:hAnsi="黑体" w:eastAsia="黑体" w:cs="黑体"/>
          <w:b w:val="0"/>
          <w:color w:val="auto"/>
          <w:sz w:val="24"/>
          <w:highlight w:val="none"/>
          <w:u w:val="single"/>
          <w:lang w:val="en-US" w:eastAsia="zh-CN"/>
        </w:rPr>
        <w:t xml:space="preserve">                       </w:t>
      </w:r>
    </w:p>
    <w:p>
      <w:pPr>
        <w:pStyle w:val="65"/>
        <w:keepNext w:val="0"/>
        <w:keepLines w:val="0"/>
        <w:adjustRightInd/>
        <w:spacing w:before="0" w:line="500" w:lineRule="exact"/>
        <w:textAlignment w:val="auto"/>
        <w:outlineLvl w:val="9"/>
        <w:rPr>
          <w:rFonts w:hint="eastAsia" w:ascii="黑体" w:hAnsi="黑体" w:eastAsia="黑体" w:cs="黑体"/>
          <w:b w:val="0"/>
          <w:color w:val="auto"/>
          <w:kern w:val="2"/>
          <w:sz w:val="24"/>
          <w:highlight w:val="none"/>
        </w:rPr>
      </w:pPr>
      <w:r>
        <w:rPr>
          <w:rFonts w:hint="eastAsia" w:ascii="黑体" w:hAnsi="黑体" w:eastAsia="黑体" w:cs="黑体"/>
          <w:b w:val="0"/>
          <w:color w:val="auto"/>
          <w:spacing w:val="36"/>
          <w:kern w:val="2"/>
          <w:sz w:val="24"/>
          <w:highlight w:val="none"/>
        </w:rPr>
        <w:t>日期</w:t>
      </w:r>
      <w:r>
        <w:rPr>
          <w:rFonts w:hint="eastAsia" w:ascii="黑体" w:hAnsi="黑体" w:eastAsia="黑体" w:cs="黑体"/>
          <w:b w:val="0"/>
          <w:color w:val="auto"/>
          <w:kern w:val="2"/>
          <w:sz w:val="24"/>
          <w:highlight w:val="none"/>
        </w:rPr>
        <w:t>：   年   月   日</w:t>
      </w:r>
    </w:p>
    <w:p>
      <w:pPr>
        <w:pStyle w:val="15"/>
        <w:rPr>
          <w:rFonts w:hint="eastAsia" w:ascii="黑体" w:hAnsi="黑体" w:eastAsia="黑体" w:cs="黑体"/>
          <w:sz w:val="24"/>
        </w:rPr>
        <w:sectPr>
          <w:pgSz w:w="11906" w:h="16838"/>
          <w:pgMar w:top="1080" w:right="1440" w:bottom="1080" w:left="1440" w:header="851" w:footer="992" w:gutter="0"/>
          <w:pgNumType w:fmt="decimal"/>
          <w:cols w:space="720" w:num="1"/>
          <w:docGrid w:type="linesAndChars" w:linePitch="312" w:charSpace="0"/>
        </w:sectPr>
      </w:pPr>
    </w:p>
    <w:p>
      <w:pPr>
        <w:pStyle w:val="6"/>
        <w:jc w:val="left"/>
        <w:rPr>
          <w:rFonts w:hint="eastAsia" w:ascii="黑体" w:hAnsi="黑体" w:eastAsia="黑体" w:cs="黑体"/>
          <w:b/>
          <w:bCs/>
          <w:sz w:val="24"/>
        </w:rPr>
      </w:pPr>
      <w:bookmarkStart w:id="92" w:name="_Toc39669646"/>
      <w:bookmarkStart w:id="93" w:name="_Toc39945707"/>
      <w:bookmarkStart w:id="94" w:name="_Toc4263"/>
      <w:bookmarkStart w:id="95" w:name="_Toc30583"/>
      <w:bookmarkStart w:id="96" w:name="_Toc277841205"/>
      <w:r>
        <w:rPr>
          <w:rFonts w:hint="eastAsia" w:ascii="黑体" w:hAnsi="黑体" w:eastAsia="黑体" w:cs="黑体"/>
          <w:b/>
          <w:bCs/>
          <w:sz w:val="24"/>
        </w:rPr>
        <w:t>附件三：分项报价表</w:t>
      </w:r>
      <w:bookmarkEnd w:id="92"/>
      <w:bookmarkEnd w:id="93"/>
      <w:bookmarkEnd w:id="94"/>
      <w:bookmarkEnd w:id="95"/>
      <w:bookmarkEnd w:id="96"/>
    </w:p>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u w:val="single"/>
        </w:rPr>
      </w:pPr>
      <w:r>
        <w:rPr>
          <w:rFonts w:hint="eastAsia" w:ascii="黑体" w:hAnsi="黑体" w:eastAsia="黑体" w:cs="黑体"/>
          <w:sz w:val="24"/>
        </w:rPr>
        <w:t>供应商名称（公章）：</w:t>
      </w:r>
      <w:r>
        <w:rPr>
          <w:rFonts w:hint="eastAsia" w:ascii="黑体" w:hAnsi="黑体" w:eastAsia="黑体" w:cs="黑体"/>
          <w:sz w:val="24"/>
          <w:u w:val="single"/>
        </w:rPr>
        <w:t xml:space="preserve">         　</w:t>
      </w:r>
      <w:r>
        <w:rPr>
          <w:rFonts w:hint="eastAsia" w:ascii="黑体" w:hAnsi="黑体" w:eastAsia="黑体" w:cs="黑体"/>
          <w:sz w:val="24"/>
        </w:rPr>
        <w:t>项目编号/包号：</w:t>
      </w:r>
      <w:r>
        <w:rPr>
          <w:rFonts w:hint="eastAsia" w:ascii="黑体" w:hAnsi="黑体" w:eastAsia="黑体" w:cs="黑体"/>
          <w:sz w:val="24"/>
          <w:u w:val="single"/>
        </w:rPr>
        <w:t xml:space="preserve">　　　　　　　　 </w:t>
      </w:r>
    </w:p>
    <w:tbl>
      <w:tblPr>
        <w:tblStyle w:val="42"/>
        <w:tblW w:w="9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80"/>
        <w:gridCol w:w="732"/>
        <w:gridCol w:w="1800"/>
        <w:gridCol w:w="1032"/>
        <w:gridCol w:w="996"/>
        <w:gridCol w:w="1763"/>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09"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序号</w:t>
            </w:r>
          </w:p>
        </w:tc>
        <w:tc>
          <w:tcPr>
            <w:tcW w:w="1380"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名称</w:t>
            </w:r>
          </w:p>
        </w:tc>
        <w:tc>
          <w:tcPr>
            <w:tcW w:w="732"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品牌</w:t>
            </w:r>
          </w:p>
        </w:tc>
        <w:tc>
          <w:tcPr>
            <w:tcW w:w="1800"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规格型号</w:t>
            </w:r>
          </w:p>
        </w:tc>
        <w:tc>
          <w:tcPr>
            <w:tcW w:w="1032"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制造商</w:t>
            </w:r>
          </w:p>
        </w:tc>
        <w:tc>
          <w:tcPr>
            <w:tcW w:w="996"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数量</w:t>
            </w:r>
          </w:p>
        </w:tc>
        <w:tc>
          <w:tcPr>
            <w:tcW w:w="1763"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单价</w:t>
            </w:r>
          </w:p>
        </w:tc>
        <w:tc>
          <w:tcPr>
            <w:tcW w:w="1483"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809"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1</w:t>
            </w:r>
          </w:p>
        </w:tc>
        <w:tc>
          <w:tcPr>
            <w:tcW w:w="1380" w:type="dxa"/>
            <w:noWrap w:val="0"/>
            <w:vAlign w:val="center"/>
          </w:tcPr>
          <w:p>
            <w:pPr>
              <w:spacing w:line="400" w:lineRule="atLeast"/>
              <w:jc w:val="center"/>
              <w:rPr>
                <w:rFonts w:hint="eastAsia" w:ascii="黑体" w:hAnsi="黑体" w:eastAsia="黑体" w:cs="黑体"/>
                <w:sz w:val="24"/>
              </w:rPr>
            </w:pPr>
          </w:p>
        </w:tc>
        <w:tc>
          <w:tcPr>
            <w:tcW w:w="732" w:type="dxa"/>
            <w:noWrap w:val="0"/>
            <w:vAlign w:val="center"/>
          </w:tcPr>
          <w:p>
            <w:pPr>
              <w:spacing w:line="400" w:lineRule="atLeast"/>
              <w:jc w:val="center"/>
              <w:rPr>
                <w:rFonts w:hint="eastAsia" w:ascii="黑体" w:hAnsi="黑体" w:eastAsia="黑体" w:cs="黑体"/>
                <w:sz w:val="24"/>
              </w:rPr>
            </w:pPr>
          </w:p>
        </w:tc>
        <w:tc>
          <w:tcPr>
            <w:tcW w:w="1800" w:type="dxa"/>
            <w:noWrap w:val="0"/>
            <w:vAlign w:val="center"/>
          </w:tcPr>
          <w:p>
            <w:pPr>
              <w:spacing w:line="400" w:lineRule="atLeast"/>
              <w:jc w:val="center"/>
              <w:rPr>
                <w:rFonts w:hint="eastAsia" w:ascii="黑体" w:hAnsi="黑体" w:eastAsia="黑体" w:cs="黑体"/>
                <w:sz w:val="24"/>
              </w:rPr>
            </w:pPr>
          </w:p>
        </w:tc>
        <w:tc>
          <w:tcPr>
            <w:tcW w:w="1032" w:type="dxa"/>
            <w:noWrap w:val="0"/>
            <w:vAlign w:val="center"/>
          </w:tcPr>
          <w:p>
            <w:pPr>
              <w:spacing w:line="400" w:lineRule="atLeast"/>
              <w:jc w:val="center"/>
              <w:rPr>
                <w:rFonts w:hint="eastAsia" w:ascii="黑体" w:hAnsi="黑体" w:eastAsia="黑体" w:cs="黑体"/>
                <w:sz w:val="24"/>
              </w:rPr>
            </w:pPr>
          </w:p>
        </w:tc>
        <w:tc>
          <w:tcPr>
            <w:tcW w:w="996" w:type="dxa"/>
            <w:noWrap w:val="0"/>
            <w:vAlign w:val="center"/>
          </w:tcPr>
          <w:p>
            <w:pPr>
              <w:spacing w:line="400" w:lineRule="atLeast"/>
              <w:jc w:val="center"/>
              <w:rPr>
                <w:rFonts w:hint="eastAsia" w:ascii="黑体" w:hAnsi="黑体" w:eastAsia="黑体" w:cs="黑体"/>
                <w:sz w:val="24"/>
              </w:rPr>
            </w:pPr>
          </w:p>
        </w:tc>
        <w:tc>
          <w:tcPr>
            <w:tcW w:w="1763" w:type="dxa"/>
            <w:noWrap w:val="0"/>
            <w:vAlign w:val="center"/>
          </w:tcPr>
          <w:p>
            <w:pPr>
              <w:spacing w:line="400" w:lineRule="atLeast"/>
              <w:jc w:val="center"/>
              <w:rPr>
                <w:rFonts w:hint="eastAsia" w:ascii="黑体" w:hAnsi="黑体" w:eastAsia="黑体" w:cs="黑体"/>
                <w:sz w:val="24"/>
              </w:rPr>
            </w:pPr>
          </w:p>
        </w:tc>
        <w:tc>
          <w:tcPr>
            <w:tcW w:w="1483" w:type="dxa"/>
            <w:noWrap w:val="0"/>
            <w:vAlign w:val="center"/>
          </w:tcPr>
          <w:p>
            <w:pPr>
              <w:spacing w:line="400" w:lineRule="atLeast"/>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09"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2</w:t>
            </w:r>
          </w:p>
        </w:tc>
        <w:tc>
          <w:tcPr>
            <w:tcW w:w="1380" w:type="dxa"/>
            <w:noWrap w:val="0"/>
            <w:vAlign w:val="center"/>
          </w:tcPr>
          <w:p>
            <w:pPr>
              <w:spacing w:line="400" w:lineRule="atLeast"/>
              <w:jc w:val="center"/>
              <w:rPr>
                <w:rFonts w:hint="eastAsia" w:ascii="黑体" w:hAnsi="黑体" w:eastAsia="黑体" w:cs="黑体"/>
                <w:sz w:val="24"/>
              </w:rPr>
            </w:pPr>
          </w:p>
        </w:tc>
        <w:tc>
          <w:tcPr>
            <w:tcW w:w="732" w:type="dxa"/>
            <w:noWrap w:val="0"/>
            <w:vAlign w:val="center"/>
          </w:tcPr>
          <w:p>
            <w:pPr>
              <w:spacing w:line="400" w:lineRule="atLeast"/>
              <w:jc w:val="center"/>
              <w:rPr>
                <w:rFonts w:hint="eastAsia" w:ascii="黑体" w:hAnsi="黑体" w:eastAsia="黑体" w:cs="黑体"/>
                <w:sz w:val="24"/>
              </w:rPr>
            </w:pPr>
          </w:p>
        </w:tc>
        <w:tc>
          <w:tcPr>
            <w:tcW w:w="1800" w:type="dxa"/>
            <w:noWrap w:val="0"/>
            <w:vAlign w:val="center"/>
          </w:tcPr>
          <w:p>
            <w:pPr>
              <w:spacing w:line="400" w:lineRule="atLeast"/>
              <w:jc w:val="center"/>
              <w:rPr>
                <w:rFonts w:hint="eastAsia" w:ascii="黑体" w:hAnsi="黑体" w:eastAsia="黑体" w:cs="黑体"/>
                <w:sz w:val="24"/>
              </w:rPr>
            </w:pPr>
          </w:p>
        </w:tc>
        <w:tc>
          <w:tcPr>
            <w:tcW w:w="1032" w:type="dxa"/>
            <w:noWrap w:val="0"/>
            <w:vAlign w:val="center"/>
          </w:tcPr>
          <w:p>
            <w:pPr>
              <w:spacing w:line="400" w:lineRule="atLeast"/>
              <w:jc w:val="center"/>
              <w:rPr>
                <w:rFonts w:hint="eastAsia" w:ascii="黑体" w:hAnsi="黑体" w:eastAsia="黑体" w:cs="黑体"/>
                <w:sz w:val="24"/>
              </w:rPr>
            </w:pPr>
          </w:p>
        </w:tc>
        <w:tc>
          <w:tcPr>
            <w:tcW w:w="996" w:type="dxa"/>
            <w:noWrap w:val="0"/>
            <w:vAlign w:val="center"/>
          </w:tcPr>
          <w:p>
            <w:pPr>
              <w:spacing w:line="400" w:lineRule="atLeast"/>
              <w:jc w:val="center"/>
              <w:rPr>
                <w:rFonts w:hint="eastAsia" w:ascii="黑体" w:hAnsi="黑体" w:eastAsia="黑体" w:cs="黑体"/>
                <w:sz w:val="24"/>
              </w:rPr>
            </w:pPr>
          </w:p>
        </w:tc>
        <w:tc>
          <w:tcPr>
            <w:tcW w:w="1763" w:type="dxa"/>
            <w:noWrap w:val="0"/>
            <w:vAlign w:val="center"/>
          </w:tcPr>
          <w:p>
            <w:pPr>
              <w:spacing w:line="400" w:lineRule="atLeast"/>
              <w:jc w:val="center"/>
              <w:rPr>
                <w:rFonts w:hint="eastAsia" w:ascii="黑体" w:hAnsi="黑体" w:eastAsia="黑体" w:cs="黑体"/>
                <w:sz w:val="24"/>
              </w:rPr>
            </w:pPr>
          </w:p>
        </w:tc>
        <w:tc>
          <w:tcPr>
            <w:tcW w:w="1483" w:type="dxa"/>
            <w:noWrap w:val="0"/>
            <w:vAlign w:val="center"/>
          </w:tcPr>
          <w:p>
            <w:pPr>
              <w:spacing w:line="400" w:lineRule="atLeast"/>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09"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3</w:t>
            </w:r>
          </w:p>
        </w:tc>
        <w:tc>
          <w:tcPr>
            <w:tcW w:w="1380" w:type="dxa"/>
            <w:noWrap w:val="0"/>
            <w:vAlign w:val="center"/>
          </w:tcPr>
          <w:p>
            <w:pPr>
              <w:spacing w:line="400" w:lineRule="atLeast"/>
              <w:jc w:val="center"/>
              <w:rPr>
                <w:rFonts w:hint="eastAsia" w:ascii="黑体" w:hAnsi="黑体" w:eastAsia="黑体" w:cs="黑体"/>
                <w:sz w:val="24"/>
              </w:rPr>
            </w:pPr>
          </w:p>
        </w:tc>
        <w:tc>
          <w:tcPr>
            <w:tcW w:w="732" w:type="dxa"/>
            <w:noWrap w:val="0"/>
            <w:vAlign w:val="center"/>
          </w:tcPr>
          <w:p>
            <w:pPr>
              <w:spacing w:line="400" w:lineRule="atLeast"/>
              <w:jc w:val="center"/>
              <w:rPr>
                <w:rFonts w:hint="eastAsia" w:ascii="黑体" w:hAnsi="黑体" w:eastAsia="黑体" w:cs="黑体"/>
                <w:sz w:val="24"/>
              </w:rPr>
            </w:pPr>
          </w:p>
        </w:tc>
        <w:tc>
          <w:tcPr>
            <w:tcW w:w="1800" w:type="dxa"/>
            <w:noWrap w:val="0"/>
            <w:vAlign w:val="center"/>
          </w:tcPr>
          <w:p>
            <w:pPr>
              <w:spacing w:line="400" w:lineRule="atLeast"/>
              <w:jc w:val="center"/>
              <w:rPr>
                <w:rFonts w:hint="eastAsia" w:ascii="黑体" w:hAnsi="黑体" w:eastAsia="黑体" w:cs="黑体"/>
                <w:sz w:val="24"/>
              </w:rPr>
            </w:pPr>
          </w:p>
        </w:tc>
        <w:tc>
          <w:tcPr>
            <w:tcW w:w="1032" w:type="dxa"/>
            <w:noWrap w:val="0"/>
            <w:vAlign w:val="center"/>
          </w:tcPr>
          <w:p>
            <w:pPr>
              <w:spacing w:line="400" w:lineRule="atLeast"/>
              <w:jc w:val="center"/>
              <w:rPr>
                <w:rFonts w:hint="eastAsia" w:ascii="黑体" w:hAnsi="黑体" w:eastAsia="黑体" w:cs="黑体"/>
                <w:sz w:val="24"/>
              </w:rPr>
            </w:pPr>
          </w:p>
        </w:tc>
        <w:tc>
          <w:tcPr>
            <w:tcW w:w="996" w:type="dxa"/>
            <w:noWrap w:val="0"/>
            <w:vAlign w:val="center"/>
          </w:tcPr>
          <w:p>
            <w:pPr>
              <w:spacing w:line="400" w:lineRule="atLeast"/>
              <w:jc w:val="center"/>
              <w:rPr>
                <w:rFonts w:hint="eastAsia" w:ascii="黑体" w:hAnsi="黑体" w:eastAsia="黑体" w:cs="黑体"/>
                <w:sz w:val="24"/>
              </w:rPr>
            </w:pPr>
          </w:p>
        </w:tc>
        <w:tc>
          <w:tcPr>
            <w:tcW w:w="1763" w:type="dxa"/>
            <w:noWrap w:val="0"/>
            <w:vAlign w:val="center"/>
          </w:tcPr>
          <w:p>
            <w:pPr>
              <w:spacing w:line="400" w:lineRule="atLeast"/>
              <w:jc w:val="center"/>
              <w:rPr>
                <w:rFonts w:hint="eastAsia" w:ascii="黑体" w:hAnsi="黑体" w:eastAsia="黑体" w:cs="黑体"/>
                <w:sz w:val="24"/>
              </w:rPr>
            </w:pPr>
          </w:p>
        </w:tc>
        <w:tc>
          <w:tcPr>
            <w:tcW w:w="1483" w:type="dxa"/>
            <w:noWrap w:val="0"/>
            <w:vAlign w:val="center"/>
          </w:tcPr>
          <w:p>
            <w:pPr>
              <w:spacing w:line="400" w:lineRule="atLeast"/>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09" w:type="dxa"/>
            <w:noWrap w:val="0"/>
            <w:vAlign w:val="center"/>
          </w:tcPr>
          <w:p>
            <w:pPr>
              <w:spacing w:line="400" w:lineRule="atLeast"/>
              <w:rPr>
                <w:rFonts w:hint="eastAsia" w:ascii="黑体" w:hAnsi="黑体" w:eastAsia="黑体" w:cs="黑体"/>
                <w:sz w:val="24"/>
              </w:rPr>
            </w:pPr>
          </w:p>
        </w:tc>
        <w:tc>
          <w:tcPr>
            <w:tcW w:w="1380" w:type="dxa"/>
            <w:noWrap w:val="0"/>
            <w:vAlign w:val="center"/>
          </w:tcPr>
          <w:p>
            <w:pPr>
              <w:spacing w:line="400" w:lineRule="atLeast"/>
              <w:jc w:val="center"/>
              <w:rPr>
                <w:rFonts w:hint="eastAsia" w:ascii="黑体" w:hAnsi="黑体" w:eastAsia="黑体" w:cs="黑体"/>
                <w:sz w:val="24"/>
              </w:rPr>
            </w:pPr>
          </w:p>
        </w:tc>
        <w:tc>
          <w:tcPr>
            <w:tcW w:w="732" w:type="dxa"/>
            <w:noWrap w:val="0"/>
            <w:vAlign w:val="center"/>
          </w:tcPr>
          <w:p>
            <w:pPr>
              <w:spacing w:line="400" w:lineRule="atLeast"/>
              <w:jc w:val="center"/>
              <w:rPr>
                <w:rFonts w:hint="eastAsia" w:ascii="黑体" w:hAnsi="黑体" w:eastAsia="黑体" w:cs="黑体"/>
                <w:sz w:val="24"/>
              </w:rPr>
            </w:pPr>
          </w:p>
        </w:tc>
        <w:tc>
          <w:tcPr>
            <w:tcW w:w="1800" w:type="dxa"/>
            <w:noWrap w:val="0"/>
            <w:vAlign w:val="center"/>
          </w:tcPr>
          <w:p>
            <w:pPr>
              <w:spacing w:line="400" w:lineRule="atLeast"/>
              <w:jc w:val="center"/>
              <w:rPr>
                <w:rFonts w:hint="eastAsia" w:ascii="黑体" w:hAnsi="黑体" w:eastAsia="黑体" w:cs="黑体"/>
                <w:sz w:val="24"/>
              </w:rPr>
            </w:pPr>
          </w:p>
        </w:tc>
        <w:tc>
          <w:tcPr>
            <w:tcW w:w="1032" w:type="dxa"/>
            <w:noWrap w:val="0"/>
            <w:vAlign w:val="center"/>
          </w:tcPr>
          <w:p>
            <w:pPr>
              <w:spacing w:line="400" w:lineRule="atLeast"/>
              <w:jc w:val="center"/>
              <w:rPr>
                <w:rFonts w:hint="eastAsia" w:ascii="黑体" w:hAnsi="黑体" w:eastAsia="黑体" w:cs="黑体"/>
                <w:sz w:val="24"/>
              </w:rPr>
            </w:pPr>
          </w:p>
        </w:tc>
        <w:tc>
          <w:tcPr>
            <w:tcW w:w="996" w:type="dxa"/>
            <w:noWrap w:val="0"/>
            <w:vAlign w:val="center"/>
          </w:tcPr>
          <w:p>
            <w:pPr>
              <w:spacing w:line="400" w:lineRule="atLeast"/>
              <w:jc w:val="center"/>
              <w:rPr>
                <w:rFonts w:hint="eastAsia" w:ascii="黑体" w:hAnsi="黑体" w:eastAsia="黑体" w:cs="黑体"/>
                <w:sz w:val="24"/>
              </w:rPr>
            </w:pPr>
          </w:p>
        </w:tc>
        <w:tc>
          <w:tcPr>
            <w:tcW w:w="1763" w:type="dxa"/>
            <w:noWrap w:val="0"/>
            <w:vAlign w:val="center"/>
          </w:tcPr>
          <w:p>
            <w:pPr>
              <w:spacing w:line="400" w:lineRule="atLeast"/>
              <w:jc w:val="center"/>
              <w:rPr>
                <w:rFonts w:hint="eastAsia" w:ascii="黑体" w:hAnsi="黑体" w:eastAsia="黑体" w:cs="黑体"/>
                <w:sz w:val="24"/>
              </w:rPr>
            </w:pPr>
          </w:p>
        </w:tc>
        <w:tc>
          <w:tcPr>
            <w:tcW w:w="1483" w:type="dxa"/>
            <w:noWrap w:val="0"/>
            <w:vAlign w:val="center"/>
          </w:tcPr>
          <w:p>
            <w:pPr>
              <w:spacing w:line="400" w:lineRule="atLeast"/>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09" w:type="dxa"/>
            <w:noWrap w:val="0"/>
            <w:vAlign w:val="center"/>
          </w:tcPr>
          <w:p>
            <w:pPr>
              <w:spacing w:line="400" w:lineRule="atLeast"/>
              <w:rPr>
                <w:rFonts w:hint="eastAsia" w:ascii="黑体" w:hAnsi="黑体" w:eastAsia="黑体" w:cs="黑体"/>
                <w:sz w:val="24"/>
              </w:rPr>
            </w:pPr>
          </w:p>
        </w:tc>
        <w:tc>
          <w:tcPr>
            <w:tcW w:w="1380" w:type="dxa"/>
            <w:noWrap w:val="0"/>
            <w:vAlign w:val="center"/>
          </w:tcPr>
          <w:p>
            <w:pPr>
              <w:spacing w:line="400" w:lineRule="atLeast"/>
              <w:jc w:val="center"/>
              <w:rPr>
                <w:rFonts w:hint="eastAsia" w:ascii="黑体" w:hAnsi="黑体" w:eastAsia="黑体" w:cs="黑体"/>
                <w:sz w:val="24"/>
              </w:rPr>
            </w:pPr>
          </w:p>
        </w:tc>
        <w:tc>
          <w:tcPr>
            <w:tcW w:w="732" w:type="dxa"/>
            <w:noWrap w:val="0"/>
            <w:vAlign w:val="center"/>
          </w:tcPr>
          <w:p>
            <w:pPr>
              <w:spacing w:line="400" w:lineRule="atLeast"/>
              <w:jc w:val="center"/>
              <w:rPr>
                <w:rFonts w:hint="eastAsia" w:ascii="黑体" w:hAnsi="黑体" w:eastAsia="黑体" w:cs="黑体"/>
                <w:sz w:val="24"/>
              </w:rPr>
            </w:pPr>
          </w:p>
        </w:tc>
        <w:tc>
          <w:tcPr>
            <w:tcW w:w="1800" w:type="dxa"/>
            <w:noWrap w:val="0"/>
            <w:vAlign w:val="center"/>
          </w:tcPr>
          <w:p>
            <w:pPr>
              <w:spacing w:line="400" w:lineRule="atLeast"/>
              <w:jc w:val="center"/>
              <w:rPr>
                <w:rFonts w:hint="eastAsia" w:ascii="黑体" w:hAnsi="黑体" w:eastAsia="黑体" w:cs="黑体"/>
                <w:sz w:val="24"/>
              </w:rPr>
            </w:pPr>
          </w:p>
        </w:tc>
        <w:tc>
          <w:tcPr>
            <w:tcW w:w="1032" w:type="dxa"/>
            <w:noWrap w:val="0"/>
            <w:vAlign w:val="center"/>
          </w:tcPr>
          <w:p>
            <w:pPr>
              <w:spacing w:line="400" w:lineRule="atLeast"/>
              <w:jc w:val="center"/>
              <w:rPr>
                <w:rFonts w:hint="eastAsia" w:ascii="黑体" w:hAnsi="黑体" w:eastAsia="黑体" w:cs="黑体"/>
                <w:sz w:val="24"/>
              </w:rPr>
            </w:pPr>
          </w:p>
        </w:tc>
        <w:tc>
          <w:tcPr>
            <w:tcW w:w="996" w:type="dxa"/>
            <w:noWrap w:val="0"/>
            <w:vAlign w:val="center"/>
          </w:tcPr>
          <w:p>
            <w:pPr>
              <w:spacing w:line="400" w:lineRule="atLeast"/>
              <w:jc w:val="center"/>
              <w:rPr>
                <w:rFonts w:hint="eastAsia" w:ascii="黑体" w:hAnsi="黑体" w:eastAsia="黑体" w:cs="黑体"/>
                <w:sz w:val="24"/>
              </w:rPr>
            </w:pPr>
          </w:p>
        </w:tc>
        <w:tc>
          <w:tcPr>
            <w:tcW w:w="1763" w:type="dxa"/>
            <w:noWrap w:val="0"/>
            <w:vAlign w:val="center"/>
          </w:tcPr>
          <w:p>
            <w:pPr>
              <w:spacing w:line="400" w:lineRule="atLeast"/>
              <w:jc w:val="center"/>
              <w:rPr>
                <w:rFonts w:hint="eastAsia" w:ascii="黑体" w:hAnsi="黑体" w:eastAsia="黑体" w:cs="黑体"/>
                <w:sz w:val="24"/>
              </w:rPr>
            </w:pPr>
          </w:p>
        </w:tc>
        <w:tc>
          <w:tcPr>
            <w:tcW w:w="1483" w:type="dxa"/>
            <w:noWrap w:val="0"/>
            <w:vAlign w:val="center"/>
          </w:tcPr>
          <w:p>
            <w:pPr>
              <w:spacing w:line="400" w:lineRule="atLeast"/>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09" w:type="dxa"/>
            <w:noWrap w:val="0"/>
            <w:vAlign w:val="center"/>
          </w:tcPr>
          <w:p>
            <w:pPr>
              <w:spacing w:line="400" w:lineRule="atLeast"/>
              <w:rPr>
                <w:rFonts w:hint="eastAsia" w:ascii="黑体" w:hAnsi="黑体" w:eastAsia="黑体" w:cs="黑体"/>
                <w:sz w:val="24"/>
              </w:rPr>
            </w:pPr>
          </w:p>
        </w:tc>
        <w:tc>
          <w:tcPr>
            <w:tcW w:w="1380" w:type="dxa"/>
            <w:noWrap w:val="0"/>
            <w:vAlign w:val="center"/>
          </w:tcPr>
          <w:p>
            <w:pPr>
              <w:spacing w:line="400" w:lineRule="atLeast"/>
              <w:jc w:val="center"/>
              <w:rPr>
                <w:rFonts w:hint="eastAsia" w:ascii="黑体" w:hAnsi="黑体" w:eastAsia="黑体" w:cs="黑体"/>
                <w:sz w:val="24"/>
              </w:rPr>
            </w:pPr>
          </w:p>
        </w:tc>
        <w:tc>
          <w:tcPr>
            <w:tcW w:w="732" w:type="dxa"/>
            <w:noWrap w:val="0"/>
            <w:vAlign w:val="center"/>
          </w:tcPr>
          <w:p>
            <w:pPr>
              <w:spacing w:line="400" w:lineRule="atLeast"/>
              <w:jc w:val="center"/>
              <w:rPr>
                <w:rFonts w:hint="eastAsia" w:ascii="黑体" w:hAnsi="黑体" w:eastAsia="黑体" w:cs="黑体"/>
                <w:sz w:val="24"/>
              </w:rPr>
            </w:pPr>
          </w:p>
        </w:tc>
        <w:tc>
          <w:tcPr>
            <w:tcW w:w="1800" w:type="dxa"/>
            <w:noWrap w:val="0"/>
            <w:vAlign w:val="center"/>
          </w:tcPr>
          <w:p>
            <w:pPr>
              <w:spacing w:line="400" w:lineRule="atLeast"/>
              <w:jc w:val="center"/>
              <w:rPr>
                <w:rFonts w:hint="eastAsia" w:ascii="黑体" w:hAnsi="黑体" w:eastAsia="黑体" w:cs="黑体"/>
                <w:sz w:val="24"/>
              </w:rPr>
            </w:pPr>
          </w:p>
        </w:tc>
        <w:tc>
          <w:tcPr>
            <w:tcW w:w="1032" w:type="dxa"/>
            <w:noWrap w:val="0"/>
            <w:vAlign w:val="center"/>
          </w:tcPr>
          <w:p>
            <w:pPr>
              <w:spacing w:line="400" w:lineRule="atLeast"/>
              <w:jc w:val="center"/>
              <w:rPr>
                <w:rFonts w:hint="eastAsia" w:ascii="黑体" w:hAnsi="黑体" w:eastAsia="黑体" w:cs="黑体"/>
                <w:sz w:val="24"/>
              </w:rPr>
            </w:pPr>
          </w:p>
        </w:tc>
        <w:tc>
          <w:tcPr>
            <w:tcW w:w="996" w:type="dxa"/>
            <w:noWrap w:val="0"/>
            <w:vAlign w:val="center"/>
          </w:tcPr>
          <w:p>
            <w:pPr>
              <w:spacing w:line="400" w:lineRule="atLeast"/>
              <w:jc w:val="center"/>
              <w:rPr>
                <w:rFonts w:hint="eastAsia" w:ascii="黑体" w:hAnsi="黑体" w:eastAsia="黑体" w:cs="黑体"/>
                <w:sz w:val="24"/>
              </w:rPr>
            </w:pPr>
          </w:p>
        </w:tc>
        <w:tc>
          <w:tcPr>
            <w:tcW w:w="1763" w:type="dxa"/>
            <w:noWrap w:val="0"/>
            <w:vAlign w:val="center"/>
          </w:tcPr>
          <w:p>
            <w:pPr>
              <w:spacing w:line="400" w:lineRule="atLeast"/>
              <w:jc w:val="center"/>
              <w:rPr>
                <w:rFonts w:hint="eastAsia" w:ascii="黑体" w:hAnsi="黑体" w:eastAsia="黑体" w:cs="黑体"/>
                <w:sz w:val="24"/>
              </w:rPr>
            </w:pPr>
          </w:p>
        </w:tc>
        <w:tc>
          <w:tcPr>
            <w:tcW w:w="1483" w:type="dxa"/>
            <w:noWrap w:val="0"/>
            <w:vAlign w:val="center"/>
          </w:tcPr>
          <w:p>
            <w:pPr>
              <w:spacing w:line="400" w:lineRule="atLeast"/>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09" w:type="dxa"/>
            <w:noWrap w:val="0"/>
            <w:vAlign w:val="center"/>
          </w:tcPr>
          <w:p>
            <w:pPr>
              <w:spacing w:line="400" w:lineRule="atLeast"/>
              <w:jc w:val="center"/>
              <w:rPr>
                <w:rFonts w:hint="eastAsia" w:ascii="黑体" w:hAnsi="黑体" w:eastAsia="黑体" w:cs="黑体"/>
                <w:sz w:val="24"/>
              </w:rPr>
            </w:pPr>
          </w:p>
        </w:tc>
        <w:tc>
          <w:tcPr>
            <w:tcW w:w="1380" w:type="dxa"/>
            <w:noWrap w:val="0"/>
            <w:vAlign w:val="center"/>
          </w:tcPr>
          <w:p>
            <w:pPr>
              <w:spacing w:line="400" w:lineRule="atLeast"/>
              <w:rPr>
                <w:rFonts w:hint="eastAsia" w:ascii="黑体" w:hAnsi="黑体" w:eastAsia="黑体" w:cs="黑体"/>
                <w:sz w:val="24"/>
              </w:rPr>
            </w:pPr>
            <w:r>
              <w:rPr>
                <w:rFonts w:hint="eastAsia" w:ascii="黑体" w:hAnsi="黑体" w:eastAsia="黑体" w:cs="黑体"/>
                <w:sz w:val="24"/>
              </w:rPr>
              <w:t>总价</w:t>
            </w:r>
          </w:p>
        </w:tc>
        <w:tc>
          <w:tcPr>
            <w:tcW w:w="732" w:type="dxa"/>
            <w:noWrap w:val="0"/>
            <w:vAlign w:val="center"/>
          </w:tcPr>
          <w:p>
            <w:pPr>
              <w:spacing w:line="400" w:lineRule="atLeast"/>
              <w:rPr>
                <w:rFonts w:hint="eastAsia" w:ascii="黑体" w:hAnsi="黑体" w:eastAsia="黑体" w:cs="黑体"/>
                <w:sz w:val="24"/>
              </w:rPr>
            </w:pPr>
          </w:p>
        </w:tc>
        <w:tc>
          <w:tcPr>
            <w:tcW w:w="1800" w:type="dxa"/>
            <w:noWrap w:val="0"/>
            <w:vAlign w:val="center"/>
          </w:tcPr>
          <w:p>
            <w:pPr>
              <w:spacing w:line="400" w:lineRule="atLeast"/>
              <w:jc w:val="center"/>
              <w:rPr>
                <w:rFonts w:hint="eastAsia" w:ascii="黑体" w:hAnsi="黑体" w:eastAsia="黑体" w:cs="黑体"/>
                <w:sz w:val="24"/>
              </w:rPr>
            </w:pPr>
          </w:p>
        </w:tc>
        <w:tc>
          <w:tcPr>
            <w:tcW w:w="1032" w:type="dxa"/>
            <w:noWrap w:val="0"/>
            <w:vAlign w:val="center"/>
          </w:tcPr>
          <w:p>
            <w:pPr>
              <w:spacing w:line="400" w:lineRule="atLeast"/>
              <w:jc w:val="center"/>
              <w:rPr>
                <w:rFonts w:hint="eastAsia" w:ascii="黑体" w:hAnsi="黑体" w:eastAsia="黑体" w:cs="黑体"/>
                <w:sz w:val="24"/>
              </w:rPr>
            </w:pPr>
          </w:p>
        </w:tc>
        <w:tc>
          <w:tcPr>
            <w:tcW w:w="996" w:type="dxa"/>
            <w:noWrap w:val="0"/>
            <w:vAlign w:val="center"/>
          </w:tcPr>
          <w:p>
            <w:pPr>
              <w:spacing w:line="400" w:lineRule="atLeast"/>
              <w:jc w:val="center"/>
              <w:rPr>
                <w:rFonts w:hint="eastAsia" w:ascii="黑体" w:hAnsi="黑体" w:eastAsia="黑体" w:cs="黑体"/>
                <w:sz w:val="24"/>
              </w:rPr>
            </w:pPr>
          </w:p>
        </w:tc>
        <w:tc>
          <w:tcPr>
            <w:tcW w:w="1763" w:type="dxa"/>
            <w:noWrap w:val="0"/>
            <w:vAlign w:val="center"/>
          </w:tcPr>
          <w:p>
            <w:pPr>
              <w:spacing w:line="400" w:lineRule="atLeast"/>
              <w:jc w:val="center"/>
              <w:rPr>
                <w:rFonts w:hint="eastAsia" w:ascii="黑体" w:hAnsi="黑体" w:eastAsia="黑体" w:cs="黑体"/>
                <w:sz w:val="24"/>
              </w:rPr>
            </w:pPr>
          </w:p>
        </w:tc>
        <w:tc>
          <w:tcPr>
            <w:tcW w:w="1483" w:type="dxa"/>
            <w:noWrap w:val="0"/>
            <w:vAlign w:val="center"/>
          </w:tcPr>
          <w:p>
            <w:pPr>
              <w:spacing w:line="400" w:lineRule="atLeast"/>
              <w:jc w:val="center"/>
              <w:rPr>
                <w:rFonts w:hint="eastAsia" w:ascii="黑体" w:hAnsi="黑体" w:eastAsia="黑体" w:cs="黑体"/>
                <w:sz w:val="24"/>
              </w:rPr>
            </w:pPr>
          </w:p>
        </w:tc>
      </w:tr>
    </w:tbl>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p>
      <w:pPr>
        <w:spacing w:line="400" w:lineRule="atLeast"/>
        <w:ind w:left="2880" w:hanging="2880"/>
        <w:rPr>
          <w:rFonts w:hint="eastAsia" w:ascii="黑体" w:hAnsi="黑体" w:eastAsia="黑体" w:cs="黑体"/>
          <w:sz w:val="24"/>
        </w:rPr>
      </w:pPr>
    </w:p>
    <w:p>
      <w:pPr>
        <w:spacing w:line="400" w:lineRule="atLeast"/>
        <w:ind w:left="2880" w:hanging="2880"/>
        <w:rPr>
          <w:rFonts w:hint="eastAsia" w:ascii="黑体" w:hAnsi="黑体" w:eastAsia="黑体" w:cs="黑体"/>
          <w:sz w:val="24"/>
        </w:rPr>
      </w:pPr>
    </w:p>
    <w:p>
      <w:pPr>
        <w:spacing w:line="400" w:lineRule="atLeast"/>
        <w:ind w:left="2880" w:hanging="2880"/>
        <w:rPr>
          <w:rFonts w:hint="eastAsia" w:ascii="黑体" w:hAnsi="黑体" w:eastAsia="黑体" w:cs="黑体"/>
          <w:sz w:val="24"/>
          <w:u w:val="single"/>
        </w:rPr>
      </w:pPr>
      <w:r>
        <w:rPr>
          <w:rFonts w:hint="eastAsia" w:ascii="黑体" w:hAnsi="黑体" w:eastAsia="黑体" w:cs="黑体"/>
          <w:sz w:val="24"/>
          <w:lang w:eastAsia="zh-CN"/>
        </w:rPr>
        <w:t>供应商法人或授权代表签字</w:t>
      </w:r>
      <w:r>
        <w:rPr>
          <w:rFonts w:hint="eastAsia" w:ascii="黑体" w:hAnsi="黑体" w:eastAsia="黑体" w:cs="黑体"/>
          <w:sz w:val="24"/>
        </w:rPr>
        <w:t>：</w:t>
      </w:r>
      <w:r>
        <w:rPr>
          <w:rFonts w:hint="eastAsia" w:ascii="黑体" w:hAnsi="黑体" w:eastAsia="黑体" w:cs="黑体"/>
          <w:sz w:val="24"/>
          <w:u w:val="single"/>
        </w:rPr>
        <w:t>　　　　　　　　　　　　　　　</w:t>
      </w:r>
    </w:p>
    <w:p>
      <w:pPr>
        <w:spacing w:line="400" w:lineRule="atLeast"/>
        <w:ind w:left="2880" w:hanging="2880"/>
        <w:jc w:val="center"/>
        <w:rPr>
          <w:rFonts w:hint="eastAsia" w:ascii="黑体" w:hAnsi="黑体" w:eastAsia="黑体" w:cs="黑体"/>
          <w:b/>
          <w:sz w:val="24"/>
        </w:rPr>
      </w:pPr>
    </w:p>
    <w:p>
      <w:pPr>
        <w:pStyle w:val="6"/>
        <w:outlineLvl w:val="9"/>
        <w:rPr>
          <w:rFonts w:hint="eastAsia" w:ascii="黑体" w:hAnsi="黑体" w:eastAsia="黑体" w:cs="黑体"/>
          <w:sz w:val="24"/>
        </w:rPr>
        <w:sectPr>
          <w:headerReference r:id="rId6" w:type="default"/>
          <w:footerReference r:id="rId7" w:type="default"/>
          <w:pgSz w:w="11906" w:h="16838"/>
          <w:pgMar w:top="1440" w:right="1080" w:bottom="1440" w:left="1080" w:header="851" w:footer="992" w:gutter="0"/>
          <w:pgNumType w:fmt="decimal"/>
          <w:cols w:space="720" w:num="1"/>
          <w:docGrid w:type="linesAndChars" w:linePitch="312" w:charSpace="0"/>
        </w:sectPr>
      </w:pPr>
    </w:p>
    <w:p>
      <w:pPr>
        <w:pStyle w:val="6"/>
        <w:jc w:val="left"/>
        <w:rPr>
          <w:rFonts w:hint="eastAsia" w:ascii="黑体" w:hAnsi="黑体" w:eastAsia="黑体" w:cs="黑体"/>
          <w:b/>
          <w:bCs/>
          <w:sz w:val="24"/>
        </w:rPr>
      </w:pPr>
      <w:bookmarkStart w:id="97" w:name="_Toc4158"/>
      <w:bookmarkStart w:id="98" w:name="_Toc13526"/>
      <w:r>
        <w:rPr>
          <w:rFonts w:hint="eastAsia" w:ascii="黑体" w:hAnsi="黑体" w:eastAsia="黑体" w:cs="黑体"/>
          <w:b/>
          <w:bCs/>
          <w:sz w:val="24"/>
        </w:rPr>
        <w:t>附件四：</w:t>
      </w:r>
      <w:r>
        <w:rPr>
          <w:rFonts w:hint="eastAsia" w:ascii="黑体" w:hAnsi="黑体" w:eastAsia="黑体" w:cs="黑体"/>
          <w:b/>
          <w:bCs/>
          <w:sz w:val="24"/>
          <w:szCs w:val="24"/>
        </w:rPr>
        <w:t>法定代表人身份证明书</w:t>
      </w:r>
      <w:bookmarkEnd w:id="97"/>
      <w:bookmarkEnd w:id="98"/>
    </w:p>
    <w:p>
      <w:pPr>
        <w:jc w:val="left"/>
        <w:rPr>
          <w:rFonts w:hint="eastAsia" w:ascii="黑体" w:hAnsi="黑体" w:eastAsia="黑体" w:cs="黑体"/>
          <w:sz w:val="24"/>
          <w:szCs w:val="24"/>
        </w:rPr>
      </w:pPr>
    </w:p>
    <w:p>
      <w:pPr>
        <w:jc w:val="left"/>
        <w:rPr>
          <w:rFonts w:hint="eastAsia" w:ascii="黑体" w:hAnsi="黑体" w:eastAsia="黑体" w:cs="黑体"/>
          <w:sz w:val="24"/>
          <w:szCs w:val="24"/>
        </w:rPr>
      </w:pPr>
      <w:r>
        <w:rPr>
          <w:rFonts w:hint="eastAsia" w:ascii="黑体" w:hAnsi="黑体" w:eastAsia="黑体" w:cs="黑体"/>
          <w:sz w:val="24"/>
          <w:szCs w:val="24"/>
        </w:rPr>
        <w:t>单位名称：</w:t>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ab/>
      </w:r>
    </w:p>
    <w:p>
      <w:pPr>
        <w:jc w:val="left"/>
        <w:rPr>
          <w:rFonts w:hint="eastAsia" w:ascii="黑体" w:hAnsi="黑体" w:eastAsia="黑体" w:cs="黑体"/>
          <w:sz w:val="24"/>
          <w:szCs w:val="24"/>
          <w:u w:val="single"/>
        </w:rPr>
      </w:pPr>
      <w:r>
        <w:rPr>
          <w:rFonts w:hint="eastAsia" w:ascii="黑体" w:hAnsi="黑体" w:eastAsia="黑体" w:cs="黑体"/>
          <w:sz w:val="24"/>
          <w:szCs w:val="24"/>
        </w:rPr>
        <w:t>单位性质：</w:t>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ab/>
      </w:r>
    </w:p>
    <w:p>
      <w:pPr>
        <w:jc w:val="left"/>
        <w:rPr>
          <w:rFonts w:hint="eastAsia" w:ascii="黑体" w:hAnsi="黑体" w:eastAsia="黑体" w:cs="黑体"/>
          <w:sz w:val="24"/>
          <w:szCs w:val="24"/>
          <w:u w:val="single"/>
        </w:rPr>
      </w:pPr>
      <w:r>
        <w:rPr>
          <w:rFonts w:hint="eastAsia" w:ascii="黑体" w:hAnsi="黑体" w:eastAsia="黑体" w:cs="黑体"/>
          <w:sz w:val="24"/>
          <w:szCs w:val="24"/>
        </w:rPr>
        <w:t>地    址：</w:t>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 xml:space="preserve">  </w:t>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 xml:space="preserve">       </w:t>
      </w:r>
      <w:r>
        <w:rPr>
          <w:rFonts w:hint="eastAsia" w:ascii="黑体" w:hAnsi="黑体" w:eastAsia="黑体" w:cs="黑体"/>
          <w:sz w:val="24"/>
          <w:szCs w:val="24"/>
          <w:u w:val="single"/>
        </w:rPr>
        <w:tab/>
      </w:r>
      <w:r>
        <w:rPr>
          <w:rFonts w:hint="eastAsia" w:ascii="黑体" w:hAnsi="黑体" w:eastAsia="黑体" w:cs="黑体"/>
          <w:sz w:val="24"/>
          <w:szCs w:val="24"/>
          <w:u w:val="single"/>
        </w:rPr>
        <w:tab/>
      </w:r>
      <w:r>
        <w:rPr>
          <w:rFonts w:hint="eastAsia" w:ascii="黑体" w:hAnsi="黑体" w:eastAsia="黑体" w:cs="黑体"/>
          <w:sz w:val="24"/>
          <w:szCs w:val="24"/>
          <w:u w:val="single"/>
        </w:rPr>
        <w:tab/>
      </w:r>
    </w:p>
    <w:p>
      <w:pPr>
        <w:jc w:val="left"/>
        <w:rPr>
          <w:rFonts w:hint="eastAsia" w:ascii="黑体" w:hAnsi="黑体" w:eastAsia="黑体" w:cs="黑体"/>
          <w:sz w:val="24"/>
          <w:szCs w:val="24"/>
        </w:rPr>
      </w:pPr>
      <w:r>
        <w:rPr>
          <w:rFonts w:hint="eastAsia" w:ascii="黑体" w:hAnsi="黑体" w:eastAsia="黑体" w:cs="黑体"/>
          <w:sz w:val="24"/>
          <w:szCs w:val="24"/>
        </w:rPr>
        <w:t>成立时间：</w:t>
      </w:r>
      <w:r>
        <w:rPr>
          <w:rFonts w:hint="eastAsia" w:ascii="黑体" w:hAnsi="黑体" w:eastAsia="黑体" w:cs="黑体"/>
          <w:sz w:val="24"/>
          <w:szCs w:val="24"/>
          <w:u w:val="single"/>
        </w:rPr>
        <w:t xml:space="preserve">            </w:t>
      </w:r>
      <w:r>
        <w:rPr>
          <w:rFonts w:hint="eastAsia" w:ascii="黑体" w:hAnsi="黑体" w:eastAsia="黑体" w:cs="黑体"/>
          <w:sz w:val="24"/>
          <w:szCs w:val="24"/>
        </w:rPr>
        <w:t>年</w:t>
      </w:r>
      <w:r>
        <w:rPr>
          <w:rFonts w:hint="eastAsia" w:ascii="黑体" w:hAnsi="黑体" w:eastAsia="黑体" w:cs="黑体"/>
          <w:sz w:val="24"/>
          <w:szCs w:val="24"/>
          <w:u w:val="single"/>
        </w:rPr>
        <w:t xml:space="preserve">                </w:t>
      </w:r>
      <w:r>
        <w:rPr>
          <w:rFonts w:hint="eastAsia" w:ascii="黑体" w:hAnsi="黑体" w:eastAsia="黑体" w:cs="黑体"/>
          <w:sz w:val="24"/>
          <w:szCs w:val="24"/>
        </w:rPr>
        <w:t>月</w:t>
      </w:r>
      <w:r>
        <w:rPr>
          <w:rFonts w:hint="eastAsia" w:ascii="黑体" w:hAnsi="黑体" w:eastAsia="黑体" w:cs="黑体"/>
          <w:sz w:val="24"/>
          <w:szCs w:val="24"/>
          <w:u w:val="single"/>
        </w:rPr>
        <w:t xml:space="preserve">                  </w:t>
      </w:r>
      <w:r>
        <w:rPr>
          <w:rFonts w:hint="eastAsia" w:ascii="黑体" w:hAnsi="黑体" w:eastAsia="黑体" w:cs="黑体"/>
          <w:sz w:val="24"/>
          <w:szCs w:val="24"/>
        </w:rPr>
        <w:t>日</w:t>
      </w:r>
    </w:p>
    <w:p>
      <w:pPr>
        <w:jc w:val="left"/>
        <w:rPr>
          <w:rFonts w:hint="eastAsia" w:ascii="黑体" w:hAnsi="黑体" w:eastAsia="黑体" w:cs="黑体"/>
          <w:sz w:val="24"/>
          <w:szCs w:val="24"/>
          <w:u w:val="single"/>
        </w:rPr>
      </w:pPr>
      <w:r>
        <w:rPr>
          <w:rFonts w:hint="eastAsia" w:ascii="黑体" w:hAnsi="黑体" w:eastAsia="黑体" w:cs="黑体"/>
          <w:sz w:val="24"/>
          <w:szCs w:val="24"/>
        </w:rPr>
        <w:t>经营期限：</w:t>
      </w:r>
      <w:r>
        <w:rPr>
          <w:rFonts w:hint="eastAsia" w:ascii="黑体" w:hAnsi="黑体" w:eastAsia="黑体" w:cs="黑体"/>
          <w:sz w:val="24"/>
          <w:szCs w:val="24"/>
          <w:u w:val="single"/>
        </w:rPr>
        <w:tab/>
      </w:r>
      <w:r>
        <w:rPr>
          <w:rFonts w:hint="eastAsia" w:ascii="黑体" w:hAnsi="黑体" w:eastAsia="黑体" w:cs="黑体"/>
          <w:sz w:val="24"/>
          <w:szCs w:val="24"/>
          <w:u w:val="single"/>
        </w:rPr>
        <w:t xml:space="preserve">                                               </w:t>
      </w:r>
      <w:r>
        <w:rPr>
          <w:rFonts w:hint="eastAsia" w:ascii="黑体" w:hAnsi="黑体" w:eastAsia="黑体" w:cs="黑体"/>
          <w:sz w:val="24"/>
          <w:szCs w:val="24"/>
          <w:u w:val="single"/>
        </w:rPr>
        <w:tab/>
      </w:r>
    </w:p>
    <w:p>
      <w:pPr>
        <w:jc w:val="left"/>
        <w:rPr>
          <w:rFonts w:hint="eastAsia" w:ascii="黑体" w:hAnsi="黑体" w:eastAsia="黑体" w:cs="黑体"/>
          <w:sz w:val="24"/>
          <w:szCs w:val="24"/>
          <w:u w:val="single"/>
        </w:rPr>
      </w:pPr>
      <w:r>
        <w:rPr>
          <w:rFonts w:hint="eastAsia" w:ascii="黑体" w:hAnsi="黑体" w:eastAsia="黑体" w:cs="黑体"/>
          <w:sz w:val="24"/>
          <w:szCs w:val="24"/>
        </w:rPr>
        <w:t>姓    名：</w:t>
      </w:r>
      <w:r>
        <w:rPr>
          <w:rFonts w:hint="eastAsia" w:ascii="黑体" w:hAnsi="黑体" w:eastAsia="黑体" w:cs="黑体"/>
          <w:sz w:val="24"/>
          <w:szCs w:val="24"/>
          <w:u w:val="single"/>
        </w:rPr>
        <w:t xml:space="preserve">        </w:t>
      </w:r>
      <w:r>
        <w:rPr>
          <w:rFonts w:hint="eastAsia" w:ascii="黑体" w:hAnsi="黑体" w:eastAsia="黑体" w:cs="黑体"/>
          <w:sz w:val="24"/>
          <w:szCs w:val="24"/>
        </w:rPr>
        <w:t xml:space="preserve"> 性别：</w:t>
      </w:r>
      <w:r>
        <w:rPr>
          <w:rFonts w:hint="eastAsia" w:ascii="黑体" w:hAnsi="黑体" w:eastAsia="黑体" w:cs="黑体"/>
          <w:sz w:val="24"/>
          <w:szCs w:val="24"/>
          <w:u w:val="single"/>
        </w:rPr>
        <w:t xml:space="preserve">      </w:t>
      </w:r>
      <w:r>
        <w:rPr>
          <w:rFonts w:hint="eastAsia" w:ascii="黑体" w:hAnsi="黑体" w:eastAsia="黑体" w:cs="黑体"/>
          <w:sz w:val="24"/>
          <w:szCs w:val="24"/>
        </w:rPr>
        <w:t>年龄：</w:t>
      </w:r>
      <w:r>
        <w:rPr>
          <w:rFonts w:hint="eastAsia" w:ascii="黑体" w:hAnsi="黑体" w:eastAsia="黑体" w:cs="黑体"/>
          <w:sz w:val="24"/>
          <w:szCs w:val="24"/>
          <w:u w:val="single"/>
        </w:rPr>
        <w:t xml:space="preserve">        </w:t>
      </w:r>
      <w:r>
        <w:rPr>
          <w:rFonts w:hint="eastAsia" w:ascii="黑体" w:hAnsi="黑体" w:eastAsia="黑体" w:cs="黑体"/>
          <w:sz w:val="24"/>
          <w:szCs w:val="24"/>
        </w:rPr>
        <w:t>职务：</w:t>
      </w:r>
      <w:r>
        <w:rPr>
          <w:rFonts w:hint="eastAsia" w:ascii="黑体" w:hAnsi="黑体" w:eastAsia="黑体" w:cs="黑体"/>
          <w:sz w:val="24"/>
          <w:szCs w:val="24"/>
          <w:u w:val="single"/>
        </w:rPr>
        <w:tab/>
      </w:r>
      <w:r>
        <w:rPr>
          <w:rFonts w:hint="eastAsia" w:ascii="黑体" w:hAnsi="黑体" w:eastAsia="黑体" w:cs="黑体"/>
          <w:sz w:val="24"/>
          <w:szCs w:val="24"/>
          <w:u w:val="single"/>
        </w:rPr>
        <w:t xml:space="preserve">       </w:t>
      </w:r>
    </w:p>
    <w:p>
      <w:pPr>
        <w:jc w:val="left"/>
        <w:rPr>
          <w:rFonts w:hint="eastAsia" w:ascii="黑体" w:hAnsi="黑体" w:eastAsia="黑体" w:cs="黑体"/>
          <w:sz w:val="24"/>
          <w:szCs w:val="24"/>
          <w:u w:val="single"/>
        </w:rPr>
      </w:pPr>
      <w:r>
        <w:rPr>
          <w:rFonts w:hint="eastAsia" w:ascii="黑体" w:hAnsi="黑体" w:eastAsia="黑体" w:cs="黑体"/>
          <w:sz w:val="24"/>
          <w:szCs w:val="24"/>
        </w:rPr>
        <w:t>身份证号码：</w:t>
      </w:r>
      <w:r>
        <w:rPr>
          <w:rFonts w:hint="eastAsia" w:ascii="黑体" w:hAnsi="黑体" w:eastAsia="黑体" w:cs="黑体"/>
          <w:sz w:val="24"/>
          <w:szCs w:val="24"/>
          <w:u w:val="single"/>
        </w:rPr>
        <w:t xml:space="preserve">        （请随附身份证复印件并加盖申请人单位公章）</w:t>
      </w:r>
      <w:r>
        <w:rPr>
          <w:rFonts w:hint="eastAsia" w:ascii="黑体" w:hAnsi="黑体" w:eastAsia="黑体" w:cs="黑体"/>
          <w:sz w:val="24"/>
          <w:szCs w:val="24"/>
        </w:rPr>
        <w:t xml:space="preserve"> </w:t>
      </w:r>
    </w:p>
    <w:p>
      <w:pPr>
        <w:jc w:val="left"/>
        <w:rPr>
          <w:rFonts w:hint="eastAsia" w:ascii="黑体" w:hAnsi="黑体" w:eastAsia="黑体" w:cs="黑体"/>
          <w:sz w:val="24"/>
          <w:szCs w:val="24"/>
        </w:rPr>
      </w:pPr>
      <w:r>
        <w:rPr>
          <w:rFonts w:hint="eastAsia" w:ascii="黑体" w:hAnsi="黑体" w:eastAsia="黑体" w:cs="黑体"/>
          <w:sz w:val="24"/>
          <w:szCs w:val="24"/>
        </w:rPr>
        <w:t>系</w:t>
      </w:r>
      <w:r>
        <w:rPr>
          <w:rFonts w:hint="eastAsia" w:ascii="黑体" w:hAnsi="黑体" w:eastAsia="黑体" w:cs="黑体"/>
          <w:sz w:val="24"/>
          <w:szCs w:val="24"/>
          <w:u w:val="single"/>
        </w:rPr>
        <w:t xml:space="preserve">               （申请人单位名称）         </w:t>
      </w:r>
      <w:r>
        <w:rPr>
          <w:rFonts w:hint="eastAsia" w:ascii="黑体" w:hAnsi="黑体" w:eastAsia="黑体" w:cs="黑体"/>
          <w:sz w:val="24"/>
          <w:szCs w:val="24"/>
        </w:rPr>
        <w:t>的法定代表人。</w:t>
      </w:r>
    </w:p>
    <w:p>
      <w:pPr>
        <w:jc w:val="left"/>
        <w:rPr>
          <w:rFonts w:hint="eastAsia" w:ascii="黑体" w:hAnsi="黑体" w:eastAsia="黑体" w:cs="黑体"/>
          <w:sz w:val="24"/>
          <w:szCs w:val="24"/>
        </w:rPr>
      </w:pPr>
    </w:p>
    <w:p>
      <w:pPr>
        <w:jc w:val="left"/>
        <w:rPr>
          <w:rFonts w:hint="eastAsia" w:ascii="黑体" w:hAnsi="黑体" w:eastAsia="黑体" w:cs="黑体"/>
          <w:sz w:val="24"/>
          <w:szCs w:val="24"/>
        </w:rPr>
      </w:pPr>
      <w:r>
        <w:rPr>
          <w:rFonts w:hint="eastAsia" w:ascii="黑体" w:hAnsi="黑体" w:eastAsia="黑体" w:cs="黑体"/>
          <w:sz w:val="24"/>
          <w:szCs w:val="24"/>
        </w:rPr>
        <w:t>特此证明。</w:t>
      </w:r>
    </w:p>
    <w:p>
      <w:pPr>
        <w:jc w:val="center"/>
        <w:rPr>
          <w:rFonts w:hint="eastAsia" w:ascii="黑体" w:hAnsi="黑体" w:eastAsia="黑体" w:cs="黑体"/>
          <w:sz w:val="24"/>
          <w:szCs w:val="24"/>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noWrap w:val="0"/>
            <w:vAlign w:val="top"/>
          </w:tcPr>
          <w:p>
            <w:pPr>
              <w:jc w:val="center"/>
              <w:rPr>
                <w:rFonts w:hint="eastAsia" w:ascii="黑体" w:hAnsi="黑体" w:eastAsia="黑体" w:cs="黑体"/>
                <w:sz w:val="24"/>
                <w:szCs w:val="24"/>
              </w:rPr>
            </w:pPr>
            <w:r>
              <w:rPr>
                <w:rFonts w:hint="eastAsia" w:ascii="黑体" w:hAnsi="黑体" w:eastAsia="黑体" w:cs="黑体"/>
                <w:sz w:val="24"/>
                <w:szCs w:val="24"/>
              </w:rPr>
              <w:t>法定代表人身份证（正反面）</w:t>
            </w:r>
          </w:p>
        </w:tc>
      </w:tr>
    </w:tbl>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right"/>
        <w:rPr>
          <w:rFonts w:hint="eastAsia" w:ascii="黑体" w:hAnsi="黑体" w:eastAsia="黑体" w:cs="黑体"/>
          <w:sz w:val="24"/>
          <w:szCs w:val="24"/>
        </w:rPr>
      </w:pPr>
      <w:r>
        <w:rPr>
          <w:rFonts w:hint="eastAsia" w:ascii="黑体" w:hAnsi="黑体" w:eastAsia="黑体" w:cs="黑体"/>
          <w:sz w:val="24"/>
          <w:szCs w:val="24"/>
        </w:rPr>
        <w:t>投标申请人：</w:t>
      </w:r>
      <w:r>
        <w:rPr>
          <w:rFonts w:hint="eastAsia" w:ascii="黑体" w:hAnsi="黑体" w:eastAsia="黑体" w:cs="黑体"/>
          <w:sz w:val="24"/>
          <w:szCs w:val="24"/>
          <w:u w:val="single"/>
        </w:rPr>
        <w:t xml:space="preserve">   （加盖申请人单位公章）</w:t>
      </w:r>
    </w:p>
    <w:p>
      <w:pPr>
        <w:spacing w:line="400" w:lineRule="atLeast"/>
        <w:ind w:left="2880" w:hanging="2880"/>
        <w:jc w:val="center"/>
        <w:outlineLvl w:val="0"/>
        <w:rPr>
          <w:rFonts w:hint="eastAsia" w:ascii="黑体" w:hAnsi="黑体" w:eastAsia="黑体" w:cs="黑体"/>
          <w:bCs/>
          <w:sz w:val="24"/>
          <w:szCs w:val="24"/>
        </w:rPr>
        <w:sectPr>
          <w:headerReference r:id="rId8" w:type="default"/>
          <w:pgSz w:w="11906" w:h="16838"/>
          <w:pgMar w:top="1440" w:right="1080" w:bottom="1440" w:left="1080" w:header="851" w:footer="992" w:gutter="0"/>
          <w:pgNumType w:fmt="decimal"/>
          <w:cols w:space="720" w:num="1"/>
          <w:docGrid w:type="lines" w:linePitch="409" w:charSpace="0"/>
        </w:sectPr>
      </w:pPr>
      <w:r>
        <w:rPr>
          <w:rFonts w:hint="eastAsia" w:ascii="黑体" w:hAnsi="黑体" w:eastAsia="黑体" w:cs="黑体"/>
          <w:bCs/>
          <w:sz w:val="24"/>
          <w:szCs w:val="24"/>
        </w:rPr>
        <w:t xml:space="preserve">                                                    </w:t>
      </w:r>
      <w:bookmarkStart w:id="99" w:name="_Toc13605"/>
      <w:bookmarkStart w:id="100" w:name="_Toc20577"/>
      <w:bookmarkStart w:id="101" w:name="_Toc13166"/>
      <w:r>
        <w:rPr>
          <w:rFonts w:hint="eastAsia" w:ascii="黑体" w:hAnsi="黑体" w:eastAsia="黑体" w:cs="黑体"/>
          <w:bCs/>
          <w:sz w:val="24"/>
          <w:szCs w:val="24"/>
        </w:rPr>
        <w:t>年   月   日</w:t>
      </w:r>
      <w:bookmarkEnd w:id="99"/>
      <w:bookmarkEnd w:id="100"/>
      <w:bookmarkEnd w:id="101"/>
    </w:p>
    <w:p>
      <w:pPr>
        <w:pStyle w:val="6"/>
        <w:jc w:val="left"/>
        <w:rPr>
          <w:rFonts w:hint="eastAsia" w:ascii="黑体" w:hAnsi="黑体" w:eastAsia="黑体" w:cs="黑体"/>
          <w:b/>
          <w:bCs/>
          <w:sz w:val="24"/>
        </w:rPr>
      </w:pPr>
      <w:bookmarkStart w:id="102" w:name="_Toc39945712"/>
      <w:bookmarkStart w:id="103" w:name="_Toc39669653"/>
      <w:bookmarkStart w:id="104" w:name="_Toc31174"/>
      <w:bookmarkStart w:id="105" w:name="_Toc7983"/>
      <w:r>
        <w:rPr>
          <w:rFonts w:hint="eastAsia" w:ascii="黑体" w:hAnsi="黑体" w:eastAsia="黑体" w:cs="黑体"/>
          <w:b/>
          <w:bCs/>
          <w:sz w:val="24"/>
        </w:rPr>
        <w:t>附件五：法人代表授权书格式</w:t>
      </w:r>
      <w:bookmarkEnd w:id="102"/>
      <w:bookmarkEnd w:id="103"/>
      <w:bookmarkEnd w:id="104"/>
      <w:bookmarkEnd w:id="105"/>
    </w:p>
    <w:p>
      <w:pPr>
        <w:spacing w:line="400" w:lineRule="atLeast"/>
        <w:rPr>
          <w:rFonts w:hint="eastAsia" w:ascii="黑体" w:hAnsi="黑体" w:eastAsia="黑体" w:cs="黑体"/>
          <w:sz w:val="24"/>
        </w:rPr>
      </w:pPr>
    </w:p>
    <w:p>
      <w:pPr>
        <w:pStyle w:val="3"/>
        <w:spacing w:line="400" w:lineRule="atLeast"/>
        <w:ind w:firstLine="660" w:firstLineChars="300"/>
        <w:rPr>
          <w:rFonts w:hint="eastAsia" w:ascii="黑体" w:hAnsi="黑体" w:eastAsia="黑体" w:cs="黑体"/>
        </w:rPr>
      </w:pPr>
      <w:r>
        <w:rPr>
          <w:rFonts w:hint="eastAsia" w:ascii="黑体" w:hAnsi="黑体" w:eastAsia="黑体" w:cs="黑体"/>
        </w:rPr>
        <w:t>本授权书声明：注册于</w:t>
      </w:r>
      <w:r>
        <w:rPr>
          <w:rFonts w:hint="eastAsia" w:ascii="黑体" w:hAnsi="黑体" w:eastAsia="黑体" w:cs="黑体"/>
          <w:u w:val="single"/>
        </w:rPr>
        <w:t>（地区的名称）</w:t>
      </w:r>
      <w:r>
        <w:rPr>
          <w:rFonts w:hint="eastAsia" w:ascii="黑体" w:hAnsi="黑体" w:eastAsia="黑体" w:cs="黑体"/>
        </w:rPr>
        <w:t>的</w:t>
      </w:r>
      <w:r>
        <w:rPr>
          <w:rFonts w:hint="eastAsia" w:ascii="黑体" w:hAnsi="黑体" w:eastAsia="黑体" w:cs="黑体"/>
          <w:u w:val="single"/>
        </w:rPr>
        <w:t>（公司名称）</w:t>
      </w:r>
      <w:r>
        <w:rPr>
          <w:rFonts w:hint="eastAsia" w:ascii="黑体" w:hAnsi="黑体" w:eastAsia="黑体" w:cs="黑体"/>
        </w:rPr>
        <w:t>的在下面签字的</w:t>
      </w:r>
      <w:r>
        <w:rPr>
          <w:rFonts w:hint="eastAsia" w:ascii="黑体" w:hAnsi="黑体" w:eastAsia="黑体" w:cs="黑体"/>
          <w:u w:val="single"/>
        </w:rPr>
        <w:t>（法人代表姓名、职务）</w:t>
      </w:r>
      <w:r>
        <w:rPr>
          <w:rFonts w:hint="eastAsia" w:ascii="黑体" w:hAnsi="黑体" w:eastAsia="黑体" w:cs="黑体"/>
        </w:rPr>
        <w:t>代表本公司授权</w:t>
      </w:r>
      <w:r>
        <w:rPr>
          <w:rFonts w:hint="eastAsia" w:ascii="黑体" w:hAnsi="黑体" w:eastAsia="黑体" w:cs="黑体"/>
          <w:u w:val="single"/>
        </w:rPr>
        <w:t>（单位名称）</w:t>
      </w:r>
      <w:r>
        <w:rPr>
          <w:rFonts w:hint="eastAsia" w:ascii="黑体" w:hAnsi="黑体" w:eastAsia="黑体" w:cs="黑体"/>
        </w:rPr>
        <w:t>的在下面签字的</w:t>
      </w:r>
      <w:r>
        <w:rPr>
          <w:rFonts w:hint="eastAsia" w:ascii="黑体" w:hAnsi="黑体" w:eastAsia="黑体" w:cs="黑体"/>
          <w:u w:val="single"/>
        </w:rPr>
        <w:t>（被授权人的姓名、职务）</w:t>
      </w:r>
      <w:r>
        <w:rPr>
          <w:rFonts w:hint="eastAsia" w:ascii="黑体" w:hAnsi="黑体" w:eastAsia="黑体" w:cs="黑体"/>
        </w:rPr>
        <w:t>为本公司的合法代理人，就</w:t>
      </w:r>
      <w:r>
        <w:rPr>
          <w:rFonts w:hint="eastAsia" w:ascii="黑体" w:hAnsi="黑体" w:eastAsia="黑体" w:cs="黑体"/>
          <w:u w:val="single"/>
        </w:rPr>
        <w:t>（项目名称、项目编号、设备名称）</w:t>
      </w:r>
      <w:r>
        <w:rPr>
          <w:rFonts w:hint="eastAsia" w:ascii="黑体" w:hAnsi="黑体" w:eastAsia="黑体" w:cs="黑体"/>
        </w:rPr>
        <w:t>的投标，以本公司的名义处理一切与之有关的事务。</w:t>
      </w:r>
    </w:p>
    <w:p>
      <w:pPr>
        <w:spacing w:line="400" w:lineRule="atLeast"/>
        <w:ind w:firstLine="480"/>
        <w:rPr>
          <w:rFonts w:hint="eastAsia" w:ascii="黑体" w:hAnsi="黑体" w:eastAsia="黑体" w:cs="黑体"/>
          <w:sz w:val="24"/>
        </w:rPr>
      </w:pPr>
    </w:p>
    <w:p>
      <w:pPr>
        <w:spacing w:line="400" w:lineRule="atLeast"/>
        <w:ind w:firstLine="480"/>
        <w:rPr>
          <w:rFonts w:hint="eastAsia" w:ascii="黑体" w:hAnsi="黑体" w:eastAsia="黑体" w:cs="黑体"/>
          <w:sz w:val="24"/>
        </w:rPr>
      </w:pPr>
      <w:r>
        <w:rPr>
          <w:rFonts w:hint="eastAsia" w:ascii="黑体" w:hAnsi="黑体" w:eastAsia="黑体" w:cs="黑体"/>
          <w:sz w:val="24"/>
        </w:rPr>
        <w:t>本授权书于</w:t>
      </w:r>
      <w:r>
        <w:rPr>
          <w:rFonts w:hint="eastAsia" w:ascii="黑体" w:hAnsi="黑体" w:eastAsia="黑体" w:cs="黑体"/>
          <w:sz w:val="24"/>
          <w:u w:val="single"/>
        </w:rPr>
        <w:t>　　　　　　</w:t>
      </w:r>
      <w:r>
        <w:rPr>
          <w:rFonts w:hint="eastAsia" w:ascii="黑体" w:hAnsi="黑体" w:eastAsia="黑体" w:cs="黑体"/>
          <w:sz w:val="24"/>
        </w:rPr>
        <w:t>年</w:t>
      </w:r>
      <w:r>
        <w:rPr>
          <w:rFonts w:hint="eastAsia" w:ascii="黑体" w:hAnsi="黑体" w:eastAsia="黑体" w:cs="黑体"/>
          <w:sz w:val="24"/>
          <w:u w:val="single"/>
        </w:rPr>
        <w:t>　　　</w:t>
      </w:r>
      <w:r>
        <w:rPr>
          <w:rFonts w:hint="eastAsia" w:ascii="黑体" w:hAnsi="黑体" w:eastAsia="黑体" w:cs="黑体"/>
          <w:sz w:val="24"/>
        </w:rPr>
        <w:t>月</w:t>
      </w:r>
      <w:r>
        <w:rPr>
          <w:rFonts w:hint="eastAsia" w:ascii="黑体" w:hAnsi="黑体" w:eastAsia="黑体" w:cs="黑体"/>
          <w:sz w:val="24"/>
          <w:u w:val="single"/>
        </w:rPr>
        <w:t>　　</w:t>
      </w:r>
      <w:r>
        <w:rPr>
          <w:rFonts w:hint="eastAsia" w:ascii="黑体" w:hAnsi="黑体" w:eastAsia="黑体" w:cs="黑体"/>
          <w:sz w:val="24"/>
        </w:rPr>
        <w:t>日签字生效，特此声明。</w:t>
      </w:r>
    </w:p>
    <w:p>
      <w:pPr>
        <w:spacing w:line="400" w:lineRule="atLeast"/>
        <w:ind w:firstLine="480"/>
        <w:rPr>
          <w:rFonts w:hint="eastAsia" w:ascii="黑体" w:hAnsi="黑体" w:eastAsia="黑体" w:cs="黑体"/>
          <w:sz w:val="24"/>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noWrap w:val="0"/>
            <w:vAlign w:val="top"/>
          </w:tcPr>
          <w:p>
            <w:pPr>
              <w:spacing w:line="440" w:lineRule="exact"/>
              <w:jc w:val="left"/>
              <w:rPr>
                <w:rFonts w:hint="eastAsia" w:ascii="黑体" w:hAnsi="黑体" w:eastAsia="黑体" w:cs="黑体"/>
                <w:sz w:val="24"/>
                <w:szCs w:val="24"/>
              </w:rPr>
            </w:pPr>
            <w:r>
              <w:rPr>
                <w:rFonts w:hint="eastAsia" w:ascii="黑体" w:hAnsi="黑体" w:eastAsia="黑体" w:cs="黑体"/>
                <w:sz w:val="24"/>
                <w:szCs w:val="24"/>
              </w:rPr>
              <w:t>法定代表人身份证（正反面）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noWrap w:val="0"/>
            <w:vAlign w:val="top"/>
          </w:tcPr>
          <w:p>
            <w:pPr>
              <w:spacing w:line="440" w:lineRule="exact"/>
              <w:jc w:val="left"/>
              <w:rPr>
                <w:rFonts w:hint="eastAsia" w:ascii="黑体" w:hAnsi="黑体" w:eastAsia="黑体" w:cs="黑体"/>
                <w:sz w:val="24"/>
                <w:szCs w:val="24"/>
              </w:rPr>
            </w:pPr>
            <w:r>
              <w:rPr>
                <w:rFonts w:hint="eastAsia" w:ascii="黑体" w:hAnsi="黑体" w:eastAsia="黑体" w:cs="黑体"/>
                <w:sz w:val="24"/>
                <w:szCs w:val="24"/>
              </w:rPr>
              <w:t>被授权人的身份证（正反面）</w:t>
            </w:r>
          </w:p>
        </w:tc>
      </w:tr>
    </w:tbl>
    <w:p>
      <w:pPr>
        <w:spacing w:line="400" w:lineRule="atLeast"/>
        <w:ind w:firstLine="480"/>
        <w:rPr>
          <w:rFonts w:hint="eastAsia" w:ascii="黑体" w:hAnsi="黑体" w:eastAsia="黑体" w:cs="黑体"/>
          <w:sz w:val="24"/>
        </w:rPr>
      </w:pPr>
    </w:p>
    <w:p>
      <w:pPr>
        <w:spacing w:line="400" w:lineRule="atLeast"/>
        <w:ind w:firstLine="480"/>
        <w:rPr>
          <w:rFonts w:hint="eastAsia" w:ascii="黑体" w:hAnsi="黑体" w:eastAsia="黑体" w:cs="黑体"/>
          <w:sz w:val="24"/>
        </w:rPr>
      </w:pPr>
    </w:p>
    <w:p>
      <w:pPr>
        <w:spacing w:line="400" w:lineRule="atLeast"/>
        <w:ind w:firstLine="480"/>
        <w:rPr>
          <w:rFonts w:hint="eastAsia" w:ascii="黑体" w:hAnsi="黑体" w:eastAsia="黑体" w:cs="黑体"/>
          <w:sz w:val="24"/>
        </w:rPr>
      </w:pPr>
      <w:r>
        <w:rPr>
          <w:rFonts w:hint="eastAsia" w:ascii="黑体" w:hAnsi="黑体" w:eastAsia="黑体" w:cs="黑体"/>
          <w:sz w:val="24"/>
        </w:rPr>
        <w:t>法人代表签字</w:t>
      </w:r>
      <w:r>
        <w:rPr>
          <w:rFonts w:hint="eastAsia" w:ascii="黑体" w:hAnsi="黑体" w:eastAsia="黑体" w:cs="黑体"/>
          <w:sz w:val="24"/>
          <w:u w:val="single"/>
        </w:rPr>
        <w:t>　　　　　　　　　　　　　　　　　</w:t>
      </w:r>
    </w:p>
    <w:p>
      <w:pPr>
        <w:spacing w:line="400" w:lineRule="atLeast"/>
        <w:ind w:firstLine="480"/>
        <w:rPr>
          <w:rFonts w:hint="eastAsia" w:ascii="黑体" w:hAnsi="黑体" w:eastAsia="黑体" w:cs="黑体"/>
          <w:sz w:val="24"/>
        </w:rPr>
      </w:pPr>
      <w:r>
        <w:rPr>
          <w:rFonts w:hint="eastAsia" w:ascii="黑体" w:hAnsi="黑体" w:eastAsia="黑体" w:cs="黑体"/>
          <w:sz w:val="24"/>
        </w:rPr>
        <w:t>被授权人签字</w:t>
      </w:r>
      <w:r>
        <w:rPr>
          <w:rFonts w:hint="eastAsia" w:ascii="黑体" w:hAnsi="黑体" w:eastAsia="黑体" w:cs="黑体"/>
          <w:sz w:val="24"/>
          <w:u w:val="single"/>
        </w:rPr>
        <w:t>　　　　　　　　　　　　　　　　　</w:t>
      </w:r>
    </w:p>
    <w:p>
      <w:pPr>
        <w:spacing w:line="400" w:lineRule="atLeast"/>
        <w:ind w:firstLine="480"/>
        <w:rPr>
          <w:rFonts w:hint="eastAsia" w:ascii="黑体" w:hAnsi="黑体" w:eastAsia="黑体" w:cs="黑体"/>
          <w:sz w:val="24"/>
        </w:rPr>
      </w:pPr>
      <w:r>
        <w:rPr>
          <w:rFonts w:hint="eastAsia" w:ascii="黑体" w:hAnsi="黑体" w:eastAsia="黑体" w:cs="黑体"/>
          <w:sz w:val="24"/>
        </w:rPr>
        <w:t>公        章：</w:t>
      </w:r>
      <w:r>
        <w:rPr>
          <w:rFonts w:hint="eastAsia" w:ascii="黑体" w:hAnsi="黑体" w:eastAsia="黑体" w:cs="黑体"/>
          <w:sz w:val="24"/>
          <w:u w:val="single"/>
        </w:rPr>
        <w:t xml:space="preserve">                         </w:t>
      </w:r>
    </w:p>
    <w:p>
      <w:pPr>
        <w:spacing w:line="400" w:lineRule="atLeast"/>
        <w:ind w:firstLine="480"/>
        <w:rPr>
          <w:rFonts w:hint="eastAsia" w:ascii="黑体" w:hAnsi="黑体" w:eastAsia="黑体" w:cs="黑体"/>
          <w:sz w:val="24"/>
        </w:rPr>
      </w:pPr>
    </w:p>
    <w:p>
      <w:pPr>
        <w:spacing w:line="400" w:lineRule="atLeast"/>
        <w:rPr>
          <w:rFonts w:hint="eastAsia" w:ascii="黑体" w:hAnsi="黑体" w:eastAsia="黑体" w:cs="黑体"/>
          <w:sz w:val="24"/>
        </w:rPr>
      </w:pPr>
      <w:r>
        <w:rPr>
          <w:rFonts w:hint="eastAsia" w:ascii="黑体" w:hAnsi="黑体" w:eastAsia="黑体" w:cs="黑体"/>
          <w:sz w:val="24"/>
        </w:rPr>
        <w:t>注：</w:t>
      </w:r>
      <w:r>
        <w:rPr>
          <w:rFonts w:hint="eastAsia" w:ascii="黑体" w:hAnsi="黑体" w:eastAsia="黑体" w:cs="黑体"/>
          <w:b/>
          <w:sz w:val="24"/>
        </w:rPr>
        <w:t>提供法人、被授权人身份证复印件</w:t>
      </w:r>
      <w:r>
        <w:rPr>
          <w:rFonts w:hint="eastAsia" w:ascii="黑体" w:hAnsi="黑体" w:eastAsia="黑体" w:cs="黑体"/>
          <w:sz w:val="24"/>
        </w:rPr>
        <w:t>；凡公司法人前来参加投标的供应商，可以不提供此项证明文件。</w:t>
      </w:r>
    </w:p>
    <w:p>
      <w:pPr>
        <w:spacing w:line="400" w:lineRule="atLeast"/>
        <w:ind w:left="2880" w:hanging="2880"/>
        <w:jc w:val="center"/>
        <w:rPr>
          <w:rFonts w:hint="eastAsia" w:ascii="黑体" w:hAnsi="黑体" w:eastAsia="黑体" w:cs="黑体"/>
          <w:bCs/>
          <w:sz w:val="24"/>
          <w:szCs w:val="24"/>
        </w:rPr>
        <w:sectPr>
          <w:pgSz w:w="11906" w:h="16838"/>
          <w:pgMar w:top="1440" w:right="1080" w:bottom="1440" w:left="1080" w:header="851" w:footer="992" w:gutter="0"/>
          <w:pgNumType w:fmt="decimal"/>
          <w:cols w:space="720" w:num="1"/>
          <w:docGrid w:type="lines" w:linePitch="409" w:charSpace="0"/>
        </w:sectPr>
      </w:pPr>
    </w:p>
    <w:p>
      <w:pPr>
        <w:pStyle w:val="6"/>
        <w:jc w:val="left"/>
        <w:rPr>
          <w:rFonts w:hint="eastAsia" w:ascii="黑体" w:hAnsi="黑体" w:eastAsia="黑体" w:cs="黑体"/>
          <w:b/>
          <w:bCs/>
          <w:sz w:val="24"/>
        </w:rPr>
      </w:pPr>
      <w:bookmarkStart w:id="106" w:name="_Toc39945708"/>
      <w:bookmarkStart w:id="107" w:name="_Toc27242"/>
      <w:bookmarkStart w:id="108" w:name="_Toc12862"/>
      <w:bookmarkStart w:id="109" w:name="_Toc39669647"/>
      <w:r>
        <w:rPr>
          <w:rFonts w:hint="eastAsia" w:ascii="黑体" w:hAnsi="黑体" w:eastAsia="黑体" w:cs="黑体"/>
          <w:b/>
          <w:bCs/>
          <w:sz w:val="24"/>
        </w:rPr>
        <w:t>附件六：技术参数、功能偏离表</w:t>
      </w:r>
      <w:bookmarkEnd w:id="106"/>
      <w:bookmarkEnd w:id="107"/>
      <w:bookmarkEnd w:id="108"/>
      <w:bookmarkEnd w:id="109"/>
    </w:p>
    <w:p>
      <w:pPr>
        <w:spacing w:line="400" w:lineRule="atLeast"/>
        <w:rPr>
          <w:rFonts w:hint="eastAsia" w:ascii="黑体" w:hAnsi="黑体" w:eastAsia="黑体" w:cs="黑体"/>
          <w:sz w:val="24"/>
          <w:u w:val="single"/>
        </w:rPr>
      </w:pPr>
      <w:r>
        <w:rPr>
          <w:rFonts w:hint="eastAsia" w:ascii="黑体" w:hAnsi="黑体" w:eastAsia="黑体" w:cs="黑体"/>
          <w:sz w:val="24"/>
        </w:rPr>
        <w:t>供应商名称（公章）：</w:t>
      </w:r>
      <w:r>
        <w:rPr>
          <w:rFonts w:hint="eastAsia" w:ascii="黑体" w:hAnsi="黑体" w:eastAsia="黑体" w:cs="黑体"/>
          <w:sz w:val="24"/>
          <w:u w:val="single"/>
        </w:rPr>
        <w:t xml:space="preserve">         　　　　　  </w:t>
      </w:r>
      <w:r>
        <w:rPr>
          <w:rFonts w:hint="eastAsia" w:ascii="黑体" w:hAnsi="黑体" w:eastAsia="黑体" w:cs="黑体"/>
          <w:sz w:val="24"/>
        </w:rPr>
        <w:t>项目编号/包号：</w:t>
      </w:r>
      <w:r>
        <w:rPr>
          <w:rFonts w:hint="eastAsia" w:ascii="黑体" w:hAnsi="黑体" w:eastAsia="黑体" w:cs="黑体"/>
          <w:sz w:val="24"/>
          <w:u w:val="single"/>
        </w:rPr>
        <w:t>　　　　　　　　　　　</w:t>
      </w:r>
    </w:p>
    <w:tbl>
      <w:tblPr>
        <w:tblStyle w:val="42"/>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819"/>
        <w:gridCol w:w="1971"/>
        <w:gridCol w:w="1843"/>
        <w:gridCol w:w="1701"/>
        <w:gridCol w:w="969"/>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71"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序号</w:t>
            </w:r>
          </w:p>
        </w:tc>
        <w:tc>
          <w:tcPr>
            <w:tcW w:w="1819"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lang w:val="en-US" w:eastAsia="zh-CN"/>
              </w:rPr>
              <w:t>招标</w:t>
            </w:r>
            <w:r>
              <w:rPr>
                <w:rFonts w:hint="eastAsia" w:ascii="黑体" w:hAnsi="黑体" w:eastAsia="黑体" w:cs="黑体"/>
                <w:sz w:val="24"/>
              </w:rPr>
              <w:t>文件规格条目号</w:t>
            </w:r>
          </w:p>
        </w:tc>
        <w:tc>
          <w:tcPr>
            <w:tcW w:w="1971"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lang w:val="en-US" w:eastAsia="zh-CN"/>
              </w:rPr>
              <w:t>招标</w:t>
            </w:r>
            <w:r>
              <w:rPr>
                <w:rFonts w:hint="eastAsia" w:ascii="黑体" w:hAnsi="黑体" w:eastAsia="黑体" w:cs="黑体"/>
                <w:sz w:val="24"/>
              </w:rPr>
              <w:t>文件要求规格</w:t>
            </w:r>
          </w:p>
        </w:tc>
        <w:tc>
          <w:tcPr>
            <w:tcW w:w="1843"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投标规格</w:t>
            </w:r>
          </w:p>
        </w:tc>
        <w:tc>
          <w:tcPr>
            <w:tcW w:w="1701"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是否满足</w:t>
            </w:r>
          </w:p>
        </w:tc>
        <w:tc>
          <w:tcPr>
            <w:tcW w:w="969"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说明</w:t>
            </w:r>
          </w:p>
        </w:tc>
        <w:tc>
          <w:tcPr>
            <w:tcW w:w="969" w:type="dxa"/>
            <w:noWrap w:val="0"/>
            <w:vAlign w:val="center"/>
          </w:tcPr>
          <w:p>
            <w:pPr>
              <w:spacing w:line="400" w:lineRule="atLeast"/>
              <w:jc w:val="center"/>
              <w:rPr>
                <w:rFonts w:hint="eastAsia" w:ascii="黑体" w:hAnsi="黑体" w:eastAsia="黑体" w:cs="黑体"/>
                <w:sz w:val="24"/>
                <w:lang w:val="en-US" w:eastAsia="zh-CN"/>
              </w:rPr>
            </w:pPr>
            <w:r>
              <w:rPr>
                <w:rFonts w:hint="eastAsia" w:ascii="黑体" w:hAnsi="黑体" w:eastAsia="黑体" w:cs="黑体"/>
                <w:sz w:val="24"/>
                <w:lang w:val="en-US" w:eastAsia="zh-CN"/>
              </w:rPr>
              <w:t>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71"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819"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1971" w:type="dxa"/>
            <w:noWrap w:val="0"/>
            <w:vAlign w:val="top"/>
          </w:tcPr>
          <w:p>
            <w:pPr>
              <w:spacing w:line="400" w:lineRule="atLeast"/>
              <w:rPr>
                <w:rFonts w:hint="eastAsia" w:ascii="黑体" w:hAnsi="黑体" w:eastAsia="黑体" w:cs="黑体"/>
                <w:sz w:val="24"/>
              </w:rPr>
            </w:pPr>
          </w:p>
        </w:tc>
        <w:tc>
          <w:tcPr>
            <w:tcW w:w="1843" w:type="dxa"/>
            <w:noWrap w:val="0"/>
            <w:vAlign w:val="top"/>
          </w:tcPr>
          <w:p>
            <w:pPr>
              <w:spacing w:line="400" w:lineRule="atLeast"/>
              <w:rPr>
                <w:rFonts w:hint="eastAsia" w:ascii="黑体" w:hAnsi="黑体" w:eastAsia="黑体" w:cs="黑体"/>
                <w:sz w:val="24"/>
              </w:rPr>
            </w:pPr>
          </w:p>
        </w:tc>
        <w:tc>
          <w:tcPr>
            <w:tcW w:w="1701"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71"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819"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1971" w:type="dxa"/>
            <w:noWrap w:val="0"/>
            <w:vAlign w:val="top"/>
          </w:tcPr>
          <w:p>
            <w:pPr>
              <w:spacing w:line="400" w:lineRule="atLeast"/>
              <w:rPr>
                <w:rFonts w:hint="eastAsia" w:ascii="黑体" w:hAnsi="黑体" w:eastAsia="黑体" w:cs="黑体"/>
                <w:sz w:val="24"/>
              </w:rPr>
            </w:pPr>
          </w:p>
        </w:tc>
        <w:tc>
          <w:tcPr>
            <w:tcW w:w="1843" w:type="dxa"/>
            <w:noWrap w:val="0"/>
            <w:vAlign w:val="top"/>
          </w:tcPr>
          <w:p>
            <w:pPr>
              <w:spacing w:line="400" w:lineRule="atLeast"/>
              <w:rPr>
                <w:rFonts w:hint="eastAsia" w:ascii="黑体" w:hAnsi="黑体" w:eastAsia="黑体" w:cs="黑体"/>
                <w:sz w:val="24"/>
              </w:rPr>
            </w:pPr>
          </w:p>
        </w:tc>
        <w:tc>
          <w:tcPr>
            <w:tcW w:w="1701"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71"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819"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1971" w:type="dxa"/>
            <w:noWrap w:val="0"/>
            <w:vAlign w:val="top"/>
          </w:tcPr>
          <w:p>
            <w:pPr>
              <w:spacing w:line="400" w:lineRule="atLeast"/>
              <w:rPr>
                <w:rFonts w:hint="eastAsia" w:ascii="黑体" w:hAnsi="黑体" w:eastAsia="黑体" w:cs="黑体"/>
                <w:sz w:val="24"/>
              </w:rPr>
            </w:pPr>
          </w:p>
        </w:tc>
        <w:tc>
          <w:tcPr>
            <w:tcW w:w="1843" w:type="dxa"/>
            <w:noWrap w:val="0"/>
            <w:vAlign w:val="top"/>
          </w:tcPr>
          <w:p>
            <w:pPr>
              <w:spacing w:line="400" w:lineRule="atLeast"/>
              <w:rPr>
                <w:rFonts w:hint="eastAsia" w:ascii="黑体" w:hAnsi="黑体" w:eastAsia="黑体" w:cs="黑体"/>
                <w:sz w:val="24"/>
              </w:rPr>
            </w:pPr>
          </w:p>
        </w:tc>
        <w:tc>
          <w:tcPr>
            <w:tcW w:w="1701"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71"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819"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1971" w:type="dxa"/>
            <w:noWrap w:val="0"/>
            <w:vAlign w:val="top"/>
          </w:tcPr>
          <w:p>
            <w:pPr>
              <w:spacing w:line="400" w:lineRule="atLeast"/>
              <w:rPr>
                <w:rFonts w:hint="eastAsia" w:ascii="黑体" w:hAnsi="黑体" w:eastAsia="黑体" w:cs="黑体"/>
                <w:sz w:val="24"/>
              </w:rPr>
            </w:pPr>
          </w:p>
        </w:tc>
        <w:tc>
          <w:tcPr>
            <w:tcW w:w="1843" w:type="dxa"/>
            <w:noWrap w:val="0"/>
            <w:vAlign w:val="top"/>
          </w:tcPr>
          <w:p>
            <w:pPr>
              <w:spacing w:line="400" w:lineRule="atLeast"/>
              <w:rPr>
                <w:rFonts w:hint="eastAsia" w:ascii="黑体" w:hAnsi="黑体" w:eastAsia="黑体" w:cs="黑体"/>
                <w:sz w:val="24"/>
              </w:rPr>
            </w:pPr>
          </w:p>
        </w:tc>
        <w:tc>
          <w:tcPr>
            <w:tcW w:w="1701"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71"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819"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1971" w:type="dxa"/>
            <w:noWrap w:val="0"/>
            <w:vAlign w:val="top"/>
          </w:tcPr>
          <w:p>
            <w:pPr>
              <w:spacing w:line="400" w:lineRule="atLeast"/>
              <w:rPr>
                <w:rFonts w:hint="eastAsia" w:ascii="黑体" w:hAnsi="黑体" w:eastAsia="黑体" w:cs="黑体"/>
                <w:sz w:val="24"/>
              </w:rPr>
            </w:pPr>
          </w:p>
        </w:tc>
        <w:tc>
          <w:tcPr>
            <w:tcW w:w="1843" w:type="dxa"/>
            <w:noWrap w:val="0"/>
            <w:vAlign w:val="top"/>
          </w:tcPr>
          <w:p>
            <w:pPr>
              <w:spacing w:line="400" w:lineRule="atLeast"/>
              <w:rPr>
                <w:rFonts w:hint="eastAsia" w:ascii="黑体" w:hAnsi="黑体" w:eastAsia="黑体" w:cs="黑体"/>
                <w:sz w:val="24"/>
              </w:rPr>
            </w:pPr>
          </w:p>
        </w:tc>
        <w:tc>
          <w:tcPr>
            <w:tcW w:w="1701"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71"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819"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1971" w:type="dxa"/>
            <w:noWrap w:val="0"/>
            <w:vAlign w:val="top"/>
          </w:tcPr>
          <w:p>
            <w:pPr>
              <w:spacing w:line="400" w:lineRule="atLeast"/>
              <w:rPr>
                <w:rFonts w:hint="eastAsia" w:ascii="黑体" w:hAnsi="黑体" w:eastAsia="黑体" w:cs="黑体"/>
                <w:sz w:val="24"/>
              </w:rPr>
            </w:pPr>
          </w:p>
        </w:tc>
        <w:tc>
          <w:tcPr>
            <w:tcW w:w="1843" w:type="dxa"/>
            <w:noWrap w:val="0"/>
            <w:vAlign w:val="top"/>
          </w:tcPr>
          <w:p>
            <w:pPr>
              <w:spacing w:line="400" w:lineRule="atLeast"/>
              <w:rPr>
                <w:rFonts w:hint="eastAsia" w:ascii="黑体" w:hAnsi="黑体" w:eastAsia="黑体" w:cs="黑体"/>
                <w:sz w:val="24"/>
              </w:rPr>
            </w:pPr>
          </w:p>
        </w:tc>
        <w:tc>
          <w:tcPr>
            <w:tcW w:w="1701"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71"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819"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1971" w:type="dxa"/>
            <w:noWrap w:val="0"/>
            <w:vAlign w:val="top"/>
          </w:tcPr>
          <w:p>
            <w:pPr>
              <w:spacing w:line="400" w:lineRule="atLeast"/>
              <w:rPr>
                <w:rFonts w:hint="eastAsia" w:ascii="黑体" w:hAnsi="黑体" w:eastAsia="黑体" w:cs="黑体"/>
                <w:sz w:val="24"/>
              </w:rPr>
            </w:pPr>
          </w:p>
        </w:tc>
        <w:tc>
          <w:tcPr>
            <w:tcW w:w="1843" w:type="dxa"/>
            <w:noWrap w:val="0"/>
            <w:vAlign w:val="top"/>
          </w:tcPr>
          <w:p>
            <w:pPr>
              <w:spacing w:line="400" w:lineRule="atLeast"/>
              <w:rPr>
                <w:rFonts w:hint="eastAsia" w:ascii="黑体" w:hAnsi="黑体" w:eastAsia="黑体" w:cs="黑体"/>
                <w:sz w:val="24"/>
              </w:rPr>
            </w:pPr>
          </w:p>
        </w:tc>
        <w:tc>
          <w:tcPr>
            <w:tcW w:w="1701"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71"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819"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1971" w:type="dxa"/>
            <w:noWrap w:val="0"/>
            <w:vAlign w:val="top"/>
          </w:tcPr>
          <w:p>
            <w:pPr>
              <w:spacing w:line="400" w:lineRule="atLeast"/>
              <w:rPr>
                <w:rFonts w:hint="eastAsia" w:ascii="黑体" w:hAnsi="黑体" w:eastAsia="黑体" w:cs="黑体"/>
                <w:sz w:val="24"/>
              </w:rPr>
            </w:pPr>
          </w:p>
        </w:tc>
        <w:tc>
          <w:tcPr>
            <w:tcW w:w="1843" w:type="dxa"/>
            <w:noWrap w:val="0"/>
            <w:vAlign w:val="top"/>
          </w:tcPr>
          <w:p>
            <w:pPr>
              <w:spacing w:line="400" w:lineRule="atLeast"/>
              <w:rPr>
                <w:rFonts w:hint="eastAsia" w:ascii="黑体" w:hAnsi="黑体" w:eastAsia="黑体" w:cs="黑体"/>
                <w:sz w:val="24"/>
              </w:rPr>
            </w:pPr>
          </w:p>
        </w:tc>
        <w:tc>
          <w:tcPr>
            <w:tcW w:w="1701"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71"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819"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1971" w:type="dxa"/>
            <w:noWrap w:val="0"/>
            <w:vAlign w:val="top"/>
          </w:tcPr>
          <w:p>
            <w:pPr>
              <w:spacing w:line="400" w:lineRule="atLeast"/>
              <w:rPr>
                <w:rFonts w:hint="eastAsia" w:ascii="黑体" w:hAnsi="黑体" w:eastAsia="黑体" w:cs="黑体"/>
                <w:sz w:val="24"/>
              </w:rPr>
            </w:pPr>
          </w:p>
        </w:tc>
        <w:tc>
          <w:tcPr>
            <w:tcW w:w="1843" w:type="dxa"/>
            <w:noWrap w:val="0"/>
            <w:vAlign w:val="top"/>
          </w:tcPr>
          <w:p>
            <w:pPr>
              <w:spacing w:line="400" w:lineRule="atLeast"/>
              <w:rPr>
                <w:rFonts w:hint="eastAsia" w:ascii="黑体" w:hAnsi="黑体" w:eastAsia="黑体" w:cs="黑体"/>
                <w:sz w:val="24"/>
              </w:rPr>
            </w:pPr>
          </w:p>
        </w:tc>
        <w:tc>
          <w:tcPr>
            <w:tcW w:w="1701"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71"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819"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1971" w:type="dxa"/>
            <w:noWrap w:val="0"/>
            <w:vAlign w:val="top"/>
          </w:tcPr>
          <w:p>
            <w:pPr>
              <w:spacing w:line="400" w:lineRule="atLeast"/>
              <w:rPr>
                <w:rFonts w:hint="eastAsia" w:ascii="黑体" w:hAnsi="黑体" w:eastAsia="黑体" w:cs="黑体"/>
                <w:sz w:val="24"/>
              </w:rPr>
            </w:pPr>
          </w:p>
        </w:tc>
        <w:tc>
          <w:tcPr>
            <w:tcW w:w="1843" w:type="dxa"/>
            <w:noWrap w:val="0"/>
            <w:vAlign w:val="top"/>
          </w:tcPr>
          <w:p>
            <w:pPr>
              <w:spacing w:line="400" w:lineRule="atLeast"/>
              <w:rPr>
                <w:rFonts w:hint="eastAsia" w:ascii="黑体" w:hAnsi="黑体" w:eastAsia="黑体" w:cs="黑体"/>
                <w:sz w:val="24"/>
              </w:rPr>
            </w:pPr>
          </w:p>
        </w:tc>
        <w:tc>
          <w:tcPr>
            <w:tcW w:w="1701"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71"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819"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1971" w:type="dxa"/>
            <w:noWrap w:val="0"/>
            <w:vAlign w:val="top"/>
          </w:tcPr>
          <w:p>
            <w:pPr>
              <w:spacing w:line="400" w:lineRule="atLeast"/>
              <w:rPr>
                <w:rFonts w:hint="eastAsia" w:ascii="黑体" w:hAnsi="黑体" w:eastAsia="黑体" w:cs="黑体"/>
                <w:sz w:val="24"/>
              </w:rPr>
            </w:pPr>
          </w:p>
        </w:tc>
        <w:tc>
          <w:tcPr>
            <w:tcW w:w="1843" w:type="dxa"/>
            <w:noWrap w:val="0"/>
            <w:vAlign w:val="top"/>
          </w:tcPr>
          <w:p>
            <w:pPr>
              <w:spacing w:line="400" w:lineRule="atLeast"/>
              <w:rPr>
                <w:rFonts w:hint="eastAsia" w:ascii="黑体" w:hAnsi="黑体" w:eastAsia="黑体" w:cs="黑体"/>
                <w:sz w:val="24"/>
              </w:rPr>
            </w:pPr>
          </w:p>
        </w:tc>
        <w:tc>
          <w:tcPr>
            <w:tcW w:w="1701"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71" w:type="dxa"/>
            <w:noWrap w:val="0"/>
            <w:vAlign w:val="top"/>
          </w:tcPr>
          <w:p>
            <w:pPr>
              <w:spacing w:line="400" w:lineRule="atLeast"/>
              <w:rPr>
                <w:rFonts w:hint="eastAsia" w:ascii="黑体" w:hAnsi="黑体" w:eastAsia="黑体" w:cs="黑体"/>
                <w:sz w:val="24"/>
              </w:rPr>
            </w:pPr>
          </w:p>
        </w:tc>
        <w:tc>
          <w:tcPr>
            <w:tcW w:w="1819" w:type="dxa"/>
            <w:noWrap w:val="0"/>
            <w:vAlign w:val="top"/>
          </w:tcPr>
          <w:p>
            <w:pPr>
              <w:spacing w:line="400" w:lineRule="atLeast"/>
              <w:rPr>
                <w:rFonts w:hint="eastAsia" w:ascii="黑体" w:hAnsi="黑体" w:eastAsia="黑体" w:cs="黑体"/>
                <w:sz w:val="24"/>
              </w:rPr>
            </w:pPr>
          </w:p>
        </w:tc>
        <w:tc>
          <w:tcPr>
            <w:tcW w:w="1971"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843"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1701"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c>
          <w:tcPr>
            <w:tcW w:w="969" w:type="dxa"/>
            <w:noWrap w:val="0"/>
            <w:vAlign w:val="top"/>
          </w:tcPr>
          <w:p>
            <w:pPr>
              <w:spacing w:line="400" w:lineRule="atLeast"/>
              <w:rPr>
                <w:rFonts w:hint="eastAsia" w:ascii="黑体" w:hAnsi="黑体" w:eastAsia="黑体" w:cs="黑体"/>
                <w:sz w:val="24"/>
              </w:rPr>
            </w:pPr>
          </w:p>
        </w:tc>
      </w:tr>
    </w:tbl>
    <w:p>
      <w:pPr>
        <w:spacing w:line="400" w:lineRule="atLeast"/>
        <w:rPr>
          <w:rFonts w:hint="eastAsia" w:ascii="黑体" w:hAnsi="黑体" w:eastAsia="黑体" w:cs="黑体"/>
          <w:b/>
          <w:bCs/>
          <w:sz w:val="24"/>
        </w:rPr>
      </w:pPr>
      <w:r>
        <w:rPr>
          <w:rFonts w:hint="eastAsia" w:ascii="黑体" w:hAnsi="黑体" w:eastAsia="黑体" w:cs="黑体"/>
          <w:b/>
          <w:bCs/>
          <w:sz w:val="24"/>
        </w:rPr>
        <w:t>注：与</w:t>
      </w:r>
      <w:r>
        <w:rPr>
          <w:rFonts w:hint="eastAsia" w:ascii="黑体" w:hAnsi="黑体" w:eastAsia="黑体" w:cs="黑体"/>
          <w:b/>
          <w:bCs/>
          <w:sz w:val="24"/>
          <w:lang w:val="en-US" w:eastAsia="zh-CN"/>
        </w:rPr>
        <w:t>招标</w:t>
      </w:r>
      <w:r>
        <w:rPr>
          <w:rFonts w:hint="eastAsia" w:ascii="黑体" w:hAnsi="黑体" w:eastAsia="黑体" w:cs="黑体"/>
          <w:b/>
          <w:bCs/>
          <w:sz w:val="24"/>
        </w:rPr>
        <w:t>文件要求逐条对应填写，投标规格不得粘贴复制</w:t>
      </w:r>
      <w:r>
        <w:rPr>
          <w:rFonts w:hint="eastAsia" w:ascii="黑体" w:hAnsi="黑体" w:eastAsia="黑体" w:cs="黑体"/>
          <w:b/>
          <w:bCs/>
          <w:sz w:val="24"/>
          <w:lang w:val="en-US" w:eastAsia="zh-CN"/>
        </w:rPr>
        <w:t>招标</w:t>
      </w:r>
      <w:r>
        <w:rPr>
          <w:rFonts w:hint="eastAsia" w:ascii="黑体" w:hAnsi="黑体" w:eastAsia="黑体" w:cs="黑体"/>
          <w:b/>
          <w:bCs/>
          <w:sz w:val="24"/>
        </w:rPr>
        <w:t>文件中的技术参数，否则评分时技术符合程度项不得分。</w:t>
      </w:r>
    </w:p>
    <w:p>
      <w:pPr>
        <w:spacing w:line="400" w:lineRule="atLeast"/>
        <w:rPr>
          <w:rFonts w:hint="eastAsia" w:ascii="黑体" w:hAnsi="黑体" w:eastAsia="黑体" w:cs="黑体"/>
          <w:sz w:val="24"/>
        </w:rPr>
      </w:pPr>
      <w:r>
        <w:rPr>
          <w:rFonts w:hint="eastAsia" w:ascii="黑体" w:hAnsi="黑体" w:eastAsia="黑体" w:cs="黑体"/>
          <w:sz w:val="24"/>
          <w:lang w:eastAsia="zh-CN"/>
        </w:rPr>
        <w:t>供应商法人或授权代表签字</w:t>
      </w:r>
      <w:r>
        <w:rPr>
          <w:rFonts w:hint="eastAsia" w:ascii="黑体" w:hAnsi="黑体" w:eastAsia="黑体" w:cs="黑体"/>
          <w:sz w:val="24"/>
        </w:rPr>
        <w:t>：</w:t>
      </w:r>
      <w:r>
        <w:rPr>
          <w:rFonts w:hint="eastAsia" w:ascii="黑体" w:hAnsi="黑体" w:eastAsia="黑体" w:cs="黑体"/>
          <w:sz w:val="24"/>
          <w:u w:val="single"/>
        </w:rPr>
        <w:t>　　　　　　　　　　　　　　　</w:t>
      </w:r>
    </w:p>
    <w:p>
      <w:pPr>
        <w:pStyle w:val="6"/>
        <w:outlineLvl w:val="9"/>
        <w:rPr>
          <w:rFonts w:hint="eastAsia" w:ascii="黑体" w:hAnsi="黑体" w:eastAsia="黑体" w:cs="黑体"/>
          <w:sz w:val="24"/>
        </w:rPr>
      </w:pPr>
      <w:bookmarkStart w:id="110" w:name="_Toc39669648"/>
      <w:bookmarkStart w:id="111" w:name="_Toc39945709"/>
      <w:bookmarkStart w:id="112" w:name="_Toc14250"/>
      <w:bookmarkStart w:id="113" w:name="_Toc29169"/>
    </w:p>
    <w:p>
      <w:pPr>
        <w:pStyle w:val="6"/>
        <w:outlineLvl w:val="9"/>
        <w:rPr>
          <w:rFonts w:hint="eastAsia" w:ascii="黑体" w:hAnsi="黑体" w:eastAsia="黑体" w:cs="黑体"/>
          <w:sz w:val="24"/>
        </w:rPr>
      </w:pPr>
    </w:p>
    <w:p>
      <w:pPr>
        <w:pStyle w:val="6"/>
        <w:jc w:val="left"/>
        <w:rPr>
          <w:rFonts w:hint="eastAsia" w:ascii="黑体" w:hAnsi="黑体" w:eastAsia="黑体" w:cs="黑体"/>
          <w:b/>
          <w:bCs/>
          <w:sz w:val="24"/>
        </w:rPr>
      </w:pPr>
      <w:r>
        <w:rPr>
          <w:rFonts w:hint="eastAsia" w:ascii="黑体" w:hAnsi="黑体" w:eastAsia="黑体" w:cs="黑体"/>
          <w:b/>
          <w:bCs/>
          <w:sz w:val="24"/>
        </w:rPr>
        <w:t>附件七：商务条款偏离表</w:t>
      </w:r>
      <w:bookmarkEnd w:id="110"/>
      <w:bookmarkEnd w:id="111"/>
      <w:bookmarkEnd w:id="112"/>
      <w:bookmarkEnd w:id="113"/>
    </w:p>
    <w:p>
      <w:pPr>
        <w:spacing w:line="400" w:lineRule="atLeast"/>
        <w:rPr>
          <w:rFonts w:hint="eastAsia" w:ascii="黑体" w:hAnsi="黑体" w:eastAsia="黑体" w:cs="黑体"/>
          <w:sz w:val="24"/>
          <w:u w:val="single"/>
        </w:rPr>
      </w:pPr>
      <w:r>
        <w:rPr>
          <w:rFonts w:hint="eastAsia" w:ascii="黑体" w:hAnsi="黑体" w:eastAsia="黑体" w:cs="黑体"/>
          <w:sz w:val="24"/>
        </w:rPr>
        <w:t>供应商名称（公章）：</w:t>
      </w:r>
      <w:r>
        <w:rPr>
          <w:rFonts w:hint="eastAsia" w:ascii="黑体" w:hAnsi="黑体" w:eastAsia="黑体" w:cs="黑体"/>
          <w:sz w:val="24"/>
          <w:u w:val="single"/>
        </w:rPr>
        <w:t xml:space="preserve">         　　　　　  </w:t>
      </w:r>
      <w:r>
        <w:rPr>
          <w:rFonts w:hint="eastAsia" w:ascii="黑体" w:hAnsi="黑体" w:eastAsia="黑体" w:cs="黑体"/>
          <w:sz w:val="24"/>
        </w:rPr>
        <w:t>项目编号/包号：</w:t>
      </w:r>
      <w:r>
        <w:rPr>
          <w:rFonts w:hint="eastAsia" w:ascii="黑体" w:hAnsi="黑体" w:eastAsia="黑体" w:cs="黑体"/>
          <w:sz w:val="24"/>
          <w:u w:val="single"/>
        </w:rPr>
        <w:t>　　　　　　　　　　　</w:t>
      </w:r>
    </w:p>
    <w:tbl>
      <w:tblPr>
        <w:tblStyle w:val="42"/>
        <w:tblW w:w="10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665"/>
        <w:gridCol w:w="2964"/>
        <w:gridCol w:w="2394"/>
        <w:gridCol w:w="150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56"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序号</w:t>
            </w:r>
          </w:p>
        </w:tc>
        <w:tc>
          <w:tcPr>
            <w:tcW w:w="1665"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lang w:val="en-US" w:eastAsia="zh-CN"/>
              </w:rPr>
              <w:t>招标</w:t>
            </w:r>
            <w:r>
              <w:rPr>
                <w:rFonts w:hint="eastAsia" w:ascii="黑体" w:hAnsi="黑体" w:eastAsia="黑体" w:cs="黑体"/>
                <w:sz w:val="24"/>
              </w:rPr>
              <w:t>文件</w:t>
            </w:r>
          </w:p>
          <w:p>
            <w:pPr>
              <w:spacing w:line="400" w:lineRule="atLeast"/>
              <w:jc w:val="center"/>
              <w:rPr>
                <w:rFonts w:hint="eastAsia" w:ascii="黑体" w:hAnsi="黑体" w:eastAsia="黑体" w:cs="黑体"/>
                <w:sz w:val="24"/>
              </w:rPr>
            </w:pPr>
            <w:r>
              <w:rPr>
                <w:rFonts w:hint="eastAsia" w:ascii="黑体" w:hAnsi="黑体" w:eastAsia="黑体" w:cs="黑体"/>
                <w:sz w:val="24"/>
              </w:rPr>
              <w:t>条目号</w:t>
            </w:r>
          </w:p>
        </w:tc>
        <w:tc>
          <w:tcPr>
            <w:tcW w:w="2964"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lang w:val="en-US" w:eastAsia="zh-CN"/>
              </w:rPr>
              <w:t>招标</w:t>
            </w:r>
            <w:r>
              <w:rPr>
                <w:rFonts w:hint="eastAsia" w:ascii="黑体" w:hAnsi="黑体" w:eastAsia="黑体" w:cs="黑体"/>
                <w:sz w:val="24"/>
              </w:rPr>
              <w:t>文件的商务条款</w:t>
            </w:r>
          </w:p>
        </w:tc>
        <w:tc>
          <w:tcPr>
            <w:tcW w:w="2394"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lang w:val="en-US" w:eastAsia="zh-CN"/>
              </w:rPr>
              <w:t>招标</w:t>
            </w:r>
            <w:r>
              <w:rPr>
                <w:rFonts w:hint="eastAsia" w:ascii="黑体" w:hAnsi="黑体" w:eastAsia="黑体" w:cs="黑体"/>
                <w:sz w:val="24"/>
              </w:rPr>
              <w:t>文件的商务条款</w:t>
            </w:r>
          </w:p>
        </w:tc>
        <w:tc>
          <w:tcPr>
            <w:tcW w:w="1502" w:type="dxa"/>
            <w:noWrap w:val="0"/>
            <w:vAlign w:val="center"/>
          </w:tcPr>
          <w:p>
            <w:pPr>
              <w:spacing w:line="400" w:lineRule="atLeast"/>
              <w:jc w:val="center"/>
              <w:rPr>
                <w:rFonts w:hint="eastAsia" w:ascii="黑体" w:hAnsi="黑体" w:eastAsia="黑体" w:cs="黑体"/>
                <w:sz w:val="24"/>
              </w:rPr>
            </w:pPr>
            <w:r>
              <w:rPr>
                <w:rFonts w:hint="eastAsia" w:ascii="黑体" w:hAnsi="黑体" w:eastAsia="黑体" w:cs="黑体"/>
                <w:sz w:val="24"/>
              </w:rPr>
              <w:t>说明</w:t>
            </w:r>
          </w:p>
        </w:tc>
        <w:tc>
          <w:tcPr>
            <w:tcW w:w="1022" w:type="dxa"/>
            <w:noWrap w:val="0"/>
            <w:vAlign w:val="center"/>
          </w:tcPr>
          <w:p>
            <w:pPr>
              <w:spacing w:line="400" w:lineRule="atLeast"/>
              <w:jc w:val="center"/>
              <w:rPr>
                <w:rFonts w:hint="eastAsia" w:ascii="黑体" w:hAnsi="黑体" w:eastAsia="黑体" w:cs="黑体"/>
                <w:sz w:val="24"/>
                <w:lang w:val="en-US" w:eastAsia="zh-CN"/>
              </w:rPr>
            </w:pPr>
            <w:r>
              <w:rPr>
                <w:rFonts w:hint="eastAsia" w:ascii="黑体" w:hAnsi="黑体" w:eastAsia="黑体" w:cs="黑体"/>
                <w:sz w:val="24"/>
                <w:lang w:val="en-US" w:eastAsia="zh-CN"/>
              </w:rPr>
              <w:t>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56"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665"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2964" w:type="dxa"/>
            <w:noWrap w:val="0"/>
            <w:vAlign w:val="top"/>
          </w:tcPr>
          <w:p>
            <w:pPr>
              <w:spacing w:line="400" w:lineRule="atLeast"/>
              <w:rPr>
                <w:rFonts w:hint="eastAsia" w:ascii="黑体" w:hAnsi="黑体" w:eastAsia="黑体" w:cs="黑体"/>
                <w:sz w:val="24"/>
              </w:rPr>
            </w:pPr>
          </w:p>
        </w:tc>
        <w:tc>
          <w:tcPr>
            <w:tcW w:w="2394" w:type="dxa"/>
            <w:noWrap w:val="0"/>
            <w:vAlign w:val="top"/>
          </w:tcPr>
          <w:p>
            <w:pPr>
              <w:spacing w:line="400" w:lineRule="atLeast"/>
              <w:rPr>
                <w:rFonts w:hint="eastAsia" w:ascii="黑体" w:hAnsi="黑体" w:eastAsia="黑体" w:cs="黑体"/>
                <w:sz w:val="24"/>
              </w:rPr>
            </w:pPr>
          </w:p>
        </w:tc>
        <w:tc>
          <w:tcPr>
            <w:tcW w:w="1502" w:type="dxa"/>
            <w:noWrap w:val="0"/>
            <w:vAlign w:val="top"/>
          </w:tcPr>
          <w:p>
            <w:pPr>
              <w:spacing w:line="400" w:lineRule="atLeast"/>
              <w:rPr>
                <w:rFonts w:hint="eastAsia" w:ascii="黑体" w:hAnsi="黑体" w:eastAsia="黑体" w:cs="黑体"/>
                <w:sz w:val="24"/>
              </w:rPr>
            </w:pPr>
          </w:p>
        </w:tc>
        <w:tc>
          <w:tcPr>
            <w:tcW w:w="1022"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56"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665"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2964" w:type="dxa"/>
            <w:noWrap w:val="0"/>
            <w:vAlign w:val="top"/>
          </w:tcPr>
          <w:p>
            <w:pPr>
              <w:spacing w:line="400" w:lineRule="atLeast"/>
              <w:rPr>
                <w:rFonts w:hint="eastAsia" w:ascii="黑体" w:hAnsi="黑体" w:eastAsia="黑体" w:cs="黑体"/>
                <w:sz w:val="24"/>
              </w:rPr>
            </w:pPr>
          </w:p>
        </w:tc>
        <w:tc>
          <w:tcPr>
            <w:tcW w:w="2394" w:type="dxa"/>
            <w:noWrap w:val="0"/>
            <w:vAlign w:val="top"/>
          </w:tcPr>
          <w:p>
            <w:pPr>
              <w:spacing w:line="400" w:lineRule="atLeast"/>
              <w:rPr>
                <w:rFonts w:hint="eastAsia" w:ascii="黑体" w:hAnsi="黑体" w:eastAsia="黑体" w:cs="黑体"/>
                <w:sz w:val="24"/>
              </w:rPr>
            </w:pPr>
          </w:p>
        </w:tc>
        <w:tc>
          <w:tcPr>
            <w:tcW w:w="1502" w:type="dxa"/>
            <w:noWrap w:val="0"/>
            <w:vAlign w:val="top"/>
          </w:tcPr>
          <w:p>
            <w:pPr>
              <w:spacing w:line="400" w:lineRule="atLeast"/>
              <w:rPr>
                <w:rFonts w:hint="eastAsia" w:ascii="黑体" w:hAnsi="黑体" w:eastAsia="黑体" w:cs="黑体"/>
                <w:sz w:val="24"/>
              </w:rPr>
            </w:pPr>
          </w:p>
        </w:tc>
        <w:tc>
          <w:tcPr>
            <w:tcW w:w="1022"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56"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665"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2964" w:type="dxa"/>
            <w:noWrap w:val="0"/>
            <w:vAlign w:val="top"/>
          </w:tcPr>
          <w:p>
            <w:pPr>
              <w:spacing w:line="400" w:lineRule="atLeast"/>
              <w:rPr>
                <w:rFonts w:hint="eastAsia" w:ascii="黑体" w:hAnsi="黑体" w:eastAsia="黑体" w:cs="黑体"/>
                <w:sz w:val="24"/>
              </w:rPr>
            </w:pPr>
          </w:p>
        </w:tc>
        <w:tc>
          <w:tcPr>
            <w:tcW w:w="2394" w:type="dxa"/>
            <w:noWrap w:val="0"/>
            <w:vAlign w:val="top"/>
          </w:tcPr>
          <w:p>
            <w:pPr>
              <w:spacing w:line="400" w:lineRule="atLeast"/>
              <w:rPr>
                <w:rFonts w:hint="eastAsia" w:ascii="黑体" w:hAnsi="黑体" w:eastAsia="黑体" w:cs="黑体"/>
                <w:sz w:val="24"/>
              </w:rPr>
            </w:pPr>
          </w:p>
        </w:tc>
        <w:tc>
          <w:tcPr>
            <w:tcW w:w="1502" w:type="dxa"/>
            <w:noWrap w:val="0"/>
            <w:vAlign w:val="top"/>
          </w:tcPr>
          <w:p>
            <w:pPr>
              <w:spacing w:line="400" w:lineRule="atLeast"/>
              <w:rPr>
                <w:rFonts w:hint="eastAsia" w:ascii="黑体" w:hAnsi="黑体" w:eastAsia="黑体" w:cs="黑体"/>
                <w:sz w:val="24"/>
              </w:rPr>
            </w:pPr>
          </w:p>
        </w:tc>
        <w:tc>
          <w:tcPr>
            <w:tcW w:w="1022"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56"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665"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2964" w:type="dxa"/>
            <w:noWrap w:val="0"/>
            <w:vAlign w:val="top"/>
          </w:tcPr>
          <w:p>
            <w:pPr>
              <w:spacing w:line="400" w:lineRule="atLeast"/>
              <w:rPr>
                <w:rFonts w:hint="eastAsia" w:ascii="黑体" w:hAnsi="黑体" w:eastAsia="黑体" w:cs="黑体"/>
                <w:sz w:val="24"/>
              </w:rPr>
            </w:pPr>
          </w:p>
        </w:tc>
        <w:tc>
          <w:tcPr>
            <w:tcW w:w="2394" w:type="dxa"/>
            <w:noWrap w:val="0"/>
            <w:vAlign w:val="top"/>
          </w:tcPr>
          <w:p>
            <w:pPr>
              <w:spacing w:line="400" w:lineRule="atLeast"/>
              <w:rPr>
                <w:rFonts w:hint="eastAsia" w:ascii="黑体" w:hAnsi="黑体" w:eastAsia="黑体" w:cs="黑体"/>
                <w:sz w:val="24"/>
              </w:rPr>
            </w:pPr>
          </w:p>
        </w:tc>
        <w:tc>
          <w:tcPr>
            <w:tcW w:w="1502" w:type="dxa"/>
            <w:noWrap w:val="0"/>
            <w:vAlign w:val="top"/>
          </w:tcPr>
          <w:p>
            <w:pPr>
              <w:spacing w:line="400" w:lineRule="atLeast"/>
              <w:rPr>
                <w:rFonts w:hint="eastAsia" w:ascii="黑体" w:hAnsi="黑体" w:eastAsia="黑体" w:cs="黑体"/>
                <w:sz w:val="24"/>
              </w:rPr>
            </w:pPr>
          </w:p>
        </w:tc>
        <w:tc>
          <w:tcPr>
            <w:tcW w:w="1022"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56"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665"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2964" w:type="dxa"/>
            <w:noWrap w:val="0"/>
            <w:vAlign w:val="top"/>
          </w:tcPr>
          <w:p>
            <w:pPr>
              <w:spacing w:line="400" w:lineRule="atLeast"/>
              <w:rPr>
                <w:rFonts w:hint="eastAsia" w:ascii="黑体" w:hAnsi="黑体" w:eastAsia="黑体" w:cs="黑体"/>
                <w:sz w:val="24"/>
              </w:rPr>
            </w:pPr>
          </w:p>
        </w:tc>
        <w:tc>
          <w:tcPr>
            <w:tcW w:w="2394" w:type="dxa"/>
            <w:noWrap w:val="0"/>
            <w:vAlign w:val="top"/>
          </w:tcPr>
          <w:p>
            <w:pPr>
              <w:spacing w:line="400" w:lineRule="atLeast"/>
              <w:rPr>
                <w:rFonts w:hint="eastAsia" w:ascii="黑体" w:hAnsi="黑体" w:eastAsia="黑体" w:cs="黑体"/>
                <w:sz w:val="24"/>
              </w:rPr>
            </w:pPr>
          </w:p>
        </w:tc>
        <w:tc>
          <w:tcPr>
            <w:tcW w:w="1502" w:type="dxa"/>
            <w:noWrap w:val="0"/>
            <w:vAlign w:val="top"/>
          </w:tcPr>
          <w:p>
            <w:pPr>
              <w:spacing w:line="400" w:lineRule="atLeast"/>
              <w:rPr>
                <w:rFonts w:hint="eastAsia" w:ascii="黑体" w:hAnsi="黑体" w:eastAsia="黑体" w:cs="黑体"/>
                <w:sz w:val="24"/>
              </w:rPr>
            </w:pPr>
          </w:p>
        </w:tc>
        <w:tc>
          <w:tcPr>
            <w:tcW w:w="1022"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56"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665"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2964" w:type="dxa"/>
            <w:noWrap w:val="0"/>
            <w:vAlign w:val="top"/>
          </w:tcPr>
          <w:p>
            <w:pPr>
              <w:spacing w:line="400" w:lineRule="atLeast"/>
              <w:rPr>
                <w:rFonts w:hint="eastAsia" w:ascii="黑体" w:hAnsi="黑体" w:eastAsia="黑体" w:cs="黑体"/>
                <w:sz w:val="24"/>
              </w:rPr>
            </w:pPr>
          </w:p>
        </w:tc>
        <w:tc>
          <w:tcPr>
            <w:tcW w:w="2394" w:type="dxa"/>
            <w:noWrap w:val="0"/>
            <w:vAlign w:val="top"/>
          </w:tcPr>
          <w:p>
            <w:pPr>
              <w:spacing w:line="400" w:lineRule="atLeast"/>
              <w:rPr>
                <w:rFonts w:hint="eastAsia" w:ascii="黑体" w:hAnsi="黑体" w:eastAsia="黑体" w:cs="黑体"/>
                <w:sz w:val="24"/>
              </w:rPr>
            </w:pPr>
          </w:p>
        </w:tc>
        <w:tc>
          <w:tcPr>
            <w:tcW w:w="1502" w:type="dxa"/>
            <w:noWrap w:val="0"/>
            <w:vAlign w:val="top"/>
          </w:tcPr>
          <w:p>
            <w:pPr>
              <w:spacing w:line="400" w:lineRule="atLeast"/>
              <w:rPr>
                <w:rFonts w:hint="eastAsia" w:ascii="黑体" w:hAnsi="黑体" w:eastAsia="黑体" w:cs="黑体"/>
                <w:sz w:val="24"/>
              </w:rPr>
            </w:pPr>
          </w:p>
        </w:tc>
        <w:tc>
          <w:tcPr>
            <w:tcW w:w="1022"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56"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665"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2964" w:type="dxa"/>
            <w:noWrap w:val="0"/>
            <w:vAlign w:val="top"/>
          </w:tcPr>
          <w:p>
            <w:pPr>
              <w:spacing w:line="400" w:lineRule="atLeast"/>
              <w:rPr>
                <w:rFonts w:hint="eastAsia" w:ascii="黑体" w:hAnsi="黑体" w:eastAsia="黑体" w:cs="黑体"/>
                <w:sz w:val="24"/>
              </w:rPr>
            </w:pPr>
          </w:p>
        </w:tc>
        <w:tc>
          <w:tcPr>
            <w:tcW w:w="2394" w:type="dxa"/>
            <w:noWrap w:val="0"/>
            <w:vAlign w:val="top"/>
          </w:tcPr>
          <w:p>
            <w:pPr>
              <w:spacing w:line="400" w:lineRule="atLeast"/>
              <w:rPr>
                <w:rFonts w:hint="eastAsia" w:ascii="黑体" w:hAnsi="黑体" w:eastAsia="黑体" w:cs="黑体"/>
                <w:sz w:val="24"/>
              </w:rPr>
            </w:pPr>
          </w:p>
        </w:tc>
        <w:tc>
          <w:tcPr>
            <w:tcW w:w="1502" w:type="dxa"/>
            <w:noWrap w:val="0"/>
            <w:vAlign w:val="top"/>
          </w:tcPr>
          <w:p>
            <w:pPr>
              <w:spacing w:line="400" w:lineRule="atLeast"/>
              <w:rPr>
                <w:rFonts w:hint="eastAsia" w:ascii="黑体" w:hAnsi="黑体" w:eastAsia="黑体" w:cs="黑体"/>
                <w:sz w:val="24"/>
              </w:rPr>
            </w:pPr>
          </w:p>
        </w:tc>
        <w:tc>
          <w:tcPr>
            <w:tcW w:w="1022"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56"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665"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2964" w:type="dxa"/>
            <w:noWrap w:val="0"/>
            <w:vAlign w:val="top"/>
          </w:tcPr>
          <w:p>
            <w:pPr>
              <w:spacing w:line="400" w:lineRule="atLeast"/>
              <w:rPr>
                <w:rFonts w:hint="eastAsia" w:ascii="黑体" w:hAnsi="黑体" w:eastAsia="黑体" w:cs="黑体"/>
                <w:sz w:val="24"/>
              </w:rPr>
            </w:pPr>
          </w:p>
        </w:tc>
        <w:tc>
          <w:tcPr>
            <w:tcW w:w="2394" w:type="dxa"/>
            <w:noWrap w:val="0"/>
            <w:vAlign w:val="top"/>
          </w:tcPr>
          <w:p>
            <w:pPr>
              <w:spacing w:line="400" w:lineRule="atLeast"/>
              <w:rPr>
                <w:rFonts w:hint="eastAsia" w:ascii="黑体" w:hAnsi="黑体" w:eastAsia="黑体" w:cs="黑体"/>
                <w:sz w:val="24"/>
              </w:rPr>
            </w:pPr>
          </w:p>
        </w:tc>
        <w:tc>
          <w:tcPr>
            <w:tcW w:w="1502" w:type="dxa"/>
            <w:noWrap w:val="0"/>
            <w:vAlign w:val="top"/>
          </w:tcPr>
          <w:p>
            <w:pPr>
              <w:spacing w:line="400" w:lineRule="atLeast"/>
              <w:rPr>
                <w:rFonts w:hint="eastAsia" w:ascii="黑体" w:hAnsi="黑体" w:eastAsia="黑体" w:cs="黑体"/>
                <w:sz w:val="24"/>
              </w:rPr>
            </w:pPr>
          </w:p>
        </w:tc>
        <w:tc>
          <w:tcPr>
            <w:tcW w:w="1022"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56"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665"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2964" w:type="dxa"/>
            <w:noWrap w:val="0"/>
            <w:vAlign w:val="top"/>
          </w:tcPr>
          <w:p>
            <w:pPr>
              <w:spacing w:line="400" w:lineRule="atLeast"/>
              <w:rPr>
                <w:rFonts w:hint="eastAsia" w:ascii="黑体" w:hAnsi="黑体" w:eastAsia="黑体" w:cs="黑体"/>
                <w:sz w:val="24"/>
              </w:rPr>
            </w:pPr>
          </w:p>
        </w:tc>
        <w:tc>
          <w:tcPr>
            <w:tcW w:w="2394" w:type="dxa"/>
            <w:noWrap w:val="0"/>
            <w:vAlign w:val="top"/>
          </w:tcPr>
          <w:p>
            <w:pPr>
              <w:spacing w:line="400" w:lineRule="atLeast"/>
              <w:rPr>
                <w:rFonts w:hint="eastAsia" w:ascii="黑体" w:hAnsi="黑体" w:eastAsia="黑体" w:cs="黑体"/>
                <w:sz w:val="24"/>
              </w:rPr>
            </w:pPr>
          </w:p>
        </w:tc>
        <w:tc>
          <w:tcPr>
            <w:tcW w:w="1502" w:type="dxa"/>
            <w:noWrap w:val="0"/>
            <w:vAlign w:val="top"/>
          </w:tcPr>
          <w:p>
            <w:pPr>
              <w:spacing w:line="400" w:lineRule="atLeast"/>
              <w:rPr>
                <w:rFonts w:hint="eastAsia" w:ascii="黑体" w:hAnsi="黑体" w:eastAsia="黑体" w:cs="黑体"/>
                <w:sz w:val="24"/>
              </w:rPr>
            </w:pPr>
          </w:p>
        </w:tc>
        <w:tc>
          <w:tcPr>
            <w:tcW w:w="1022"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56"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665"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2964" w:type="dxa"/>
            <w:noWrap w:val="0"/>
            <w:vAlign w:val="top"/>
          </w:tcPr>
          <w:p>
            <w:pPr>
              <w:spacing w:line="400" w:lineRule="atLeast"/>
              <w:rPr>
                <w:rFonts w:hint="eastAsia" w:ascii="黑体" w:hAnsi="黑体" w:eastAsia="黑体" w:cs="黑体"/>
                <w:sz w:val="24"/>
              </w:rPr>
            </w:pPr>
          </w:p>
        </w:tc>
        <w:tc>
          <w:tcPr>
            <w:tcW w:w="2394" w:type="dxa"/>
            <w:noWrap w:val="0"/>
            <w:vAlign w:val="top"/>
          </w:tcPr>
          <w:p>
            <w:pPr>
              <w:spacing w:line="400" w:lineRule="atLeast"/>
              <w:rPr>
                <w:rFonts w:hint="eastAsia" w:ascii="黑体" w:hAnsi="黑体" w:eastAsia="黑体" w:cs="黑体"/>
                <w:sz w:val="24"/>
              </w:rPr>
            </w:pPr>
          </w:p>
        </w:tc>
        <w:tc>
          <w:tcPr>
            <w:tcW w:w="1502" w:type="dxa"/>
            <w:noWrap w:val="0"/>
            <w:vAlign w:val="top"/>
          </w:tcPr>
          <w:p>
            <w:pPr>
              <w:spacing w:line="400" w:lineRule="atLeast"/>
              <w:rPr>
                <w:rFonts w:hint="eastAsia" w:ascii="黑体" w:hAnsi="黑体" w:eastAsia="黑体" w:cs="黑体"/>
                <w:sz w:val="24"/>
              </w:rPr>
            </w:pPr>
          </w:p>
        </w:tc>
        <w:tc>
          <w:tcPr>
            <w:tcW w:w="1022"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56"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665"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2964" w:type="dxa"/>
            <w:noWrap w:val="0"/>
            <w:vAlign w:val="top"/>
          </w:tcPr>
          <w:p>
            <w:pPr>
              <w:spacing w:line="400" w:lineRule="atLeast"/>
              <w:rPr>
                <w:rFonts w:hint="eastAsia" w:ascii="黑体" w:hAnsi="黑体" w:eastAsia="黑体" w:cs="黑体"/>
                <w:sz w:val="24"/>
              </w:rPr>
            </w:pPr>
          </w:p>
        </w:tc>
        <w:tc>
          <w:tcPr>
            <w:tcW w:w="2394" w:type="dxa"/>
            <w:noWrap w:val="0"/>
            <w:vAlign w:val="top"/>
          </w:tcPr>
          <w:p>
            <w:pPr>
              <w:spacing w:line="400" w:lineRule="atLeast"/>
              <w:rPr>
                <w:rFonts w:hint="eastAsia" w:ascii="黑体" w:hAnsi="黑体" w:eastAsia="黑体" w:cs="黑体"/>
                <w:sz w:val="24"/>
              </w:rPr>
            </w:pPr>
          </w:p>
        </w:tc>
        <w:tc>
          <w:tcPr>
            <w:tcW w:w="1502" w:type="dxa"/>
            <w:noWrap w:val="0"/>
            <w:vAlign w:val="top"/>
          </w:tcPr>
          <w:p>
            <w:pPr>
              <w:spacing w:line="400" w:lineRule="atLeast"/>
              <w:rPr>
                <w:rFonts w:hint="eastAsia" w:ascii="黑体" w:hAnsi="黑体" w:eastAsia="黑体" w:cs="黑体"/>
                <w:sz w:val="24"/>
              </w:rPr>
            </w:pPr>
          </w:p>
        </w:tc>
        <w:tc>
          <w:tcPr>
            <w:tcW w:w="1022"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56"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665"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2964" w:type="dxa"/>
            <w:noWrap w:val="0"/>
            <w:vAlign w:val="top"/>
          </w:tcPr>
          <w:p>
            <w:pPr>
              <w:spacing w:line="400" w:lineRule="atLeast"/>
              <w:rPr>
                <w:rFonts w:hint="eastAsia" w:ascii="黑体" w:hAnsi="黑体" w:eastAsia="黑体" w:cs="黑体"/>
                <w:sz w:val="24"/>
              </w:rPr>
            </w:pPr>
          </w:p>
        </w:tc>
        <w:tc>
          <w:tcPr>
            <w:tcW w:w="2394" w:type="dxa"/>
            <w:noWrap w:val="0"/>
            <w:vAlign w:val="top"/>
          </w:tcPr>
          <w:p>
            <w:pPr>
              <w:spacing w:line="400" w:lineRule="atLeast"/>
              <w:rPr>
                <w:rFonts w:hint="eastAsia" w:ascii="黑体" w:hAnsi="黑体" w:eastAsia="黑体" w:cs="黑体"/>
                <w:sz w:val="24"/>
              </w:rPr>
            </w:pPr>
          </w:p>
        </w:tc>
        <w:tc>
          <w:tcPr>
            <w:tcW w:w="1502" w:type="dxa"/>
            <w:noWrap w:val="0"/>
            <w:vAlign w:val="top"/>
          </w:tcPr>
          <w:p>
            <w:pPr>
              <w:spacing w:line="400" w:lineRule="atLeast"/>
              <w:rPr>
                <w:rFonts w:hint="eastAsia" w:ascii="黑体" w:hAnsi="黑体" w:eastAsia="黑体" w:cs="黑体"/>
                <w:sz w:val="24"/>
              </w:rPr>
            </w:pPr>
          </w:p>
        </w:tc>
        <w:tc>
          <w:tcPr>
            <w:tcW w:w="1022" w:type="dxa"/>
            <w:noWrap w:val="0"/>
            <w:vAlign w:val="top"/>
          </w:tcPr>
          <w:p>
            <w:pPr>
              <w:spacing w:line="400" w:lineRule="atLeas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56" w:type="dxa"/>
            <w:noWrap w:val="0"/>
            <w:vAlign w:val="top"/>
          </w:tcPr>
          <w:p>
            <w:pPr>
              <w:spacing w:line="400" w:lineRule="atLeast"/>
              <w:rPr>
                <w:rFonts w:hint="eastAsia" w:ascii="黑体" w:hAnsi="黑体" w:eastAsia="黑体" w:cs="黑体"/>
                <w:sz w:val="24"/>
              </w:rPr>
            </w:pPr>
          </w:p>
          <w:p>
            <w:pPr>
              <w:spacing w:line="400" w:lineRule="atLeast"/>
              <w:rPr>
                <w:rFonts w:hint="eastAsia" w:ascii="黑体" w:hAnsi="黑体" w:eastAsia="黑体" w:cs="黑体"/>
                <w:sz w:val="24"/>
              </w:rPr>
            </w:pPr>
          </w:p>
        </w:tc>
        <w:tc>
          <w:tcPr>
            <w:tcW w:w="1665" w:type="dxa"/>
            <w:noWrap w:val="0"/>
            <w:vAlign w:val="top"/>
          </w:tcPr>
          <w:p>
            <w:pPr>
              <w:widowControl/>
              <w:spacing w:line="400" w:lineRule="atLeast"/>
              <w:jc w:val="left"/>
              <w:rPr>
                <w:rFonts w:hint="eastAsia" w:ascii="黑体" w:hAnsi="黑体" w:eastAsia="黑体" w:cs="黑体"/>
                <w:sz w:val="24"/>
              </w:rPr>
            </w:pPr>
          </w:p>
          <w:p>
            <w:pPr>
              <w:spacing w:line="400" w:lineRule="atLeast"/>
              <w:rPr>
                <w:rFonts w:hint="eastAsia" w:ascii="黑体" w:hAnsi="黑体" w:eastAsia="黑体" w:cs="黑体"/>
                <w:sz w:val="24"/>
              </w:rPr>
            </w:pPr>
          </w:p>
        </w:tc>
        <w:tc>
          <w:tcPr>
            <w:tcW w:w="2964" w:type="dxa"/>
            <w:noWrap w:val="0"/>
            <w:vAlign w:val="top"/>
          </w:tcPr>
          <w:p>
            <w:pPr>
              <w:spacing w:line="400" w:lineRule="atLeast"/>
              <w:rPr>
                <w:rFonts w:hint="eastAsia" w:ascii="黑体" w:hAnsi="黑体" w:eastAsia="黑体" w:cs="黑体"/>
                <w:sz w:val="24"/>
              </w:rPr>
            </w:pPr>
          </w:p>
        </w:tc>
        <w:tc>
          <w:tcPr>
            <w:tcW w:w="2394" w:type="dxa"/>
            <w:noWrap w:val="0"/>
            <w:vAlign w:val="top"/>
          </w:tcPr>
          <w:p>
            <w:pPr>
              <w:spacing w:line="400" w:lineRule="atLeast"/>
              <w:rPr>
                <w:rFonts w:hint="eastAsia" w:ascii="黑体" w:hAnsi="黑体" w:eastAsia="黑体" w:cs="黑体"/>
                <w:sz w:val="24"/>
              </w:rPr>
            </w:pPr>
          </w:p>
        </w:tc>
        <w:tc>
          <w:tcPr>
            <w:tcW w:w="1502" w:type="dxa"/>
            <w:noWrap w:val="0"/>
            <w:vAlign w:val="top"/>
          </w:tcPr>
          <w:p>
            <w:pPr>
              <w:spacing w:line="400" w:lineRule="atLeast"/>
              <w:rPr>
                <w:rFonts w:hint="eastAsia" w:ascii="黑体" w:hAnsi="黑体" w:eastAsia="黑体" w:cs="黑体"/>
                <w:sz w:val="24"/>
              </w:rPr>
            </w:pPr>
          </w:p>
        </w:tc>
        <w:tc>
          <w:tcPr>
            <w:tcW w:w="1022" w:type="dxa"/>
            <w:noWrap w:val="0"/>
            <w:vAlign w:val="top"/>
          </w:tcPr>
          <w:p>
            <w:pPr>
              <w:spacing w:line="400" w:lineRule="atLeast"/>
              <w:rPr>
                <w:rFonts w:hint="eastAsia" w:ascii="黑体" w:hAnsi="黑体" w:eastAsia="黑体" w:cs="黑体"/>
                <w:sz w:val="24"/>
              </w:rPr>
            </w:pPr>
          </w:p>
        </w:tc>
      </w:tr>
    </w:tbl>
    <w:p>
      <w:pPr>
        <w:spacing w:line="400" w:lineRule="atLeast"/>
        <w:rPr>
          <w:rFonts w:hint="eastAsia" w:ascii="黑体" w:hAnsi="黑体" w:eastAsia="黑体" w:cs="黑体"/>
          <w:sz w:val="24"/>
        </w:rPr>
      </w:pPr>
      <w:r>
        <w:rPr>
          <w:rFonts w:hint="eastAsia" w:ascii="黑体" w:hAnsi="黑体" w:eastAsia="黑体" w:cs="黑体"/>
          <w:sz w:val="24"/>
        </w:rPr>
        <w:t>　</w:t>
      </w:r>
    </w:p>
    <w:p>
      <w:pPr>
        <w:spacing w:line="400" w:lineRule="atLeast"/>
        <w:rPr>
          <w:rFonts w:hint="eastAsia" w:ascii="黑体" w:hAnsi="黑体" w:eastAsia="黑体" w:cs="黑体"/>
          <w:sz w:val="24"/>
        </w:rPr>
      </w:pPr>
      <w:r>
        <w:rPr>
          <w:rFonts w:hint="eastAsia" w:ascii="黑体" w:hAnsi="黑体" w:eastAsia="黑体" w:cs="黑体"/>
          <w:sz w:val="24"/>
          <w:lang w:eastAsia="zh-CN"/>
        </w:rPr>
        <w:t>供应商法人或授权代表签字</w:t>
      </w:r>
      <w:r>
        <w:rPr>
          <w:rFonts w:hint="eastAsia" w:ascii="黑体" w:hAnsi="黑体" w:eastAsia="黑体" w:cs="黑体"/>
          <w:sz w:val="24"/>
        </w:rPr>
        <w:t>：</w:t>
      </w:r>
      <w:r>
        <w:rPr>
          <w:rFonts w:hint="eastAsia" w:ascii="黑体" w:hAnsi="黑体" w:eastAsia="黑体" w:cs="黑体"/>
          <w:sz w:val="24"/>
          <w:u w:val="single"/>
        </w:rPr>
        <w:t>　　　　　　　　　　　　　　　</w:t>
      </w:r>
      <w:r>
        <w:rPr>
          <w:rFonts w:hint="eastAsia" w:ascii="黑体" w:hAnsi="黑体" w:eastAsia="黑体" w:cs="黑体"/>
          <w:sz w:val="24"/>
        </w:rPr>
        <w:t>　</w:t>
      </w:r>
    </w:p>
    <w:p>
      <w:pPr>
        <w:spacing w:line="400" w:lineRule="atLeast"/>
        <w:jc w:val="center"/>
        <w:rPr>
          <w:rFonts w:hint="eastAsia" w:ascii="黑体" w:hAnsi="黑体" w:eastAsia="黑体" w:cs="黑体"/>
          <w:sz w:val="24"/>
        </w:rPr>
      </w:pPr>
    </w:p>
    <w:p>
      <w:pPr>
        <w:pStyle w:val="22"/>
        <w:adjustRightInd w:val="0"/>
        <w:snapToGrid w:val="0"/>
        <w:spacing w:line="400" w:lineRule="atLeast"/>
        <w:jc w:val="left"/>
        <w:outlineLvl w:val="1"/>
        <w:rPr>
          <w:rFonts w:hint="eastAsia" w:ascii="黑体" w:hAnsi="黑体" w:eastAsia="黑体" w:cs="黑体"/>
          <w:b/>
          <w:kern w:val="2"/>
          <w:sz w:val="24"/>
          <w:szCs w:val="22"/>
          <w:lang w:val="en-US" w:eastAsia="zh-CN"/>
        </w:rPr>
      </w:pPr>
      <w:r>
        <w:rPr>
          <w:rFonts w:hint="eastAsia" w:ascii="黑体" w:hAnsi="黑体" w:eastAsia="黑体" w:cs="黑体"/>
          <w:sz w:val="24"/>
        </w:rPr>
        <w:br w:type="page"/>
      </w:r>
      <w:bookmarkStart w:id="114" w:name="_Toc39669651"/>
      <w:bookmarkStart w:id="115" w:name="_Toc39945710"/>
      <w:bookmarkStart w:id="116" w:name="_Toc3290"/>
      <w:bookmarkStart w:id="117" w:name="_Toc8614"/>
      <w:r>
        <w:rPr>
          <w:rFonts w:hint="eastAsia" w:ascii="黑体" w:hAnsi="黑体" w:eastAsia="黑体" w:cs="黑体"/>
          <w:b/>
          <w:bCs/>
          <w:kern w:val="0"/>
          <w:sz w:val="24"/>
          <w:szCs w:val="28"/>
          <w:lang w:val="en-US" w:eastAsia="zh-CN" w:bidi="zh-CN"/>
        </w:rPr>
        <w:t>附件八：制造商出具的授权函</w:t>
      </w:r>
      <w:bookmarkEnd w:id="114"/>
      <w:bookmarkEnd w:id="115"/>
      <w:bookmarkEnd w:id="116"/>
      <w:bookmarkEnd w:id="117"/>
    </w:p>
    <w:p>
      <w:pPr>
        <w:pStyle w:val="22"/>
        <w:adjustRightInd w:val="0"/>
        <w:snapToGrid w:val="0"/>
        <w:spacing w:line="400" w:lineRule="atLeast"/>
        <w:rPr>
          <w:rFonts w:hint="eastAsia" w:ascii="黑体" w:hAnsi="黑体" w:eastAsia="黑体" w:cs="黑体"/>
          <w:i/>
          <w:sz w:val="24"/>
        </w:rPr>
      </w:pPr>
    </w:p>
    <w:p>
      <w:pPr>
        <w:pStyle w:val="22"/>
        <w:adjustRightInd w:val="0"/>
        <w:snapToGrid w:val="0"/>
        <w:spacing w:line="400" w:lineRule="atLeast"/>
        <w:rPr>
          <w:rFonts w:hint="eastAsia" w:ascii="黑体" w:hAnsi="黑体" w:eastAsia="黑体" w:cs="黑体"/>
          <w:i/>
          <w:sz w:val="24"/>
          <w:u w:val="single"/>
        </w:rPr>
      </w:pPr>
      <w:r>
        <w:rPr>
          <w:rFonts w:hint="eastAsia" w:ascii="黑体" w:hAnsi="黑体" w:eastAsia="黑体" w:cs="黑体"/>
          <w:i/>
          <w:sz w:val="24"/>
        </w:rPr>
        <w:t>致：</w:t>
      </w:r>
      <w:r>
        <w:rPr>
          <w:rFonts w:hint="eastAsia" w:ascii="黑体" w:hAnsi="黑体" w:eastAsia="黑体" w:cs="黑体"/>
          <w:i/>
          <w:sz w:val="24"/>
          <w:u w:val="single"/>
        </w:rPr>
        <w:t>(</w:t>
      </w:r>
      <w:r>
        <w:rPr>
          <w:rFonts w:hint="eastAsia" w:ascii="黑体" w:hAnsi="黑体" w:eastAsia="黑体" w:cs="黑体"/>
          <w:i/>
          <w:sz w:val="24"/>
          <w:u w:val="single"/>
          <w:lang w:val="en-US" w:eastAsia="zh-CN"/>
        </w:rPr>
        <w:t>采购代理</w:t>
      </w:r>
      <w:r>
        <w:rPr>
          <w:rFonts w:hint="eastAsia" w:ascii="黑体" w:hAnsi="黑体" w:eastAsia="黑体" w:cs="黑体"/>
          <w:i/>
          <w:sz w:val="24"/>
          <w:u w:val="single"/>
        </w:rPr>
        <w:t xml:space="preserve">机构)   </w:t>
      </w:r>
    </w:p>
    <w:p>
      <w:pPr>
        <w:pStyle w:val="22"/>
        <w:adjustRightInd w:val="0"/>
        <w:snapToGrid w:val="0"/>
        <w:spacing w:line="400" w:lineRule="atLeast"/>
        <w:rPr>
          <w:rFonts w:hint="eastAsia" w:ascii="黑体" w:hAnsi="黑体" w:eastAsia="黑体" w:cs="黑体"/>
          <w:sz w:val="24"/>
        </w:rPr>
      </w:pPr>
      <w:r>
        <w:rPr>
          <w:rFonts w:hint="eastAsia" w:ascii="黑体" w:hAnsi="黑体" w:eastAsia="黑体" w:cs="黑体"/>
          <w:sz w:val="24"/>
        </w:rPr>
        <w:t xml:space="preserve">    我们</w:t>
      </w:r>
      <w:r>
        <w:rPr>
          <w:rFonts w:hint="eastAsia" w:ascii="黑体" w:hAnsi="黑体" w:eastAsia="黑体" w:cs="黑体"/>
          <w:i/>
          <w:sz w:val="24"/>
          <w:u w:val="single"/>
        </w:rPr>
        <w:t>（制造商名称)</w:t>
      </w:r>
      <w:r>
        <w:rPr>
          <w:rFonts w:hint="eastAsia" w:ascii="黑体" w:hAnsi="黑体" w:eastAsia="黑体" w:cs="黑体"/>
          <w:sz w:val="24"/>
        </w:rPr>
        <w:t>兹指派主要营业地点设在</w:t>
      </w:r>
      <w:r>
        <w:rPr>
          <w:rFonts w:hint="eastAsia" w:ascii="黑体" w:hAnsi="黑体" w:eastAsia="黑体" w:cs="黑体"/>
          <w:sz w:val="24"/>
          <w:u w:val="single"/>
        </w:rPr>
        <w:t xml:space="preserve"> </w:t>
      </w:r>
      <w:r>
        <w:rPr>
          <w:rFonts w:hint="eastAsia" w:ascii="黑体" w:hAnsi="黑体" w:eastAsia="黑体" w:cs="黑体"/>
          <w:i/>
          <w:sz w:val="24"/>
          <w:u w:val="single"/>
        </w:rPr>
        <w:t xml:space="preserve">(贸易公司地址) </w:t>
      </w:r>
      <w:r>
        <w:rPr>
          <w:rFonts w:hint="eastAsia" w:ascii="黑体" w:hAnsi="黑体" w:eastAsia="黑体" w:cs="黑体"/>
          <w:sz w:val="24"/>
        </w:rPr>
        <w:t>的</w:t>
      </w:r>
      <w:r>
        <w:rPr>
          <w:rFonts w:hint="eastAsia" w:ascii="黑体" w:hAnsi="黑体" w:eastAsia="黑体" w:cs="黑体"/>
          <w:i/>
          <w:sz w:val="24"/>
          <w:u w:val="single"/>
        </w:rPr>
        <w:t xml:space="preserve">（贸易公司名称) </w:t>
      </w:r>
      <w:r>
        <w:rPr>
          <w:rFonts w:hint="eastAsia" w:ascii="黑体" w:hAnsi="黑体" w:eastAsia="黑体" w:cs="黑体"/>
          <w:sz w:val="24"/>
        </w:rPr>
        <w:t>作为我方真正的和合法的代理人进行下列有效的活动：</w:t>
      </w:r>
    </w:p>
    <w:p>
      <w:pPr>
        <w:pStyle w:val="22"/>
        <w:adjustRightInd w:val="0"/>
        <w:snapToGrid w:val="0"/>
        <w:spacing w:line="400" w:lineRule="atLeast"/>
        <w:ind w:firstLine="480" w:firstLineChars="200"/>
        <w:rPr>
          <w:rFonts w:hint="eastAsia" w:ascii="黑体" w:hAnsi="黑体" w:eastAsia="黑体" w:cs="黑体"/>
          <w:sz w:val="24"/>
        </w:rPr>
      </w:pPr>
      <w:r>
        <w:rPr>
          <w:rFonts w:hint="eastAsia" w:ascii="黑体" w:hAnsi="黑体" w:eastAsia="黑体" w:cs="黑体"/>
          <w:sz w:val="24"/>
        </w:rPr>
        <w:t>代表我方办理贵方第</w:t>
      </w:r>
      <w:r>
        <w:rPr>
          <w:rFonts w:hint="eastAsia" w:ascii="黑体" w:hAnsi="黑体" w:eastAsia="黑体" w:cs="黑体"/>
          <w:sz w:val="24"/>
          <w:u w:val="single"/>
          <w:lang w:val="en-US" w:eastAsia="zh-CN"/>
        </w:rPr>
        <w:t xml:space="preserve">   </w:t>
      </w:r>
      <w:r>
        <w:rPr>
          <w:rFonts w:hint="eastAsia" w:ascii="黑体" w:hAnsi="黑体" w:eastAsia="黑体" w:cs="黑体"/>
          <w:sz w:val="24"/>
          <w:u w:val="single"/>
        </w:rPr>
        <w:t xml:space="preserve">          </w:t>
      </w:r>
      <w:r>
        <w:rPr>
          <w:rFonts w:hint="eastAsia" w:ascii="黑体" w:hAnsi="黑体" w:eastAsia="黑体" w:cs="黑体"/>
          <w:sz w:val="24"/>
        </w:rPr>
        <w:t>号项目中要求提供的由我方制造</w:t>
      </w:r>
      <w:r>
        <w:rPr>
          <w:rFonts w:hint="eastAsia" w:ascii="黑体" w:hAnsi="黑体" w:eastAsia="黑体" w:cs="黑体"/>
          <w:sz w:val="24"/>
          <w:u w:val="single"/>
        </w:rPr>
        <w:t>（货物名称）</w:t>
      </w:r>
      <w:r>
        <w:rPr>
          <w:rFonts w:hint="eastAsia" w:ascii="黑体" w:hAnsi="黑体" w:eastAsia="黑体" w:cs="黑体"/>
          <w:sz w:val="24"/>
        </w:rPr>
        <w:t>货物的有关事宜，并对我方具有约束力；</w:t>
      </w:r>
    </w:p>
    <w:p>
      <w:pPr>
        <w:pStyle w:val="22"/>
        <w:adjustRightInd w:val="0"/>
        <w:snapToGrid w:val="0"/>
        <w:spacing w:line="400" w:lineRule="atLeast"/>
        <w:rPr>
          <w:rFonts w:hint="eastAsia" w:ascii="黑体" w:hAnsi="黑体" w:eastAsia="黑体" w:cs="黑体"/>
          <w:sz w:val="24"/>
        </w:rPr>
      </w:pPr>
      <w:r>
        <w:rPr>
          <w:rFonts w:hint="eastAsia" w:ascii="黑体" w:hAnsi="黑体" w:eastAsia="黑体" w:cs="黑体"/>
          <w:sz w:val="24"/>
        </w:rPr>
        <w:t xml:space="preserve">    (2)作为制造商，我方保证以投标合作者来约束自己，并对该投标共同和分别承担</w:t>
      </w:r>
      <w:r>
        <w:rPr>
          <w:rFonts w:hint="eastAsia" w:ascii="黑体" w:hAnsi="黑体" w:eastAsia="黑体" w:cs="黑体"/>
          <w:sz w:val="24"/>
          <w:lang w:val="en-US" w:eastAsia="zh-CN"/>
        </w:rPr>
        <w:t>招标</w:t>
      </w:r>
      <w:r>
        <w:rPr>
          <w:rFonts w:hint="eastAsia" w:ascii="黑体" w:hAnsi="黑体" w:eastAsia="黑体" w:cs="黑体"/>
          <w:sz w:val="24"/>
        </w:rPr>
        <w:t>文件中所规定的义务；</w:t>
      </w:r>
    </w:p>
    <w:p>
      <w:pPr>
        <w:pStyle w:val="22"/>
        <w:adjustRightInd w:val="0"/>
        <w:snapToGrid w:val="0"/>
        <w:spacing w:line="400" w:lineRule="atLeast"/>
        <w:ind w:firstLine="480"/>
        <w:rPr>
          <w:rFonts w:hint="eastAsia" w:ascii="黑体" w:hAnsi="黑体" w:eastAsia="黑体" w:cs="黑体"/>
          <w:sz w:val="24"/>
        </w:rPr>
      </w:pPr>
      <w:r>
        <w:rPr>
          <w:rFonts w:hint="eastAsia" w:ascii="黑体" w:hAnsi="黑体" w:eastAsia="黑体" w:cs="黑体"/>
          <w:sz w:val="24"/>
        </w:rPr>
        <w:t>(3)我方兹授予</w:t>
      </w:r>
      <w:r>
        <w:rPr>
          <w:rFonts w:hint="eastAsia" w:ascii="黑体" w:hAnsi="黑体" w:eastAsia="黑体" w:cs="黑体"/>
          <w:i/>
          <w:sz w:val="24"/>
          <w:u w:val="single"/>
        </w:rPr>
        <w:t>（贸易公司名称)</w:t>
      </w:r>
      <w:r>
        <w:rPr>
          <w:rFonts w:hint="eastAsia" w:ascii="黑体" w:hAnsi="黑体" w:eastAsia="黑体" w:cs="黑体"/>
          <w:sz w:val="24"/>
        </w:rPr>
        <w:t>全权办理和履行上述我方为完成上述各点所必须的事宜，具有替换或撤消的全权。兹确认</w:t>
      </w:r>
      <w:r>
        <w:rPr>
          <w:rFonts w:hint="eastAsia" w:ascii="黑体" w:hAnsi="黑体" w:eastAsia="黑体" w:cs="黑体"/>
          <w:i/>
          <w:sz w:val="24"/>
          <w:u w:val="single"/>
        </w:rPr>
        <w:t xml:space="preserve">（贸易公司名称) </w:t>
      </w:r>
      <w:r>
        <w:rPr>
          <w:rFonts w:hint="eastAsia" w:ascii="黑体" w:hAnsi="黑体" w:eastAsia="黑体" w:cs="黑体"/>
          <w:sz w:val="24"/>
        </w:rPr>
        <w:t>或其正式授权代表依此合法地办理一切事宜。</w:t>
      </w:r>
      <w:r>
        <w:rPr>
          <w:rFonts w:hint="eastAsia" w:ascii="黑体" w:hAnsi="黑体" w:eastAsia="黑体" w:cs="黑体"/>
          <w:sz w:val="24"/>
        </w:rPr>
        <w:cr/>
      </w:r>
      <w:r>
        <w:rPr>
          <w:rFonts w:hint="eastAsia" w:ascii="黑体" w:hAnsi="黑体" w:eastAsia="黑体" w:cs="黑体"/>
          <w:sz w:val="24"/>
        </w:rPr>
        <w:t xml:space="preserve">    我方于</w:t>
      </w:r>
      <w:r>
        <w:rPr>
          <w:rFonts w:hint="eastAsia" w:ascii="黑体" w:hAnsi="黑体" w:eastAsia="黑体" w:cs="黑体"/>
          <w:sz w:val="24"/>
          <w:u w:val="single"/>
        </w:rPr>
        <w:t xml:space="preserve">      </w:t>
      </w:r>
      <w:r>
        <w:rPr>
          <w:rFonts w:hint="eastAsia" w:ascii="黑体" w:hAnsi="黑体" w:eastAsia="黑体" w:cs="黑体"/>
          <w:sz w:val="24"/>
        </w:rPr>
        <w:t>年</w:t>
      </w:r>
      <w:r>
        <w:rPr>
          <w:rFonts w:hint="eastAsia" w:ascii="黑体" w:hAnsi="黑体" w:eastAsia="黑体" w:cs="黑体"/>
          <w:sz w:val="24"/>
          <w:u w:val="single"/>
        </w:rPr>
        <w:t xml:space="preserve">     </w:t>
      </w:r>
      <w:r>
        <w:rPr>
          <w:rFonts w:hint="eastAsia" w:ascii="黑体" w:hAnsi="黑体" w:eastAsia="黑体" w:cs="黑体"/>
          <w:sz w:val="24"/>
        </w:rPr>
        <w:t>月</w:t>
      </w:r>
      <w:r>
        <w:rPr>
          <w:rFonts w:hint="eastAsia" w:ascii="黑体" w:hAnsi="黑体" w:eastAsia="黑体" w:cs="黑体"/>
          <w:sz w:val="24"/>
          <w:u w:val="single"/>
        </w:rPr>
        <w:t xml:space="preserve">     </w:t>
      </w:r>
      <w:r>
        <w:rPr>
          <w:rFonts w:hint="eastAsia" w:ascii="黑体" w:hAnsi="黑体" w:eastAsia="黑体" w:cs="黑体"/>
          <w:sz w:val="24"/>
        </w:rPr>
        <w:t>日签署本文件，</w:t>
      </w:r>
      <w:r>
        <w:rPr>
          <w:rFonts w:hint="eastAsia" w:ascii="黑体" w:hAnsi="黑体" w:eastAsia="黑体" w:cs="黑体"/>
          <w:i/>
          <w:sz w:val="24"/>
          <w:u w:val="single"/>
        </w:rPr>
        <w:t xml:space="preserve">（贸易公司名称) </w:t>
      </w:r>
      <w:r>
        <w:rPr>
          <w:rFonts w:hint="eastAsia" w:ascii="黑体" w:hAnsi="黑体" w:eastAsia="黑体" w:cs="黑体"/>
          <w:sz w:val="24"/>
        </w:rPr>
        <w:t>于</w:t>
      </w:r>
      <w:r>
        <w:rPr>
          <w:rFonts w:hint="eastAsia" w:ascii="黑体" w:hAnsi="黑体" w:eastAsia="黑体" w:cs="黑体"/>
          <w:sz w:val="24"/>
          <w:u w:val="single"/>
        </w:rPr>
        <w:t xml:space="preserve">       </w:t>
      </w:r>
      <w:r>
        <w:rPr>
          <w:rFonts w:hint="eastAsia" w:ascii="黑体" w:hAnsi="黑体" w:eastAsia="黑体" w:cs="黑体"/>
          <w:sz w:val="24"/>
        </w:rPr>
        <w:t>年</w:t>
      </w:r>
      <w:r>
        <w:rPr>
          <w:rFonts w:hint="eastAsia" w:ascii="黑体" w:hAnsi="黑体" w:eastAsia="黑体" w:cs="黑体"/>
          <w:sz w:val="24"/>
          <w:u w:val="single"/>
        </w:rPr>
        <w:t xml:space="preserve">     </w:t>
      </w:r>
      <w:r>
        <w:rPr>
          <w:rFonts w:hint="eastAsia" w:ascii="黑体" w:hAnsi="黑体" w:eastAsia="黑体" w:cs="黑体"/>
          <w:sz w:val="24"/>
        </w:rPr>
        <w:t>月</w:t>
      </w:r>
      <w:r>
        <w:rPr>
          <w:rFonts w:hint="eastAsia" w:ascii="黑体" w:hAnsi="黑体" w:eastAsia="黑体" w:cs="黑体"/>
          <w:sz w:val="24"/>
          <w:u w:val="single"/>
        </w:rPr>
        <w:t xml:space="preserve">     </w:t>
      </w:r>
      <w:r>
        <w:rPr>
          <w:rFonts w:hint="eastAsia" w:ascii="黑体" w:hAnsi="黑体" w:eastAsia="黑体" w:cs="黑体"/>
          <w:sz w:val="24"/>
        </w:rPr>
        <w:t>日接受此件，以此为证。</w:t>
      </w:r>
    </w:p>
    <w:p>
      <w:pPr>
        <w:pStyle w:val="22"/>
        <w:adjustRightInd w:val="0"/>
        <w:snapToGrid w:val="0"/>
        <w:spacing w:line="400" w:lineRule="atLeast"/>
        <w:rPr>
          <w:rFonts w:hint="eastAsia" w:ascii="黑体" w:hAnsi="黑体" w:eastAsia="黑体" w:cs="黑体"/>
          <w:sz w:val="24"/>
        </w:rPr>
      </w:pPr>
    </w:p>
    <w:p>
      <w:pPr>
        <w:pStyle w:val="22"/>
        <w:adjustRightInd w:val="0"/>
        <w:snapToGrid w:val="0"/>
        <w:spacing w:line="400" w:lineRule="atLeast"/>
        <w:rPr>
          <w:rFonts w:hint="eastAsia" w:ascii="黑体" w:hAnsi="黑体" w:eastAsia="黑体" w:cs="黑体"/>
          <w:sz w:val="24"/>
        </w:rPr>
      </w:pPr>
      <w:r>
        <w:rPr>
          <w:rFonts w:hint="eastAsia" w:ascii="黑体" w:hAnsi="黑体" w:eastAsia="黑体" w:cs="黑体"/>
          <w:sz w:val="24"/>
        </w:rPr>
        <w:t xml:space="preserve">    贸易公司名称</w:t>
      </w:r>
      <w:r>
        <w:rPr>
          <w:rFonts w:hint="eastAsia" w:ascii="黑体" w:hAnsi="黑体" w:eastAsia="黑体" w:cs="黑体"/>
          <w:sz w:val="24"/>
          <w:u w:val="single"/>
        </w:rPr>
        <w:t xml:space="preserve">                  </w:t>
      </w:r>
      <w:r>
        <w:rPr>
          <w:rFonts w:hint="eastAsia" w:ascii="黑体" w:hAnsi="黑体" w:eastAsia="黑体" w:cs="黑体"/>
          <w:sz w:val="24"/>
        </w:rPr>
        <w:t xml:space="preserve">   制造商名称</w:t>
      </w:r>
      <w:r>
        <w:rPr>
          <w:rFonts w:hint="eastAsia" w:ascii="黑体" w:hAnsi="黑体" w:eastAsia="黑体" w:cs="黑体"/>
          <w:sz w:val="24"/>
          <w:u w:val="single"/>
        </w:rPr>
        <w:t xml:space="preserve">                       </w:t>
      </w:r>
    </w:p>
    <w:p>
      <w:pPr>
        <w:pStyle w:val="22"/>
        <w:adjustRightInd w:val="0"/>
        <w:snapToGrid w:val="0"/>
        <w:spacing w:line="400" w:lineRule="atLeast"/>
        <w:rPr>
          <w:rFonts w:hint="eastAsia" w:ascii="黑体" w:hAnsi="黑体" w:eastAsia="黑体" w:cs="黑体"/>
          <w:sz w:val="24"/>
        </w:rPr>
      </w:pPr>
      <w:r>
        <w:rPr>
          <w:rFonts w:hint="eastAsia" w:ascii="黑体" w:hAnsi="黑体" w:eastAsia="黑体" w:cs="黑体"/>
          <w:sz w:val="24"/>
        </w:rPr>
        <w:t xml:space="preserve">    签字人职务和部门</w:t>
      </w:r>
      <w:r>
        <w:rPr>
          <w:rFonts w:hint="eastAsia" w:ascii="黑体" w:hAnsi="黑体" w:eastAsia="黑体" w:cs="黑体"/>
          <w:sz w:val="24"/>
          <w:u w:val="single"/>
        </w:rPr>
        <w:t xml:space="preserve">              </w:t>
      </w:r>
      <w:r>
        <w:rPr>
          <w:rFonts w:hint="eastAsia" w:ascii="黑体" w:hAnsi="黑体" w:eastAsia="黑体" w:cs="黑体"/>
          <w:sz w:val="24"/>
        </w:rPr>
        <w:t xml:space="preserve">   签字人职务和部门</w:t>
      </w:r>
      <w:r>
        <w:rPr>
          <w:rFonts w:hint="eastAsia" w:ascii="黑体" w:hAnsi="黑体" w:eastAsia="黑体" w:cs="黑体"/>
          <w:sz w:val="24"/>
          <w:u w:val="single"/>
        </w:rPr>
        <w:t xml:space="preserve">                 </w:t>
      </w:r>
    </w:p>
    <w:p>
      <w:pPr>
        <w:pStyle w:val="22"/>
        <w:adjustRightInd w:val="0"/>
        <w:snapToGrid w:val="0"/>
        <w:spacing w:line="400" w:lineRule="atLeast"/>
        <w:rPr>
          <w:rFonts w:hint="eastAsia" w:ascii="黑体" w:hAnsi="黑体" w:eastAsia="黑体" w:cs="黑体"/>
          <w:sz w:val="24"/>
        </w:rPr>
      </w:pPr>
      <w:r>
        <w:rPr>
          <w:rFonts w:hint="eastAsia" w:ascii="黑体" w:hAnsi="黑体" w:eastAsia="黑体" w:cs="黑体"/>
          <w:sz w:val="24"/>
        </w:rPr>
        <w:t xml:space="preserve">    签字人姓名</w:t>
      </w:r>
      <w:r>
        <w:rPr>
          <w:rFonts w:hint="eastAsia" w:ascii="黑体" w:hAnsi="黑体" w:eastAsia="黑体" w:cs="黑体"/>
          <w:sz w:val="24"/>
          <w:u w:val="single"/>
        </w:rPr>
        <w:t xml:space="preserve">                    </w:t>
      </w:r>
      <w:r>
        <w:rPr>
          <w:rFonts w:hint="eastAsia" w:ascii="黑体" w:hAnsi="黑体" w:eastAsia="黑体" w:cs="黑体"/>
          <w:sz w:val="24"/>
        </w:rPr>
        <w:t xml:space="preserve">   签字人姓名</w:t>
      </w:r>
      <w:r>
        <w:rPr>
          <w:rFonts w:hint="eastAsia" w:ascii="黑体" w:hAnsi="黑体" w:eastAsia="黑体" w:cs="黑体"/>
          <w:sz w:val="24"/>
          <w:u w:val="single"/>
        </w:rPr>
        <w:t xml:space="preserve">                       </w:t>
      </w:r>
    </w:p>
    <w:p>
      <w:pPr>
        <w:pStyle w:val="22"/>
        <w:adjustRightInd w:val="0"/>
        <w:snapToGrid w:val="0"/>
        <w:spacing w:line="400" w:lineRule="atLeast"/>
        <w:ind w:firstLine="480"/>
        <w:rPr>
          <w:rFonts w:hint="eastAsia" w:ascii="黑体" w:hAnsi="黑体" w:eastAsia="黑体" w:cs="黑体"/>
          <w:sz w:val="24"/>
        </w:rPr>
      </w:pPr>
    </w:p>
    <w:p>
      <w:pPr>
        <w:pStyle w:val="22"/>
        <w:adjustRightInd w:val="0"/>
        <w:snapToGrid w:val="0"/>
        <w:spacing w:line="400" w:lineRule="atLeast"/>
        <w:ind w:firstLine="480"/>
        <w:rPr>
          <w:rFonts w:hint="eastAsia" w:ascii="黑体" w:hAnsi="黑体" w:eastAsia="黑体" w:cs="黑体"/>
          <w:sz w:val="24"/>
        </w:rPr>
      </w:pPr>
      <w:r>
        <w:rPr>
          <w:rFonts w:hint="eastAsia" w:ascii="黑体" w:hAnsi="黑体" w:eastAsia="黑体" w:cs="黑体"/>
          <w:sz w:val="24"/>
        </w:rPr>
        <w:t>注：若制造商作为投标主体直接参与投标，可以不提供此项证明文件。</w:t>
      </w:r>
      <w:bookmarkStart w:id="118" w:name="_Toc39669652"/>
      <w:bookmarkStart w:id="119" w:name="_Toc18205"/>
      <w:bookmarkStart w:id="120" w:name="_Toc31196"/>
      <w:bookmarkStart w:id="121" w:name="_Toc39945711"/>
    </w:p>
    <w:p>
      <w:pPr>
        <w:pStyle w:val="6"/>
        <w:adjustRightInd w:val="0"/>
        <w:snapToGrid w:val="0"/>
        <w:spacing w:line="400" w:lineRule="atLeast"/>
        <w:outlineLvl w:val="9"/>
        <w:rPr>
          <w:rFonts w:hint="eastAsia" w:ascii="黑体" w:hAnsi="黑体" w:eastAsia="黑体" w:cs="黑体"/>
          <w:sz w:val="24"/>
        </w:rPr>
      </w:pPr>
    </w:p>
    <w:p>
      <w:pPr>
        <w:pStyle w:val="6"/>
        <w:adjustRightInd w:val="0"/>
        <w:snapToGrid w:val="0"/>
        <w:spacing w:line="400" w:lineRule="atLeast"/>
        <w:jc w:val="left"/>
        <w:rPr>
          <w:rFonts w:hint="eastAsia" w:ascii="黑体" w:hAnsi="黑体" w:eastAsia="黑体" w:cs="黑体"/>
          <w:b/>
          <w:bCs/>
          <w:sz w:val="24"/>
        </w:rPr>
      </w:pPr>
      <w:r>
        <w:rPr>
          <w:rFonts w:hint="eastAsia" w:ascii="黑体" w:hAnsi="黑体" w:eastAsia="黑体" w:cs="黑体"/>
          <w:b/>
          <w:bCs/>
          <w:sz w:val="24"/>
        </w:rPr>
        <w:t>附件九：近三年内全国性非特定行业项目业绩</w:t>
      </w:r>
      <w:bookmarkEnd w:id="118"/>
      <w:bookmarkEnd w:id="119"/>
      <w:bookmarkEnd w:id="120"/>
      <w:bookmarkEnd w:id="121"/>
    </w:p>
    <w:p>
      <w:pPr>
        <w:rPr>
          <w:rFonts w:hint="eastAsia" w:ascii="黑体" w:hAnsi="黑体" w:eastAsia="黑体" w:cs="黑体"/>
          <w:b/>
          <w:bCs/>
          <w:sz w:val="24"/>
        </w:rPr>
      </w:pPr>
    </w:p>
    <w:p>
      <w:pPr>
        <w:pStyle w:val="15"/>
        <w:rPr>
          <w:rFonts w:hint="eastAsia" w:ascii="黑体" w:hAnsi="黑体" w:eastAsia="黑体" w:cs="黑体"/>
        </w:rPr>
      </w:pPr>
    </w:p>
    <w:p>
      <w:pPr>
        <w:pStyle w:val="6"/>
        <w:adjustRightInd w:val="0"/>
        <w:snapToGrid w:val="0"/>
        <w:spacing w:line="400" w:lineRule="atLeast"/>
        <w:jc w:val="left"/>
        <w:rPr>
          <w:rFonts w:hint="eastAsia" w:ascii="黑体" w:hAnsi="黑体" w:eastAsia="黑体" w:cs="黑体"/>
          <w:b/>
          <w:bCs/>
          <w:sz w:val="24"/>
        </w:rPr>
      </w:pPr>
      <w:bookmarkStart w:id="122" w:name="_Toc39669654"/>
      <w:bookmarkStart w:id="123" w:name="_Toc19626"/>
      <w:bookmarkStart w:id="124" w:name="_Toc27728"/>
      <w:bookmarkStart w:id="125" w:name="_Toc39945713"/>
      <w:r>
        <w:rPr>
          <w:rFonts w:hint="eastAsia" w:ascii="黑体" w:hAnsi="黑体" w:eastAsia="黑体" w:cs="黑体"/>
          <w:b/>
          <w:bCs/>
          <w:sz w:val="24"/>
        </w:rPr>
        <w:t>附件十：资格证明文件</w:t>
      </w:r>
      <w:bookmarkEnd w:id="122"/>
      <w:bookmarkEnd w:id="123"/>
      <w:bookmarkEnd w:id="124"/>
      <w:bookmarkEnd w:id="125"/>
    </w:p>
    <w:p>
      <w:pPr>
        <w:pStyle w:val="8"/>
        <w:autoSpaceDE w:val="0"/>
        <w:autoSpaceDN w:val="0"/>
        <w:adjustRightInd w:val="0"/>
        <w:snapToGrid w:val="0"/>
        <w:spacing w:before="0" w:beforeAutospacing="0" w:after="0" w:afterAutospacing="0" w:line="400" w:lineRule="atLeast"/>
        <w:ind w:firstLine="480" w:firstLineChars="200"/>
        <w:jc w:val="left"/>
        <w:rPr>
          <w:rFonts w:hint="eastAsia" w:ascii="黑体" w:hAnsi="黑体" w:eastAsia="黑体" w:cs="黑体"/>
          <w:color w:val="000000"/>
          <w:kern w:val="0"/>
          <w:sz w:val="24"/>
          <w:szCs w:val="20"/>
          <w:lang w:val="zh-CN" w:bidi="zh-CN"/>
        </w:rPr>
      </w:pPr>
      <w:r>
        <w:rPr>
          <w:rFonts w:hint="eastAsia" w:ascii="黑体" w:hAnsi="黑体" w:eastAsia="黑体" w:cs="黑体"/>
          <w:color w:val="000000"/>
          <w:kern w:val="0"/>
          <w:sz w:val="24"/>
          <w:szCs w:val="20"/>
          <w:lang w:val="zh-CN" w:bidi="zh-CN"/>
        </w:rPr>
        <w:t>（复印件盖公章）</w:t>
      </w:r>
    </w:p>
    <w:p>
      <w:pPr>
        <w:pStyle w:val="8"/>
        <w:autoSpaceDE w:val="0"/>
        <w:autoSpaceDN w:val="0"/>
        <w:adjustRightInd w:val="0"/>
        <w:snapToGrid w:val="0"/>
        <w:spacing w:before="0" w:beforeAutospacing="0" w:after="0" w:afterAutospacing="0" w:line="400" w:lineRule="atLeast"/>
        <w:ind w:firstLine="480" w:firstLineChars="200"/>
        <w:jc w:val="left"/>
        <w:outlineLvl w:val="0"/>
        <w:rPr>
          <w:rFonts w:hint="eastAsia" w:ascii="黑体" w:hAnsi="黑体" w:eastAsia="黑体" w:cs="黑体"/>
          <w:color w:val="000000"/>
          <w:kern w:val="0"/>
          <w:sz w:val="24"/>
          <w:szCs w:val="20"/>
          <w:lang w:val="zh-CN" w:bidi="zh-CN"/>
        </w:rPr>
      </w:pPr>
      <w:bookmarkStart w:id="126" w:name="_Toc31490"/>
      <w:r>
        <w:rPr>
          <w:rFonts w:hint="eastAsia" w:ascii="黑体" w:hAnsi="黑体" w:eastAsia="黑体" w:cs="黑体"/>
          <w:color w:val="000000"/>
          <w:kern w:val="0"/>
          <w:sz w:val="24"/>
          <w:szCs w:val="20"/>
          <w:lang w:val="zh-CN" w:bidi="zh-CN"/>
        </w:rPr>
        <w:t>1</w:t>
      </w:r>
      <w:r>
        <w:rPr>
          <w:rFonts w:hint="eastAsia" w:ascii="黑体" w:hAnsi="黑体" w:eastAsia="黑体" w:cs="黑体"/>
          <w:color w:val="000000"/>
          <w:kern w:val="0"/>
          <w:sz w:val="24"/>
          <w:szCs w:val="20"/>
          <w:lang w:val="en-US" w:eastAsia="zh-CN" w:bidi="zh-CN"/>
        </w:rPr>
        <w:t xml:space="preserve"> </w:t>
      </w:r>
      <w:r>
        <w:rPr>
          <w:rFonts w:hint="eastAsia" w:ascii="黑体" w:hAnsi="黑体" w:eastAsia="黑体" w:cs="黑体"/>
          <w:color w:val="000000"/>
          <w:kern w:val="0"/>
          <w:sz w:val="24"/>
          <w:szCs w:val="20"/>
          <w:lang w:val="zh-CN" w:bidi="zh-CN"/>
        </w:rPr>
        <w:t>营业执照副本；</w:t>
      </w:r>
      <w:bookmarkEnd w:id="126"/>
    </w:p>
    <w:p>
      <w:pPr>
        <w:pStyle w:val="8"/>
        <w:autoSpaceDE w:val="0"/>
        <w:autoSpaceDN w:val="0"/>
        <w:adjustRightInd w:val="0"/>
        <w:snapToGrid w:val="0"/>
        <w:spacing w:before="0" w:beforeAutospacing="0" w:after="0" w:afterAutospacing="0" w:line="400" w:lineRule="atLeast"/>
        <w:ind w:firstLine="480" w:firstLineChars="200"/>
        <w:jc w:val="left"/>
        <w:outlineLvl w:val="0"/>
        <w:rPr>
          <w:rFonts w:hint="eastAsia" w:ascii="黑体" w:hAnsi="黑体" w:eastAsia="黑体" w:cs="黑体"/>
          <w:color w:val="000000"/>
          <w:kern w:val="0"/>
          <w:sz w:val="24"/>
          <w:szCs w:val="20"/>
          <w:lang w:val="zh-CN" w:bidi="zh-CN"/>
        </w:rPr>
      </w:pPr>
      <w:bookmarkStart w:id="127" w:name="_Toc76132906"/>
      <w:bookmarkStart w:id="128" w:name="_Toc76132193"/>
      <w:bookmarkStart w:id="129" w:name="_Toc31702"/>
      <w:r>
        <w:rPr>
          <w:rFonts w:hint="eastAsia" w:ascii="黑体" w:hAnsi="黑体" w:eastAsia="黑体" w:cs="黑体"/>
          <w:color w:val="000000"/>
          <w:kern w:val="0"/>
          <w:sz w:val="24"/>
          <w:szCs w:val="20"/>
          <w:lang w:val="zh-CN" w:bidi="zh-CN"/>
        </w:rPr>
        <w:t>2</w:t>
      </w:r>
      <w:r>
        <w:rPr>
          <w:rFonts w:hint="eastAsia" w:ascii="黑体" w:hAnsi="黑体" w:eastAsia="黑体" w:cs="黑体"/>
          <w:color w:val="000000"/>
          <w:kern w:val="0"/>
          <w:sz w:val="24"/>
          <w:szCs w:val="20"/>
          <w:lang w:val="en-US" w:eastAsia="zh-CN" w:bidi="zh-CN"/>
        </w:rPr>
        <w:t xml:space="preserve"> </w:t>
      </w:r>
      <w:r>
        <w:rPr>
          <w:rFonts w:hint="eastAsia" w:ascii="黑体" w:hAnsi="黑体" w:eastAsia="黑体" w:cs="黑体"/>
          <w:color w:val="000000"/>
          <w:kern w:val="0"/>
          <w:sz w:val="24"/>
          <w:szCs w:val="20"/>
          <w:lang w:val="zh-CN" w:bidi="zh-CN"/>
        </w:rPr>
        <w:t>法定代表人身份证</w:t>
      </w:r>
      <w:bookmarkEnd w:id="127"/>
      <w:bookmarkEnd w:id="128"/>
      <w:r>
        <w:rPr>
          <w:rFonts w:hint="eastAsia" w:ascii="黑体" w:hAnsi="黑体" w:eastAsia="黑体" w:cs="黑体"/>
          <w:color w:val="000000"/>
          <w:kern w:val="0"/>
          <w:sz w:val="24"/>
          <w:szCs w:val="20"/>
          <w:lang w:val="zh-CN" w:bidi="zh-CN"/>
        </w:rPr>
        <w:t>和相关资格证明文件；</w:t>
      </w:r>
      <w:bookmarkEnd w:id="129"/>
    </w:p>
    <w:p>
      <w:pPr>
        <w:pStyle w:val="8"/>
        <w:autoSpaceDE w:val="0"/>
        <w:autoSpaceDN w:val="0"/>
        <w:adjustRightInd w:val="0"/>
        <w:snapToGrid w:val="0"/>
        <w:spacing w:before="0" w:beforeAutospacing="0" w:after="0" w:afterAutospacing="0" w:line="400" w:lineRule="atLeast"/>
        <w:ind w:firstLine="480" w:firstLineChars="200"/>
        <w:jc w:val="left"/>
        <w:outlineLvl w:val="0"/>
        <w:rPr>
          <w:rFonts w:hint="eastAsia" w:ascii="黑体" w:hAnsi="黑体" w:eastAsia="黑体" w:cs="黑体"/>
          <w:color w:val="000000"/>
          <w:kern w:val="0"/>
          <w:sz w:val="24"/>
          <w:szCs w:val="20"/>
          <w:lang w:val="zh-CN" w:bidi="zh-CN"/>
        </w:rPr>
      </w:pPr>
      <w:bookmarkStart w:id="130" w:name="_Toc6245"/>
      <w:r>
        <w:rPr>
          <w:rFonts w:hint="eastAsia" w:ascii="黑体" w:hAnsi="黑体" w:eastAsia="黑体" w:cs="黑体"/>
          <w:color w:val="000000"/>
          <w:kern w:val="0"/>
          <w:sz w:val="24"/>
          <w:szCs w:val="20"/>
          <w:lang w:val="zh-CN" w:bidi="zh-CN"/>
        </w:rPr>
        <w:t>3</w:t>
      </w:r>
      <w:r>
        <w:rPr>
          <w:rFonts w:hint="eastAsia" w:ascii="黑体" w:hAnsi="黑体" w:eastAsia="黑体" w:cs="黑体"/>
          <w:color w:val="000000"/>
          <w:kern w:val="0"/>
          <w:sz w:val="24"/>
          <w:szCs w:val="20"/>
          <w:lang w:val="en-US" w:eastAsia="zh-CN" w:bidi="zh-CN"/>
        </w:rPr>
        <w:t xml:space="preserve"> </w:t>
      </w:r>
      <w:r>
        <w:rPr>
          <w:rFonts w:hint="eastAsia" w:ascii="黑体" w:hAnsi="黑体" w:eastAsia="黑体" w:cs="黑体"/>
          <w:color w:val="000000"/>
          <w:kern w:val="0"/>
          <w:sz w:val="24"/>
          <w:szCs w:val="20"/>
          <w:lang w:val="zh-CN" w:bidi="zh-CN"/>
        </w:rPr>
        <w:t>缴税、社保证明材料；</w:t>
      </w:r>
      <w:bookmarkEnd w:id="130"/>
    </w:p>
    <w:p>
      <w:pPr>
        <w:pStyle w:val="8"/>
        <w:autoSpaceDE w:val="0"/>
        <w:autoSpaceDN w:val="0"/>
        <w:adjustRightInd w:val="0"/>
        <w:snapToGrid w:val="0"/>
        <w:spacing w:before="0" w:beforeAutospacing="0" w:after="0" w:afterAutospacing="0" w:line="400" w:lineRule="atLeast"/>
        <w:ind w:firstLine="480" w:firstLineChars="200"/>
        <w:jc w:val="left"/>
        <w:outlineLvl w:val="0"/>
        <w:rPr>
          <w:rFonts w:hint="eastAsia" w:ascii="黑体" w:hAnsi="黑体" w:eastAsia="黑体" w:cs="黑体"/>
          <w:color w:val="000000"/>
          <w:kern w:val="0"/>
          <w:sz w:val="24"/>
          <w:szCs w:val="20"/>
          <w:lang w:val="zh-CN" w:bidi="zh-CN"/>
        </w:rPr>
      </w:pPr>
      <w:bookmarkStart w:id="131" w:name="_Toc16898"/>
      <w:r>
        <w:rPr>
          <w:rFonts w:hint="eastAsia" w:ascii="黑体" w:hAnsi="黑体" w:eastAsia="黑体" w:cs="黑体"/>
          <w:color w:val="000000"/>
          <w:kern w:val="0"/>
          <w:sz w:val="24"/>
          <w:szCs w:val="20"/>
          <w:lang w:val="zh-CN" w:bidi="zh-CN"/>
        </w:rPr>
        <w:t>4 具有健全会计制度的证明材料；</w:t>
      </w:r>
      <w:bookmarkEnd w:id="131"/>
    </w:p>
    <w:p>
      <w:pPr>
        <w:pStyle w:val="8"/>
        <w:autoSpaceDE w:val="0"/>
        <w:autoSpaceDN w:val="0"/>
        <w:adjustRightInd w:val="0"/>
        <w:snapToGrid w:val="0"/>
        <w:spacing w:before="0" w:beforeAutospacing="0" w:after="0" w:afterAutospacing="0" w:line="400" w:lineRule="atLeast"/>
        <w:ind w:firstLine="480" w:firstLineChars="200"/>
        <w:jc w:val="left"/>
        <w:outlineLvl w:val="0"/>
        <w:rPr>
          <w:rFonts w:hint="eastAsia" w:ascii="黑体" w:hAnsi="黑体" w:eastAsia="黑体" w:cs="黑体"/>
          <w:color w:val="000000"/>
          <w:kern w:val="0"/>
          <w:sz w:val="24"/>
          <w:szCs w:val="20"/>
          <w:lang w:val="zh-CN" w:bidi="zh-CN"/>
        </w:rPr>
      </w:pPr>
      <w:bookmarkStart w:id="132" w:name="_Toc29181"/>
      <w:r>
        <w:rPr>
          <w:rFonts w:hint="eastAsia" w:ascii="黑体" w:hAnsi="黑体" w:eastAsia="黑体" w:cs="黑体"/>
          <w:color w:val="000000"/>
          <w:kern w:val="0"/>
          <w:sz w:val="24"/>
          <w:szCs w:val="20"/>
          <w:lang w:val="zh-CN" w:bidi="zh-CN"/>
        </w:rPr>
        <w:t>5 资格要求中要求其他证明材料；</w:t>
      </w:r>
      <w:bookmarkEnd w:id="132"/>
    </w:p>
    <w:p>
      <w:pPr>
        <w:pStyle w:val="8"/>
        <w:autoSpaceDE w:val="0"/>
        <w:autoSpaceDN w:val="0"/>
        <w:adjustRightInd w:val="0"/>
        <w:snapToGrid w:val="0"/>
        <w:spacing w:before="0" w:beforeAutospacing="0" w:after="0" w:afterAutospacing="0" w:line="400" w:lineRule="atLeast"/>
        <w:ind w:firstLine="480" w:firstLineChars="200"/>
        <w:jc w:val="left"/>
        <w:outlineLvl w:val="0"/>
        <w:rPr>
          <w:rFonts w:hint="eastAsia" w:ascii="黑体" w:hAnsi="黑体" w:eastAsia="黑体" w:cs="黑体"/>
          <w:color w:val="000000"/>
          <w:kern w:val="0"/>
          <w:sz w:val="24"/>
          <w:szCs w:val="20"/>
          <w:lang w:val="zh-CN" w:bidi="zh-CN"/>
        </w:rPr>
      </w:pPr>
      <w:bookmarkStart w:id="133" w:name="_Toc7054"/>
      <w:r>
        <w:rPr>
          <w:rFonts w:hint="eastAsia" w:ascii="黑体" w:hAnsi="黑体" w:eastAsia="黑体" w:cs="黑体"/>
          <w:color w:val="000000"/>
          <w:kern w:val="0"/>
          <w:sz w:val="24"/>
          <w:szCs w:val="20"/>
          <w:lang w:val="zh-CN" w:bidi="zh-CN"/>
        </w:rPr>
        <w:t>6 节能产品认证证书（如有）；</w:t>
      </w:r>
      <w:bookmarkEnd w:id="133"/>
    </w:p>
    <w:p>
      <w:pPr>
        <w:pStyle w:val="8"/>
        <w:autoSpaceDE w:val="0"/>
        <w:autoSpaceDN w:val="0"/>
        <w:adjustRightInd w:val="0"/>
        <w:snapToGrid w:val="0"/>
        <w:spacing w:before="0" w:beforeAutospacing="0" w:after="0" w:afterAutospacing="0" w:line="400" w:lineRule="atLeast"/>
        <w:ind w:firstLine="480" w:firstLineChars="200"/>
        <w:jc w:val="left"/>
        <w:outlineLvl w:val="0"/>
        <w:rPr>
          <w:rFonts w:hint="eastAsia" w:ascii="黑体" w:hAnsi="黑体" w:eastAsia="黑体" w:cs="黑体"/>
          <w:color w:val="000000"/>
          <w:kern w:val="0"/>
          <w:sz w:val="24"/>
          <w:szCs w:val="20"/>
          <w:lang w:val="zh-CN" w:bidi="zh-CN"/>
        </w:rPr>
      </w:pPr>
      <w:bookmarkStart w:id="134" w:name="_Toc29315"/>
      <w:r>
        <w:rPr>
          <w:rFonts w:hint="eastAsia" w:ascii="黑体" w:hAnsi="黑体" w:eastAsia="黑体" w:cs="黑体"/>
          <w:color w:val="000000"/>
          <w:kern w:val="0"/>
          <w:sz w:val="24"/>
          <w:szCs w:val="20"/>
          <w:lang w:val="zh-CN" w:bidi="zh-CN"/>
        </w:rPr>
        <w:t>7 环保产品认证证书（如有）；</w:t>
      </w:r>
      <w:bookmarkEnd w:id="134"/>
    </w:p>
    <w:p>
      <w:pPr>
        <w:pStyle w:val="8"/>
        <w:autoSpaceDE w:val="0"/>
        <w:autoSpaceDN w:val="0"/>
        <w:adjustRightInd w:val="0"/>
        <w:snapToGrid w:val="0"/>
        <w:spacing w:before="0" w:beforeAutospacing="0" w:after="0" w:afterAutospacing="0" w:line="400" w:lineRule="atLeast"/>
        <w:ind w:firstLine="480" w:firstLineChars="200"/>
        <w:jc w:val="left"/>
        <w:outlineLvl w:val="0"/>
        <w:rPr>
          <w:rFonts w:hint="eastAsia" w:ascii="黑体" w:hAnsi="黑体" w:eastAsia="黑体" w:cs="黑体"/>
          <w:color w:val="000000"/>
          <w:kern w:val="0"/>
          <w:sz w:val="24"/>
          <w:szCs w:val="20"/>
          <w:lang w:val="zh-CN" w:bidi="zh-CN"/>
        </w:rPr>
      </w:pPr>
      <w:bookmarkStart w:id="135" w:name="_Toc12824"/>
      <w:r>
        <w:rPr>
          <w:rFonts w:hint="eastAsia" w:ascii="黑体" w:hAnsi="黑体" w:eastAsia="黑体" w:cs="黑体"/>
          <w:color w:val="000000"/>
          <w:kern w:val="0"/>
          <w:sz w:val="24"/>
          <w:szCs w:val="20"/>
          <w:lang w:val="zh-CN" w:bidi="zh-CN"/>
        </w:rPr>
        <w:t>8 开户许可证；</w:t>
      </w:r>
      <w:bookmarkEnd w:id="135"/>
    </w:p>
    <w:p>
      <w:pPr>
        <w:pStyle w:val="8"/>
        <w:autoSpaceDE w:val="0"/>
        <w:autoSpaceDN w:val="0"/>
        <w:adjustRightInd w:val="0"/>
        <w:snapToGrid w:val="0"/>
        <w:spacing w:before="0" w:beforeAutospacing="0" w:after="0" w:afterAutospacing="0" w:line="400" w:lineRule="atLeast"/>
        <w:ind w:firstLine="480" w:firstLineChars="200"/>
        <w:jc w:val="left"/>
        <w:outlineLvl w:val="0"/>
        <w:rPr>
          <w:rFonts w:hint="eastAsia" w:ascii="黑体" w:hAnsi="黑体" w:eastAsia="黑体" w:cs="黑体"/>
          <w:color w:val="000000"/>
          <w:kern w:val="0"/>
          <w:sz w:val="24"/>
          <w:szCs w:val="20"/>
          <w:lang w:val="zh-CN" w:bidi="zh-CN"/>
        </w:rPr>
      </w:pPr>
      <w:bookmarkStart w:id="136" w:name="_Toc10156"/>
      <w:r>
        <w:rPr>
          <w:rFonts w:hint="eastAsia" w:ascii="黑体" w:hAnsi="黑体" w:eastAsia="黑体" w:cs="黑体"/>
          <w:color w:val="000000"/>
          <w:kern w:val="0"/>
          <w:sz w:val="24"/>
          <w:szCs w:val="20"/>
          <w:lang w:val="zh-CN" w:bidi="zh-CN"/>
        </w:rPr>
        <w:t>9</w:t>
      </w:r>
      <w:r>
        <w:rPr>
          <w:rFonts w:hint="eastAsia" w:ascii="黑体" w:hAnsi="黑体" w:eastAsia="黑体" w:cs="黑体"/>
          <w:color w:val="000000"/>
          <w:kern w:val="0"/>
          <w:sz w:val="24"/>
          <w:szCs w:val="20"/>
          <w:lang w:val="en-US" w:eastAsia="zh-CN" w:bidi="zh-CN"/>
        </w:rPr>
        <w:t xml:space="preserve"> </w:t>
      </w:r>
      <w:r>
        <w:rPr>
          <w:rFonts w:hint="eastAsia" w:ascii="黑体" w:hAnsi="黑体" w:eastAsia="黑体" w:cs="黑体"/>
          <w:color w:val="000000"/>
          <w:kern w:val="0"/>
          <w:sz w:val="24"/>
          <w:szCs w:val="20"/>
          <w:lang w:val="zh-CN" w:bidi="zh-CN"/>
        </w:rPr>
        <w:t>其他相关证明资料。</w:t>
      </w:r>
      <w:bookmarkEnd w:id="136"/>
    </w:p>
    <w:p>
      <w:pPr>
        <w:pStyle w:val="6"/>
        <w:adjustRightInd w:val="0"/>
        <w:snapToGrid w:val="0"/>
        <w:spacing w:line="400" w:lineRule="atLeast"/>
        <w:rPr>
          <w:rFonts w:hint="eastAsia" w:ascii="黑体" w:hAnsi="黑体" w:eastAsia="黑体" w:cs="黑体"/>
          <w:b/>
          <w:bCs/>
          <w:sz w:val="24"/>
        </w:rPr>
      </w:pPr>
      <w:bookmarkStart w:id="137" w:name="_Toc39669655"/>
      <w:bookmarkStart w:id="138" w:name="_Toc19875"/>
      <w:bookmarkStart w:id="139" w:name="_Toc15476"/>
      <w:bookmarkStart w:id="140" w:name="_Toc39945714"/>
      <w:r>
        <w:rPr>
          <w:rFonts w:hint="eastAsia" w:ascii="黑体" w:hAnsi="黑体" w:eastAsia="黑体" w:cs="黑体"/>
          <w:b/>
          <w:bCs/>
          <w:sz w:val="24"/>
        </w:rPr>
        <w:t>附件十一：监狱企业证明文件（如有）、残疾人福利性单位声明函（如有）、小微企业声明函中小微企业证明文件等（如有）。</w:t>
      </w:r>
      <w:bookmarkEnd w:id="137"/>
      <w:bookmarkEnd w:id="138"/>
      <w:bookmarkEnd w:id="139"/>
      <w:bookmarkEnd w:id="140"/>
    </w:p>
    <w:p>
      <w:pPr>
        <w:numPr>
          <w:ilvl w:val="0"/>
          <w:numId w:val="0"/>
        </w:numPr>
        <w:tabs>
          <w:tab w:val="left" w:pos="0"/>
        </w:tabs>
        <w:adjustRightInd w:val="0"/>
        <w:snapToGrid w:val="0"/>
        <w:spacing w:line="400" w:lineRule="atLeast"/>
        <w:ind w:leftChars="0"/>
        <w:jc w:val="center"/>
        <w:outlineLvl w:val="0"/>
        <w:rPr>
          <w:rFonts w:hint="eastAsia" w:ascii="黑体" w:hAnsi="黑体" w:eastAsia="黑体" w:cs="黑体"/>
          <w:sz w:val="24"/>
        </w:rPr>
      </w:pPr>
      <w:bookmarkStart w:id="141" w:name="_Toc25833"/>
      <w:bookmarkStart w:id="142" w:name="_Toc31615"/>
      <w:r>
        <w:rPr>
          <w:rFonts w:hint="eastAsia" w:ascii="黑体" w:hAnsi="黑体" w:eastAsia="黑体" w:cs="黑体"/>
          <w:sz w:val="24"/>
          <w:lang w:val="en-US" w:eastAsia="zh-CN"/>
        </w:rPr>
        <w:t>1.</w:t>
      </w:r>
      <w:r>
        <w:rPr>
          <w:rFonts w:hint="eastAsia" w:ascii="黑体" w:hAnsi="黑体" w:eastAsia="黑体" w:cs="黑体"/>
          <w:sz w:val="24"/>
        </w:rPr>
        <w:t>监狱企业证明文件</w:t>
      </w:r>
      <w:bookmarkEnd w:id="141"/>
      <w:bookmarkEnd w:id="142"/>
    </w:p>
    <w:p>
      <w:pPr>
        <w:adjustRightInd w:val="0"/>
        <w:snapToGrid w:val="0"/>
        <w:spacing w:line="400" w:lineRule="atLeast"/>
        <w:ind w:left="1680"/>
        <w:rPr>
          <w:rFonts w:hint="eastAsia" w:ascii="黑体" w:hAnsi="黑体" w:eastAsia="黑体" w:cs="黑体"/>
          <w:sz w:val="24"/>
          <w:highlight w:val="yellow"/>
        </w:rPr>
      </w:pPr>
    </w:p>
    <w:p>
      <w:pPr>
        <w:adjustRightInd w:val="0"/>
        <w:snapToGrid w:val="0"/>
        <w:spacing w:line="400" w:lineRule="atLeast"/>
        <w:ind w:left="1680"/>
        <w:rPr>
          <w:rFonts w:hint="eastAsia" w:ascii="黑体" w:hAnsi="黑体" w:eastAsia="黑体" w:cs="黑体"/>
          <w:sz w:val="24"/>
          <w:highlight w:val="yellow"/>
        </w:rPr>
      </w:pPr>
    </w:p>
    <w:p>
      <w:pPr>
        <w:adjustRightInd w:val="0"/>
        <w:snapToGrid w:val="0"/>
        <w:spacing w:line="400" w:lineRule="atLeast"/>
        <w:ind w:firstLine="3816" w:firstLineChars="1590"/>
        <w:outlineLvl w:val="0"/>
        <w:rPr>
          <w:rFonts w:hint="eastAsia" w:ascii="黑体" w:hAnsi="黑体" w:eastAsia="黑体" w:cs="黑体"/>
          <w:sz w:val="24"/>
        </w:rPr>
      </w:pPr>
      <w:bookmarkStart w:id="143" w:name="_Toc18626"/>
      <w:bookmarkStart w:id="144" w:name="_Toc25203"/>
      <w:r>
        <w:rPr>
          <w:rFonts w:hint="eastAsia" w:ascii="黑体" w:hAnsi="黑体" w:eastAsia="黑体" w:cs="黑体"/>
          <w:sz w:val="24"/>
        </w:rPr>
        <w:t>2.残疾人福利性单位声明函</w:t>
      </w:r>
      <w:bookmarkEnd w:id="143"/>
      <w:bookmarkEnd w:id="144"/>
    </w:p>
    <w:p>
      <w:pPr>
        <w:adjustRightInd w:val="0"/>
        <w:snapToGrid w:val="0"/>
        <w:spacing w:line="400" w:lineRule="atLeast"/>
        <w:ind w:firstLine="480" w:firstLineChars="200"/>
        <w:jc w:val="left"/>
        <w:rPr>
          <w:rFonts w:hint="eastAsia" w:ascii="黑体" w:hAnsi="黑体" w:eastAsia="黑体" w:cs="黑体"/>
          <w:sz w:val="24"/>
        </w:rPr>
      </w:pPr>
      <w:r>
        <w:rPr>
          <w:rFonts w:hint="eastAsia" w:ascii="黑体" w:hAnsi="黑体" w:eastAsia="黑体" w:cs="黑体"/>
          <w:sz w:val="24"/>
        </w:rPr>
        <w:t>本公司郑重声明，根据《财政部 民政部 中国残疾人联合会关于促进残疾人就业政府采购政策的通知》（财库（2017）141号）的规定，本单位为符合条件的残疾人福利性单位，且本单位参加的</w:t>
      </w:r>
    </w:p>
    <w:p>
      <w:pPr>
        <w:adjustRightInd w:val="0"/>
        <w:snapToGrid w:val="0"/>
        <w:spacing w:line="400" w:lineRule="atLeast"/>
        <w:ind w:firstLine="480" w:firstLineChars="200"/>
        <w:jc w:val="left"/>
        <w:rPr>
          <w:rFonts w:hint="eastAsia" w:ascii="黑体" w:hAnsi="黑体" w:eastAsia="黑体" w:cs="黑体"/>
          <w:sz w:val="24"/>
        </w:rPr>
      </w:pPr>
      <w:r>
        <w:rPr>
          <w:rFonts w:hint="eastAsia" w:ascii="黑体" w:hAnsi="黑体" w:eastAsia="黑体" w:cs="黑体"/>
          <w:sz w:val="24"/>
          <w:u w:val="single"/>
        </w:rPr>
        <w:t xml:space="preserve">                 单位的                        </w:t>
      </w:r>
      <w:r>
        <w:rPr>
          <w:rFonts w:hint="eastAsia" w:ascii="黑体" w:hAnsi="黑体" w:eastAsia="黑体" w:cs="黑体"/>
          <w:sz w:val="24"/>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400" w:lineRule="atLeast"/>
        <w:ind w:firstLine="480" w:firstLineChars="200"/>
        <w:jc w:val="left"/>
        <w:rPr>
          <w:rFonts w:hint="eastAsia" w:ascii="黑体" w:hAnsi="黑体" w:eastAsia="黑体" w:cs="黑体"/>
          <w:sz w:val="24"/>
        </w:rPr>
      </w:pPr>
      <w:r>
        <w:rPr>
          <w:rFonts w:hint="eastAsia" w:ascii="黑体" w:hAnsi="黑体" w:eastAsia="黑体" w:cs="黑体"/>
          <w:sz w:val="24"/>
        </w:rPr>
        <w:t>本单位对上述声明的真实性负责，如有虚假，将依法承担相应责任。</w:t>
      </w:r>
    </w:p>
    <w:p>
      <w:pPr>
        <w:adjustRightInd w:val="0"/>
        <w:snapToGrid w:val="0"/>
        <w:spacing w:line="400" w:lineRule="atLeast"/>
        <w:ind w:firstLine="480" w:firstLineChars="200"/>
        <w:jc w:val="center"/>
        <w:rPr>
          <w:rFonts w:hint="eastAsia" w:ascii="黑体" w:hAnsi="黑体" w:eastAsia="黑体" w:cs="黑体"/>
          <w:sz w:val="24"/>
        </w:rPr>
      </w:pPr>
    </w:p>
    <w:p>
      <w:pPr>
        <w:adjustRightInd w:val="0"/>
        <w:snapToGrid w:val="0"/>
        <w:spacing w:line="400" w:lineRule="atLeast"/>
        <w:ind w:firstLine="7200" w:firstLineChars="3000"/>
        <w:rPr>
          <w:rFonts w:hint="eastAsia" w:ascii="黑体" w:hAnsi="黑体" w:eastAsia="黑体" w:cs="黑体"/>
          <w:sz w:val="24"/>
        </w:rPr>
      </w:pPr>
      <w:r>
        <w:rPr>
          <w:rFonts w:hint="eastAsia" w:ascii="黑体" w:hAnsi="黑体" w:eastAsia="黑体" w:cs="黑体"/>
          <w:sz w:val="24"/>
        </w:rPr>
        <w:t>企业名称（公章）：</w:t>
      </w:r>
    </w:p>
    <w:p>
      <w:pPr>
        <w:adjustRightInd w:val="0"/>
        <w:snapToGrid w:val="0"/>
        <w:spacing w:line="400" w:lineRule="atLeast"/>
        <w:ind w:firstLine="480" w:firstLineChars="200"/>
        <w:rPr>
          <w:rFonts w:hint="eastAsia" w:ascii="黑体" w:hAnsi="黑体" w:eastAsia="黑体" w:cs="黑体"/>
          <w:sz w:val="24"/>
        </w:rPr>
      </w:pPr>
      <w:r>
        <w:rPr>
          <w:rFonts w:hint="eastAsia" w:ascii="黑体" w:hAnsi="黑体" w:eastAsia="黑体" w:cs="黑体"/>
          <w:sz w:val="24"/>
        </w:rPr>
        <w:t xml:space="preserve">                                                        日  期：</w:t>
      </w:r>
    </w:p>
    <w:p>
      <w:pPr>
        <w:adjustRightInd w:val="0"/>
        <w:snapToGrid w:val="0"/>
        <w:spacing w:line="400" w:lineRule="atLeast"/>
        <w:ind w:firstLine="480" w:firstLineChars="200"/>
        <w:jc w:val="center"/>
        <w:rPr>
          <w:rFonts w:hint="eastAsia" w:ascii="黑体" w:hAnsi="黑体" w:eastAsia="黑体" w:cs="黑体"/>
          <w:sz w:val="24"/>
          <w:highlight w:val="yellow"/>
        </w:rPr>
      </w:pPr>
    </w:p>
    <w:p>
      <w:pPr>
        <w:adjustRightInd w:val="0"/>
        <w:snapToGrid w:val="0"/>
        <w:spacing w:line="400" w:lineRule="atLeast"/>
        <w:ind w:firstLine="480" w:firstLineChars="200"/>
        <w:jc w:val="center"/>
        <w:rPr>
          <w:rFonts w:hint="eastAsia" w:ascii="黑体" w:hAnsi="黑体" w:eastAsia="黑体" w:cs="黑体"/>
          <w:sz w:val="24"/>
          <w:highlight w:val="yellow"/>
        </w:rPr>
      </w:pPr>
    </w:p>
    <w:p>
      <w:pPr>
        <w:adjustRightInd w:val="0"/>
        <w:snapToGrid w:val="0"/>
        <w:spacing w:line="400" w:lineRule="atLeast"/>
        <w:ind w:firstLine="3840" w:firstLineChars="1600"/>
        <w:outlineLvl w:val="0"/>
        <w:rPr>
          <w:rFonts w:hint="eastAsia" w:ascii="黑体" w:hAnsi="黑体" w:eastAsia="黑体" w:cs="黑体"/>
          <w:sz w:val="24"/>
        </w:rPr>
      </w:pPr>
      <w:bookmarkStart w:id="145" w:name="_Toc24805"/>
      <w:bookmarkStart w:id="146" w:name="_Toc23680"/>
      <w:r>
        <w:rPr>
          <w:rFonts w:hint="eastAsia" w:ascii="黑体" w:hAnsi="黑体" w:eastAsia="黑体" w:cs="黑体"/>
          <w:sz w:val="24"/>
        </w:rPr>
        <w:t>3.中小企业申明函</w:t>
      </w:r>
      <w:bookmarkEnd w:id="145"/>
      <w:bookmarkEnd w:id="146"/>
    </w:p>
    <w:p>
      <w:pPr>
        <w:adjustRightInd w:val="0"/>
        <w:snapToGrid w:val="0"/>
        <w:spacing w:line="400" w:lineRule="atLeast"/>
        <w:ind w:firstLine="480" w:firstLineChars="200"/>
        <w:rPr>
          <w:rFonts w:hint="eastAsia" w:ascii="黑体" w:hAnsi="黑体" w:eastAsia="黑体" w:cs="黑体"/>
          <w:sz w:val="24"/>
        </w:rPr>
      </w:pPr>
      <w:r>
        <w:rPr>
          <w:rFonts w:hint="eastAsia" w:ascii="黑体" w:hAnsi="黑体" w:eastAsia="黑体" w:cs="黑体"/>
          <w:sz w:val="24"/>
        </w:rPr>
        <w:t>本公司郑重声明，根据《</w:t>
      </w:r>
      <w:r>
        <w:rPr>
          <w:rFonts w:hint="eastAsia" w:ascii="黑体" w:hAnsi="黑体" w:eastAsia="黑体" w:cs="黑体"/>
          <w:sz w:val="24"/>
          <w:szCs w:val="22"/>
        </w:rPr>
        <w:t>政府采购促进中小企业发展管理办法</w:t>
      </w:r>
      <w:r>
        <w:rPr>
          <w:rFonts w:hint="eastAsia" w:ascii="黑体" w:hAnsi="黑体" w:eastAsia="黑体" w:cs="黑体"/>
          <w:sz w:val="24"/>
        </w:rPr>
        <w:t>》（财库[20</w:t>
      </w:r>
      <w:r>
        <w:rPr>
          <w:rFonts w:hint="eastAsia" w:ascii="黑体" w:hAnsi="黑体" w:eastAsia="黑体" w:cs="黑体"/>
          <w:sz w:val="24"/>
          <w:lang w:val="en-US" w:eastAsia="zh-CN"/>
        </w:rPr>
        <w:t>20</w:t>
      </w:r>
      <w:r>
        <w:rPr>
          <w:rFonts w:hint="eastAsia" w:ascii="黑体" w:hAnsi="黑体" w:eastAsia="黑体" w:cs="黑体"/>
          <w:sz w:val="24"/>
        </w:rPr>
        <w:t>]</w:t>
      </w:r>
      <w:r>
        <w:rPr>
          <w:rFonts w:hint="eastAsia" w:ascii="黑体" w:hAnsi="黑体" w:eastAsia="黑体" w:cs="黑体"/>
          <w:sz w:val="24"/>
          <w:lang w:val="en-US" w:eastAsia="zh-CN"/>
        </w:rPr>
        <w:t>46</w:t>
      </w:r>
      <w:r>
        <w:rPr>
          <w:rFonts w:hint="eastAsia" w:ascii="黑体" w:hAnsi="黑体" w:eastAsia="黑体" w:cs="黑体"/>
          <w:sz w:val="24"/>
        </w:rPr>
        <w:t>号）的规定，本公司为文库</w:t>
      </w:r>
      <w:r>
        <w:rPr>
          <w:rFonts w:hint="eastAsia" w:ascii="黑体" w:hAnsi="黑体" w:eastAsia="黑体" w:cs="黑体"/>
          <w:sz w:val="24"/>
          <w:u w:val="single"/>
        </w:rPr>
        <w:t>   </w:t>
      </w:r>
      <w:r>
        <w:rPr>
          <w:rFonts w:hint="eastAsia" w:ascii="黑体" w:hAnsi="黑体" w:eastAsia="黑体" w:cs="黑体"/>
          <w:sz w:val="24"/>
        </w:rPr>
        <w:t>（请填写：中型、小型、微型）企业。即，本公司同时满足以下条件： </w:t>
      </w:r>
    </w:p>
    <w:p>
      <w:pPr>
        <w:adjustRightInd w:val="0"/>
        <w:snapToGrid w:val="0"/>
        <w:spacing w:line="400" w:lineRule="atLeast"/>
        <w:ind w:firstLine="480" w:firstLineChars="200"/>
        <w:rPr>
          <w:rFonts w:hint="eastAsia" w:ascii="黑体" w:hAnsi="黑体" w:eastAsia="黑体" w:cs="黑体"/>
          <w:sz w:val="24"/>
        </w:rPr>
      </w:pPr>
      <w:r>
        <w:rPr>
          <w:rFonts w:hint="eastAsia" w:ascii="黑体" w:hAnsi="黑体" w:eastAsia="黑体" w:cs="黑体"/>
          <w:sz w:val="24"/>
        </w:rPr>
        <w:t>1.根据《工业和信息化部、国家统计局、国家发展和改革委员会、财政部关于印发中小企业划型标准规定的通知》（工信部联企业[2011]300号）规定的划分标准，本公司为小型（请填写：中型、小型、微型）企业。 </w:t>
      </w:r>
    </w:p>
    <w:p>
      <w:pPr>
        <w:adjustRightInd w:val="0"/>
        <w:snapToGrid w:val="0"/>
        <w:spacing w:line="400" w:lineRule="atLeast"/>
        <w:ind w:firstLine="480" w:firstLineChars="200"/>
        <w:rPr>
          <w:rFonts w:hint="eastAsia" w:ascii="黑体" w:hAnsi="黑体" w:eastAsia="黑体" w:cs="黑体"/>
          <w:sz w:val="24"/>
        </w:rPr>
      </w:pPr>
      <w:r>
        <w:rPr>
          <w:rFonts w:hint="eastAsia" w:ascii="黑体" w:hAnsi="黑体" w:eastAsia="黑体" w:cs="黑体"/>
          <w:sz w:val="24"/>
        </w:rPr>
        <w:t>2.本公司参加</w:t>
      </w:r>
      <w:r>
        <w:rPr>
          <w:rFonts w:hint="eastAsia" w:ascii="黑体" w:hAnsi="黑体" w:eastAsia="黑体" w:cs="黑体"/>
          <w:sz w:val="24"/>
          <w:u w:val="single"/>
        </w:rPr>
        <w:t>                    </w:t>
      </w:r>
      <w:r>
        <w:rPr>
          <w:rFonts w:hint="eastAsia" w:ascii="黑体" w:hAnsi="黑体" w:eastAsia="黑体" w:cs="黑体"/>
          <w:sz w:val="24"/>
        </w:rPr>
        <w:t>单位的参加</w:t>
      </w:r>
      <w:r>
        <w:rPr>
          <w:rFonts w:hint="eastAsia" w:ascii="黑体" w:hAnsi="黑体" w:eastAsia="黑体" w:cs="黑体"/>
          <w:sz w:val="24"/>
          <w:u w:val="single"/>
        </w:rPr>
        <w:t>                    </w:t>
      </w:r>
      <w:r>
        <w:rPr>
          <w:rFonts w:hint="eastAsia" w:ascii="黑体" w:hAnsi="黑体" w:eastAsia="黑体" w:cs="黑体"/>
          <w:sz w:val="24"/>
        </w:rPr>
        <w:t>项目采购活动提供本企业制造的货物，由本企业承担工程、提供服务，或者提供其他</w:t>
      </w:r>
      <w:r>
        <w:rPr>
          <w:rFonts w:hint="eastAsia" w:ascii="黑体" w:hAnsi="黑体" w:eastAsia="黑体" w:cs="黑体"/>
          <w:sz w:val="24"/>
          <w:u w:val="single"/>
        </w:rPr>
        <w:t>     </w:t>
      </w:r>
      <w:r>
        <w:rPr>
          <w:rFonts w:hint="eastAsia" w:ascii="黑体" w:hAnsi="黑体" w:eastAsia="黑体" w:cs="黑体"/>
          <w:sz w:val="24"/>
        </w:rPr>
        <w:t>（请填写：中型、小型、微型）企业制造的货物。本条所称货物不包括使用大型企业注册商标的货物。 </w:t>
      </w:r>
    </w:p>
    <w:p>
      <w:pPr>
        <w:adjustRightInd w:val="0"/>
        <w:snapToGrid w:val="0"/>
        <w:spacing w:line="400" w:lineRule="atLeast"/>
        <w:ind w:firstLine="480" w:firstLineChars="200"/>
        <w:rPr>
          <w:rFonts w:hint="eastAsia" w:ascii="黑体" w:hAnsi="黑体" w:eastAsia="黑体" w:cs="黑体"/>
          <w:sz w:val="24"/>
        </w:rPr>
      </w:pPr>
      <w:r>
        <w:rPr>
          <w:rFonts w:hint="eastAsia" w:ascii="黑体" w:hAnsi="黑体" w:eastAsia="黑体" w:cs="黑体"/>
          <w:sz w:val="24"/>
        </w:rPr>
        <w:t>本公司对上述声明的真实性负责。如有虚假，将依法承担相应责任。</w:t>
      </w:r>
    </w:p>
    <w:p>
      <w:pPr>
        <w:adjustRightInd w:val="0"/>
        <w:snapToGrid w:val="0"/>
        <w:spacing w:line="400" w:lineRule="atLeast"/>
        <w:ind w:firstLine="480" w:firstLineChars="200"/>
        <w:rPr>
          <w:rFonts w:hint="eastAsia" w:ascii="黑体" w:hAnsi="黑体" w:eastAsia="黑体" w:cs="黑体"/>
          <w:sz w:val="24"/>
        </w:rPr>
      </w:pPr>
    </w:p>
    <w:p>
      <w:pPr>
        <w:adjustRightInd w:val="0"/>
        <w:snapToGrid w:val="0"/>
        <w:spacing w:line="400" w:lineRule="atLeast"/>
        <w:ind w:firstLine="480" w:firstLineChars="200"/>
        <w:rPr>
          <w:rFonts w:hint="eastAsia" w:ascii="黑体" w:hAnsi="黑体" w:eastAsia="黑体" w:cs="黑体"/>
          <w:sz w:val="24"/>
        </w:rPr>
      </w:pPr>
      <w:r>
        <w:rPr>
          <w:rFonts w:hint="eastAsia" w:ascii="黑体" w:hAnsi="黑体" w:eastAsia="黑体" w:cs="黑体"/>
          <w:sz w:val="24"/>
        </w:rPr>
        <w:t xml:space="preserve">                                                        企业名称（公章）：</w:t>
      </w:r>
    </w:p>
    <w:p>
      <w:pPr>
        <w:adjustRightInd w:val="0"/>
        <w:snapToGrid w:val="0"/>
        <w:spacing w:line="400" w:lineRule="atLeast"/>
        <w:ind w:firstLine="480" w:firstLineChars="200"/>
        <w:rPr>
          <w:rFonts w:hint="eastAsia" w:ascii="黑体" w:hAnsi="黑体" w:eastAsia="黑体" w:cs="黑体"/>
          <w:sz w:val="24"/>
        </w:rPr>
      </w:pPr>
      <w:r>
        <w:rPr>
          <w:rFonts w:hint="eastAsia" w:ascii="黑体" w:hAnsi="黑体" w:eastAsia="黑体" w:cs="黑体"/>
          <w:sz w:val="24"/>
        </w:rPr>
        <w:t xml:space="preserve">                                                        日  期：</w:t>
      </w:r>
    </w:p>
    <w:p>
      <w:pPr>
        <w:pStyle w:val="6"/>
        <w:adjustRightInd w:val="0"/>
        <w:snapToGrid w:val="0"/>
        <w:spacing w:line="400" w:lineRule="atLeast"/>
        <w:outlineLvl w:val="9"/>
        <w:rPr>
          <w:rFonts w:hint="eastAsia" w:ascii="黑体" w:hAnsi="黑体" w:eastAsia="黑体" w:cs="黑体"/>
          <w:sz w:val="24"/>
        </w:rPr>
        <w:sectPr>
          <w:pgSz w:w="11906" w:h="16838"/>
          <w:pgMar w:top="1440" w:right="1080" w:bottom="1440" w:left="1080" w:header="851" w:footer="992" w:gutter="0"/>
          <w:pgNumType w:fmt="decimal"/>
          <w:cols w:space="720" w:num="1"/>
          <w:docGrid w:type="linesAndChars" w:linePitch="312" w:charSpace="0"/>
        </w:sectPr>
      </w:pPr>
      <w:bookmarkStart w:id="147" w:name="_Toc39945715"/>
      <w:bookmarkStart w:id="148" w:name="_Toc39669656"/>
    </w:p>
    <w:p>
      <w:pPr>
        <w:pStyle w:val="6"/>
        <w:adjustRightInd w:val="0"/>
        <w:snapToGrid w:val="0"/>
        <w:spacing w:line="400" w:lineRule="atLeast"/>
        <w:rPr>
          <w:rFonts w:hint="eastAsia" w:ascii="黑体" w:hAnsi="黑体" w:eastAsia="黑体" w:cs="黑体"/>
          <w:b/>
          <w:bCs/>
          <w:sz w:val="24"/>
        </w:rPr>
      </w:pPr>
      <w:bookmarkStart w:id="149" w:name="_Toc19302"/>
      <w:bookmarkStart w:id="150" w:name="_Toc6589"/>
      <w:r>
        <w:rPr>
          <w:rFonts w:hint="eastAsia" w:ascii="黑体" w:hAnsi="黑体" w:eastAsia="黑体" w:cs="黑体"/>
          <w:b/>
          <w:bCs/>
          <w:sz w:val="24"/>
        </w:rPr>
        <w:t>附件十二：</w:t>
      </w:r>
      <w:bookmarkEnd w:id="147"/>
      <w:bookmarkEnd w:id="148"/>
      <w:r>
        <w:rPr>
          <w:rFonts w:hint="eastAsia" w:ascii="黑体" w:hAnsi="黑体" w:eastAsia="黑体" w:cs="黑体"/>
          <w:b/>
          <w:bCs/>
          <w:color w:val="000000"/>
          <w:sz w:val="24"/>
        </w:rPr>
        <w:t>售后服务方案、售后服务承诺书、培训计划及</w:t>
      </w:r>
      <w:r>
        <w:rPr>
          <w:rFonts w:hint="eastAsia" w:ascii="黑体" w:hAnsi="黑体" w:eastAsia="黑体" w:cs="黑体"/>
          <w:b/>
          <w:bCs/>
          <w:color w:val="000000"/>
          <w:sz w:val="24"/>
          <w:lang w:val="en-US" w:eastAsia="zh-CN"/>
        </w:rPr>
        <w:t>招标</w:t>
      </w:r>
      <w:r>
        <w:rPr>
          <w:rFonts w:hint="eastAsia" w:ascii="黑体" w:hAnsi="黑体" w:eastAsia="黑体" w:cs="黑体"/>
          <w:b/>
          <w:bCs/>
          <w:color w:val="000000"/>
          <w:sz w:val="24"/>
        </w:rPr>
        <w:t>文件要求提供得承诺函。</w:t>
      </w:r>
      <w:bookmarkEnd w:id="149"/>
      <w:bookmarkEnd w:id="150"/>
    </w:p>
    <w:p>
      <w:pPr>
        <w:adjustRightInd w:val="0"/>
        <w:snapToGrid w:val="0"/>
        <w:spacing w:line="400" w:lineRule="atLeast"/>
        <w:ind w:firstLine="480" w:firstLineChars="200"/>
        <w:jc w:val="center"/>
        <w:rPr>
          <w:rFonts w:hint="eastAsia" w:ascii="黑体" w:hAnsi="黑体" w:eastAsia="黑体" w:cs="黑体"/>
          <w:sz w:val="24"/>
        </w:rPr>
      </w:pPr>
    </w:p>
    <w:p>
      <w:pPr>
        <w:pStyle w:val="15"/>
        <w:rPr>
          <w:rFonts w:hint="eastAsia" w:ascii="黑体" w:hAnsi="黑体" w:eastAsia="黑体" w:cs="黑体"/>
        </w:rPr>
      </w:pPr>
    </w:p>
    <w:p>
      <w:pPr>
        <w:pStyle w:val="6"/>
        <w:adjustRightInd w:val="0"/>
        <w:snapToGrid w:val="0"/>
        <w:spacing w:line="400" w:lineRule="atLeast"/>
        <w:jc w:val="left"/>
        <w:rPr>
          <w:rFonts w:hint="eastAsia" w:ascii="黑体" w:hAnsi="黑体" w:eastAsia="黑体" w:cs="黑体"/>
          <w:b/>
          <w:bCs/>
          <w:sz w:val="24"/>
        </w:rPr>
      </w:pPr>
      <w:bookmarkStart w:id="151" w:name="_Toc39669658"/>
      <w:bookmarkStart w:id="152" w:name="_Toc12789"/>
      <w:bookmarkStart w:id="153" w:name="_Toc39945717"/>
      <w:bookmarkStart w:id="154" w:name="_Toc6936"/>
      <w:r>
        <w:rPr>
          <w:rFonts w:hint="eastAsia" w:ascii="黑体" w:hAnsi="黑体" w:eastAsia="黑体" w:cs="黑体"/>
          <w:b/>
          <w:bCs/>
          <w:sz w:val="24"/>
        </w:rPr>
        <w:t>附件十三：</w:t>
      </w:r>
      <w:bookmarkEnd w:id="151"/>
      <w:r>
        <w:rPr>
          <w:rFonts w:hint="eastAsia" w:ascii="黑体" w:hAnsi="黑体" w:eastAsia="黑体" w:cs="黑体"/>
          <w:b/>
          <w:bCs/>
          <w:sz w:val="24"/>
        </w:rPr>
        <w:t>投标单位(供应商)反商业贿赂承诺书</w:t>
      </w:r>
      <w:bookmarkEnd w:id="152"/>
      <w:bookmarkEnd w:id="153"/>
      <w:bookmarkEnd w:id="154"/>
    </w:p>
    <w:p>
      <w:pPr>
        <w:rPr>
          <w:rFonts w:hint="eastAsia" w:ascii="黑体" w:hAnsi="黑体" w:eastAsia="黑体" w:cs="黑体"/>
          <w:lang w:val="zh-CN"/>
        </w:rPr>
      </w:pPr>
    </w:p>
    <w:p>
      <w:pPr>
        <w:adjustRightInd w:val="0"/>
        <w:snapToGrid w:val="0"/>
        <w:spacing w:line="400" w:lineRule="atLeast"/>
        <w:jc w:val="center"/>
        <w:outlineLvl w:val="0"/>
        <w:rPr>
          <w:rFonts w:hint="eastAsia" w:ascii="黑体" w:hAnsi="黑体" w:eastAsia="黑体" w:cs="黑体"/>
          <w:sz w:val="24"/>
          <w:szCs w:val="24"/>
        </w:rPr>
      </w:pPr>
      <w:bookmarkStart w:id="155" w:name="_Toc7947"/>
      <w:bookmarkStart w:id="156" w:name="_Toc18069"/>
      <w:bookmarkStart w:id="157" w:name="_Toc39669659"/>
      <w:r>
        <w:rPr>
          <w:rFonts w:hint="eastAsia" w:ascii="黑体" w:hAnsi="黑体" w:eastAsia="黑体" w:cs="黑体"/>
          <w:sz w:val="24"/>
          <w:szCs w:val="24"/>
        </w:rPr>
        <w:t>投标单位(供应商)反商业贿赂承诺书</w:t>
      </w:r>
      <w:bookmarkEnd w:id="155"/>
      <w:bookmarkEnd w:id="156"/>
    </w:p>
    <w:p>
      <w:pPr>
        <w:pStyle w:val="15"/>
        <w:rPr>
          <w:rFonts w:hint="eastAsia" w:ascii="黑体" w:hAnsi="黑体" w:eastAsia="黑体" w:cs="黑体"/>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ind w:firstLine="480" w:firstLineChars="200"/>
        <w:jc w:val="left"/>
        <w:rPr>
          <w:rFonts w:hint="eastAsia" w:ascii="黑体" w:hAnsi="黑体" w:eastAsia="黑体" w:cs="黑体"/>
          <w:sz w:val="24"/>
          <w:szCs w:val="24"/>
        </w:rPr>
      </w:pPr>
      <w:r>
        <w:rPr>
          <w:rFonts w:hint="eastAsia" w:ascii="黑体" w:hAnsi="黑体" w:eastAsia="黑体" w:cs="黑体"/>
          <w:sz w:val="24"/>
          <w:szCs w:val="24"/>
        </w:rPr>
        <w:t>我公司承诺在</w:t>
      </w:r>
      <w:r>
        <w:rPr>
          <w:rFonts w:hint="eastAsia" w:ascii="黑体" w:hAnsi="黑体" w:eastAsia="黑体" w:cs="黑体"/>
          <w:sz w:val="24"/>
          <w:szCs w:val="24"/>
          <w:u w:val="single"/>
        </w:rPr>
        <w:t xml:space="preserve">                       </w:t>
      </w:r>
      <w:r>
        <w:rPr>
          <w:rFonts w:hint="eastAsia" w:ascii="黑体" w:hAnsi="黑体" w:eastAsia="黑体" w:cs="黑体"/>
          <w:sz w:val="24"/>
          <w:szCs w:val="24"/>
        </w:rPr>
        <w:t>项目（编号：</w:t>
      </w:r>
      <w:r>
        <w:rPr>
          <w:rFonts w:hint="eastAsia" w:ascii="黑体" w:hAnsi="黑体" w:eastAsia="黑体" w:cs="黑体"/>
          <w:sz w:val="24"/>
          <w:szCs w:val="24"/>
          <w:u w:val="single"/>
        </w:rPr>
        <w:t xml:space="preserve">           </w:t>
      </w:r>
      <w:r>
        <w:rPr>
          <w:rFonts w:hint="eastAsia" w:ascii="黑体" w:hAnsi="黑体" w:eastAsia="黑体" w:cs="黑体"/>
          <w:sz w:val="24"/>
          <w:szCs w:val="24"/>
        </w:rPr>
        <w:t>）的招标活动中，保证做到：</w:t>
      </w:r>
    </w:p>
    <w:p>
      <w:pPr>
        <w:pStyle w:val="262"/>
        <w:numPr>
          <w:ilvl w:val="0"/>
          <w:numId w:val="76"/>
        </w:numPr>
        <w:adjustRightInd w:val="0"/>
        <w:snapToGrid w:val="0"/>
        <w:spacing w:line="400" w:lineRule="atLeast"/>
        <w:ind w:left="0" w:firstLine="585" w:firstLineChars="0"/>
        <w:rPr>
          <w:rFonts w:hint="eastAsia" w:ascii="黑体" w:hAnsi="黑体" w:eastAsia="黑体" w:cs="黑体"/>
          <w:sz w:val="24"/>
          <w:szCs w:val="24"/>
        </w:rPr>
      </w:pPr>
      <w:r>
        <w:rPr>
          <w:rFonts w:hint="eastAsia" w:ascii="黑体" w:hAnsi="黑体" w:eastAsia="黑体" w:cs="黑体"/>
          <w:sz w:val="24"/>
          <w:szCs w:val="24"/>
        </w:rPr>
        <w:t>公平竞争参加本次招标活动,保证在本次投标活动中提交的所有文件均是真实、有效的.</w:t>
      </w:r>
    </w:p>
    <w:p>
      <w:pPr>
        <w:pStyle w:val="262"/>
        <w:numPr>
          <w:ilvl w:val="0"/>
          <w:numId w:val="76"/>
        </w:numPr>
        <w:adjustRightInd w:val="0"/>
        <w:snapToGrid w:val="0"/>
        <w:spacing w:line="400" w:lineRule="atLeast"/>
        <w:ind w:left="0" w:firstLine="585" w:firstLineChars="0"/>
        <w:rPr>
          <w:rFonts w:hint="eastAsia" w:ascii="黑体" w:hAnsi="黑体" w:eastAsia="黑体" w:cs="黑体"/>
          <w:sz w:val="24"/>
          <w:szCs w:val="24"/>
          <w:u w:val="single"/>
        </w:rPr>
      </w:pPr>
      <w:r>
        <w:rPr>
          <w:rFonts w:hint="eastAsia" w:ascii="黑体" w:hAnsi="黑体" w:eastAsia="黑体" w:cs="黑体"/>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pPr>
        <w:pStyle w:val="262"/>
        <w:numPr>
          <w:ilvl w:val="0"/>
          <w:numId w:val="76"/>
        </w:numPr>
        <w:adjustRightInd w:val="0"/>
        <w:snapToGrid w:val="0"/>
        <w:spacing w:line="400" w:lineRule="atLeast"/>
        <w:ind w:left="0" w:firstLine="585" w:firstLineChars="0"/>
        <w:rPr>
          <w:rFonts w:hint="eastAsia" w:ascii="黑体" w:hAnsi="黑体" w:eastAsia="黑体" w:cs="黑体"/>
          <w:sz w:val="24"/>
          <w:szCs w:val="24"/>
        </w:rPr>
      </w:pPr>
      <w:r>
        <w:rPr>
          <w:rFonts w:hint="eastAsia" w:ascii="黑体" w:hAnsi="黑体" w:eastAsia="黑体" w:cs="黑体"/>
          <w:sz w:val="24"/>
          <w:szCs w:val="24"/>
        </w:rPr>
        <w:t>如果我公司中标，将严格按投标承诺履行合同，保证装机设备与投标设备是一致的. 如有违反,用户有权依照相关法律追究相应责任。</w:t>
      </w:r>
    </w:p>
    <w:p>
      <w:pPr>
        <w:pStyle w:val="262"/>
        <w:numPr>
          <w:ilvl w:val="0"/>
          <w:numId w:val="76"/>
        </w:numPr>
        <w:adjustRightInd w:val="0"/>
        <w:snapToGrid w:val="0"/>
        <w:spacing w:line="400" w:lineRule="atLeast"/>
        <w:ind w:left="0" w:firstLine="585" w:firstLineChars="0"/>
        <w:rPr>
          <w:rFonts w:hint="eastAsia" w:ascii="黑体" w:hAnsi="黑体" w:eastAsia="黑体" w:cs="黑体"/>
          <w:sz w:val="24"/>
          <w:szCs w:val="24"/>
          <w:u w:val="single"/>
        </w:rPr>
      </w:pPr>
      <w:r>
        <w:rPr>
          <w:rFonts w:hint="eastAsia" w:ascii="黑体" w:hAnsi="黑体" w:eastAsia="黑体" w:cs="黑体"/>
          <w:sz w:val="24"/>
          <w:szCs w:val="24"/>
        </w:rPr>
        <w:t>若出现上述行为，我公司及参与投标的工作人员愿意接受按照《反不正当竞争法》等国家法律法规有关规定经予的处罚。</w:t>
      </w:r>
    </w:p>
    <w:p>
      <w:pPr>
        <w:pStyle w:val="262"/>
        <w:adjustRightInd w:val="0"/>
        <w:snapToGrid w:val="0"/>
        <w:spacing w:line="400" w:lineRule="atLeast"/>
        <w:ind w:left="1276" w:firstLine="0" w:firstLineChars="0"/>
        <w:rPr>
          <w:rFonts w:hint="eastAsia" w:ascii="黑体" w:hAnsi="黑体" w:eastAsia="黑体" w:cs="黑体"/>
          <w:sz w:val="24"/>
          <w:szCs w:val="24"/>
          <w:u w:val="single"/>
        </w:rPr>
      </w:pPr>
    </w:p>
    <w:p>
      <w:pPr>
        <w:pStyle w:val="262"/>
        <w:adjustRightInd w:val="0"/>
        <w:snapToGrid w:val="0"/>
        <w:spacing w:line="400" w:lineRule="atLeast"/>
        <w:ind w:right="960" w:firstLine="4320" w:firstLineChars="1800"/>
        <w:rPr>
          <w:rFonts w:hint="eastAsia" w:ascii="黑体" w:hAnsi="黑体" w:eastAsia="黑体" w:cs="黑体"/>
          <w:sz w:val="24"/>
          <w:szCs w:val="24"/>
          <w:u w:val="single"/>
        </w:rPr>
      </w:pPr>
      <w:r>
        <w:rPr>
          <w:rFonts w:hint="eastAsia" w:ascii="黑体" w:hAnsi="黑体" w:eastAsia="黑体" w:cs="黑体"/>
          <w:sz w:val="24"/>
          <w:szCs w:val="24"/>
        </w:rPr>
        <w:t>投标单位：</w:t>
      </w:r>
      <w:r>
        <w:rPr>
          <w:rFonts w:hint="eastAsia" w:ascii="黑体" w:hAnsi="黑体" w:eastAsia="黑体" w:cs="黑体"/>
          <w:sz w:val="24"/>
          <w:szCs w:val="24"/>
          <w:u w:val="single"/>
        </w:rPr>
        <w:t xml:space="preserve">　　　　　　　                      </w:t>
      </w:r>
    </w:p>
    <w:p>
      <w:pPr>
        <w:pStyle w:val="262"/>
        <w:adjustRightInd w:val="0"/>
        <w:snapToGrid w:val="0"/>
        <w:spacing w:line="400" w:lineRule="atLeast"/>
        <w:ind w:left="1276" w:firstLine="0" w:firstLineChars="0"/>
        <w:jc w:val="right"/>
        <w:rPr>
          <w:rFonts w:hint="eastAsia" w:ascii="黑体" w:hAnsi="黑体" w:eastAsia="黑体" w:cs="黑体"/>
          <w:sz w:val="24"/>
          <w:szCs w:val="24"/>
          <w:u w:val="single"/>
        </w:rPr>
      </w:pPr>
      <w:r>
        <w:rPr>
          <w:rFonts w:hint="eastAsia" w:ascii="黑体" w:hAnsi="黑体" w:eastAsia="黑体" w:cs="黑体"/>
          <w:sz w:val="24"/>
          <w:szCs w:val="24"/>
        </w:rPr>
        <w:t>法定代表人或法人授权代表：</w:t>
      </w:r>
      <w:r>
        <w:rPr>
          <w:rFonts w:hint="eastAsia" w:ascii="黑体" w:hAnsi="黑体" w:eastAsia="黑体" w:cs="黑体"/>
          <w:sz w:val="24"/>
          <w:szCs w:val="24"/>
          <w:u w:val="single"/>
        </w:rPr>
        <w:t>　    　　　（签字）</w:t>
      </w:r>
    </w:p>
    <w:p>
      <w:pPr>
        <w:pStyle w:val="262"/>
        <w:adjustRightInd w:val="0"/>
        <w:snapToGrid w:val="0"/>
        <w:spacing w:before="156" w:beforeLines="50" w:after="156" w:afterLines="50" w:line="400" w:lineRule="atLeast"/>
        <w:ind w:left="1276" w:firstLine="0" w:firstLineChars="0"/>
        <w:rPr>
          <w:rFonts w:hint="eastAsia" w:ascii="黑体" w:hAnsi="黑体" w:eastAsia="黑体" w:cs="黑体"/>
          <w:sz w:val="28"/>
          <w:szCs w:val="28"/>
          <w:u w:val="single"/>
        </w:rPr>
      </w:pPr>
    </w:p>
    <w:bookmarkEnd w:id="157"/>
    <w:p>
      <w:pPr>
        <w:widowControl/>
        <w:adjustRightInd w:val="0"/>
        <w:snapToGrid w:val="0"/>
        <w:spacing w:line="400" w:lineRule="atLeast"/>
        <w:jc w:val="center"/>
        <w:rPr>
          <w:rFonts w:hint="eastAsia" w:ascii="黑体" w:hAnsi="黑体" w:eastAsia="黑体" w:cs="黑体"/>
          <w:vanish/>
          <w:kern w:val="0"/>
          <w:sz w:val="18"/>
          <w:szCs w:val="18"/>
        </w:rPr>
      </w:pPr>
    </w:p>
    <w:p>
      <w:pPr>
        <w:adjustRightInd w:val="0"/>
        <w:snapToGrid w:val="0"/>
        <w:spacing w:line="400" w:lineRule="atLeast"/>
        <w:rPr>
          <w:rFonts w:hint="eastAsia" w:ascii="黑体" w:hAnsi="黑体" w:eastAsia="黑体" w:cs="黑体"/>
          <w:sz w:val="24"/>
        </w:rPr>
      </w:pPr>
    </w:p>
    <w:p>
      <w:pPr>
        <w:rPr>
          <w:rFonts w:hint="eastAsia" w:ascii="黑体" w:hAnsi="黑体" w:eastAsia="黑体" w:cs="黑体"/>
        </w:rPr>
      </w:pPr>
    </w:p>
    <w:p>
      <w:pPr>
        <w:spacing w:line="360" w:lineRule="exact"/>
        <w:ind w:firstLine="540" w:firstLineChars="150"/>
        <w:jc w:val="center"/>
        <w:rPr>
          <w:rFonts w:hint="eastAsia" w:ascii="黑体" w:hAnsi="黑体" w:eastAsia="黑体" w:cs="黑体"/>
          <w:color w:val="auto"/>
          <w:sz w:val="36"/>
          <w:szCs w:val="32"/>
          <w:highlight w:val="none"/>
        </w:rPr>
      </w:pPr>
    </w:p>
    <w:p>
      <w:pPr>
        <w:spacing w:line="360" w:lineRule="exact"/>
        <w:ind w:firstLine="540" w:firstLineChars="150"/>
        <w:jc w:val="center"/>
        <w:rPr>
          <w:rFonts w:hint="eastAsia" w:ascii="黑体" w:hAnsi="黑体" w:eastAsia="黑体" w:cs="黑体"/>
          <w:color w:val="auto"/>
          <w:sz w:val="36"/>
          <w:szCs w:val="32"/>
          <w:highlight w:val="none"/>
        </w:rPr>
      </w:pPr>
    </w:p>
    <w:p>
      <w:pPr>
        <w:spacing w:line="360" w:lineRule="exact"/>
        <w:ind w:firstLine="540" w:firstLineChars="150"/>
        <w:jc w:val="center"/>
        <w:rPr>
          <w:rFonts w:hint="eastAsia" w:ascii="黑体" w:hAnsi="黑体" w:eastAsia="黑体" w:cs="黑体"/>
          <w:color w:val="auto"/>
          <w:sz w:val="36"/>
          <w:szCs w:val="32"/>
          <w:highlight w:val="none"/>
        </w:rPr>
      </w:pPr>
    </w:p>
    <w:p>
      <w:pPr>
        <w:spacing w:line="360" w:lineRule="exact"/>
        <w:ind w:firstLine="540" w:firstLineChars="150"/>
        <w:jc w:val="center"/>
        <w:rPr>
          <w:rFonts w:hint="eastAsia" w:ascii="黑体" w:hAnsi="黑体" w:eastAsia="黑体" w:cs="黑体"/>
          <w:color w:val="auto"/>
          <w:sz w:val="36"/>
          <w:szCs w:val="32"/>
          <w:highlight w:val="none"/>
        </w:rPr>
      </w:pPr>
    </w:p>
    <w:p>
      <w:pPr>
        <w:spacing w:line="360" w:lineRule="exact"/>
        <w:ind w:firstLine="540" w:firstLineChars="150"/>
        <w:jc w:val="center"/>
        <w:rPr>
          <w:rFonts w:hint="eastAsia" w:ascii="黑体" w:hAnsi="黑体" w:eastAsia="黑体" w:cs="黑体"/>
          <w:color w:val="auto"/>
          <w:sz w:val="36"/>
          <w:szCs w:val="32"/>
          <w:highlight w:val="none"/>
        </w:rPr>
      </w:pPr>
    </w:p>
    <w:p>
      <w:pPr>
        <w:spacing w:line="360" w:lineRule="exact"/>
        <w:ind w:firstLine="540" w:firstLineChars="150"/>
        <w:jc w:val="center"/>
        <w:rPr>
          <w:rFonts w:hint="eastAsia" w:ascii="黑体" w:hAnsi="黑体" w:eastAsia="黑体" w:cs="黑体"/>
          <w:color w:val="auto"/>
          <w:sz w:val="36"/>
          <w:szCs w:val="32"/>
          <w:highlight w:val="none"/>
        </w:rPr>
      </w:pPr>
    </w:p>
    <w:p>
      <w:pPr>
        <w:spacing w:line="360" w:lineRule="exact"/>
        <w:ind w:firstLine="540" w:firstLineChars="150"/>
        <w:jc w:val="center"/>
        <w:rPr>
          <w:rFonts w:hint="eastAsia" w:ascii="黑体" w:hAnsi="黑体" w:eastAsia="黑体" w:cs="黑体"/>
          <w:color w:val="auto"/>
          <w:sz w:val="36"/>
          <w:szCs w:val="32"/>
          <w:highlight w:val="none"/>
        </w:rPr>
      </w:pPr>
    </w:p>
    <w:p>
      <w:pPr>
        <w:spacing w:line="360" w:lineRule="exact"/>
        <w:ind w:firstLine="540" w:firstLineChars="150"/>
        <w:jc w:val="center"/>
        <w:rPr>
          <w:rFonts w:hint="eastAsia" w:ascii="黑体" w:hAnsi="黑体" w:eastAsia="黑体" w:cs="黑体"/>
          <w:color w:val="auto"/>
          <w:sz w:val="36"/>
          <w:szCs w:val="32"/>
          <w:highlight w:val="none"/>
        </w:rPr>
      </w:pPr>
    </w:p>
    <w:p>
      <w:pPr>
        <w:spacing w:line="360" w:lineRule="exact"/>
        <w:ind w:firstLine="540" w:firstLineChars="150"/>
        <w:jc w:val="center"/>
        <w:rPr>
          <w:rFonts w:hint="eastAsia" w:ascii="黑体" w:hAnsi="黑体" w:eastAsia="黑体" w:cs="黑体"/>
          <w:color w:val="auto"/>
          <w:sz w:val="36"/>
          <w:szCs w:val="32"/>
          <w:highlight w:val="none"/>
        </w:rPr>
      </w:pPr>
    </w:p>
    <w:p>
      <w:pPr>
        <w:spacing w:line="360" w:lineRule="exact"/>
        <w:ind w:firstLine="540" w:firstLineChars="150"/>
        <w:jc w:val="center"/>
        <w:rPr>
          <w:rFonts w:hint="eastAsia" w:ascii="黑体" w:hAnsi="黑体" w:eastAsia="黑体" w:cs="黑体"/>
          <w:color w:val="auto"/>
          <w:sz w:val="36"/>
          <w:szCs w:val="32"/>
          <w:highlight w:val="none"/>
        </w:rPr>
      </w:pPr>
    </w:p>
    <w:p>
      <w:pPr>
        <w:spacing w:line="360" w:lineRule="exact"/>
        <w:ind w:firstLine="540" w:firstLineChars="150"/>
        <w:jc w:val="center"/>
        <w:rPr>
          <w:rFonts w:hint="eastAsia" w:ascii="黑体" w:hAnsi="黑体" w:eastAsia="黑体" w:cs="黑体"/>
          <w:color w:val="auto"/>
          <w:sz w:val="36"/>
          <w:szCs w:val="32"/>
          <w:highlight w:val="none"/>
        </w:rPr>
      </w:pPr>
    </w:p>
    <w:p>
      <w:pPr>
        <w:spacing w:line="360" w:lineRule="exact"/>
        <w:ind w:firstLine="540" w:firstLineChars="150"/>
        <w:jc w:val="center"/>
        <w:rPr>
          <w:rFonts w:hint="eastAsia" w:ascii="黑体" w:hAnsi="黑体" w:eastAsia="黑体" w:cs="黑体"/>
          <w:color w:val="auto"/>
          <w:sz w:val="36"/>
          <w:szCs w:val="32"/>
          <w:highlight w:val="none"/>
        </w:rPr>
      </w:pPr>
    </w:p>
    <w:p>
      <w:pPr>
        <w:spacing w:line="360" w:lineRule="exact"/>
        <w:ind w:firstLine="540" w:firstLineChars="150"/>
        <w:jc w:val="center"/>
        <w:rPr>
          <w:rFonts w:hint="eastAsia" w:ascii="黑体" w:hAnsi="黑体" w:eastAsia="黑体" w:cs="黑体"/>
          <w:color w:val="auto"/>
          <w:sz w:val="36"/>
          <w:szCs w:val="32"/>
          <w:highlight w:val="none"/>
        </w:rPr>
      </w:pPr>
    </w:p>
    <w:p>
      <w:pPr>
        <w:spacing w:line="240" w:lineRule="auto"/>
        <w:ind w:firstLine="540" w:firstLineChars="150"/>
        <w:jc w:val="center"/>
        <w:outlineLvl w:val="0"/>
        <w:rPr>
          <w:rFonts w:hint="eastAsia" w:ascii="黑体" w:hAnsi="黑体" w:eastAsia="黑体" w:cs="黑体"/>
          <w:color w:val="auto"/>
          <w:highlight w:val="none"/>
        </w:rPr>
      </w:pPr>
      <w:bookmarkStart w:id="158" w:name="_Toc27464"/>
      <w:r>
        <w:rPr>
          <w:rFonts w:hint="eastAsia" w:ascii="黑体" w:hAnsi="黑体" w:eastAsia="黑体" w:cs="黑体"/>
          <w:color w:val="auto"/>
          <w:sz w:val="36"/>
          <w:szCs w:val="32"/>
          <w:highlight w:val="none"/>
        </w:rPr>
        <w:t>第八章评分标准</w:t>
      </w:r>
      <w:bookmarkEnd w:id="158"/>
    </w:p>
    <w:tbl>
      <w:tblPr>
        <w:tblStyle w:val="42"/>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437"/>
        <w:gridCol w:w="522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90" w:type="dxa"/>
            <w:vAlign w:val="center"/>
          </w:tcPr>
          <w:p>
            <w:pPr>
              <w:pStyle w:val="2"/>
              <w:ind w:left="0" w:leftChars="0" w:firstLine="0" w:firstLineChars="0"/>
              <w:jc w:val="center"/>
              <w:rPr>
                <w:rFonts w:hint="eastAsia" w:ascii="黑体" w:hAnsi="黑体" w:eastAsia="黑体" w:cs="黑体"/>
                <w:color w:val="auto"/>
                <w:highlight w:val="none"/>
              </w:rPr>
            </w:pPr>
            <w:r>
              <w:rPr>
                <w:rFonts w:hint="eastAsia" w:ascii="黑体" w:hAnsi="黑体" w:eastAsia="黑体" w:cs="黑体"/>
                <w:color w:val="auto"/>
                <w:highlight w:val="none"/>
              </w:rPr>
              <w:t>类别</w:t>
            </w:r>
          </w:p>
        </w:tc>
        <w:tc>
          <w:tcPr>
            <w:tcW w:w="1437" w:type="dxa"/>
            <w:vAlign w:val="center"/>
          </w:tcPr>
          <w:p>
            <w:pPr>
              <w:pStyle w:val="2"/>
              <w:ind w:left="0" w:leftChars="0" w:firstLine="0" w:firstLineChars="0"/>
              <w:jc w:val="center"/>
              <w:rPr>
                <w:rFonts w:hint="eastAsia" w:ascii="黑体" w:hAnsi="黑体" w:eastAsia="黑体" w:cs="黑体"/>
                <w:color w:val="auto"/>
                <w:highlight w:val="none"/>
              </w:rPr>
            </w:pPr>
            <w:r>
              <w:rPr>
                <w:rFonts w:hint="eastAsia" w:ascii="黑体" w:hAnsi="黑体" w:eastAsia="黑体" w:cs="黑体"/>
                <w:color w:val="auto"/>
                <w:highlight w:val="none"/>
              </w:rPr>
              <w:t>评分内容</w:t>
            </w:r>
          </w:p>
        </w:tc>
        <w:tc>
          <w:tcPr>
            <w:tcW w:w="5225" w:type="dxa"/>
            <w:vAlign w:val="center"/>
          </w:tcPr>
          <w:p>
            <w:pPr>
              <w:pStyle w:val="2"/>
              <w:ind w:left="0" w:leftChars="0" w:firstLine="0" w:firstLineChars="0"/>
              <w:jc w:val="center"/>
              <w:rPr>
                <w:rFonts w:hint="eastAsia" w:ascii="黑体" w:hAnsi="黑体" w:eastAsia="黑体" w:cs="黑体"/>
                <w:color w:val="auto"/>
                <w:highlight w:val="none"/>
              </w:rPr>
            </w:pPr>
            <w:r>
              <w:rPr>
                <w:rFonts w:hint="eastAsia" w:ascii="黑体" w:hAnsi="黑体" w:eastAsia="黑体" w:cs="黑体"/>
                <w:color w:val="auto"/>
                <w:highlight w:val="none"/>
              </w:rPr>
              <w:t>评分标准</w:t>
            </w:r>
          </w:p>
        </w:tc>
        <w:tc>
          <w:tcPr>
            <w:tcW w:w="1114" w:type="dxa"/>
            <w:vAlign w:val="center"/>
          </w:tcPr>
          <w:p>
            <w:pPr>
              <w:pStyle w:val="2"/>
              <w:ind w:left="0" w:leftChars="0" w:firstLine="0" w:firstLineChars="0"/>
              <w:jc w:val="center"/>
              <w:rPr>
                <w:rFonts w:hint="eastAsia" w:ascii="黑体" w:hAnsi="黑体" w:eastAsia="黑体" w:cs="黑体"/>
                <w:color w:val="auto"/>
                <w:highlight w:val="none"/>
              </w:rPr>
            </w:pPr>
            <w:r>
              <w:rPr>
                <w:rFonts w:hint="eastAsia" w:ascii="黑体" w:hAnsi="黑体" w:eastAsia="黑体" w:cs="黑体"/>
                <w:color w:val="auto"/>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990" w:type="dxa"/>
            <w:vMerge w:val="restart"/>
            <w:vAlign w:val="center"/>
          </w:tcPr>
          <w:p>
            <w:pPr>
              <w:widowControl/>
              <w:adjustRightInd w:val="0"/>
              <w:snapToGrid w:val="0"/>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技术部分（60）</w:t>
            </w:r>
          </w:p>
        </w:tc>
        <w:tc>
          <w:tcPr>
            <w:tcW w:w="1437" w:type="dxa"/>
            <w:vAlign w:val="center"/>
          </w:tcPr>
          <w:p>
            <w:pPr>
              <w:widowControl/>
              <w:adjustRightInd w:val="0"/>
              <w:snapToGrid w:val="0"/>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技术参数符合程度</w:t>
            </w:r>
          </w:p>
          <w:p>
            <w:pPr>
              <w:widowControl/>
              <w:adjustRightInd w:val="0"/>
              <w:snapToGrid w:val="0"/>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kern w:val="0"/>
                <w:sz w:val="24"/>
                <w:szCs w:val="24"/>
                <w:highlight w:val="none"/>
              </w:rPr>
              <w:t>（</w:t>
            </w:r>
            <w:r>
              <w:rPr>
                <w:rFonts w:hint="eastAsia" w:ascii="黑体" w:hAnsi="黑体" w:eastAsia="黑体" w:cs="黑体"/>
                <w:color w:val="auto"/>
                <w:kern w:val="0"/>
                <w:sz w:val="24"/>
                <w:szCs w:val="24"/>
                <w:highlight w:val="none"/>
                <w:lang w:val="en-US" w:eastAsia="zh-CN"/>
              </w:rPr>
              <w:t>45</w:t>
            </w:r>
            <w:r>
              <w:rPr>
                <w:rFonts w:hint="eastAsia" w:ascii="黑体" w:hAnsi="黑体" w:eastAsia="黑体" w:cs="黑体"/>
                <w:color w:val="auto"/>
                <w:kern w:val="0"/>
                <w:sz w:val="24"/>
                <w:szCs w:val="24"/>
                <w:highlight w:val="none"/>
              </w:rPr>
              <w:t>分）</w:t>
            </w:r>
          </w:p>
        </w:tc>
        <w:tc>
          <w:tcPr>
            <w:tcW w:w="5225" w:type="dxa"/>
            <w:vAlign w:val="center"/>
          </w:tcPr>
          <w:p>
            <w:pPr>
              <w:widowControl/>
              <w:adjustRightInd w:val="0"/>
              <w:snapToGrid w:val="0"/>
              <w:rPr>
                <w:rFonts w:hint="eastAsia" w:ascii="黑体" w:hAnsi="黑体" w:eastAsia="黑体" w:cs="黑体"/>
                <w:color w:val="auto"/>
                <w:kern w:val="0"/>
                <w:sz w:val="24"/>
                <w:szCs w:val="24"/>
                <w:highlight w:val="none"/>
              </w:rPr>
            </w:pPr>
            <w:r>
              <w:rPr>
                <w:rFonts w:hint="eastAsia" w:ascii="黑体" w:hAnsi="黑体" w:eastAsia="黑体" w:cs="黑体"/>
                <w:color w:val="000000"/>
                <w:kern w:val="0"/>
                <w:sz w:val="24"/>
                <w:szCs w:val="24"/>
                <w:highlight w:val="none"/>
              </w:rPr>
              <w:t>针对招标文件技术参数，满足招标文件要求，全部满</w:t>
            </w:r>
            <w:r>
              <w:rPr>
                <w:rFonts w:hint="eastAsia" w:ascii="黑体" w:hAnsi="黑体" w:eastAsia="黑体" w:cs="黑体"/>
                <w:color w:val="auto"/>
                <w:kern w:val="0"/>
                <w:sz w:val="24"/>
                <w:szCs w:val="24"/>
                <w:highlight w:val="none"/>
              </w:rPr>
              <w:t>足要求的</w:t>
            </w:r>
            <w:r>
              <w:rPr>
                <w:rFonts w:hint="eastAsia" w:ascii="黑体" w:hAnsi="黑体" w:eastAsia="黑体" w:cs="黑体"/>
                <w:color w:val="auto"/>
                <w:kern w:val="0"/>
                <w:sz w:val="24"/>
                <w:szCs w:val="24"/>
                <w:highlight w:val="none"/>
                <w:lang w:val="en-US" w:eastAsia="zh-CN"/>
              </w:rPr>
              <w:t>45</w:t>
            </w:r>
            <w:r>
              <w:rPr>
                <w:rFonts w:hint="eastAsia" w:ascii="黑体" w:hAnsi="黑体" w:eastAsia="黑体" w:cs="黑体"/>
                <w:color w:val="auto"/>
                <w:kern w:val="0"/>
                <w:sz w:val="24"/>
                <w:szCs w:val="24"/>
                <w:highlight w:val="none"/>
              </w:rPr>
              <w:t>分。（</w:t>
            </w:r>
            <w:r>
              <w:rPr>
                <w:rFonts w:hint="eastAsia" w:ascii="宋体" w:hAnsi="宋体" w:cs="宋体"/>
                <w:color w:val="auto"/>
                <w:szCs w:val="21"/>
              </w:rPr>
              <w:t>▲</w:t>
            </w:r>
            <w:r>
              <w:rPr>
                <w:rFonts w:hint="eastAsia" w:ascii="黑体" w:hAnsi="黑体" w:eastAsia="黑体" w:cs="黑体"/>
                <w:color w:val="auto"/>
                <w:kern w:val="0"/>
                <w:sz w:val="24"/>
                <w:szCs w:val="24"/>
                <w:highlight w:val="none"/>
              </w:rPr>
              <w:t>）号技术参数的每有一项负偏离，扣5分，扣完为止；一般技术参数的每有一项负偏离，按</w:t>
            </w:r>
            <w:r>
              <w:rPr>
                <w:rFonts w:hint="eastAsia" w:ascii="黑体" w:hAnsi="黑体" w:eastAsia="黑体" w:cs="黑体"/>
                <w:color w:val="auto"/>
                <w:kern w:val="0"/>
                <w:sz w:val="24"/>
                <w:szCs w:val="24"/>
                <w:highlight w:val="none"/>
                <w:lang w:val="en-US" w:eastAsia="zh-CN"/>
              </w:rPr>
              <w:t>1</w:t>
            </w:r>
            <w:r>
              <w:rPr>
                <w:rFonts w:hint="eastAsia" w:ascii="黑体" w:hAnsi="黑体" w:eastAsia="黑体" w:cs="黑体"/>
                <w:color w:val="auto"/>
                <w:kern w:val="0"/>
                <w:sz w:val="24"/>
                <w:szCs w:val="24"/>
                <w:highlight w:val="none"/>
              </w:rPr>
              <w:t>分抵扣，扣完为止。</w:t>
            </w:r>
          </w:p>
          <w:p>
            <w:pPr>
              <w:widowControl/>
              <w:adjustRightInd w:val="0"/>
              <w:snapToGrid w:val="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所提供技术参数每优于招标文件要求一项得</w:t>
            </w:r>
            <w:r>
              <w:rPr>
                <w:rFonts w:hint="eastAsia" w:ascii="黑体" w:hAnsi="黑体" w:eastAsia="黑体" w:cs="黑体"/>
                <w:color w:val="auto"/>
                <w:kern w:val="0"/>
                <w:sz w:val="24"/>
                <w:szCs w:val="24"/>
                <w:highlight w:val="none"/>
                <w:lang w:val="en-US" w:eastAsia="zh-CN"/>
              </w:rPr>
              <w:t>1</w:t>
            </w:r>
            <w:r>
              <w:rPr>
                <w:rFonts w:hint="eastAsia" w:ascii="黑体" w:hAnsi="黑体" w:eastAsia="黑体" w:cs="黑体"/>
                <w:color w:val="auto"/>
                <w:kern w:val="0"/>
                <w:sz w:val="24"/>
                <w:szCs w:val="24"/>
                <w:highlight w:val="none"/>
              </w:rPr>
              <w:t xml:space="preserve">    分，此项得分最高不能超过</w:t>
            </w:r>
            <w:r>
              <w:rPr>
                <w:rFonts w:hint="eastAsia" w:ascii="黑体" w:hAnsi="黑体" w:eastAsia="黑体" w:cs="黑体"/>
                <w:color w:val="auto"/>
                <w:kern w:val="0"/>
                <w:sz w:val="24"/>
                <w:szCs w:val="24"/>
                <w:highlight w:val="none"/>
                <w:lang w:val="en-US" w:eastAsia="zh-CN"/>
              </w:rPr>
              <w:t>5</w:t>
            </w:r>
            <w:r>
              <w:rPr>
                <w:rFonts w:hint="eastAsia" w:ascii="黑体" w:hAnsi="黑体" w:eastAsia="黑体" w:cs="黑体"/>
                <w:color w:val="auto"/>
                <w:kern w:val="0"/>
                <w:sz w:val="24"/>
                <w:szCs w:val="24"/>
                <w:highlight w:val="none"/>
              </w:rPr>
              <w:t>分</w:t>
            </w:r>
          </w:p>
          <w:p>
            <w:pPr>
              <w:widowControl/>
              <w:adjustRightInd w:val="0"/>
              <w:snapToGrid w:val="0"/>
              <w:rPr>
                <w:rFonts w:hint="eastAsia"/>
                <w:lang w:val="en-US"/>
              </w:rPr>
            </w:pPr>
            <w:r>
              <w:rPr>
                <w:rFonts w:hint="eastAsia" w:ascii="黑体" w:hAnsi="黑体" w:eastAsia="黑体" w:cs="黑体"/>
                <w:color w:val="auto"/>
                <w:kern w:val="0"/>
                <w:sz w:val="24"/>
                <w:szCs w:val="24"/>
                <w:highlight w:val="none"/>
              </w:rPr>
              <w:t>（注：供应商需如实填写所</w:t>
            </w:r>
            <w:r>
              <w:rPr>
                <w:rFonts w:hint="eastAsia" w:ascii="黑体" w:hAnsi="黑体" w:eastAsia="黑体" w:cs="黑体"/>
                <w:color w:val="000000"/>
                <w:kern w:val="0"/>
                <w:sz w:val="24"/>
                <w:szCs w:val="24"/>
                <w:highlight w:val="none"/>
              </w:rPr>
              <w:t>投产品参数，并提供证明其参数真实有效的证明文件，若提供的证明文件无法证明参数的真实性，视为负偏离或以评审小组集体意见为准。）</w:t>
            </w:r>
          </w:p>
        </w:tc>
        <w:tc>
          <w:tcPr>
            <w:tcW w:w="1114" w:type="dxa"/>
            <w:vAlign w:val="center"/>
          </w:tcPr>
          <w:p>
            <w:pPr>
              <w:pStyle w:val="2"/>
              <w:spacing w:line="380" w:lineRule="exact"/>
              <w:ind w:left="0" w:leftChars="0" w:firstLine="0" w:firstLineChars="0"/>
              <w:jc w:val="center"/>
              <w:rPr>
                <w:rFonts w:hint="eastAsia"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lang w:val="en-US"/>
              </w:rPr>
              <w:t>0分</w:t>
            </w:r>
            <w:r>
              <w:rPr>
                <w:rFonts w:hint="eastAsia" w:ascii="黑体" w:hAnsi="黑体" w:eastAsia="黑体" w:cs="黑体"/>
                <w:color w:val="auto"/>
                <w:sz w:val="24"/>
                <w:szCs w:val="24"/>
                <w:highlight w:val="none"/>
                <w:lang w:val="en-US" w:eastAsia="zh-CN"/>
              </w:rPr>
              <w:t>-45</w:t>
            </w:r>
            <w:r>
              <w:rPr>
                <w:rFonts w:hint="eastAsia" w:ascii="黑体" w:hAnsi="黑体" w:eastAsia="黑体" w:cs="黑体"/>
                <w:color w:val="auto"/>
                <w:sz w:val="24"/>
                <w:szCs w:val="24"/>
                <w:highlight w:val="none"/>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990" w:type="dxa"/>
            <w:vMerge w:val="continue"/>
            <w:vAlign w:val="center"/>
          </w:tcPr>
          <w:p>
            <w:pPr>
              <w:pStyle w:val="2"/>
              <w:ind w:left="0" w:leftChars="0" w:firstLine="0" w:firstLineChars="0"/>
              <w:jc w:val="center"/>
              <w:rPr>
                <w:rFonts w:hint="eastAsia" w:ascii="黑体" w:hAnsi="黑体" w:eastAsia="黑体" w:cs="黑体"/>
                <w:color w:val="auto"/>
                <w:highlight w:val="none"/>
                <w:lang w:val="en-US"/>
              </w:rPr>
            </w:pPr>
          </w:p>
        </w:tc>
        <w:tc>
          <w:tcPr>
            <w:tcW w:w="1437" w:type="dxa"/>
            <w:vAlign w:val="center"/>
          </w:tcPr>
          <w:p>
            <w:pPr>
              <w:widowControl/>
              <w:adjustRightInd w:val="0"/>
              <w:snapToGrid w:val="0"/>
              <w:jc w:val="center"/>
              <w:rPr>
                <w:rFonts w:hint="eastAsia" w:ascii="黑体" w:hAnsi="黑体" w:eastAsia="黑体" w:cs="黑体"/>
                <w:color w:val="auto"/>
                <w:sz w:val="24"/>
                <w:szCs w:val="24"/>
                <w:highlight w:val="none"/>
                <w:lang w:eastAsia="zh-CN"/>
              </w:rPr>
            </w:pPr>
            <w:r>
              <w:rPr>
                <w:rFonts w:hint="eastAsia" w:ascii="黑体" w:hAnsi="黑体" w:eastAsia="黑体" w:cs="黑体"/>
                <w:color w:val="000000"/>
                <w:kern w:val="0"/>
                <w:sz w:val="24"/>
                <w:szCs w:val="24"/>
                <w:highlight w:val="none"/>
                <w:lang w:eastAsia="zh-CN"/>
              </w:rPr>
              <w:t>质保</w:t>
            </w:r>
            <w:r>
              <w:rPr>
                <w:rFonts w:hint="eastAsia" w:ascii="黑体" w:hAnsi="黑体" w:eastAsia="黑体" w:cs="黑体"/>
                <w:color w:val="000000"/>
                <w:kern w:val="0"/>
                <w:sz w:val="24"/>
                <w:szCs w:val="24"/>
                <w:highlight w:val="none"/>
              </w:rPr>
              <w:t>售后服务</w:t>
            </w:r>
            <w:r>
              <w:rPr>
                <w:rFonts w:hint="eastAsia" w:ascii="黑体" w:hAnsi="黑体" w:eastAsia="黑体" w:cs="黑体"/>
                <w:color w:val="000000"/>
                <w:kern w:val="0"/>
                <w:sz w:val="24"/>
                <w:szCs w:val="24"/>
                <w:highlight w:val="none"/>
                <w:lang w:eastAsia="zh-CN"/>
              </w:rPr>
              <w:t>（</w:t>
            </w:r>
            <w:r>
              <w:rPr>
                <w:rFonts w:hint="eastAsia" w:ascii="黑体" w:hAnsi="黑体" w:eastAsia="黑体" w:cs="黑体"/>
                <w:color w:val="000000"/>
                <w:kern w:val="0"/>
                <w:sz w:val="24"/>
                <w:szCs w:val="24"/>
                <w:highlight w:val="none"/>
                <w:lang w:val="en-US" w:eastAsia="zh-CN"/>
              </w:rPr>
              <w:t>8分</w:t>
            </w:r>
            <w:r>
              <w:rPr>
                <w:rFonts w:hint="eastAsia" w:ascii="黑体" w:hAnsi="黑体" w:eastAsia="黑体" w:cs="黑体"/>
                <w:color w:val="000000"/>
                <w:kern w:val="0"/>
                <w:sz w:val="24"/>
                <w:szCs w:val="24"/>
                <w:highlight w:val="none"/>
                <w:lang w:eastAsia="zh-CN"/>
              </w:rPr>
              <w:t>）</w:t>
            </w:r>
          </w:p>
        </w:tc>
        <w:tc>
          <w:tcPr>
            <w:tcW w:w="5225" w:type="dxa"/>
            <w:vAlign w:val="center"/>
          </w:tcPr>
          <w:p>
            <w:pPr>
              <w:widowControl/>
              <w:adjustRightInd w:val="0"/>
              <w:snapToGrid w:val="0"/>
              <w:rPr>
                <w:rFonts w:hint="eastAsia"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lang w:val="en-US"/>
              </w:rPr>
              <w:t>根据供应商提供的服务要求承诺（含设备维修）、质保期限、故障响应时间情况进行横向对比：</w:t>
            </w:r>
          </w:p>
          <w:p>
            <w:pPr>
              <w:widowControl/>
              <w:adjustRightInd w:val="0"/>
              <w:snapToGrid w:val="0"/>
              <w:rPr>
                <w:rFonts w:hint="eastAsia"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lang w:val="en-US"/>
              </w:rPr>
              <w:t>优于</w:t>
            </w:r>
            <w:r>
              <w:rPr>
                <w:rFonts w:hint="eastAsia" w:ascii="黑体" w:hAnsi="黑体" w:eastAsia="黑体" w:cs="黑体"/>
                <w:color w:val="auto"/>
                <w:sz w:val="24"/>
                <w:szCs w:val="24"/>
                <w:highlight w:val="none"/>
                <w:lang w:val="en-US" w:eastAsia="zh-CN"/>
              </w:rPr>
              <w:t>招标文件要求的</w:t>
            </w:r>
            <w:r>
              <w:rPr>
                <w:rFonts w:hint="eastAsia" w:ascii="黑体" w:hAnsi="黑体" w:eastAsia="黑体" w:cs="黑体"/>
                <w:color w:val="auto"/>
                <w:sz w:val="24"/>
                <w:szCs w:val="24"/>
                <w:highlight w:val="none"/>
                <w:lang w:val="en-US"/>
              </w:rPr>
              <w:t>方案的得</w:t>
            </w:r>
            <w:r>
              <w:rPr>
                <w:rFonts w:hint="eastAsia" w:ascii="黑体" w:hAnsi="黑体" w:eastAsia="黑体" w:cs="黑体"/>
                <w:color w:val="auto"/>
                <w:sz w:val="24"/>
                <w:szCs w:val="24"/>
                <w:highlight w:val="none"/>
                <w:lang w:val="en-US" w:eastAsia="zh-CN"/>
              </w:rPr>
              <w:t>5-8</w:t>
            </w:r>
            <w:r>
              <w:rPr>
                <w:rFonts w:hint="eastAsia" w:ascii="黑体" w:hAnsi="黑体" w:eastAsia="黑体" w:cs="黑体"/>
                <w:color w:val="auto"/>
                <w:sz w:val="24"/>
                <w:szCs w:val="24"/>
                <w:highlight w:val="none"/>
                <w:lang w:val="en-US"/>
              </w:rPr>
              <w:t>分，</w:t>
            </w:r>
          </w:p>
          <w:p>
            <w:pPr>
              <w:widowControl/>
              <w:adjustRightInd w:val="0"/>
              <w:snapToGrid w:val="0"/>
              <w:rPr>
                <w:rFonts w:hint="eastAsia"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lang w:val="en-US"/>
              </w:rPr>
              <w:t>方案满足招标文件要求</w:t>
            </w:r>
            <w:r>
              <w:rPr>
                <w:rFonts w:hint="eastAsia" w:ascii="黑体" w:hAnsi="黑体" w:eastAsia="黑体" w:cs="黑体"/>
                <w:color w:val="auto"/>
                <w:sz w:val="24"/>
                <w:szCs w:val="24"/>
                <w:highlight w:val="none"/>
                <w:lang w:val="en-US" w:eastAsia="zh-CN"/>
              </w:rPr>
              <w:t>2-4</w:t>
            </w:r>
            <w:r>
              <w:rPr>
                <w:rFonts w:hint="eastAsia" w:ascii="黑体" w:hAnsi="黑体" w:eastAsia="黑体" w:cs="黑体"/>
                <w:color w:val="auto"/>
                <w:sz w:val="24"/>
                <w:szCs w:val="24"/>
                <w:highlight w:val="none"/>
                <w:lang w:val="en-US"/>
              </w:rPr>
              <w:t>分，</w:t>
            </w:r>
          </w:p>
          <w:p>
            <w:pPr>
              <w:widowControl/>
              <w:adjustRightInd w:val="0"/>
              <w:snapToGrid w:val="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rPr>
              <w:t xml:space="preserve">服务方案不全面、不具体、可行性低得 </w:t>
            </w:r>
            <w:r>
              <w:rPr>
                <w:rFonts w:hint="eastAsia" w:ascii="黑体" w:hAnsi="黑体" w:eastAsia="黑体" w:cs="黑体"/>
                <w:color w:val="auto"/>
                <w:sz w:val="24"/>
                <w:szCs w:val="24"/>
                <w:highlight w:val="none"/>
                <w:lang w:val="en-US" w:eastAsia="zh-CN"/>
              </w:rPr>
              <w:t>0-1</w:t>
            </w:r>
            <w:r>
              <w:rPr>
                <w:rFonts w:hint="eastAsia" w:ascii="黑体" w:hAnsi="黑体" w:eastAsia="黑体" w:cs="黑体"/>
                <w:color w:val="auto"/>
                <w:sz w:val="24"/>
                <w:szCs w:val="24"/>
                <w:highlight w:val="none"/>
                <w:lang w:val="en-US"/>
              </w:rPr>
              <w:t>分，无内容不得分。</w:t>
            </w:r>
          </w:p>
        </w:tc>
        <w:tc>
          <w:tcPr>
            <w:tcW w:w="1114" w:type="dxa"/>
            <w:vAlign w:val="center"/>
          </w:tcPr>
          <w:p>
            <w:pPr>
              <w:pStyle w:val="2"/>
              <w:ind w:left="0" w:leftChars="0" w:firstLine="0" w:firstLineChars="0"/>
              <w:jc w:val="center"/>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0分-8分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Merge w:val="continue"/>
          </w:tcPr>
          <w:p>
            <w:pPr>
              <w:pStyle w:val="2"/>
              <w:ind w:left="0" w:leftChars="0" w:firstLine="0" w:firstLineChars="0"/>
              <w:rPr>
                <w:rFonts w:hint="eastAsia" w:ascii="黑体" w:hAnsi="黑体" w:eastAsia="黑体" w:cs="黑体"/>
                <w:color w:val="auto"/>
                <w:highlight w:val="none"/>
              </w:rPr>
            </w:pPr>
          </w:p>
        </w:tc>
        <w:tc>
          <w:tcPr>
            <w:tcW w:w="1437" w:type="dxa"/>
            <w:vAlign w:val="center"/>
          </w:tcPr>
          <w:p>
            <w:pPr>
              <w:widowControl/>
              <w:adjustRightInd w:val="0"/>
              <w:snapToGrid w:val="0"/>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实施方案</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4分</w:t>
            </w:r>
            <w:r>
              <w:rPr>
                <w:rFonts w:hint="eastAsia" w:ascii="黑体" w:hAnsi="黑体" w:eastAsia="黑体" w:cs="黑体"/>
                <w:color w:val="auto"/>
                <w:sz w:val="24"/>
                <w:szCs w:val="24"/>
                <w:highlight w:val="none"/>
                <w:lang w:eastAsia="zh-CN"/>
              </w:rPr>
              <w:t>）</w:t>
            </w:r>
          </w:p>
        </w:tc>
        <w:tc>
          <w:tcPr>
            <w:tcW w:w="5225" w:type="dxa"/>
            <w:vAlign w:val="center"/>
          </w:tcPr>
          <w:p>
            <w:pPr>
              <w:widowControl/>
              <w:adjustRightInd w:val="0"/>
              <w:snapToGrid w:val="0"/>
              <w:rPr>
                <w:rFonts w:hint="eastAsia" w:ascii="黑体" w:hAnsi="黑体" w:eastAsia="黑体" w:cs="黑体"/>
                <w:color w:val="000000"/>
                <w:kern w:val="0"/>
                <w:sz w:val="24"/>
                <w:szCs w:val="24"/>
                <w:highlight w:val="none"/>
                <w:lang w:eastAsia="zh-CN"/>
              </w:rPr>
            </w:pPr>
            <w:r>
              <w:rPr>
                <w:rFonts w:hint="eastAsia" w:ascii="黑体" w:hAnsi="黑体" w:eastAsia="黑体" w:cs="黑体"/>
                <w:color w:val="000000"/>
                <w:kern w:val="0"/>
                <w:sz w:val="24"/>
                <w:szCs w:val="24"/>
                <w:highlight w:val="none"/>
                <w:lang w:eastAsia="zh-CN"/>
              </w:rPr>
              <w:t>根据供应商提供的设备质量保证措施、供货安装、项目实施安全措施、突发事件处理措施、各个阶段时间安排进行横向对比并打分；</w:t>
            </w:r>
          </w:p>
          <w:p>
            <w:pPr>
              <w:widowControl/>
              <w:adjustRightInd w:val="0"/>
              <w:snapToGrid w:val="0"/>
              <w:rPr>
                <w:rFonts w:hint="eastAsia" w:ascii="黑体" w:hAnsi="黑体" w:eastAsia="黑体" w:cs="黑体"/>
                <w:color w:val="000000"/>
                <w:kern w:val="0"/>
                <w:sz w:val="24"/>
                <w:szCs w:val="24"/>
                <w:highlight w:val="none"/>
                <w:lang w:eastAsia="zh-CN"/>
              </w:rPr>
            </w:pPr>
            <w:r>
              <w:rPr>
                <w:rFonts w:hint="eastAsia" w:ascii="黑体" w:hAnsi="黑体" w:eastAsia="黑体" w:cs="黑体"/>
                <w:color w:val="000000"/>
                <w:kern w:val="0"/>
                <w:sz w:val="24"/>
                <w:szCs w:val="24"/>
                <w:highlight w:val="none"/>
                <w:lang w:eastAsia="zh-CN"/>
              </w:rPr>
              <w:t>方案</w:t>
            </w:r>
            <w:r>
              <w:rPr>
                <w:rFonts w:hint="eastAsia" w:ascii="黑体" w:hAnsi="黑体" w:eastAsia="黑体" w:cs="黑体"/>
                <w:color w:val="000000"/>
                <w:kern w:val="0"/>
                <w:sz w:val="24"/>
                <w:szCs w:val="24"/>
                <w:highlight w:val="none"/>
                <w:lang w:val="en-US" w:eastAsia="zh-CN"/>
              </w:rPr>
              <w:t>由于其他方案</w:t>
            </w:r>
            <w:r>
              <w:rPr>
                <w:rFonts w:hint="eastAsia" w:ascii="黑体" w:hAnsi="黑体" w:eastAsia="黑体" w:cs="黑体"/>
                <w:color w:val="000000"/>
                <w:kern w:val="0"/>
                <w:sz w:val="24"/>
                <w:szCs w:val="24"/>
                <w:highlight w:val="none"/>
                <w:lang w:eastAsia="zh-CN"/>
              </w:rPr>
              <w:t xml:space="preserve">，具体全面得 </w:t>
            </w:r>
            <w:r>
              <w:rPr>
                <w:rFonts w:hint="eastAsia" w:ascii="黑体" w:hAnsi="黑体" w:eastAsia="黑体" w:cs="黑体"/>
                <w:color w:val="000000"/>
                <w:kern w:val="0"/>
                <w:sz w:val="24"/>
                <w:szCs w:val="24"/>
                <w:highlight w:val="none"/>
                <w:lang w:val="en-US" w:eastAsia="zh-CN"/>
              </w:rPr>
              <w:t>4</w:t>
            </w:r>
            <w:r>
              <w:rPr>
                <w:rFonts w:hint="eastAsia" w:ascii="黑体" w:hAnsi="黑体" w:eastAsia="黑体" w:cs="黑体"/>
                <w:color w:val="000000"/>
                <w:kern w:val="0"/>
                <w:sz w:val="24"/>
                <w:szCs w:val="24"/>
                <w:highlight w:val="none"/>
                <w:lang w:eastAsia="zh-CN"/>
              </w:rPr>
              <w:t>分；</w:t>
            </w:r>
          </w:p>
          <w:p>
            <w:pPr>
              <w:widowControl/>
              <w:adjustRightInd w:val="0"/>
              <w:snapToGrid w:val="0"/>
              <w:rPr>
                <w:rFonts w:hint="eastAsia" w:ascii="黑体" w:hAnsi="黑体" w:eastAsia="黑体" w:cs="黑体"/>
                <w:color w:val="000000"/>
                <w:kern w:val="0"/>
                <w:sz w:val="24"/>
                <w:szCs w:val="24"/>
                <w:highlight w:val="none"/>
                <w:lang w:eastAsia="zh-CN"/>
              </w:rPr>
            </w:pPr>
            <w:r>
              <w:rPr>
                <w:rFonts w:hint="eastAsia" w:ascii="黑体" w:hAnsi="黑体" w:eastAsia="黑体" w:cs="黑体"/>
                <w:color w:val="000000"/>
                <w:kern w:val="0"/>
                <w:sz w:val="24"/>
                <w:szCs w:val="24"/>
                <w:highlight w:val="none"/>
                <w:lang w:eastAsia="zh-CN"/>
              </w:rPr>
              <w:t xml:space="preserve">方案完全满足招标要求得 </w:t>
            </w:r>
            <w:r>
              <w:rPr>
                <w:rFonts w:hint="eastAsia" w:ascii="黑体" w:hAnsi="黑体" w:eastAsia="黑体" w:cs="黑体"/>
                <w:color w:val="000000"/>
                <w:kern w:val="0"/>
                <w:sz w:val="24"/>
                <w:szCs w:val="24"/>
                <w:highlight w:val="none"/>
                <w:lang w:val="en-US" w:eastAsia="zh-CN"/>
              </w:rPr>
              <w:t>2-3</w:t>
            </w:r>
            <w:r>
              <w:rPr>
                <w:rFonts w:hint="eastAsia" w:ascii="黑体" w:hAnsi="黑体" w:eastAsia="黑体" w:cs="黑体"/>
                <w:color w:val="000000"/>
                <w:kern w:val="0"/>
                <w:sz w:val="24"/>
                <w:szCs w:val="24"/>
                <w:highlight w:val="none"/>
                <w:lang w:eastAsia="zh-CN"/>
              </w:rPr>
              <w:t>分；</w:t>
            </w:r>
          </w:p>
          <w:p>
            <w:pPr>
              <w:widowControl/>
              <w:adjustRightInd w:val="0"/>
              <w:snapToGrid w:val="0"/>
              <w:jc w:val="left"/>
              <w:rPr>
                <w:rFonts w:hint="eastAsia" w:ascii="黑体" w:hAnsi="黑体" w:eastAsia="黑体" w:cs="黑体"/>
                <w:color w:val="000000"/>
                <w:kern w:val="0"/>
                <w:sz w:val="24"/>
                <w:szCs w:val="24"/>
                <w:highlight w:val="none"/>
                <w:lang w:eastAsia="zh-CN"/>
              </w:rPr>
            </w:pPr>
            <w:r>
              <w:rPr>
                <w:rFonts w:hint="eastAsia" w:ascii="黑体" w:hAnsi="黑体" w:eastAsia="黑体" w:cs="黑体"/>
                <w:color w:val="000000"/>
                <w:kern w:val="0"/>
                <w:sz w:val="24"/>
                <w:szCs w:val="24"/>
                <w:highlight w:val="none"/>
                <w:lang w:eastAsia="zh-CN"/>
              </w:rPr>
              <w:t>方案不够全面、能基本满足项目要求的得</w:t>
            </w:r>
            <w:r>
              <w:rPr>
                <w:rFonts w:hint="eastAsia" w:ascii="黑体" w:hAnsi="黑体" w:eastAsia="黑体" w:cs="黑体"/>
                <w:color w:val="000000"/>
                <w:kern w:val="0"/>
                <w:sz w:val="24"/>
                <w:szCs w:val="24"/>
                <w:highlight w:val="none"/>
                <w:lang w:val="en-US" w:eastAsia="zh-CN"/>
              </w:rPr>
              <w:t>0-1分</w:t>
            </w:r>
            <w:r>
              <w:rPr>
                <w:rFonts w:hint="eastAsia" w:ascii="黑体" w:hAnsi="黑体" w:eastAsia="黑体" w:cs="黑体"/>
                <w:color w:val="000000"/>
                <w:kern w:val="0"/>
                <w:sz w:val="24"/>
                <w:szCs w:val="24"/>
                <w:highlight w:val="none"/>
                <w:lang w:eastAsia="zh-CN"/>
              </w:rPr>
              <w:t>；</w:t>
            </w:r>
          </w:p>
          <w:p>
            <w:pPr>
              <w:widowControl/>
              <w:adjustRightInd w:val="0"/>
              <w:snapToGrid w:val="0"/>
              <w:rPr>
                <w:rFonts w:hint="eastAsia"/>
              </w:rPr>
            </w:pPr>
            <w:r>
              <w:rPr>
                <w:rFonts w:hint="eastAsia" w:ascii="黑体" w:hAnsi="黑体" w:eastAsia="黑体" w:cs="黑体"/>
                <w:color w:val="000000"/>
                <w:kern w:val="0"/>
                <w:sz w:val="24"/>
                <w:szCs w:val="24"/>
                <w:highlight w:val="none"/>
                <w:lang w:eastAsia="zh-CN"/>
              </w:rPr>
              <w:t>未提供的此项不得分。</w:t>
            </w:r>
          </w:p>
        </w:tc>
        <w:tc>
          <w:tcPr>
            <w:tcW w:w="1114" w:type="dxa"/>
            <w:vAlign w:val="center"/>
          </w:tcPr>
          <w:p>
            <w:pPr>
              <w:pStyle w:val="2"/>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rPr>
              <w:t>0</w:t>
            </w:r>
            <w:r>
              <w:rPr>
                <w:rFonts w:hint="eastAsia" w:ascii="黑体" w:hAnsi="黑体" w:eastAsia="黑体" w:cs="黑体"/>
                <w:color w:val="auto"/>
                <w:sz w:val="24"/>
                <w:szCs w:val="24"/>
                <w:highlight w:val="none"/>
              </w:rPr>
              <w:t>分-</w:t>
            </w: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tcPr>
          <w:p>
            <w:pPr>
              <w:pStyle w:val="2"/>
              <w:ind w:left="0" w:leftChars="0" w:firstLine="0" w:firstLineChars="0"/>
              <w:rPr>
                <w:rFonts w:hint="eastAsia" w:ascii="黑体" w:hAnsi="黑体" w:eastAsia="黑体" w:cs="黑体"/>
                <w:color w:val="auto"/>
                <w:highlight w:val="none"/>
              </w:rPr>
            </w:pPr>
          </w:p>
        </w:tc>
        <w:tc>
          <w:tcPr>
            <w:tcW w:w="1437" w:type="dxa"/>
            <w:vAlign w:val="center"/>
          </w:tcPr>
          <w:p>
            <w:pPr>
              <w:widowControl/>
              <w:adjustRightInd w:val="0"/>
              <w:snapToGrid w:val="0"/>
              <w:jc w:val="center"/>
              <w:rPr>
                <w:rFonts w:hint="eastAsia" w:ascii="黑体" w:hAnsi="黑体" w:eastAsia="黑体" w:cs="黑体"/>
                <w:color w:val="auto"/>
                <w:sz w:val="24"/>
                <w:szCs w:val="24"/>
                <w:highlight w:val="none"/>
                <w:lang w:val="en-US"/>
              </w:rPr>
            </w:pPr>
            <w:r>
              <w:rPr>
                <w:rFonts w:hint="eastAsia" w:ascii="黑体" w:hAnsi="黑体" w:eastAsia="黑体" w:cs="黑体"/>
                <w:color w:val="auto"/>
                <w:kern w:val="0"/>
                <w:sz w:val="24"/>
                <w:szCs w:val="24"/>
                <w:highlight w:val="none"/>
              </w:rPr>
              <w:t>培训方案（</w:t>
            </w:r>
            <w:r>
              <w:rPr>
                <w:rFonts w:hint="eastAsia" w:ascii="黑体" w:hAnsi="黑体" w:eastAsia="黑体" w:cs="黑体"/>
                <w:color w:val="auto"/>
                <w:kern w:val="0"/>
                <w:sz w:val="24"/>
                <w:szCs w:val="24"/>
                <w:highlight w:val="none"/>
                <w:lang w:val="en-US" w:eastAsia="zh-CN"/>
              </w:rPr>
              <w:t>3</w:t>
            </w:r>
            <w:r>
              <w:rPr>
                <w:rFonts w:hint="eastAsia" w:ascii="黑体" w:hAnsi="黑体" w:eastAsia="黑体" w:cs="黑体"/>
                <w:color w:val="auto"/>
                <w:kern w:val="0"/>
                <w:sz w:val="24"/>
                <w:szCs w:val="24"/>
                <w:highlight w:val="none"/>
              </w:rPr>
              <w:t>分）</w:t>
            </w:r>
          </w:p>
        </w:tc>
        <w:tc>
          <w:tcPr>
            <w:tcW w:w="5225" w:type="dxa"/>
            <w:vAlign w:val="center"/>
          </w:tcPr>
          <w:p>
            <w:pPr>
              <w:widowControl/>
              <w:adjustRightInd w:val="0"/>
              <w:snapToGrid w:val="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rPr>
              <w:t>对供应商制定的人员培训方案（培训计划、培训地点、培训方式、培训时间等）进行横向对比，优于</w:t>
            </w:r>
            <w:r>
              <w:rPr>
                <w:rFonts w:hint="eastAsia" w:ascii="黑体" w:hAnsi="黑体" w:eastAsia="黑体" w:cs="黑体"/>
                <w:color w:val="auto"/>
                <w:sz w:val="24"/>
                <w:szCs w:val="24"/>
                <w:highlight w:val="none"/>
                <w:lang w:val="en-US" w:eastAsia="zh-CN"/>
              </w:rPr>
              <w:t>或</w:t>
            </w:r>
            <w:r>
              <w:rPr>
                <w:rFonts w:hint="eastAsia" w:ascii="黑体" w:hAnsi="黑体" w:eastAsia="黑体" w:cs="黑体"/>
                <w:color w:val="auto"/>
                <w:sz w:val="24"/>
                <w:szCs w:val="24"/>
                <w:highlight w:val="none"/>
                <w:lang w:val="en-US"/>
              </w:rPr>
              <w:t>满足招标文件要求</w:t>
            </w:r>
            <w:r>
              <w:rPr>
                <w:rFonts w:hint="eastAsia" w:ascii="黑体" w:hAnsi="黑体" w:eastAsia="黑体" w:cs="黑体"/>
                <w:color w:val="auto"/>
                <w:sz w:val="24"/>
                <w:szCs w:val="24"/>
                <w:highlight w:val="none"/>
                <w:lang w:val="en-US" w:eastAsia="zh-CN"/>
              </w:rPr>
              <w:t>得1-3</w:t>
            </w:r>
            <w:r>
              <w:rPr>
                <w:rFonts w:hint="eastAsia" w:ascii="黑体" w:hAnsi="黑体" w:eastAsia="黑体" w:cs="黑体"/>
                <w:color w:val="auto"/>
                <w:sz w:val="24"/>
                <w:szCs w:val="24"/>
                <w:highlight w:val="none"/>
                <w:lang w:val="en-US"/>
              </w:rPr>
              <w:t>分</w:t>
            </w:r>
            <w:r>
              <w:rPr>
                <w:rFonts w:hint="eastAsia" w:ascii="黑体" w:hAnsi="黑体" w:eastAsia="黑体" w:cs="黑体"/>
                <w:color w:val="auto"/>
                <w:sz w:val="24"/>
                <w:szCs w:val="24"/>
                <w:highlight w:val="none"/>
                <w:lang w:val="en-US" w:eastAsia="zh-CN"/>
              </w:rPr>
              <w:t>；</w:t>
            </w:r>
          </w:p>
          <w:p>
            <w:pPr>
              <w:widowControl/>
              <w:adjustRightInd w:val="0"/>
              <w:snapToGrid w:val="0"/>
              <w:rPr>
                <w:rFonts w:hint="eastAsia"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lang w:val="en-US"/>
              </w:rPr>
              <w:t>服务方案不全面、不具体、可行性低</w:t>
            </w:r>
            <w:r>
              <w:rPr>
                <w:rFonts w:hint="eastAsia" w:ascii="黑体" w:hAnsi="黑体" w:eastAsia="黑体" w:cs="黑体"/>
                <w:color w:val="auto"/>
                <w:sz w:val="24"/>
                <w:szCs w:val="24"/>
                <w:highlight w:val="none"/>
                <w:lang w:val="en-US" w:eastAsia="zh-CN"/>
              </w:rPr>
              <w:t>不得分；</w:t>
            </w:r>
          </w:p>
        </w:tc>
        <w:tc>
          <w:tcPr>
            <w:tcW w:w="1114" w:type="dxa"/>
            <w:vAlign w:val="center"/>
          </w:tcPr>
          <w:p>
            <w:pPr>
              <w:pStyle w:val="2"/>
              <w:ind w:left="0" w:leftChars="0" w:firstLine="0" w:firstLineChars="0"/>
              <w:jc w:val="center"/>
              <w:rPr>
                <w:rFonts w:hint="eastAsia"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lang w:val="en-US"/>
              </w:rPr>
              <w:t>0</w:t>
            </w:r>
            <w:r>
              <w:rPr>
                <w:rFonts w:hint="eastAsia" w:ascii="黑体" w:hAnsi="黑体" w:eastAsia="黑体" w:cs="黑体"/>
                <w:color w:val="auto"/>
                <w:sz w:val="24"/>
                <w:szCs w:val="24"/>
                <w:highlight w:val="none"/>
              </w:rPr>
              <w:t>分-</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vAlign w:val="center"/>
          </w:tcPr>
          <w:p>
            <w:pPr>
              <w:pStyle w:val="2"/>
              <w:ind w:left="0" w:leftChars="0" w:firstLine="0" w:firstLineChars="0"/>
              <w:jc w:val="center"/>
              <w:rPr>
                <w:rFonts w:hint="eastAsia" w:ascii="黑体" w:hAnsi="黑体" w:eastAsia="黑体" w:cs="黑体"/>
                <w:color w:val="auto"/>
                <w:highlight w:val="none"/>
              </w:rPr>
            </w:pPr>
            <w:r>
              <w:rPr>
                <w:rFonts w:hint="eastAsia" w:ascii="黑体" w:hAnsi="黑体" w:eastAsia="黑体" w:cs="黑体"/>
                <w:color w:val="auto"/>
                <w:highlight w:val="none"/>
                <w:lang w:val="en-US"/>
              </w:rPr>
              <w:t>商务部分</w:t>
            </w:r>
            <w:r>
              <w:rPr>
                <w:rFonts w:hint="eastAsia" w:ascii="黑体" w:hAnsi="黑体" w:eastAsia="黑体" w:cs="黑体"/>
                <w:color w:val="auto"/>
                <w:highlight w:val="none"/>
              </w:rPr>
              <w:t>（</w:t>
            </w:r>
            <w:r>
              <w:rPr>
                <w:rFonts w:hint="eastAsia" w:ascii="黑体" w:hAnsi="黑体" w:eastAsia="黑体" w:cs="黑体"/>
                <w:color w:val="auto"/>
                <w:highlight w:val="none"/>
                <w:lang w:val="en-US" w:eastAsia="zh-CN"/>
              </w:rPr>
              <w:t>10</w:t>
            </w:r>
            <w:r>
              <w:rPr>
                <w:rFonts w:hint="eastAsia" w:ascii="黑体" w:hAnsi="黑体" w:eastAsia="黑体" w:cs="黑体"/>
                <w:b w:val="0"/>
                <w:bCs w:val="0"/>
                <w:color w:val="auto"/>
                <w:highlight w:val="none"/>
              </w:rPr>
              <w:t>分）</w:t>
            </w:r>
          </w:p>
        </w:tc>
        <w:tc>
          <w:tcPr>
            <w:tcW w:w="1437" w:type="dxa"/>
            <w:vAlign w:val="center"/>
          </w:tcPr>
          <w:p>
            <w:pPr>
              <w:widowControl/>
              <w:adjustRightInd w:val="0"/>
              <w:snapToGrid w:val="0"/>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 xml:space="preserve">行业业绩  </w:t>
            </w:r>
          </w:p>
          <w:p>
            <w:pPr>
              <w:pStyle w:val="2"/>
              <w:ind w:left="0" w:leftChars="0" w:firstLine="0" w:firstLineChars="0"/>
              <w:jc w:val="center"/>
              <w:rPr>
                <w:rFonts w:hint="eastAsia" w:ascii="黑体" w:hAnsi="黑体" w:eastAsia="黑体" w:cs="黑体"/>
                <w:color w:val="auto"/>
                <w:sz w:val="24"/>
                <w:szCs w:val="24"/>
                <w:highlight w:val="none"/>
                <w:lang w:val="en-US"/>
              </w:rPr>
            </w:pPr>
            <w:r>
              <w:rPr>
                <w:rFonts w:hint="eastAsia" w:ascii="黑体" w:hAnsi="黑体" w:eastAsia="黑体" w:cs="黑体"/>
                <w:color w:val="auto"/>
                <w:kern w:val="0"/>
                <w:sz w:val="24"/>
                <w:szCs w:val="24"/>
                <w:highlight w:val="none"/>
              </w:rPr>
              <w:t>（</w:t>
            </w:r>
            <w:r>
              <w:rPr>
                <w:rFonts w:hint="eastAsia" w:ascii="黑体" w:hAnsi="黑体" w:eastAsia="黑体" w:cs="黑体"/>
                <w:color w:val="auto"/>
                <w:kern w:val="0"/>
                <w:sz w:val="24"/>
                <w:szCs w:val="24"/>
                <w:highlight w:val="none"/>
                <w:lang w:val="en-US" w:eastAsia="zh-CN"/>
              </w:rPr>
              <w:t>6</w:t>
            </w:r>
            <w:r>
              <w:rPr>
                <w:rFonts w:hint="eastAsia" w:ascii="黑体" w:hAnsi="黑体" w:eastAsia="黑体" w:cs="黑体"/>
                <w:color w:val="auto"/>
                <w:kern w:val="0"/>
                <w:sz w:val="24"/>
                <w:szCs w:val="24"/>
                <w:highlight w:val="none"/>
              </w:rPr>
              <w:t>分）</w:t>
            </w:r>
          </w:p>
        </w:tc>
        <w:tc>
          <w:tcPr>
            <w:tcW w:w="5225" w:type="dxa"/>
            <w:vAlign w:val="center"/>
          </w:tcPr>
          <w:p>
            <w:pPr>
              <w:spacing w:line="380" w:lineRule="exact"/>
              <w:jc w:val="left"/>
              <w:rPr>
                <w:rFonts w:hint="eastAsia" w:ascii="黑体" w:hAnsi="黑体" w:eastAsia="黑体" w:cs="黑体"/>
                <w:color w:val="auto"/>
                <w:highlight w:val="none"/>
              </w:rPr>
            </w:pPr>
            <w:r>
              <w:rPr>
                <w:rFonts w:hint="eastAsia" w:ascii="黑体" w:hAnsi="黑体" w:eastAsia="黑体" w:cs="黑体"/>
                <w:color w:val="auto"/>
                <w:sz w:val="24"/>
                <w:szCs w:val="24"/>
                <w:highlight w:val="none"/>
                <w:lang w:val="en-US"/>
              </w:rPr>
              <w:t>提供投标供应商近三年内一般同类</w:t>
            </w:r>
            <w:r>
              <w:rPr>
                <w:rFonts w:hint="eastAsia" w:ascii="黑体" w:hAnsi="黑体" w:eastAsia="黑体" w:cs="黑体"/>
                <w:color w:val="auto"/>
                <w:sz w:val="24"/>
                <w:szCs w:val="24"/>
                <w:highlight w:val="none"/>
                <w:lang w:val="en-US" w:eastAsia="zh-CN"/>
              </w:rPr>
              <w:t>产品</w:t>
            </w:r>
            <w:r>
              <w:rPr>
                <w:rFonts w:hint="eastAsia" w:ascii="黑体" w:hAnsi="黑体" w:eastAsia="黑体" w:cs="黑体"/>
                <w:color w:val="auto"/>
                <w:sz w:val="24"/>
                <w:szCs w:val="24"/>
                <w:highlight w:val="none"/>
                <w:lang w:val="en-US"/>
              </w:rPr>
              <w:t>业绩证明材料中（成</w:t>
            </w:r>
            <w:r>
              <w:rPr>
                <w:rFonts w:hint="eastAsia" w:ascii="黑体" w:hAnsi="黑体" w:eastAsia="黑体" w:cs="黑体"/>
                <w:color w:val="auto"/>
                <w:sz w:val="24"/>
                <w:szCs w:val="24"/>
                <w:highlight w:val="none"/>
                <w:lang w:val="en-US" w:eastAsia="zh-CN"/>
              </w:rPr>
              <w:t>交</w:t>
            </w:r>
            <w:r>
              <w:rPr>
                <w:rFonts w:hint="eastAsia" w:ascii="黑体" w:hAnsi="黑体" w:eastAsia="黑体" w:cs="黑体"/>
                <w:color w:val="auto"/>
                <w:sz w:val="24"/>
                <w:szCs w:val="24"/>
                <w:highlight w:val="none"/>
                <w:lang w:val="en-US"/>
              </w:rPr>
              <w:t xml:space="preserve">）标通知书或合同，每提供一个得 </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lang w:val="en-US"/>
              </w:rPr>
              <w:t xml:space="preserve"> 分，共</w:t>
            </w:r>
            <w:r>
              <w:rPr>
                <w:rFonts w:hint="eastAsia" w:ascii="黑体" w:hAnsi="黑体" w:eastAsia="黑体" w:cs="黑体"/>
                <w:color w:val="auto"/>
                <w:sz w:val="24"/>
                <w:szCs w:val="24"/>
                <w:highlight w:val="none"/>
                <w:lang w:val="en-US" w:eastAsia="zh-CN"/>
              </w:rPr>
              <w:t>6分</w:t>
            </w:r>
            <w:r>
              <w:rPr>
                <w:rFonts w:hint="eastAsia" w:ascii="黑体" w:hAnsi="黑体" w:eastAsia="黑体" w:cs="黑体"/>
                <w:color w:val="auto"/>
                <w:sz w:val="24"/>
                <w:szCs w:val="24"/>
                <w:highlight w:val="none"/>
                <w:lang w:val="en-US"/>
              </w:rPr>
              <w:t>。（提供的中（成）标通知书或合同须能体现采购内容，否则属于无效资料。）</w:t>
            </w:r>
          </w:p>
        </w:tc>
        <w:tc>
          <w:tcPr>
            <w:tcW w:w="1114" w:type="dxa"/>
            <w:vAlign w:val="center"/>
          </w:tcPr>
          <w:p>
            <w:pPr>
              <w:pStyle w:val="2"/>
              <w:spacing w:line="380" w:lineRule="exact"/>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0分</w:t>
            </w:r>
            <w:r>
              <w:rPr>
                <w:rFonts w:hint="eastAsia" w:ascii="黑体" w:hAnsi="黑体" w:eastAsia="黑体" w:cs="黑体"/>
                <w:color w:val="auto"/>
                <w:sz w:val="24"/>
                <w:szCs w:val="24"/>
                <w:highlight w:val="none"/>
                <w:lang w:val="en-US" w:eastAsia="zh-CN"/>
              </w:rPr>
              <w:t>-6分</w:t>
            </w:r>
            <w:r>
              <w:rPr>
                <w:rFonts w:hint="eastAsia" w:ascii="黑体" w:hAnsi="黑体" w:eastAsia="黑体" w:cs="黑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pPr>
              <w:pStyle w:val="2"/>
              <w:ind w:left="0" w:leftChars="0" w:firstLine="0" w:firstLineChars="0"/>
              <w:jc w:val="center"/>
              <w:rPr>
                <w:rFonts w:hint="eastAsia" w:ascii="黑体" w:hAnsi="黑体" w:eastAsia="黑体" w:cs="黑体"/>
                <w:color w:val="auto"/>
                <w:highlight w:val="none"/>
              </w:rPr>
            </w:pPr>
          </w:p>
        </w:tc>
        <w:tc>
          <w:tcPr>
            <w:tcW w:w="1437" w:type="dxa"/>
            <w:vAlign w:val="center"/>
          </w:tcPr>
          <w:p>
            <w:pPr>
              <w:widowControl/>
              <w:adjustRightInd w:val="0"/>
              <w:snapToGrid w:val="0"/>
              <w:rPr>
                <w:rFonts w:hint="eastAsia" w:ascii="黑体" w:hAnsi="黑体" w:eastAsia="黑体" w:cs="黑体"/>
                <w:color w:val="auto"/>
                <w:sz w:val="24"/>
                <w:szCs w:val="24"/>
                <w:highlight w:val="none"/>
              </w:rPr>
            </w:pPr>
            <w:r>
              <w:rPr>
                <w:rFonts w:hint="eastAsia" w:ascii="黑体" w:hAnsi="黑体" w:eastAsia="黑体" w:cs="黑体"/>
                <w:color w:val="000000"/>
                <w:kern w:val="0"/>
                <w:sz w:val="24"/>
                <w:szCs w:val="24"/>
              </w:rPr>
              <w:t>标书完成情况（</w:t>
            </w:r>
            <w:r>
              <w:rPr>
                <w:rFonts w:hint="eastAsia" w:ascii="黑体" w:hAnsi="黑体" w:eastAsia="黑体" w:cs="黑体"/>
                <w:color w:val="000000"/>
                <w:kern w:val="0"/>
                <w:sz w:val="24"/>
                <w:szCs w:val="24"/>
                <w:lang w:val="en-US" w:eastAsia="zh-CN"/>
              </w:rPr>
              <w:t>4</w:t>
            </w:r>
            <w:r>
              <w:rPr>
                <w:rFonts w:hint="eastAsia" w:ascii="黑体" w:hAnsi="黑体" w:eastAsia="黑体" w:cs="黑体"/>
                <w:color w:val="000000"/>
                <w:kern w:val="0"/>
                <w:sz w:val="24"/>
                <w:szCs w:val="24"/>
              </w:rPr>
              <w:t>分）</w:t>
            </w:r>
          </w:p>
        </w:tc>
        <w:tc>
          <w:tcPr>
            <w:tcW w:w="5225" w:type="dxa"/>
            <w:vAlign w:val="center"/>
          </w:tcPr>
          <w:p>
            <w:pPr>
              <w:widowControl/>
              <w:adjustRightInd w:val="0"/>
              <w:snapToGrid w:val="0"/>
              <w:rPr>
                <w:rStyle w:val="223"/>
                <w:rFonts w:hint="eastAsia" w:ascii="黑体" w:hAnsi="黑体" w:eastAsia="黑体" w:cs="黑体"/>
                <w:color w:val="auto"/>
                <w:highlight w:val="none"/>
              </w:rPr>
            </w:pPr>
            <w:r>
              <w:rPr>
                <w:rFonts w:hint="eastAsia" w:ascii="黑体" w:hAnsi="黑体" w:eastAsia="黑体" w:cs="黑体"/>
                <w:color w:val="000000"/>
                <w:kern w:val="0"/>
                <w:sz w:val="24"/>
                <w:szCs w:val="24"/>
              </w:rPr>
              <w:t>投标文件格式和内容是否按照招标文件要求编制；</w:t>
            </w:r>
            <w:r>
              <w:rPr>
                <w:rFonts w:hint="eastAsia" w:ascii="黑体" w:hAnsi="黑体" w:eastAsia="黑体" w:cs="黑体"/>
                <w:color w:val="000000"/>
                <w:kern w:val="0"/>
                <w:sz w:val="24"/>
                <w:szCs w:val="24"/>
                <w:lang w:val="en-US" w:eastAsia="zh-CN"/>
              </w:rPr>
              <w:t>目录页码准确</w:t>
            </w:r>
            <w:r>
              <w:rPr>
                <w:rFonts w:hint="eastAsia" w:ascii="黑体" w:hAnsi="黑体" w:eastAsia="黑体" w:cs="黑体"/>
                <w:color w:val="000000"/>
                <w:kern w:val="0"/>
                <w:sz w:val="24"/>
                <w:szCs w:val="24"/>
              </w:rPr>
              <w:t>、内容完整性、关联点设置准确、查找方便度。每出现一处明显错误扣</w:t>
            </w:r>
            <w:r>
              <w:rPr>
                <w:rFonts w:hint="eastAsia" w:ascii="黑体" w:hAnsi="黑体" w:eastAsia="黑体" w:cs="黑体"/>
                <w:color w:val="000000"/>
                <w:kern w:val="0"/>
                <w:sz w:val="24"/>
                <w:szCs w:val="24"/>
                <w:lang w:val="en-US" w:eastAsia="zh-CN"/>
              </w:rPr>
              <w:t>1</w:t>
            </w:r>
            <w:r>
              <w:rPr>
                <w:rFonts w:hint="eastAsia" w:ascii="黑体" w:hAnsi="黑体" w:eastAsia="黑体" w:cs="黑体"/>
                <w:color w:val="000000"/>
                <w:kern w:val="0"/>
                <w:sz w:val="24"/>
                <w:szCs w:val="24"/>
              </w:rPr>
              <w:t>分，扣完为止。</w:t>
            </w:r>
          </w:p>
        </w:tc>
        <w:tc>
          <w:tcPr>
            <w:tcW w:w="1114" w:type="dxa"/>
            <w:vAlign w:val="center"/>
          </w:tcPr>
          <w:p>
            <w:pPr>
              <w:pStyle w:val="2"/>
              <w:spacing w:line="380" w:lineRule="exact"/>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0分-</w:t>
            </w: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pStyle w:val="2"/>
              <w:ind w:left="0" w:leftChars="0" w:firstLine="0" w:firstLineChars="0"/>
              <w:jc w:val="center"/>
              <w:rPr>
                <w:rStyle w:val="223"/>
                <w:rFonts w:hint="eastAsia" w:ascii="黑体" w:hAnsi="黑体" w:eastAsia="黑体" w:cs="黑体"/>
                <w:color w:val="auto"/>
                <w:highlight w:val="none"/>
              </w:rPr>
            </w:pPr>
            <w:r>
              <w:rPr>
                <w:rStyle w:val="223"/>
                <w:rFonts w:hint="eastAsia" w:ascii="黑体" w:hAnsi="黑体" w:eastAsia="黑体" w:cs="黑体"/>
                <w:color w:val="auto"/>
                <w:highlight w:val="none"/>
              </w:rPr>
              <w:t>价格分（30分）</w:t>
            </w:r>
          </w:p>
        </w:tc>
        <w:tc>
          <w:tcPr>
            <w:tcW w:w="6662" w:type="dxa"/>
            <w:gridSpan w:val="2"/>
            <w:vAlign w:val="center"/>
          </w:tcPr>
          <w:p>
            <w:pPr>
              <w:spacing w:line="380" w:lineRule="exact"/>
              <w:jc w:val="both"/>
              <w:rPr>
                <w:rStyle w:val="223"/>
                <w:rFonts w:hint="eastAsia" w:ascii="黑体" w:hAnsi="黑体" w:eastAsia="黑体" w:cs="黑体"/>
                <w:color w:val="auto"/>
                <w:highlight w:val="none"/>
              </w:rPr>
            </w:pPr>
            <w:r>
              <w:rPr>
                <w:rStyle w:val="223"/>
                <w:rFonts w:hint="eastAsia" w:ascii="黑体" w:hAnsi="黑体" w:eastAsia="黑体" w:cs="黑体"/>
                <w:color w:val="auto"/>
                <w:highlight w:val="none"/>
              </w:rPr>
              <w:t>投标报价得分</w:t>
            </w:r>
          </w:p>
          <w:p>
            <w:pPr>
              <w:spacing w:line="380" w:lineRule="exact"/>
              <w:jc w:val="both"/>
              <w:rPr>
                <w:rStyle w:val="223"/>
                <w:rFonts w:hint="eastAsia" w:ascii="黑体" w:hAnsi="黑体" w:eastAsia="黑体" w:cs="黑体"/>
                <w:color w:val="auto"/>
                <w:highlight w:val="none"/>
              </w:rPr>
            </w:pPr>
            <w:r>
              <w:rPr>
                <w:rFonts w:hint="eastAsia" w:ascii="黑体" w:hAnsi="黑体" w:eastAsia="黑体" w:cs="黑体"/>
                <w:color w:val="000000"/>
                <w:kern w:val="0"/>
                <w:sz w:val="24"/>
                <w:szCs w:val="24"/>
                <w:highlight w:val="none"/>
              </w:rPr>
              <w:t xml:space="preserve">取投标合格供应商的投标最终报价最低价为基准价。 基准价为 </w:t>
            </w:r>
            <w:r>
              <w:rPr>
                <w:rFonts w:hint="eastAsia" w:ascii="黑体" w:hAnsi="黑体" w:eastAsia="黑体" w:cs="黑体"/>
                <w:color w:val="000000"/>
                <w:kern w:val="0"/>
                <w:sz w:val="24"/>
                <w:szCs w:val="24"/>
                <w:highlight w:val="none"/>
                <w:lang w:val="en-US" w:eastAsia="zh-CN"/>
              </w:rPr>
              <w:t>3</w:t>
            </w:r>
            <w:r>
              <w:rPr>
                <w:rFonts w:hint="eastAsia" w:ascii="黑体" w:hAnsi="黑体" w:eastAsia="黑体" w:cs="黑体"/>
                <w:color w:val="000000"/>
                <w:kern w:val="0"/>
                <w:sz w:val="24"/>
                <w:szCs w:val="24"/>
                <w:highlight w:val="none"/>
              </w:rPr>
              <w:t>0 分。投标报价得分＝（评标基准价/最终投标报价）×</w:t>
            </w:r>
            <w:r>
              <w:rPr>
                <w:rFonts w:hint="eastAsia" w:ascii="黑体" w:hAnsi="黑体" w:eastAsia="黑体" w:cs="黑体"/>
                <w:color w:val="000000"/>
                <w:kern w:val="0"/>
                <w:sz w:val="24"/>
                <w:szCs w:val="24"/>
                <w:highlight w:val="none"/>
                <w:lang w:val="en-US" w:eastAsia="zh-CN"/>
              </w:rPr>
              <w:t>3</w:t>
            </w:r>
            <w:r>
              <w:rPr>
                <w:rFonts w:hint="eastAsia" w:ascii="黑体" w:hAnsi="黑体" w:eastAsia="黑体" w:cs="黑体"/>
                <w:color w:val="000000"/>
                <w:kern w:val="0"/>
                <w:sz w:val="24"/>
                <w:szCs w:val="24"/>
                <w:highlight w:val="none"/>
              </w:rPr>
              <w:t>0%×100（小数点后保留 2 位小数）。（注：对于符合政府采购政策及优惠的企业产品给予一定比例的价格扣除）。</w:t>
            </w:r>
          </w:p>
        </w:tc>
        <w:tc>
          <w:tcPr>
            <w:tcW w:w="1114" w:type="dxa"/>
            <w:vAlign w:val="center"/>
          </w:tcPr>
          <w:p>
            <w:pPr>
              <w:pStyle w:val="2"/>
              <w:spacing w:line="380" w:lineRule="exact"/>
              <w:ind w:left="0" w:leftChars="0" w:firstLine="0" w:firstLineChars="0"/>
              <w:jc w:val="center"/>
              <w:rPr>
                <w:rFonts w:hint="eastAsia"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lang w:val="en-US"/>
              </w:rPr>
              <w:t>0分-30分</w:t>
            </w:r>
          </w:p>
        </w:tc>
      </w:tr>
    </w:tbl>
    <w:p>
      <w:pPr>
        <w:adjustRightInd w:val="0"/>
        <w:spacing w:line="360" w:lineRule="auto"/>
        <w:rPr>
          <w:rFonts w:hint="eastAsia" w:ascii="黑体" w:hAnsi="黑体" w:eastAsia="黑体" w:cs="黑体"/>
          <w:b/>
          <w:color w:val="auto"/>
          <w:sz w:val="20"/>
          <w:szCs w:val="20"/>
          <w:highlight w:val="none"/>
        </w:rPr>
      </w:pPr>
      <w:r>
        <w:rPr>
          <w:rFonts w:hint="eastAsia" w:ascii="黑体" w:hAnsi="黑体" w:eastAsia="黑体" w:cs="黑体"/>
          <w:b/>
          <w:color w:val="auto"/>
          <w:sz w:val="24"/>
          <w:szCs w:val="24"/>
          <w:highlight w:val="none"/>
        </w:rPr>
        <w:t>备注：评分项里有关涉及评分的原件，投标商必须单独提供原件以备查验，否则涉及评分项因素的不得分</w:t>
      </w:r>
      <w:bookmarkStart w:id="159" w:name="_bookmark27"/>
      <w:bookmarkEnd w:id="159"/>
      <w:bookmarkStart w:id="160" w:name="十五．有关证明文件"/>
      <w:bookmarkEnd w:id="160"/>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1、经评标委员会认可小、微企业产品和产品报价后，投标人相应产品政策计算公式如下：</w:t>
      </w:r>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中小微企业产品价格扣除后的投标人报价=投标人总报价-中小微企业产品报价*扣除幅度。（以价格扣除后的投标人报价作为评审依据）</w:t>
      </w:r>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pStyle w:val="17"/>
        <w:rPr>
          <w:rFonts w:hint="eastAsia" w:ascii="黑体" w:hAnsi="黑体" w:eastAsia="黑体" w:cs="黑体"/>
        </w:rPr>
      </w:pPr>
      <w:r>
        <w:rPr>
          <w:rFonts w:hint="eastAsia" w:ascii="黑体" w:hAnsi="黑体" w:eastAsia="黑体" w:cs="黑体"/>
          <w:color w:val="auto"/>
          <w:sz w:val="24"/>
          <w:highlight w:val="none"/>
        </w:rPr>
        <w:t>4、在任何评标环节中，需评标委员会就某项评审结论做出表决的，由评标委员会全体成员按照少数服从多数的原则，以记名投票方式表决。</w:t>
      </w:r>
    </w:p>
    <w:p>
      <w:pPr>
        <w:pStyle w:val="15"/>
        <w:rPr>
          <w:rFonts w:hint="eastAsia" w:ascii="黑体" w:hAnsi="黑体" w:eastAsia="黑体" w:cs="黑体"/>
          <w:b/>
          <w:color w:val="auto"/>
          <w:sz w:val="20"/>
          <w:szCs w:val="20"/>
          <w:highlight w:val="none"/>
        </w:rPr>
      </w:pPr>
      <w:bookmarkStart w:id="161" w:name="_bookmark29"/>
      <w:bookmarkEnd w:id="161"/>
      <w:bookmarkStart w:id="162" w:name="_bookmark28"/>
      <w:bookmarkEnd w:id="162"/>
      <w:bookmarkStart w:id="163" w:name="十六．投标响应表"/>
      <w:bookmarkEnd w:id="163"/>
      <w:bookmarkStart w:id="164" w:name="第八章_安徽合肥公共资源交易中心网上招投标操作规程（暂行）"/>
      <w:bookmarkEnd w:id="164"/>
    </w:p>
    <w:sectPr>
      <w:pgSz w:w="11910" w:h="16850"/>
      <w:pgMar w:top="1080" w:right="1440" w:bottom="1080" w:left="1440" w:header="877" w:footer="1068"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Arial"/>
    <w:panose1 w:val="00000000000000000000"/>
    <w:charset w:val="00"/>
    <w:family w:val="swiss"/>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BatangChe">
    <w:altName w:val="Malgun Gothic"/>
    <w:panose1 w:val="00000000000000000000"/>
    <w:charset w:val="81"/>
    <w:family w:val="modern"/>
    <w:pitch w:val="default"/>
    <w:sig w:usb0="00000000" w:usb1="00000000" w:usb2="00000030" w:usb3="00000000" w:csb0="000800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dobe 仿宋 Std R">
    <w:altName w:val="仿宋"/>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422443"/>
    </w:sdtPr>
    <w:sdtContent>
      <w:p>
        <w:pPr>
          <w:pStyle w:val="27"/>
          <w:jc w:val="center"/>
        </w:pPr>
        <w:r>
          <w:fldChar w:fldCharType="begin"/>
        </w:r>
        <w:r>
          <w:instrText xml:space="preserve">PAGE   \* MERGEFORMAT</w:instrText>
        </w:r>
        <w:r>
          <w:fldChar w:fldCharType="separate"/>
        </w:r>
        <w:r>
          <w:t>70</w:t>
        </w:r>
        <w:r>
          <w:fldChar w:fldCharType="end"/>
        </w:r>
      </w:p>
    </w:sdtContent>
  </w:sdt>
  <w:p>
    <w:pPr>
      <w:pStyle w:val="19"/>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sz w:val="21"/>
      </w:rPr>
    </w:pPr>
    <w:r>
      <w:rPr>
        <w:rFonts w:hint="eastAsia"/>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sz w:val="21"/>
      </w:rPr>
    </w:pP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D59F72"/>
    <w:multiLevelType w:val="singleLevel"/>
    <w:tmpl w:val="C7D59F72"/>
    <w:lvl w:ilvl="0" w:tentative="0">
      <w:start w:val="6"/>
      <w:numFmt w:val="chineseCounting"/>
      <w:suff w:val="space"/>
      <w:lvlText w:val="第%1章"/>
      <w:lvlJc w:val="left"/>
      <w:rPr>
        <w:rFonts w:hint="eastAsia"/>
      </w:rPr>
    </w:lvl>
  </w:abstractNum>
  <w:abstractNum w:abstractNumId="1">
    <w:nsid w:val="00000000"/>
    <w:multiLevelType w:val="multilevel"/>
    <w:tmpl w:val="00000000"/>
    <w:lvl w:ilvl="0" w:tentative="0">
      <w:start w:val="1"/>
      <w:numFmt w:val="decimal"/>
      <w:lvlText w:val="%1."/>
      <w:lvlJc w:val="left"/>
      <w:pPr>
        <w:ind w:left="360" w:hanging="360"/>
      </w:pPr>
      <w:rPr>
        <w:rFonts w:hint="default" w:ascii="宋体" w:hAnsi="宋体" w:eastAsia="宋体"/>
        <w:b w:val="0"/>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9"/>
    <w:multiLevelType w:val="multilevel"/>
    <w:tmpl w:val="00000019"/>
    <w:lvl w:ilvl="0" w:tentative="0">
      <w:start w:val="1"/>
      <w:numFmt w:val="decimal"/>
      <w:suff w:val="space"/>
      <w:lvlText w:val="第%1章 "/>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none"/>
      <w:isLgl/>
      <w:lvlText w:val=""/>
      <w:lvlJc w:val="left"/>
      <w:pPr>
        <w:tabs>
          <w:tab w:val="left" w:pos="0"/>
        </w:tabs>
        <w:ind w:left="0" w:firstLine="0"/>
      </w:pPr>
      <w:rPr>
        <w:rFonts w:hint="eastAsia"/>
      </w:rPr>
    </w:lvl>
    <w:lvl w:ilvl="4" w:tentative="0">
      <w:start w:val="1"/>
      <w:numFmt w:val="decimal"/>
      <w:pStyle w:val="82"/>
      <w:lvlText w:val="%5"/>
      <w:lvlJc w:val="left"/>
      <w:pPr>
        <w:tabs>
          <w:tab w:val="left" w:pos="0"/>
        </w:tabs>
        <w:ind w:left="839" w:hanging="419"/>
      </w:pPr>
      <w:rPr>
        <w:rFonts w:hint="default" w:ascii="Arial" w:hAnsi="Arial"/>
        <w:b/>
        <w:i/>
        <w:outline/>
        <w:color w:val="000000"/>
        <w:sz w:val="24"/>
        <w14:textOutline w14:w="9525" w14:cap="flat" w14:cmpd="sng" w14:algn="ctr">
          <w14:solidFill>
            <w14:srgbClr w14:val="000000"/>
          </w14:solidFill>
          <w14:prstDash w14:val="solid"/>
          <w14:round/>
        </w14:textOutline>
        <w14:textFill>
          <w14:noFill/>
        </w14:textFill>
      </w:rPr>
    </w:lvl>
    <w:lvl w:ilvl="5" w:tentative="0">
      <w:start w:val="1"/>
      <w:numFmt w:val="decimal"/>
      <w:lvlText w:val="%1.%2.%3.%4.%5.%6"/>
      <w:lvlJc w:val="left"/>
      <w:pPr>
        <w:tabs>
          <w:tab w:val="left" w:pos="4646"/>
        </w:tabs>
        <w:ind w:left="3260" w:hanging="1134"/>
      </w:pPr>
      <w:rPr>
        <w:rFonts w:hint="eastAsia"/>
      </w:rPr>
    </w:lvl>
    <w:lvl w:ilvl="6" w:tentative="0">
      <w:start w:val="1"/>
      <w:numFmt w:val="decimal"/>
      <w:lvlText w:val="%1.%2.%3.%4.%5.%6.%7"/>
      <w:lvlJc w:val="left"/>
      <w:pPr>
        <w:tabs>
          <w:tab w:val="left" w:pos="5431"/>
        </w:tabs>
        <w:ind w:left="3827" w:hanging="1276"/>
      </w:pPr>
      <w:rPr>
        <w:rFonts w:hint="eastAsia"/>
      </w:rPr>
    </w:lvl>
    <w:lvl w:ilvl="7" w:tentative="0">
      <w:start w:val="1"/>
      <w:numFmt w:val="decimal"/>
      <w:lvlText w:val="%1.%2.%3.%4.%5.%6.%7.%8"/>
      <w:lvlJc w:val="left"/>
      <w:pPr>
        <w:tabs>
          <w:tab w:val="left" w:pos="6216"/>
        </w:tabs>
        <w:ind w:left="4394" w:hanging="1418"/>
      </w:pPr>
      <w:rPr>
        <w:rFonts w:hint="eastAsia"/>
      </w:rPr>
    </w:lvl>
    <w:lvl w:ilvl="8" w:tentative="0">
      <w:start w:val="1"/>
      <w:numFmt w:val="decimal"/>
      <w:lvlText w:val="%1.%2.%3.%4.%5.%6.%7.%8.%9"/>
      <w:lvlJc w:val="left"/>
      <w:pPr>
        <w:tabs>
          <w:tab w:val="left" w:pos="7002"/>
        </w:tabs>
        <w:ind w:left="5102" w:hanging="1700"/>
      </w:pPr>
      <w:rPr>
        <w:rFonts w:hint="eastAsia"/>
      </w:rPr>
    </w:lvl>
  </w:abstractNum>
  <w:abstractNum w:abstractNumId="4">
    <w:nsid w:val="03730CF1"/>
    <w:multiLevelType w:val="multilevel"/>
    <w:tmpl w:val="03730CF1"/>
    <w:lvl w:ilvl="0" w:tentative="0">
      <w:start w:val="1"/>
      <w:numFmt w:val="decimal"/>
      <w:pStyle w:val="113"/>
      <w:lvlText w:val="%1."/>
      <w:lvlJc w:val="left"/>
      <w:pPr>
        <w:tabs>
          <w:tab w:val="left" w:pos="703"/>
        </w:tabs>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5">
    <w:nsid w:val="07D53A18"/>
    <w:multiLevelType w:val="multilevel"/>
    <w:tmpl w:val="07D53A18"/>
    <w:lvl w:ilvl="0" w:tentative="0">
      <w:start w:val="6"/>
      <w:numFmt w:val="decimal"/>
      <w:lvlText w:val="%1"/>
      <w:lvlJc w:val="left"/>
      <w:pPr>
        <w:ind w:left="528" w:hanging="375"/>
      </w:pPr>
      <w:rPr>
        <w:rFonts w:hint="default"/>
        <w:lang w:val="zh-CN" w:eastAsia="zh-CN" w:bidi="zh-CN"/>
      </w:rPr>
    </w:lvl>
    <w:lvl w:ilvl="1" w:tentative="0">
      <w:start w:val="1"/>
      <w:numFmt w:val="none"/>
      <w:lvlText w:val="7.3.2"/>
      <w:lvlJc w:val="left"/>
      <w:pPr>
        <w:ind w:left="528" w:hanging="375"/>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6">
    <w:nsid w:val="083D4B31"/>
    <w:multiLevelType w:val="multilevel"/>
    <w:tmpl w:val="083D4B31"/>
    <w:lvl w:ilvl="0" w:tentative="0">
      <w:start w:val="8"/>
      <w:numFmt w:val="decimal"/>
      <w:lvlText w:val="%1"/>
      <w:lvlJc w:val="left"/>
      <w:pPr>
        <w:ind w:left="1259" w:hanging="375"/>
      </w:pPr>
      <w:rPr>
        <w:rFonts w:hint="default"/>
        <w:lang w:val="zh-CN" w:eastAsia="zh-CN" w:bidi="zh-CN"/>
      </w:rPr>
    </w:lvl>
    <w:lvl w:ilvl="1" w:tentative="0">
      <w:start w:val="1"/>
      <w:numFmt w:val="decimal"/>
      <w:lvlText w:val="%1.%2"/>
      <w:lvlJc w:val="left"/>
      <w:pPr>
        <w:ind w:left="1259" w:hanging="375"/>
      </w:pPr>
      <w:rPr>
        <w:rFonts w:hint="default" w:ascii="Times New Roman" w:hAnsi="Times New Roman" w:eastAsia="Times New Roman" w:cs="Times New Roman"/>
        <w:spacing w:val="-1"/>
        <w:w w:val="82"/>
        <w:sz w:val="24"/>
        <w:szCs w:val="24"/>
        <w:lang w:val="zh-CN" w:eastAsia="zh-CN" w:bidi="zh-CN"/>
      </w:rPr>
    </w:lvl>
    <w:lvl w:ilvl="2" w:tentative="0">
      <w:start w:val="0"/>
      <w:numFmt w:val="bullet"/>
      <w:lvlText w:val="•"/>
      <w:lvlJc w:val="left"/>
      <w:pPr>
        <w:ind w:left="3384" w:hanging="375"/>
      </w:pPr>
      <w:rPr>
        <w:rFonts w:hint="default"/>
        <w:lang w:val="zh-CN" w:eastAsia="zh-CN" w:bidi="zh-CN"/>
      </w:rPr>
    </w:lvl>
    <w:lvl w:ilvl="3" w:tentative="0">
      <w:start w:val="0"/>
      <w:numFmt w:val="bullet"/>
      <w:lvlText w:val="•"/>
      <w:lvlJc w:val="left"/>
      <w:pPr>
        <w:ind w:left="4450" w:hanging="375"/>
      </w:pPr>
      <w:rPr>
        <w:rFonts w:hint="default"/>
        <w:lang w:val="zh-CN" w:eastAsia="zh-CN" w:bidi="zh-CN"/>
      </w:rPr>
    </w:lvl>
    <w:lvl w:ilvl="4" w:tentative="0">
      <w:start w:val="0"/>
      <w:numFmt w:val="bullet"/>
      <w:lvlText w:val="•"/>
      <w:lvlJc w:val="left"/>
      <w:pPr>
        <w:ind w:left="5517" w:hanging="375"/>
      </w:pPr>
      <w:rPr>
        <w:rFonts w:hint="default"/>
        <w:lang w:val="zh-CN" w:eastAsia="zh-CN" w:bidi="zh-CN"/>
      </w:rPr>
    </w:lvl>
    <w:lvl w:ilvl="5" w:tentative="0">
      <w:start w:val="0"/>
      <w:numFmt w:val="bullet"/>
      <w:lvlText w:val="•"/>
      <w:lvlJc w:val="left"/>
      <w:pPr>
        <w:ind w:left="6584" w:hanging="375"/>
      </w:pPr>
      <w:rPr>
        <w:rFonts w:hint="default"/>
        <w:lang w:val="zh-CN" w:eastAsia="zh-CN" w:bidi="zh-CN"/>
      </w:rPr>
    </w:lvl>
    <w:lvl w:ilvl="6" w:tentative="0">
      <w:start w:val="0"/>
      <w:numFmt w:val="bullet"/>
      <w:lvlText w:val="•"/>
      <w:lvlJc w:val="left"/>
      <w:pPr>
        <w:ind w:left="7650" w:hanging="375"/>
      </w:pPr>
      <w:rPr>
        <w:rFonts w:hint="default"/>
        <w:lang w:val="zh-CN" w:eastAsia="zh-CN" w:bidi="zh-CN"/>
      </w:rPr>
    </w:lvl>
    <w:lvl w:ilvl="7" w:tentative="0">
      <w:start w:val="0"/>
      <w:numFmt w:val="bullet"/>
      <w:lvlText w:val="•"/>
      <w:lvlJc w:val="left"/>
      <w:pPr>
        <w:ind w:left="8717" w:hanging="375"/>
      </w:pPr>
      <w:rPr>
        <w:rFonts w:hint="default"/>
        <w:lang w:val="zh-CN" w:eastAsia="zh-CN" w:bidi="zh-CN"/>
      </w:rPr>
    </w:lvl>
    <w:lvl w:ilvl="8" w:tentative="0">
      <w:start w:val="0"/>
      <w:numFmt w:val="bullet"/>
      <w:lvlText w:val="•"/>
      <w:lvlJc w:val="left"/>
      <w:pPr>
        <w:ind w:left="9784" w:hanging="375"/>
      </w:pPr>
      <w:rPr>
        <w:rFonts w:hint="default"/>
        <w:lang w:val="zh-CN" w:eastAsia="zh-CN" w:bidi="zh-CN"/>
      </w:rPr>
    </w:lvl>
  </w:abstractNum>
  <w:abstractNum w:abstractNumId="7">
    <w:nsid w:val="08874946"/>
    <w:multiLevelType w:val="multilevel"/>
    <w:tmpl w:val="08874946"/>
    <w:lvl w:ilvl="0" w:tentative="0">
      <w:start w:val="17"/>
      <w:numFmt w:val="decimal"/>
      <w:lvlText w:val="%1"/>
      <w:lvlJc w:val="left"/>
      <w:pPr>
        <w:ind w:left="528" w:hanging="531"/>
      </w:pPr>
      <w:rPr>
        <w:rFonts w:hint="default"/>
        <w:lang w:val="zh-CN" w:eastAsia="zh-CN" w:bidi="zh-CN"/>
      </w:rPr>
    </w:lvl>
    <w:lvl w:ilvl="1" w:tentative="0">
      <w:start w:val="1"/>
      <w:numFmt w:val="none"/>
      <w:lvlText w:val="17.5"/>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824" w:hanging="689"/>
      </w:pPr>
      <w:rPr>
        <w:rFonts w:hint="default" w:ascii="Times New Roman" w:hAnsi="Times New Roman" w:eastAsia="宋体" w:cs="Times New Roman"/>
        <w:spacing w:val="-1"/>
        <w:w w:val="82"/>
        <w:sz w:val="24"/>
        <w:szCs w:val="24"/>
        <w:lang w:val="zh-CN" w:eastAsia="zh-CN" w:bidi="zh-CN"/>
      </w:rPr>
    </w:lvl>
    <w:lvl w:ilvl="3" w:tentative="0">
      <w:start w:val="0"/>
      <w:numFmt w:val="bullet"/>
      <w:lvlText w:val="•"/>
      <w:lvlJc w:val="left"/>
      <w:pPr>
        <w:ind w:left="3808" w:hanging="689"/>
      </w:pPr>
      <w:rPr>
        <w:rFonts w:hint="default"/>
        <w:lang w:val="zh-CN" w:eastAsia="zh-CN" w:bidi="zh-CN"/>
      </w:rPr>
    </w:lvl>
    <w:lvl w:ilvl="4" w:tentative="0">
      <w:start w:val="0"/>
      <w:numFmt w:val="bullet"/>
      <w:lvlText w:val="•"/>
      <w:lvlJc w:val="left"/>
      <w:pPr>
        <w:ind w:left="4862" w:hanging="689"/>
      </w:pPr>
      <w:rPr>
        <w:rFonts w:hint="default"/>
        <w:lang w:val="zh-CN" w:eastAsia="zh-CN" w:bidi="zh-CN"/>
      </w:rPr>
    </w:lvl>
    <w:lvl w:ilvl="5" w:tentative="0">
      <w:start w:val="0"/>
      <w:numFmt w:val="bullet"/>
      <w:lvlText w:val="•"/>
      <w:lvlJc w:val="left"/>
      <w:pPr>
        <w:ind w:left="5916" w:hanging="689"/>
      </w:pPr>
      <w:rPr>
        <w:rFonts w:hint="default"/>
        <w:lang w:val="zh-CN" w:eastAsia="zh-CN" w:bidi="zh-CN"/>
      </w:rPr>
    </w:lvl>
    <w:lvl w:ilvl="6" w:tentative="0">
      <w:start w:val="0"/>
      <w:numFmt w:val="bullet"/>
      <w:lvlText w:val="•"/>
      <w:lvlJc w:val="left"/>
      <w:pPr>
        <w:ind w:left="6970" w:hanging="689"/>
      </w:pPr>
      <w:rPr>
        <w:rFonts w:hint="default"/>
        <w:lang w:val="zh-CN" w:eastAsia="zh-CN" w:bidi="zh-CN"/>
      </w:rPr>
    </w:lvl>
    <w:lvl w:ilvl="7" w:tentative="0">
      <w:start w:val="0"/>
      <w:numFmt w:val="bullet"/>
      <w:lvlText w:val="•"/>
      <w:lvlJc w:val="left"/>
      <w:pPr>
        <w:ind w:left="8024" w:hanging="689"/>
      </w:pPr>
      <w:rPr>
        <w:rFonts w:hint="default"/>
        <w:lang w:val="zh-CN" w:eastAsia="zh-CN" w:bidi="zh-CN"/>
      </w:rPr>
    </w:lvl>
    <w:lvl w:ilvl="8" w:tentative="0">
      <w:start w:val="0"/>
      <w:numFmt w:val="bullet"/>
      <w:lvlText w:val="•"/>
      <w:lvlJc w:val="left"/>
      <w:pPr>
        <w:ind w:left="9078" w:hanging="689"/>
      </w:pPr>
      <w:rPr>
        <w:rFonts w:hint="default"/>
        <w:lang w:val="zh-CN" w:eastAsia="zh-CN" w:bidi="zh-CN"/>
      </w:rPr>
    </w:lvl>
  </w:abstractNum>
  <w:abstractNum w:abstractNumId="8">
    <w:nsid w:val="090E07B1"/>
    <w:multiLevelType w:val="multilevel"/>
    <w:tmpl w:val="090E07B1"/>
    <w:lvl w:ilvl="0" w:tentative="0">
      <w:start w:val="30"/>
      <w:numFmt w:val="decimal"/>
      <w:lvlText w:val="%1"/>
      <w:lvlJc w:val="left"/>
      <w:pPr>
        <w:ind w:left="528" w:hanging="543"/>
      </w:pPr>
      <w:rPr>
        <w:rFonts w:hint="default"/>
        <w:lang w:val="zh-CN" w:eastAsia="zh-CN" w:bidi="zh-CN"/>
      </w:rPr>
    </w:lvl>
    <w:lvl w:ilvl="1" w:tentative="0">
      <w:start w:val="1"/>
      <w:numFmt w:val="none"/>
      <w:lvlText w:val="33.1"/>
      <w:lvlJc w:val="left"/>
      <w:pPr>
        <w:ind w:left="528" w:hanging="543"/>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543"/>
      </w:pPr>
      <w:rPr>
        <w:rFonts w:hint="default"/>
        <w:lang w:val="zh-CN" w:eastAsia="zh-CN" w:bidi="zh-CN"/>
      </w:rPr>
    </w:lvl>
    <w:lvl w:ilvl="3" w:tentative="0">
      <w:start w:val="0"/>
      <w:numFmt w:val="bullet"/>
      <w:lvlText w:val="•"/>
      <w:lvlJc w:val="left"/>
      <w:pPr>
        <w:ind w:left="3719" w:hanging="543"/>
      </w:pPr>
      <w:rPr>
        <w:rFonts w:hint="default"/>
        <w:lang w:val="zh-CN" w:eastAsia="zh-CN" w:bidi="zh-CN"/>
      </w:rPr>
    </w:lvl>
    <w:lvl w:ilvl="4" w:tentative="0">
      <w:start w:val="0"/>
      <w:numFmt w:val="bullet"/>
      <w:lvlText w:val="•"/>
      <w:lvlJc w:val="left"/>
      <w:pPr>
        <w:ind w:left="4786" w:hanging="543"/>
      </w:pPr>
      <w:rPr>
        <w:rFonts w:hint="default"/>
        <w:lang w:val="zh-CN" w:eastAsia="zh-CN" w:bidi="zh-CN"/>
      </w:rPr>
    </w:lvl>
    <w:lvl w:ilvl="5" w:tentative="0">
      <w:start w:val="0"/>
      <w:numFmt w:val="bullet"/>
      <w:lvlText w:val="•"/>
      <w:lvlJc w:val="left"/>
      <w:pPr>
        <w:ind w:left="5853" w:hanging="543"/>
      </w:pPr>
      <w:rPr>
        <w:rFonts w:hint="default"/>
        <w:lang w:val="zh-CN" w:eastAsia="zh-CN" w:bidi="zh-CN"/>
      </w:rPr>
    </w:lvl>
    <w:lvl w:ilvl="6" w:tentative="0">
      <w:start w:val="0"/>
      <w:numFmt w:val="bullet"/>
      <w:lvlText w:val="•"/>
      <w:lvlJc w:val="left"/>
      <w:pPr>
        <w:ind w:left="6919" w:hanging="543"/>
      </w:pPr>
      <w:rPr>
        <w:rFonts w:hint="default"/>
        <w:lang w:val="zh-CN" w:eastAsia="zh-CN" w:bidi="zh-CN"/>
      </w:rPr>
    </w:lvl>
    <w:lvl w:ilvl="7" w:tentative="0">
      <w:start w:val="0"/>
      <w:numFmt w:val="bullet"/>
      <w:lvlText w:val="•"/>
      <w:lvlJc w:val="left"/>
      <w:pPr>
        <w:ind w:left="7986" w:hanging="543"/>
      </w:pPr>
      <w:rPr>
        <w:rFonts w:hint="default"/>
        <w:lang w:val="zh-CN" w:eastAsia="zh-CN" w:bidi="zh-CN"/>
      </w:rPr>
    </w:lvl>
    <w:lvl w:ilvl="8" w:tentative="0">
      <w:start w:val="0"/>
      <w:numFmt w:val="bullet"/>
      <w:lvlText w:val="•"/>
      <w:lvlJc w:val="left"/>
      <w:pPr>
        <w:ind w:left="9053" w:hanging="543"/>
      </w:pPr>
      <w:rPr>
        <w:rFonts w:hint="default"/>
        <w:lang w:val="zh-CN" w:eastAsia="zh-CN" w:bidi="zh-CN"/>
      </w:rPr>
    </w:lvl>
  </w:abstractNum>
  <w:abstractNum w:abstractNumId="9">
    <w:nsid w:val="0C12BB26"/>
    <w:multiLevelType w:val="singleLevel"/>
    <w:tmpl w:val="0C12BB26"/>
    <w:lvl w:ilvl="0" w:tentative="0">
      <w:start w:val="1"/>
      <w:numFmt w:val="decimal"/>
      <w:suff w:val="nothing"/>
      <w:lvlText w:val="%1、"/>
      <w:lvlJc w:val="left"/>
    </w:lvl>
  </w:abstractNum>
  <w:abstractNum w:abstractNumId="10">
    <w:nsid w:val="0DFB121F"/>
    <w:multiLevelType w:val="multilevel"/>
    <w:tmpl w:val="0DFB121F"/>
    <w:lvl w:ilvl="0" w:tentative="0">
      <w:start w:val="14"/>
      <w:numFmt w:val="decimal"/>
      <w:lvlText w:val="%1"/>
      <w:lvlJc w:val="left"/>
      <w:pPr>
        <w:ind w:left="1514" w:hanging="507"/>
      </w:pPr>
      <w:rPr>
        <w:rFonts w:hint="default"/>
        <w:lang w:val="zh-CN" w:eastAsia="zh-CN" w:bidi="zh-CN"/>
      </w:rPr>
    </w:lvl>
    <w:lvl w:ilvl="1" w:tentative="0">
      <w:start w:val="1"/>
      <w:numFmt w:val="none"/>
      <w:lvlText w:val="15.6"/>
      <w:lvlJc w:val="left"/>
      <w:pPr>
        <w:ind w:left="528" w:hanging="507"/>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594" w:hanging="507"/>
      </w:pPr>
      <w:rPr>
        <w:rFonts w:hint="default"/>
        <w:lang w:val="zh-CN" w:eastAsia="zh-CN" w:bidi="zh-CN"/>
      </w:rPr>
    </w:lvl>
    <w:lvl w:ilvl="3" w:tentative="0">
      <w:start w:val="0"/>
      <w:numFmt w:val="bullet"/>
      <w:lvlText w:val="•"/>
      <w:lvlJc w:val="left"/>
      <w:pPr>
        <w:ind w:left="3668" w:hanging="507"/>
      </w:pPr>
      <w:rPr>
        <w:rFonts w:hint="default"/>
        <w:lang w:val="zh-CN" w:eastAsia="zh-CN" w:bidi="zh-CN"/>
      </w:rPr>
    </w:lvl>
    <w:lvl w:ilvl="4" w:tentative="0">
      <w:start w:val="0"/>
      <w:numFmt w:val="bullet"/>
      <w:lvlText w:val="•"/>
      <w:lvlJc w:val="left"/>
      <w:pPr>
        <w:ind w:left="4742" w:hanging="507"/>
      </w:pPr>
      <w:rPr>
        <w:rFonts w:hint="default"/>
        <w:lang w:val="zh-CN" w:eastAsia="zh-CN" w:bidi="zh-CN"/>
      </w:rPr>
    </w:lvl>
    <w:lvl w:ilvl="5" w:tentative="0">
      <w:start w:val="0"/>
      <w:numFmt w:val="bullet"/>
      <w:lvlText w:val="•"/>
      <w:lvlJc w:val="left"/>
      <w:pPr>
        <w:ind w:left="5816" w:hanging="507"/>
      </w:pPr>
      <w:rPr>
        <w:rFonts w:hint="default"/>
        <w:lang w:val="zh-CN" w:eastAsia="zh-CN" w:bidi="zh-CN"/>
      </w:rPr>
    </w:lvl>
    <w:lvl w:ilvl="6" w:tentative="0">
      <w:start w:val="0"/>
      <w:numFmt w:val="bullet"/>
      <w:lvlText w:val="•"/>
      <w:lvlJc w:val="left"/>
      <w:pPr>
        <w:ind w:left="6890" w:hanging="507"/>
      </w:pPr>
      <w:rPr>
        <w:rFonts w:hint="default"/>
        <w:lang w:val="zh-CN" w:eastAsia="zh-CN" w:bidi="zh-CN"/>
      </w:rPr>
    </w:lvl>
    <w:lvl w:ilvl="7" w:tentative="0">
      <w:start w:val="0"/>
      <w:numFmt w:val="bullet"/>
      <w:lvlText w:val="•"/>
      <w:lvlJc w:val="left"/>
      <w:pPr>
        <w:ind w:left="7964" w:hanging="507"/>
      </w:pPr>
      <w:rPr>
        <w:rFonts w:hint="default"/>
        <w:lang w:val="zh-CN" w:eastAsia="zh-CN" w:bidi="zh-CN"/>
      </w:rPr>
    </w:lvl>
    <w:lvl w:ilvl="8" w:tentative="0">
      <w:start w:val="0"/>
      <w:numFmt w:val="bullet"/>
      <w:lvlText w:val="•"/>
      <w:lvlJc w:val="left"/>
      <w:pPr>
        <w:ind w:left="9038" w:hanging="507"/>
      </w:pPr>
      <w:rPr>
        <w:rFonts w:hint="default"/>
        <w:lang w:val="zh-CN" w:eastAsia="zh-CN" w:bidi="zh-CN"/>
      </w:rPr>
    </w:lvl>
  </w:abstractNum>
  <w:abstractNum w:abstractNumId="11">
    <w:nsid w:val="0F9629B4"/>
    <w:multiLevelType w:val="multilevel"/>
    <w:tmpl w:val="0F9629B4"/>
    <w:lvl w:ilvl="0" w:tentative="0">
      <w:start w:val="2"/>
      <w:numFmt w:val="decimal"/>
      <w:lvlText w:val="%1、"/>
      <w:lvlJc w:val="left"/>
      <w:pPr>
        <w:ind w:left="360" w:hanging="360"/>
      </w:pPr>
      <w:rPr>
        <w:rFonts w:hint="default" w:cstheme="minorBidi"/>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15219E0"/>
    <w:multiLevelType w:val="multilevel"/>
    <w:tmpl w:val="115219E0"/>
    <w:lvl w:ilvl="0" w:tentative="0">
      <w:start w:val="18"/>
      <w:numFmt w:val="decimal"/>
      <w:lvlText w:val="%1"/>
      <w:lvlJc w:val="left"/>
      <w:pPr>
        <w:ind w:left="528" w:hanging="507"/>
      </w:pPr>
      <w:rPr>
        <w:rFonts w:hint="default"/>
        <w:lang w:val="zh-CN" w:eastAsia="zh-CN" w:bidi="zh-CN"/>
      </w:rPr>
    </w:lvl>
    <w:lvl w:ilvl="1" w:tentative="0">
      <w:start w:val="1"/>
      <w:numFmt w:val="none"/>
      <w:lvlText w:val="19.2"/>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13">
    <w:nsid w:val="135B4071"/>
    <w:multiLevelType w:val="multilevel"/>
    <w:tmpl w:val="135B4071"/>
    <w:lvl w:ilvl="0" w:tentative="0">
      <w:start w:val="18"/>
      <w:numFmt w:val="decimal"/>
      <w:lvlText w:val="%1"/>
      <w:lvlJc w:val="left"/>
      <w:pPr>
        <w:ind w:left="528" w:hanging="507"/>
      </w:pPr>
      <w:rPr>
        <w:rFonts w:hint="default"/>
        <w:lang w:val="zh-CN" w:eastAsia="zh-CN" w:bidi="zh-CN"/>
      </w:rPr>
    </w:lvl>
    <w:lvl w:ilvl="1" w:tentative="0">
      <w:start w:val="1"/>
      <w:numFmt w:val="none"/>
      <w:lvlText w:val="19.4"/>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14">
    <w:nsid w:val="13CA6AE4"/>
    <w:multiLevelType w:val="multilevel"/>
    <w:tmpl w:val="13CA6AE4"/>
    <w:lvl w:ilvl="0" w:tentative="0">
      <w:start w:val="1"/>
      <w:numFmt w:val="bullet"/>
      <w:pStyle w:val="78"/>
      <w:lvlText w:val=""/>
      <w:lvlJc w:val="left"/>
      <w:pPr>
        <w:tabs>
          <w:tab w:val="left" w:pos="0"/>
        </w:tabs>
        <w:ind w:left="839" w:hanging="419"/>
      </w:pPr>
      <w:rPr>
        <w:rFonts w:hint="default" w:ascii="Wingdings" w:hAnsi="Wingdings"/>
        <w:sz w:val="21"/>
        <w:szCs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17206139"/>
    <w:multiLevelType w:val="multilevel"/>
    <w:tmpl w:val="17206139"/>
    <w:lvl w:ilvl="0" w:tentative="0">
      <w:start w:val="18"/>
      <w:numFmt w:val="decimal"/>
      <w:lvlText w:val="%1"/>
      <w:lvlJc w:val="left"/>
      <w:pPr>
        <w:ind w:left="528" w:hanging="507"/>
      </w:pPr>
      <w:rPr>
        <w:rFonts w:hint="default"/>
        <w:lang w:val="zh-CN" w:eastAsia="zh-CN" w:bidi="zh-CN"/>
      </w:rPr>
    </w:lvl>
    <w:lvl w:ilvl="1" w:tentative="0">
      <w:start w:val="1"/>
      <w:numFmt w:val="none"/>
      <w:lvlText w:val="20.2"/>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16">
    <w:nsid w:val="185E7E63"/>
    <w:multiLevelType w:val="multilevel"/>
    <w:tmpl w:val="185E7E63"/>
    <w:lvl w:ilvl="0" w:tentative="0">
      <w:start w:val="16"/>
      <w:numFmt w:val="decimal"/>
      <w:lvlText w:val="%1.1.1"/>
      <w:lvlJc w:val="left"/>
      <w:pPr>
        <w:ind w:left="528" w:hanging="531"/>
      </w:pPr>
      <w:rPr>
        <w:rFonts w:hint="default"/>
        <w:lang w:val="zh-CN" w:eastAsia="zh-CN" w:bidi="zh-CN"/>
      </w:rPr>
    </w:lvl>
    <w:lvl w:ilvl="1" w:tentative="0">
      <w:start w:val="1"/>
      <w:numFmt w:val="none"/>
      <w:lvlText w:val="%1.2.4"/>
      <w:lvlJc w:val="left"/>
      <w:pPr>
        <w:ind w:left="0" w:hanging="3"/>
      </w:pPr>
      <w:rPr>
        <w:rFonts w:hint="eastAsia"/>
        <w:spacing w:val="-1"/>
        <w:w w:val="70"/>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17">
    <w:nsid w:val="18890540"/>
    <w:multiLevelType w:val="multilevel"/>
    <w:tmpl w:val="18890540"/>
    <w:lvl w:ilvl="0" w:tentative="0">
      <w:start w:val="18"/>
      <w:numFmt w:val="decimal"/>
      <w:lvlText w:val="%1"/>
      <w:lvlJc w:val="left"/>
      <w:pPr>
        <w:ind w:left="528" w:hanging="507"/>
      </w:pPr>
      <w:rPr>
        <w:rFonts w:hint="default"/>
        <w:lang w:val="zh-CN" w:eastAsia="zh-CN" w:bidi="zh-CN"/>
      </w:rPr>
    </w:lvl>
    <w:lvl w:ilvl="1" w:tentative="0">
      <w:start w:val="1"/>
      <w:numFmt w:val="none"/>
      <w:lvlText w:val="20.1"/>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18">
    <w:nsid w:val="1A931EEC"/>
    <w:multiLevelType w:val="multilevel"/>
    <w:tmpl w:val="1A931EEC"/>
    <w:lvl w:ilvl="0" w:tentative="0">
      <w:start w:val="16"/>
      <w:numFmt w:val="decimal"/>
      <w:lvlText w:val="%1.1.1"/>
      <w:lvlJc w:val="left"/>
      <w:pPr>
        <w:ind w:left="528" w:hanging="531"/>
      </w:pPr>
      <w:rPr>
        <w:rFonts w:hint="default"/>
        <w:lang w:val="zh-CN" w:eastAsia="zh-CN" w:bidi="zh-CN"/>
      </w:rPr>
    </w:lvl>
    <w:lvl w:ilvl="1" w:tentative="0">
      <w:start w:val="1"/>
      <w:numFmt w:val="none"/>
      <w:lvlText w:val="%1.2.2"/>
      <w:lvlJc w:val="left"/>
      <w:pPr>
        <w:ind w:left="0" w:hanging="3"/>
      </w:pPr>
      <w:rPr>
        <w:rFonts w:hint="eastAsia"/>
        <w:spacing w:val="-1"/>
        <w:w w:val="60"/>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19">
    <w:nsid w:val="1F400B39"/>
    <w:multiLevelType w:val="multilevel"/>
    <w:tmpl w:val="1F400B39"/>
    <w:lvl w:ilvl="0" w:tentative="0">
      <w:start w:val="6"/>
      <w:numFmt w:val="decimal"/>
      <w:lvlText w:val="%1"/>
      <w:lvlJc w:val="left"/>
      <w:pPr>
        <w:ind w:left="528" w:hanging="375"/>
      </w:pPr>
      <w:rPr>
        <w:rFonts w:hint="default"/>
        <w:lang w:val="zh-CN" w:eastAsia="zh-CN" w:bidi="zh-CN"/>
      </w:rPr>
    </w:lvl>
    <w:lvl w:ilvl="1" w:tentative="0">
      <w:start w:val="1"/>
      <w:numFmt w:val="none"/>
      <w:lvlText w:val="7.3.6"/>
      <w:lvlJc w:val="left"/>
      <w:pPr>
        <w:ind w:left="528" w:hanging="375"/>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20">
    <w:nsid w:val="1FF22BEA"/>
    <w:multiLevelType w:val="multilevel"/>
    <w:tmpl w:val="1FF22BEA"/>
    <w:lvl w:ilvl="0" w:tentative="0">
      <w:start w:val="6"/>
      <w:numFmt w:val="decimal"/>
      <w:lvlText w:val="%1"/>
      <w:lvlJc w:val="left"/>
      <w:pPr>
        <w:ind w:left="528" w:hanging="375"/>
      </w:pPr>
      <w:rPr>
        <w:rFonts w:hint="default"/>
        <w:lang w:val="zh-CN" w:eastAsia="zh-CN" w:bidi="zh-CN"/>
      </w:rPr>
    </w:lvl>
    <w:lvl w:ilvl="1" w:tentative="0">
      <w:start w:val="1"/>
      <w:numFmt w:val="none"/>
      <w:lvlText w:val="7.3.5"/>
      <w:lvlJc w:val="left"/>
      <w:pPr>
        <w:ind w:left="528" w:hanging="375"/>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21">
    <w:nsid w:val="21F27FF0"/>
    <w:multiLevelType w:val="multilevel"/>
    <w:tmpl w:val="21F27FF0"/>
    <w:lvl w:ilvl="0" w:tentative="0">
      <w:start w:val="16"/>
      <w:numFmt w:val="decimal"/>
      <w:lvlText w:val="%1.1.1"/>
      <w:lvlJc w:val="left"/>
      <w:pPr>
        <w:ind w:left="528" w:hanging="531"/>
      </w:pPr>
      <w:rPr>
        <w:rFonts w:hint="default"/>
        <w:lang w:val="zh-CN" w:eastAsia="zh-CN" w:bidi="zh-CN"/>
      </w:rPr>
    </w:lvl>
    <w:lvl w:ilvl="1" w:tentative="0">
      <w:start w:val="1"/>
      <w:numFmt w:val="none"/>
      <w:lvlText w:val="%1.2.1"/>
      <w:lvlJc w:val="left"/>
      <w:pPr>
        <w:ind w:left="0" w:hanging="3"/>
      </w:pPr>
      <w:rPr>
        <w:rFonts w:hint="eastAsia"/>
        <w:spacing w:val="-1"/>
        <w:w w:val="70"/>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22">
    <w:nsid w:val="25BF55E3"/>
    <w:multiLevelType w:val="multilevel"/>
    <w:tmpl w:val="25BF55E3"/>
    <w:lvl w:ilvl="0" w:tentative="0">
      <w:start w:val="15"/>
      <w:numFmt w:val="decimal"/>
      <w:lvlText w:val="%1"/>
      <w:lvlJc w:val="left"/>
      <w:pPr>
        <w:ind w:left="528" w:hanging="531"/>
      </w:pPr>
      <w:rPr>
        <w:rFonts w:hint="default" w:ascii="Times New Roman" w:hAnsi="Times New Roman"/>
        <w:sz w:val="21"/>
        <w:lang w:val="zh-CN" w:eastAsia="zh-CN" w:bidi="zh-CN"/>
      </w:rPr>
    </w:lvl>
    <w:lvl w:ilvl="1" w:tentative="0">
      <w:start w:val="1"/>
      <w:numFmt w:val="decimal"/>
      <w:lvlText w:val="%1.%2"/>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23">
    <w:nsid w:val="26862558"/>
    <w:multiLevelType w:val="singleLevel"/>
    <w:tmpl w:val="26862558"/>
    <w:lvl w:ilvl="0" w:tentative="0">
      <w:start w:val="3"/>
      <w:numFmt w:val="decimal"/>
      <w:suff w:val="nothing"/>
      <w:lvlText w:val="%1、"/>
      <w:lvlJc w:val="left"/>
    </w:lvl>
  </w:abstractNum>
  <w:abstractNum w:abstractNumId="24">
    <w:nsid w:val="2E372C0F"/>
    <w:multiLevelType w:val="multilevel"/>
    <w:tmpl w:val="2E372C0F"/>
    <w:lvl w:ilvl="0" w:tentative="0">
      <w:start w:val="6"/>
      <w:numFmt w:val="decimal"/>
      <w:lvlText w:val="%1"/>
      <w:lvlJc w:val="left"/>
      <w:pPr>
        <w:ind w:left="528" w:hanging="375"/>
      </w:pPr>
      <w:rPr>
        <w:rFonts w:hint="default"/>
        <w:lang w:val="zh-CN" w:eastAsia="zh-CN" w:bidi="zh-CN"/>
      </w:rPr>
    </w:lvl>
    <w:lvl w:ilvl="1" w:tentative="0">
      <w:start w:val="1"/>
      <w:numFmt w:val="none"/>
      <w:lvlText w:val="7.3.4"/>
      <w:lvlJc w:val="left"/>
      <w:pPr>
        <w:ind w:left="528" w:hanging="375"/>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25">
    <w:nsid w:val="3102550A"/>
    <w:multiLevelType w:val="multilevel"/>
    <w:tmpl w:val="3102550A"/>
    <w:lvl w:ilvl="0" w:tentative="0">
      <w:start w:val="18"/>
      <w:numFmt w:val="decimal"/>
      <w:lvlText w:val="%1"/>
      <w:lvlJc w:val="left"/>
      <w:pPr>
        <w:ind w:left="528" w:hanging="507"/>
      </w:pPr>
      <w:rPr>
        <w:rFonts w:hint="default"/>
        <w:lang w:val="zh-CN" w:eastAsia="zh-CN" w:bidi="zh-CN"/>
      </w:rPr>
    </w:lvl>
    <w:lvl w:ilvl="1" w:tentative="0">
      <w:start w:val="1"/>
      <w:numFmt w:val="none"/>
      <w:lvlText w:val="18.8"/>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26">
    <w:nsid w:val="31E556D3"/>
    <w:multiLevelType w:val="multilevel"/>
    <w:tmpl w:val="31E556D3"/>
    <w:lvl w:ilvl="0" w:tentative="0">
      <w:start w:val="18"/>
      <w:numFmt w:val="decimal"/>
      <w:lvlText w:val="%1"/>
      <w:lvlJc w:val="left"/>
      <w:pPr>
        <w:ind w:left="528" w:hanging="507"/>
      </w:pPr>
      <w:rPr>
        <w:rFonts w:hint="default"/>
        <w:lang w:val="zh-CN" w:eastAsia="zh-CN" w:bidi="zh-CN"/>
      </w:rPr>
    </w:lvl>
    <w:lvl w:ilvl="1" w:tentative="0">
      <w:start w:val="1"/>
      <w:numFmt w:val="none"/>
      <w:lvlText w:val="18.7"/>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27">
    <w:nsid w:val="31EA1686"/>
    <w:multiLevelType w:val="multilevel"/>
    <w:tmpl w:val="31EA1686"/>
    <w:lvl w:ilvl="0" w:tentative="0">
      <w:start w:val="18"/>
      <w:numFmt w:val="decimal"/>
      <w:lvlText w:val="%1"/>
      <w:lvlJc w:val="left"/>
      <w:pPr>
        <w:ind w:left="528" w:hanging="507"/>
      </w:pPr>
      <w:rPr>
        <w:rFonts w:hint="default"/>
        <w:lang w:val="zh-CN" w:eastAsia="zh-CN" w:bidi="zh-CN"/>
      </w:rPr>
    </w:lvl>
    <w:lvl w:ilvl="1" w:tentative="0">
      <w:start w:val="1"/>
      <w:numFmt w:val="none"/>
      <w:lvlText w:val="18.9"/>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28">
    <w:nsid w:val="3262212A"/>
    <w:multiLevelType w:val="multilevel"/>
    <w:tmpl w:val="3262212A"/>
    <w:lvl w:ilvl="0" w:tentative="0">
      <w:start w:val="12"/>
      <w:numFmt w:val="decimal"/>
      <w:lvlText w:val="%1"/>
      <w:lvlJc w:val="left"/>
      <w:pPr>
        <w:ind w:left="1514" w:hanging="507"/>
      </w:pPr>
      <w:rPr>
        <w:rFonts w:hint="default"/>
        <w:lang w:val="zh-CN" w:eastAsia="zh-CN" w:bidi="zh-CN"/>
      </w:rPr>
    </w:lvl>
    <w:lvl w:ilvl="1" w:tentative="0">
      <w:start w:val="1"/>
      <w:numFmt w:val="decimal"/>
      <w:lvlText w:val="%1.%2"/>
      <w:lvlJc w:val="left"/>
      <w:pPr>
        <w:ind w:left="1514" w:hanging="507"/>
      </w:pPr>
      <w:rPr>
        <w:rFonts w:hint="default" w:ascii="Times New Roman" w:hAnsi="Times New Roman" w:eastAsia="Times New Roman" w:cs="Times New Roman"/>
        <w:spacing w:val="-1"/>
        <w:w w:val="101"/>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Times New Roman" w:cs="Times New Roman"/>
        <w:spacing w:val="-1"/>
        <w:w w:val="101"/>
        <w:sz w:val="24"/>
        <w:szCs w:val="24"/>
        <w:lang w:val="zh-CN" w:eastAsia="zh-CN" w:bidi="zh-CN"/>
      </w:rPr>
    </w:lvl>
    <w:lvl w:ilvl="3" w:tentative="0">
      <w:start w:val="0"/>
      <w:numFmt w:val="bullet"/>
      <w:lvlText w:val="•"/>
      <w:lvlJc w:val="left"/>
      <w:pPr>
        <w:ind w:left="3808" w:hanging="689"/>
      </w:pPr>
      <w:rPr>
        <w:rFonts w:hint="default"/>
        <w:lang w:val="zh-CN" w:eastAsia="zh-CN" w:bidi="zh-CN"/>
      </w:rPr>
    </w:lvl>
    <w:lvl w:ilvl="4" w:tentative="0">
      <w:start w:val="0"/>
      <w:numFmt w:val="bullet"/>
      <w:lvlText w:val="•"/>
      <w:lvlJc w:val="left"/>
      <w:pPr>
        <w:ind w:left="4862" w:hanging="689"/>
      </w:pPr>
      <w:rPr>
        <w:rFonts w:hint="default"/>
        <w:lang w:val="zh-CN" w:eastAsia="zh-CN" w:bidi="zh-CN"/>
      </w:rPr>
    </w:lvl>
    <w:lvl w:ilvl="5" w:tentative="0">
      <w:start w:val="0"/>
      <w:numFmt w:val="bullet"/>
      <w:lvlText w:val="•"/>
      <w:lvlJc w:val="left"/>
      <w:pPr>
        <w:ind w:left="5916" w:hanging="689"/>
      </w:pPr>
      <w:rPr>
        <w:rFonts w:hint="default"/>
        <w:lang w:val="zh-CN" w:eastAsia="zh-CN" w:bidi="zh-CN"/>
      </w:rPr>
    </w:lvl>
    <w:lvl w:ilvl="6" w:tentative="0">
      <w:start w:val="0"/>
      <w:numFmt w:val="bullet"/>
      <w:lvlText w:val="•"/>
      <w:lvlJc w:val="left"/>
      <w:pPr>
        <w:ind w:left="6970" w:hanging="689"/>
      </w:pPr>
      <w:rPr>
        <w:rFonts w:hint="default"/>
        <w:lang w:val="zh-CN" w:eastAsia="zh-CN" w:bidi="zh-CN"/>
      </w:rPr>
    </w:lvl>
    <w:lvl w:ilvl="7" w:tentative="0">
      <w:start w:val="0"/>
      <w:numFmt w:val="bullet"/>
      <w:lvlText w:val="•"/>
      <w:lvlJc w:val="left"/>
      <w:pPr>
        <w:ind w:left="8024" w:hanging="689"/>
      </w:pPr>
      <w:rPr>
        <w:rFonts w:hint="default"/>
        <w:lang w:val="zh-CN" w:eastAsia="zh-CN" w:bidi="zh-CN"/>
      </w:rPr>
    </w:lvl>
    <w:lvl w:ilvl="8" w:tentative="0">
      <w:start w:val="0"/>
      <w:numFmt w:val="bullet"/>
      <w:lvlText w:val="•"/>
      <w:lvlJc w:val="left"/>
      <w:pPr>
        <w:ind w:left="9078" w:hanging="689"/>
      </w:pPr>
      <w:rPr>
        <w:rFonts w:hint="default"/>
        <w:lang w:val="zh-CN" w:eastAsia="zh-CN" w:bidi="zh-CN"/>
      </w:rPr>
    </w:lvl>
  </w:abstractNum>
  <w:abstractNum w:abstractNumId="29">
    <w:nsid w:val="330F0CCF"/>
    <w:multiLevelType w:val="multilevel"/>
    <w:tmpl w:val="330F0CC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37978B1"/>
    <w:multiLevelType w:val="multilevel"/>
    <w:tmpl w:val="337978B1"/>
    <w:lvl w:ilvl="0" w:tentative="0">
      <w:start w:val="15"/>
      <w:numFmt w:val="decimal"/>
      <w:lvlText w:val="%1"/>
      <w:lvlJc w:val="left"/>
      <w:pPr>
        <w:ind w:left="528" w:hanging="531"/>
      </w:pPr>
      <w:rPr>
        <w:rFonts w:hint="default" w:ascii="Times New Roman" w:hAnsi="Times New Roman"/>
        <w:sz w:val="21"/>
      </w:rPr>
    </w:lvl>
    <w:lvl w:ilvl="1" w:tentative="0">
      <w:start w:val="4"/>
      <w:numFmt w:val="decimal"/>
      <w:lvlText w:val="%1.%2"/>
      <w:lvlJc w:val="left"/>
      <w:pPr>
        <w:ind w:left="528" w:hanging="531"/>
      </w:pPr>
      <w:rPr>
        <w:rFonts w:hint="default" w:ascii="Times New Roman" w:hAnsi="Times New Roman" w:eastAsia="宋体" w:cs="Times New Roman"/>
        <w:spacing w:val="-1"/>
        <w:w w:val="82"/>
        <w:sz w:val="24"/>
        <w:szCs w:val="24"/>
      </w:rPr>
    </w:lvl>
    <w:lvl w:ilvl="2" w:tentative="0">
      <w:start w:val="0"/>
      <w:numFmt w:val="bullet"/>
      <w:lvlText w:val="•"/>
      <w:lvlJc w:val="left"/>
      <w:pPr>
        <w:ind w:left="2653" w:hanging="531"/>
      </w:pPr>
      <w:rPr>
        <w:rFonts w:hint="default"/>
      </w:rPr>
    </w:lvl>
    <w:lvl w:ilvl="3" w:tentative="0">
      <w:start w:val="0"/>
      <w:numFmt w:val="bullet"/>
      <w:lvlText w:val="•"/>
      <w:lvlJc w:val="left"/>
      <w:pPr>
        <w:ind w:left="3719" w:hanging="531"/>
      </w:pPr>
      <w:rPr>
        <w:rFonts w:hint="default"/>
      </w:rPr>
    </w:lvl>
    <w:lvl w:ilvl="4" w:tentative="0">
      <w:start w:val="0"/>
      <w:numFmt w:val="bullet"/>
      <w:lvlText w:val="•"/>
      <w:lvlJc w:val="left"/>
      <w:pPr>
        <w:ind w:left="4786" w:hanging="531"/>
      </w:pPr>
      <w:rPr>
        <w:rFonts w:hint="default"/>
      </w:rPr>
    </w:lvl>
    <w:lvl w:ilvl="5" w:tentative="0">
      <w:start w:val="0"/>
      <w:numFmt w:val="bullet"/>
      <w:lvlText w:val="•"/>
      <w:lvlJc w:val="left"/>
      <w:pPr>
        <w:ind w:left="5853" w:hanging="531"/>
      </w:pPr>
      <w:rPr>
        <w:rFonts w:hint="default"/>
      </w:rPr>
    </w:lvl>
    <w:lvl w:ilvl="6" w:tentative="0">
      <w:start w:val="0"/>
      <w:numFmt w:val="bullet"/>
      <w:lvlText w:val="•"/>
      <w:lvlJc w:val="left"/>
      <w:pPr>
        <w:ind w:left="6919" w:hanging="531"/>
      </w:pPr>
      <w:rPr>
        <w:rFonts w:hint="default"/>
      </w:rPr>
    </w:lvl>
    <w:lvl w:ilvl="7" w:tentative="0">
      <w:start w:val="0"/>
      <w:numFmt w:val="bullet"/>
      <w:lvlText w:val="•"/>
      <w:lvlJc w:val="left"/>
      <w:pPr>
        <w:ind w:left="7986" w:hanging="531"/>
      </w:pPr>
      <w:rPr>
        <w:rFonts w:hint="default"/>
      </w:rPr>
    </w:lvl>
    <w:lvl w:ilvl="8" w:tentative="0">
      <w:start w:val="0"/>
      <w:numFmt w:val="bullet"/>
      <w:lvlText w:val="•"/>
      <w:lvlJc w:val="left"/>
      <w:pPr>
        <w:ind w:left="9053" w:hanging="531"/>
      </w:pPr>
      <w:rPr>
        <w:rFonts w:hint="default"/>
      </w:rPr>
    </w:lvl>
  </w:abstractNum>
  <w:abstractNum w:abstractNumId="31">
    <w:nsid w:val="37B60C35"/>
    <w:multiLevelType w:val="multilevel"/>
    <w:tmpl w:val="37B60C35"/>
    <w:lvl w:ilvl="0" w:tentative="0">
      <w:start w:val="6"/>
      <w:numFmt w:val="decimal"/>
      <w:lvlText w:val="%1"/>
      <w:lvlJc w:val="left"/>
      <w:pPr>
        <w:ind w:left="528" w:hanging="375"/>
      </w:pPr>
      <w:rPr>
        <w:rFonts w:hint="default"/>
        <w:lang w:val="zh-CN" w:eastAsia="zh-CN" w:bidi="zh-CN"/>
      </w:rPr>
    </w:lvl>
    <w:lvl w:ilvl="1" w:tentative="0">
      <w:start w:val="1"/>
      <w:numFmt w:val="none"/>
      <w:lvlText w:val="7.3.1"/>
      <w:lvlJc w:val="left"/>
      <w:pPr>
        <w:ind w:left="528" w:hanging="375"/>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32">
    <w:nsid w:val="3A8120FB"/>
    <w:multiLevelType w:val="multilevel"/>
    <w:tmpl w:val="3A8120FB"/>
    <w:lvl w:ilvl="0" w:tentative="0">
      <w:start w:val="18"/>
      <w:numFmt w:val="decimal"/>
      <w:lvlText w:val="%1"/>
      <w:lvlJc w:val="left"/>
      <w:pPr>
        <w:ind w:left="528" w:hanging="507"/>
      </w:pPr>
      <w:rPr>
        <w:rFonts w:hint="default"/>
        <w:lang w:val="zh-CN" w:eastAsia="zh-CN" w:bidi="zh-CN"/>
      </w:rPr>
    </w:lvl>
    <w:lvl w:ilvl="1" w:tentative="0">
      <w:start w:val="1"/>
      <w:numFmt w:val="none"/>
      <w:lvlText w:val="18.5"/>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33">
    <w:nsid w:val="3B9A4AA3"/>
    <w:multiLevelType w:val="multilevel"/>
    <w:tmpl w:val="3B9A4AA3"/>
    <w:lvl w:ilvl="0" w:tentative="0">
      <w:start w:val="18"/>
      <w:numFmt w:val="decimal"/>
      <w:lvlText w:val="%1"/>
      <w:lvlJc w:val="left"/>
      <w:pPr>
        <w:ind w:left="528" w:hanging="507"/>
      </w:pPr>
      <w:rPr>
        <w:rFonts w:hint="default"/>
        <w:lang w:val="zh-CN" w:eastAsia="zh-CN" w:bidi="zh-CN"/>
      </w:rPr>
    </w:lvl>
    <w:lvl w:ilvl="1" w:tentative="0">
      <w:start w:val="1"/>
      <w:numFmt w:val="none"/>
      <w:lvlText w:val="19.3"/>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34">
    <w:nsid w:val="3BFB5B77"/>
    <w:multiLevelType w:val="multilevel"/>
    <w:tmpl w:val="3BFB5B77"/>
    <w:lvl w:ilvl="0" w:tentative="0">
      <w:start w:val="13"/>
      <w:numFmt w:val="decimal"/>
      <w:lvlText w:val="%1"/>
      <w:lvlJc w:val="left"/>
      <w:pPr>
        <w:ind w:left="528" w:hanging="531"/>
      </w:pPr>
      <w:rPr>
        <w:rFonts w:hint="default"/>
        <w:lang w:val="zh-CN" w:eastAsia="zh-CN" w:bidi="zh-CN"/>
      </w:rPr>
    </w:lvl>
    <w:lvl w:ilvl="1" w:tentative="0">
      <w:start w:val="1"/>
      <w:numFmt w:val="decimal"/>
      <w:lvlText w:val="%1.%2"/>
      <w:lvlJc w:val="left"/>
      <w:pPr>
        <w:ind w:left="528" w:hanging="531"/>
      </w:pPr>
      <w:rPr>
        <w:rFonts w:hint="default" w:ascii="Times New Roman" w:hAnsi="Times New Roman" w:eastAsia="Times New Roman" w:cs="Times New Roman"/>
        <w:spacing w:val="-1"/>
        <w:w w:val="82"/>
        <w:sz w:val="24"/>
        <w:szCs w:val="24"/>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35">
    <w:nsid w:val="3CE31580"/>
    <w:multiLevelType w:val="multilevel"/>
    <w:tmpl w:val="3CE31580"/>
    <w:lvl w:ilvl="0" w:tentative="0">
      <w:start w:val="7"/>
      <w:numFmt w:val="decimal"/>
      <w:lvlText w:val="%1"/>
      <w:lvlJc w:val="left"/>
      <w:pPr>
        <w:ind w:left="528" w:hanging="375"/>
      </w:pPr>
      <w:rPr>
        <w:rFonts w:hint="default"/>
        <w:lang w:val="zh-CN" w:eastAsia="zh-CN" w:bidi="zh-CN"/>
      </w:rPr>
    </w:lvl>
    <w:lvl w:ilvl="1" w:tentative="0">
      <w:start w:val="4"/>
      <w:numFmt w:val="decimal"/>
      <w:lvlText w:val="%1.%2"/>
      <w:lvlJc w:val="left"/>
      <w:pPr>
        <w:ind w:left="528" w:hanging="375"/>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36">
    <w:nsid w:val="40221067"/>
    <w:multiLevelType w:val="multilevel"/>
    <w:tmpl w:val="40221067"/>
    <w:lvl w:ilvl="0" w:tentative="0">
      <w:start w:val="18"/>
      <w:numFmt w:val="decimal"/>
      <w:lvlText w:val="%1"/>
      <w:lvlJc w:val="left"/>
      <w:pPr>
        <w:ind w:left="528" w:hanging="507"/>
      </w:pPr>
      <w:rPr>
        <w:rFonts w:hint="default"/>
        <w:lang w:val="zh-CN" w:eastAsia="zh-CN" w:bidi="zh-CN"/>
      </w:rPr>
    </w:lvl>
    <w:lvl w:ilvl="1" w:tentative="0">
      <w:start w:val="1"/>
      <w:numFmt w:val="none"/>
      <w:lvlText w:val="18.6"/>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37">
    <w:nsid w:val="40DA1D51"/>
    <w:multiLevelType w:val="multilevel"/>
    <w:tmpl w:val="40DA1D51"/>
    <w:lvl w:ilvl="0" w:tentative="0">
      <w:start w:val="18"/>
      <w:numFmt w:val="decimal"/>
      <w:lvlText w:val="%1"/>
      <w:lvlJc w:val="left"/>
      <w:pPr>
        <w:ind w:left="528" w:hanging="507"/>
      </w:pPr>
      <w:rPr>
        <w:rFonts w:hint="default"/>
        <w:lang w:val="zh-CN" w:eastAsia="zh-CN" w:bidi="zh-CN"/>
      </w:rPr>
    </w:lvl>
    <w:lvl w:ilvl="1" w:tentative="0">
      <w:start w:val="1"/>
      <w:numFmt w:val="decimal"/>
      <w:lvlText w:val="%1.%2"/>
      <w:lvlJc w:val="left"/>
      <w:pPr>
        <w:ind w:left="528" w:hanging="507"/>
      </w:pPr>
      <w:rPr>
        <w:rFonts w:hint="default" w:ascii="Times New Roman" w:hAnsi="Times New Roman" w:eastAsia="Times New Roman" w:cs="Times New Roman"/>
        <w:spacing w:val="-1"/>
        <w:w w:val="82"/>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38">
    <w:nsid w:val="420E52C0"/>
    <w:multiLevelType w:val="multilevel"/>
    <w:tmpl w:val="420E52C0"/>
    <w:lvl w:ilvl="0" w:tentative="0">
      <w:start w:val="8"/>
      <w:numFmt w:val="decimal"/>
      <w:lvlText w:val="%1"/>
      <w:lvlJc w:val="left"/>
      <w:pPr>
        <w:ind w:left="1259" w:hanging="375"/>
      </w:pPr>
      <w:rPr>
        <w:rFonts w:hint="default"/>
        <w:lang w:val="zh-CN" w:eastAsia="zh-CN" w:bidi="zh-CN"/>
      </w:rPr>
    </w:lvl>
    <w:lvl w:ilvl="1" w:tentative="0">
      <w:start w:val="1"/>
      <w:numFmt w:val="none"/>
      <w:lvlText w:val="9.1"/>
      <w:lvlJc w:val="left"/>
      <w:pPr>
        <w:ind w:left="1259" w:hanging="375"/>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3384" w:hanging="375"/>
      </w:pPr>
      <w:rPr>
        <w:rFonts w:hint="default"/>
        <w:lang w:val="zh-CN" w:eastAsia="zh-CN" w:bidi="zh-CN"/>
      </w:rPr>
    </w:lvl>
    <w:lvl w:ilvl="3" w:tentative="0">
      <w:start w:val="0"/>
      <w:numFmt w:val="bullet"/>
      <w:lvlText w:val="•"/>
      <w:lvlJc w:val="left"/>
      <w:pPr>
        <w:ind w:left="4450" w:hanging="375"/>
      </w:pPr>
      <w:rPr>
        <w:rFonts w:hint="default"/>
        <w:lang w:val="zh-CN" w:eastAsia="zh-CN" w:bidi="zh-CN"/>
      </w:rPr>
    </w:lvl>
    <w:lvl w:ilvl="4" w:tentative="0">
      <w:start w:val="0"/>
      <w:numFmt w:val="bullet"/>
      <w:lvlText w:val="•"/>
      <w:lvlJc w:val="left"/>
      <w:pPr>
        <w:ind w:left="5517" w:hanging="375"/>
      </w:pPr>
      <w:rPr>
        <w:rFonts w:hint="default"/>
        <w:lang w:val="zh-CN" w:eastAsia="zh-CN" w:bidi="zh-CN"/>
      </w:rPr>
    </w:lvl>
    <w:lvl w:ilvl="5" w:tentative="0">
      <w:start w:val="0"/>
      <w:numFmt w:val="bullet"/>
      <w:lvlText w:val="•"/>
      <w:lvlJc w:val="left"/>
      <w:pPr>
        <w:ind w:left="6584" w:hanging="375"/>
      </w:pPr>
      <w:rPr>
        <w:rFonts w:hint="default"/>
        <w:lang w:val="zh-CN" w:eastAsia="zh-CN" w:bidi="zh-CN"/>
      </w:rPr>
    </w:lvl>
    <w:lvl w:ilvl="6" w:tentative="0">
      <w:start w:val="0"/>
      <w:numFmt w:val="bullet"/>
      <w:lvlText w:val="•"/>
      <w:lvlJc w:val="left"/>
      <w:pPr>
        <w:ind w:left="7650" w:hanging="375"/>
      </w:pPr>
      <w:rPr>
        <w:rFonts w:hint="default"/>
        <w:lang w:val="zh-CN" w:eastAsia="zh-CN" w:bidi="zh-CN"/>
      </w:rPr>
    </w:lvl>
    <w:lvl w:ilvl="7" w:tentative="0">
      <w:start w:val="0"/>
      <w:numFmt w:val="bullet"/>
      <w:lvlText w:val="•"/>
      <w:lvlJc w:val="left"/>
      <w:pPr>
        <w:ind w:left="8717" w:hanging="375"/>
      </w:pPr>
      <w:rPr>
        <w:rFonts w:hint="default"/>
        <w:lang w:val="zh-CN" w:eastAsia="zh-CN" w:bidi="zh-CN"/>
      </w:rPr>
    </w:lvl>
    <w:lvl w:ilvl="8" w:tentative="0">
      <w:start w:val="0"/>
      <w:numFmt w:val="bullet"/>
      <w:lvlText w:val="•"/>
      <w:lvlJc w:val="left"/>
      <w:pPr>
        <w:ind w:left="9784" w:hanging="375"/>
      </w:pPr>
      <w:rPr>
        <w:rFonts w:hint="default"/>
        <w:lang w:val="zh-CN" w:eastAsia="zh-CN" w:bidi="zh-CN"/>
      </w:rPr>
    </w:lvl>
  </w:abstractNum>
  <w:abstractNum w:abstractNumId="39">
    <w:nsid w:val="428E13C2"/>
    <w:multiLevelType w:val="multilevel"/>
    <w:tmpl w:val="428E13C2"/>
    <w:lvl w:ilvl="0" w:tentative="0">
      <w:start w:val="1"/>
      <w:numFmt w:val="bullet"/>
      <w:pStyle w:val="7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360"/>
        </w:tabs>
        <w:ind w:left="-360" w:hanging="420"/>
      </w:pPr>
      <w:rPr>
        <w:rFonts w:hint="default" w:ascii="Wingdings" w:hAnsi="Wingdings"/>
      </w:rPr>
    </w:lvl>
    <w:lvl w:ilvl="2" w:tentative="0">
      <w:start w:val="1"/>
      <w:numFmt w:val="bullet"/>
      <w:lvlText w:val=""/>
      <w:lvlJc w:val="left"/>
      <w:pPr>
        <w:tabs>
          <w:tab w:val="left" w:pos="60"/>
        </w:tabs>
        <w:ind w:left="60" w:hanging="420"/>
      </w:pPr>
      <w:rPr>
        <w:rFonts w:hint="default" w:ascii="Wingdings" w:hAnsi="Wingdings"/>
      </w:rPr>
    </w:lvl>
    <w:lvl w:ilvl="3" w:tentative="0">
      <w:start w:val="1"/>
      <w:numFmt w:val="bullet"/>
      <w:lvlText w:val=""/>
      <w:lvlJc w:val="left"/>
      <w:pPr>
        <w:tabs>
          <w:tab w:val="left" w:pos="480"/>
        </w:tabs>
        <w:ind w:left="480" w:hanging="420"/>
      </w:pPr>
      <w:rPr>
        <w:rFonts w:hint="default" w:ascii="Wingdings" w:hAnsi="Wingdings"/>
      </w:rPr>
    </w:lvl>
    <w:lvl w:ilvl="4" w:tentative="0">
      <w:start w:val="1"/>
      <w:numFmt w:val="bullet"/>
      <w:lvlText w:val=""/>
      <w:lvlJc w:val="left"/>
      <w:pPr>
        <w:tabs>
          <w:tab w:val="left" w:pos="900"/>
        </w:tabs>
        <w:ind w:left="900" w:hanging="420"/>
      </w:pPr>
      <w:rPr>
        <w:rFonts w:hint="default" w:ascii="Wingdings" w:hAnsi="Wingdings"/>
      </w:rPr>
    </w:lvl>
    <w:lvl w:ilvl="5" w:tentative="0">
      <w:start w:val="1"/>
      <w:numFmt w:val="bullet"/>
      <w:lvlText w:val=""/>
      <w:lvlJc w:val="left"/>
      <w:pPr>
        <w:tabs>
          <w:tab w:val="left" w:pos="1320"/>
        </w:tabs>
        <w:ind w:left="1320" w:hanging="420"/>
      </w:pPr>
      <w:rPr>
        <w:rFonts w:hint="default" w:ascii="Wingdings" w:hAnsi="Wingdings"/>
      </w:rPr>
    </w:lvl>
    <w:lvl w:ilvl="6" w:tentative="0">
      <w:start w:val="1"/>
      <w:numFmt w:val="bullet"/>
      <w:lvlText w:val=""/>
      <w:lvlJc w:val="left"/>
      <w:pPr>
        <w:tabs>
          <w:tab w:val="left" w:pos="1740"/>
        </w:tabs>
        <w:ind w:left="1740" w:hanging="420"/>
      </w:pPr>
      <w:rPr>
        <w:rFonts w:hint="default" w:ascii="Wingdings" w:hAnsi="Wingdings"/>
      </w:rPr>
    </w:lvl>
    <w:lvl w:ilvl="7" w:tentative="0">
      <w:start w:val="1"/>
      <w:numFmt w:val="bullet"/>
      <w:lvlText w:val=""/>
      <w:lvlJc w:val="left"/>
      <w:pPr>
        <w:tabs>
          <w:tab w:val="left" w:pos="2160"/>
        </w:tabs>
        <w:ind w:left="2160" w:hanging="420"/>
      </w:pPr>
      <w:rPr>
        <w:rFonts w:hint="default" w:ascii="Wingdings" w:hAnsi="Wingdings"/>
      </w:rPr>
    </w:lvl>
    <w:lvl w:ilvl="8" w:tentative="0">
      <w:start w:val="1"/>
      <w:numFmt w:val="bullet"/>
      <w:lvlText w:val=""/>
      <w:lvlJc w:val="left"/>
      <w:pPr>
        <w:tabs>
          <w:tab w:val="left" w:pos="2580"/>
        </w:tabs>
        <w:ind w:left="2580" w:hanging="420"/>
      </w:pPr>
      <w:rPr>
        <w:rFonts w:hint="default" w:ascii="Wingdings" w:hAnsi="Wingdings"/>
      </w:rPr>
    </w:lvl>
  </w:abstractNum>
  <w:abstractNum w:abstractNumId="40">
    <w:nsid w:val="442E4BB4"/>
    <w:multiLevelType w:val="multilevel"/>
    <w:tmpl w:val="442E4BB4"/>
    <w:lvl w:ilvl="0" w:tentative="0">
      <w:start w:val="16"/>
      <w:numFmt w:val="decimal"/>
      <w:lvlText w:val="%1"/>
      <w:lvlJc w:val="left"/>
      <w:pPr>
        <w:ind w:left="528" w:hanging="531"/>
      </w:pPr>
      <w:rPr>
        <w:rFonts w:hint="default"/>
        <w:lang w:val="zh-CN" w:eastAsia="zh-CN" w:bidi="zh-CN"/>
      </w:rPr>
    </w:lvl>
    <w:lvl w:ilvl="1" w:tentative="0">
      <w:start w:val="1"/>
      <w:numFmt w:val="decimal"/>
      <w:lvlText w:val="%1.%2"/>
      <w:lvlJc w:val="left"/>
      <w:pPr>
        <w:ind w:left="528" w:hanging="531"/>
      </w:pPr>
      <w:rPr>
        <w:rFonts w:hint="default"/>
        <w:spacing w:val="-1"/>
        <w:w w:val="82"/>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41">
    <w:nsid w:val="463A749B"/>
    <w:multiLevelType w:val="multilevel"/>
    <w:tmpl w:val="463A749B"/>
    <w:lvl w:ilvl="0" w:tentative="0">
      <w:start w:val="18"/>
      <w:numFmt w:val="decimal"/>
      <w:lvlText w:val="%1"/>
      <w:lvlJc w:val="left"/>
      <w:pPr>
        <w:ind w:left="528" w:hanging="507"/>
      </w:pPr>
      <w:rPr>
        <w:rFonts w:hint="default"/>
        <w:lang w:val="zh-CN" w:eastAsia="zh-CN" w:bidi="zh-CN"/>
      </w:rPr>
    </w:lvl>
    <w:lvl w:ilvl="1" w:tentative="0">
      <w:start w:val="1"/>
      <w:numFmt w:val="none"/>
      <w:lvlText w:val="19.1"/>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42">
    <w:nsid w:val="48FF25C2"/>
    <w:multiLevelType w:val="multilevel"/>
    <w:tmpl w:val="48FF25C2"/>
    <w:lvl w:ilvl="0" w:tentative="0">
      <w:start w:val="16"/>
      <w:numFmt w:val="decimal"/>
      <w:lvlText w:val="%1"/>
      <w:lvlJc w:val="left"/>
      <w:pPr>
        <w:ind w:left="528" w:hanging="531"/>
      </w:pPr>
      <w:rPr>
        <w:rFonts w:hint="default" w:ascii="Times New Roman" w:hAnsi="Times New Roman"/>
        <w:sz w:val="21"/>
      </w:rPr>
    </w:lvl>
    <w:lvl w:ilvl="1" w:tentative="0">
      <w:start w:val="6"/>
      <w:numFmt w:val="decimal"/>
      <w:lvlText w:val="%1.%2"/>
      <w:lvlJc w:val="left"/>
      <w:pPr>
        <w:ind w:left="528" w:hanging="531"/>
      </w:pPr>
      <w:rPr>
        <w:rFonts w:hint="default" w:ascii="Times New Roman" w:hAnsi="Times New Roman" w:eastAsia="宋体" w:cs="Times New Roman"/>
        <w:spacing w:val="-1"/>
        <w:w w:val="82"/>
        <w:sz w:val="24"/>
        <w:szCs w:val="24"/>
      </w:rPr>
    </w:lvl>
    <w:lvl w:ilvl="2" w:tentative="0">
      <w:start w:val="0"/>
      <w:numFmt w:val="bullet"/>
      <w:lvlText w:val="•"/>
      <w:lvlJc w:val="left"/>
      <w:pPr>
        <w:ind w:left="2653" w:hanging="531"/>
      </w:pPr>
      <w:rPr>
        <w:rFonts w:hint="default"/>
      </w:rPr>
    </w:lvl>
    <w:lvl w:ilvl="3" w:tentative="0">
      <w:start w:val="0"/>
      <w:numFmt w:val="bullet"/>
      <w:lvlText w:val="•"/>
      <w:lvlJc w:val="left"/>
      <w:pPr>
        <w:ind w:left="3719" w:hanging="531"/>
      </w:pPr>
      <w:rPr>
        <w:rFonts w:hint="default"/>
      </w:rPr>
    </w:lvl>
    <w:lvl w:ilvl="4" w:tentative="0">
      <w:start w:val="0"/>
      <w:numFmt w:val="bullet"/>
      <w:lvlText w:val="•"/>
      <w:lvlJc w:val="left"/>
      <w:pPr>
        <w:ind w:left="4786" w:hanging="531"/>
      </w:pPr>
      <w:rPr>
        <w:rFonts w:hint="default"/>
      </w:rPr>
    </w:lvl>
    <w:lvl w:ilvl="5" w:tentative="0">
      <w:start w:val="0"/>
      <w:numFmt w:val="bullet"/>
      <w:lvlText w:val="•"/>
      <w:lvlJc w:val="left"/>
      <w:pPr>
        <w:ind w:left="5853" w:hanging="531"/>
      </w:pPr>
      <w:rPr>
        <w:rFonts w:hint="default"/>
      </w:rPr>
    </w:lvl>
    <w:lvl w:ilvl="6" w:tentative="0">
      <w:start w:val="0"/>
      <w:numFmt w:val="bullet"/>
      <w:lvlText w:val="•"/>
      <w:lvlJc w:val="left"/>
      <w:pPr>
        <w:ind w:left="6919" w:hanging="531"/>
      </w:pPr>
      <w:rPr>
        <w:rFonts w:hint="default"/>
      </w:rPr>
    </w:lvl>
    <w:lvl w:ilvl="7" w:tentative="0">
      <w:start w:val="0"/>
      <w:numFmt w:val="bullet"/>
      <w:lvlText w:val="•"/>
      <w:lvlJc w:val="left"/>
      <w:pPr>
        <w:ind w:left="7986" w:hanging="531"/>
      </w:pPr>
      <w:rPr>
        <w:rFonts w:hint="default"/>
      </w:rPr>
    </w:lvl>
    <w:lvl w:ilvl="8" w:tentative="0">
      <w:start w:val="0"/>
      <w:numFmt w:val="bullet"/>
      <w:lvlText w:val="•"/>
      <w:lvlJc w:val="left"/>
      <w:pPr>
        <w:ind w:left="9053" w:hanging="531"/>
      </w:pPr>
      <w:rPr>
        <w:rFonts w:hint="default"/>
      </w:rPr>
    </w:lvl>
  </w:abstractNum>
  <w:abstractNum w:abstractNumId="43">
    <w:nsid w:val="49DD727C"/>
    <w:multiLevelType w:val="singleLevel"/>
    <w:tmpl w:val="49DD727C"/>
    <w:lvl w:ilvl="0" w:tentative="0">
      <w:start w:val="1"/>
      <w:numFmt w:val="decimal"/>
      <w:suff w:val="nothing"/>
      <w:lvlText w:val="%1、"/>
      <w:lvlJc w:val="left"/>
    </w:lvl>
  </w:abstractNum>
  <w:abstractNum w:abstractNumId="44">
    <w:nsid w:val="4CC44EC9"/>
    <w:multiLevelType w:val="multilevel"/>
    <w:tmpl w:val="4CC44EC9"/>
    <w:lvl w:ilvl="0" w:tentative="0">
      <w:start w:val="17"/>
      <w:numFmt w:val="decimal"/>
      <w:lvlText w:val="%1"/>
      <w:lvlJc w:val="left"/>
      <w:pPr>
        <w:ind w:left="528" w:hanging="531"/>
      </w:pPr>
      <w:rPr>
        <w:rFonts w:hint="default"/>
        <w:lang w:val="zh-CN" w:eastAsia="zh-CN" w:bidi="zh-CN"/>
      </w:rPr>
    </w:lvl>
    <w:lvl w:ilvl="1" w:tentative="0">
      <w:start w:val="1"/>
      <w:numFmt w:val="none"/>
      <w:lvlText w:val="18"/>
      <w:lvlJc w:val="left"/>
      <w:pPr>
        <w:ind w:left="528" w:hanging="531"/>
      </w:pPr>
      <w:rPr>
        <w:rFonts w:hint="default" w:ascii="Times New Roman" w:hAnsi="Times New Roman" w:eastAsia="宋体" w:cs="Times New Roman"/>
        <w:spacing w:val="-1"/>
        <w:w w:val="70"/>
        <w:sz w:val="24"/>
        <w:szCs w:val="24"/>
        <w:lang w:val="zh-CN" w:eastAsia="zh-CN" w:bidi="zh-CN"/>
      </w:rPr>
    </w:lvl>
    <w:lvl w:ilvl="2" w:tentative="0">
      <w:start w:val="1"/>
      <w:numFmt w:val="decimal"/>
      <w:lvlText w:val="%1.%2.%3"/>
      <w:lvlJc w:val="left"/>
      <w:pPr>
        <w:ind w:left="1824" w:hanging="689"/>
      </w:pPr>
      <w:rPr>
        <w:rFonts w:hint="default" w:ascii="Times New Roman" w:hAnsi="Times New Roman" w:eastAsia="宋体" w:cs="Times New Roman"/>
        <w:spacing w:val="-1"/>
        <w:w w:val="82"/>
        <w:sz w:val="24"/>
        <w:szCs w:val="24"/>
        <w:lang w:val="zh-CN" w:eastAsia="zh-CN" w:bidi="zh-CN"/>
      </w:rPr>
    </w:lvl>
    <w:lvl w:ilvl="3" w:tentative="0">
      <w:start w:val="0"/>
      <w:numFmt w:val="bullet"/>
      <w:lvlText w:val="•"/>
      <w:lvlJc w:val="left"/>
      <w:pPr>
        <w:ind w:left="3808" w:hanging="689"/>
      </w:pPr>
      <w:rPr>
        <w:rFonts w:hint="default"/>
        <w:lang w:val="zh-CN" w:eastAsia="zh-CN" w:bidi="zh-CN"/>
      </w:rPr>
    </w:lvl>
    <w:lvl w:ilvl="4" w:tentative="0">
      <w:start w:val="0"/>
      <w:numFmt w:val="bullet"/>
      <w:lvlText w:val="•"/>
      <w:lvlJc w:val="left"/>
      <w:pPr>
        <w:ind w:left="4862" w:hanging="689"/>
      </w:pPr>
      <w:rPr>
        <w:rFonts w:hint="default"/>
        <w:lang w:val="zh-CN" w:eastAsia="zh-CN" w:bidi="zh-CN"/>
      </w:rPr>
    </w:lvl>
    <w:lvl w:ilvl="5" w:tentative="0">
      <w:start w:val="0"/>
      <w:numFmt w:val="bullet"/>
      <w:lvlText w:val="•"/>
      <w:lvlJc w:val="left"/>
      <w:pPr>
        <w:ind w:left="5916" w:hanging="689"/>
      </w:pPr>
      <w:rPr>
        <w:rFonts w:hint="default"/>
        <w:lang w:val="zh-CN" w:eastAsia="zh-CN" w:bidi="zh-CN"/>
      </w:rPr>
    </w:lvl>
    <w:lvl w:ilvl="6" w:tentative="0">
      <w:start w:val="0"/>
      <w:numFmt w:val="bullet"/>
      <w:lvlText w:val="•"/>
      <w:lvlJc w:val="left"/>
      <w:pPr>
        <w:ind w:left="6970" w:hanging="689"/>
      </w:pPr>
      <w:rPr>
        <w:rFonts w:hint="default"/>
        <w:lang w:val="zh-CN" w:eastAsia="zh-CN" w:bidi="zh-CN"/>
      </w:rPr>
    </w:lvl>
    <w:lvl w:ilvl="7" w:tentative="0">
      <w:start w:val="0"/>
      <w:numFmt w:val="bullet"/>
      <w:lvlText w:val="•"/>
      <w:lvlJc w:val="left"/>
      <w:pPr>
        <w:ind w:left="8024" w:hanging="689"/>
      </w:pPr>
      <w:rPr>
        <w:rFonts w:hint="default"/>
        <w:lang w:val="zh-CN" w:eastAsia="zh-CN" w:bidi="zh-CN"/>
      </w:rPr>
    </w:lvl>
    <w:lvl w:ilvl="8" w:tentative="0">
      <w:start w:val="0"/>
      <w:numFmt w:val="bullet"/>
      <w:lvlText w:val="•"/>
      <w:lvlJc w:val="left"/>
      <w:pPr>
        <w:ind w:left="9078" w:hanging="689"/>
      </w:pPr>
      <w:rPr>
        <w:rFonts w:hint="default"/>
        <w:lang w:val="zh-CN" w:eastAsia="zh-CN" w:bidi="zh-CN"/>
      </w:rPr>
    </w:lvl>
  </w:abstractNum>
  <w:abstractNum w:abstractNumId="45">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46">
    <w:nsid w:val="4EEA2568"/>
    <w:multiLevelType w:val="multilevel"/>
    <w:tmpl w:val="4EEA2568"/>
    <w:lvl w:ilvl="0" w:tentative="0">
      <w:start w:val="6"/>
      <w:numFmt w:val="decimal"/>
      <w:lvlText w:val="%1"/>
      <w:lvlJc w:val="left"/>
      <w:pPr>
        <w:ind w:left="528" w:hanging="375"/>
      </w:pPr>
      <w:rPr>
        <w:rFonts w:hint="default"/>
        <w:lang w:val="zh-CN" w:eastAsia="zh-CN" w:bidi="zh-CN"/>
      </w:rPr>
    </w:lvl>
    <w:lvl w:ilvl="1" w:tentative="0">
      <w:start w:val="1"/>
      <w:numFmt w:val="decimal"/>
      <w:lvlText w:val="%1.%2"/>
      <w:lvlJc w:val="left"/>
      <w:pPr>
        <w:ind w:left="528" w:hanging="375"/>
        <w:jc w:val="right"/>
      </w:pPr>
      <w:rPr>
        <w:rFonts w:hint="default" w:ascii="Times New Roman" w:hAnsi="Times New Roman" w:eastAsia="Times New Roman" w:cs="Times New Roman"/>
        <w:spacing w:val="-1"/>
        <w:w w:val="82"/>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47">
    <w:nsid w:val="4EF84411"/>
    <w:multiLevelType w:val="multilevel"/>
    <w:tmpl w:val="4EF84411"/>
    <w:lvl w:ilvl="0" w:tentative="0">
      <w:start w:val="18"/>
      <w:numFmt w:val="decimal"/>
      <w:lvlText w:val="%1"/>
      <w:lvlJc w:val="left"/>
      <w:pPr>
        <w:ind w:left="528" w:hanging="507"/>
      </w:pPr>
      <w:rPr>
        <w:rFonts w:hint="default"/>
        <w:lang w:val="zh-CN" w:eastAsia="zh-CN" w:bidi="zh-CN"/>
      </w:rPr>
    </w:lvl>
    <w:lvl w:ilvl="1" w:tentative="0">
      <w:start w:val="1"/>
      <w:numFmt w:val="decimal"/>
      <w:lvlText w:val="%1.4.%2"/>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48">
    <w:nsid w:val="50F75E17"/>
    <w:multiLevelType w:val="multilevel"/>
    <w:tmpl w:val="50F75E17"/>
    <w:lvl w:ilvl="0" w:tentative="0">
      <w:start w:val="6"/>
      <w:numFmt w:val="decimal"/>
      <w:lvlText w:val="%1"/>
      <w:lvlJc w:val="left"/>
      <w:pPr>
        <w:ind w:left="528" w:hanging="375"/>
      </w:pPr>
      <w:rPr>
        <w:rFonts w:hint="default"/>
        <w:lang w:val="zh-CN" w:eastAsia="zh-CN" w:bidi="zh-CN"/>
      </w:rPr>
    </w:lvl>
    <w:lvl w:ilvl="1" w:tentative="0">
      <w:start w:val="1"/>
      <w:numFmt w:val="decimal"/>
      <w:lvlText w:val="7.%2"/>
      <w:lvlJc w:val="left"/>
      <w:pPr>
        <w:ind w:left="528" w:hanging="375"/>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49">
    <w:nsid w:val="518C1C41"/>
    <w:multiLevelType w:val="multilevel"/>
    <w:tmpl w:val="518C1C41"/>
    <w:lvl w:ilvl="0" w:tentative="0">
      <w:start w:val="6"/>
      <w:numFmt w:val="decimal"/>
      <w:lvlText w:val="%1"/>
      <w:lvlJc w:val="left"/>
      <w:pPr>
        <w:ind w:left="528" w:hanging="375"/>
      </w:pPr>
      <w:rPr>
        <w:rFonts w:hint="default"/>
        <w:lang w:val="zh-CN" w:eastAsia="zh-CN" w:bidi="zh-CN"/>
      </w:rPr>
    </w:lvl>
    <w:lvl w:ilvl="1" w:tentative="0">
      <w:start w:val="1"/>
      <w:numFmt w:val="none"/>
      <w:lvlText w:val="7.3.3"/>
      <w:lvlJc w:val="left"/>
      <w:pPr>
        <w:ind w:left="528" w:hanging="375"/>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50">
    <w:nsid w:val="518F1A6C"/>
    <w:multiLevelType w:val="multilevel"/>
    <w:tmpl w:val="518F1A6C"/>
    <w:lvl w:ilvl="0" w:tentative="0">
      <w:start w:val="16"/>
      <w:numFmt w:val="decimal"/>
      <w:lvlText w:val="%1.1.1"/>
      <w:lvlJc w:val="left"/>
      <w:pPr>
        <w:ind w:left="528" w:hanging="531"/>
      </w:pPr>
      <w:rPr>
        <w:rFonts w:hint="default"/>
        <w:lang w:val="zh-CN" w:eastAsia="zh-CN" w:bidi="zh-CN"/>
      </w:rPr>
    </w:lvl>
    <w:lvl w:ilvl="1" w:tentative="0">
      <w:start w:val="1"/>
      <w:numFmt w:val="none"/>
      <w:lvlText w:val="%1.2.3"/>
      <w:lvlJc w:val="left"/>
      <w:pPr>
        <w:ind w:left="0" w:hanging="3"/>
      </w:pPr>
      <w:rPr>
        <w:rFonts w:hint="eastAsia"/>
        <w:spacing w:val="-1"/>
        <w:w w:val="70"/>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51">
    <w:nsid w:val="531F1B50"/>
    <w:multiLevelType w:val="multilevel"/>
    <w:tmpl w:val="531F1B50"/>
    <w:lvl w:ilvl="0" w:tentative="0">
      <w:start w:val="1"/>
      <w:numFmt w:val="decimal"/>
      <w:lvlText w:val="%1."/>
      <w:lvlJc w:val="left"/>
      <w:pPr>
        <w:ind w:left="1181" w:hanging="180"/>
      </w:pPr>
      <w:rPr>
        <w:rFonts w:hint="default" w:ascii="Times New Roman" w:eastAsia="Times New Roman"/>
        <w:b/>
      </w:rPr>
    </w:lvl>
    <w:lvl w:ilvl="1" w:tentative="0">
      <w:start w:val="1"/>
      <w:numFmt w:val="decimal"/>
      <w:isLgl/>
      <w:lvlText w:val="%1.%2"/>
      <w:lvlJc w:val="left"/>
      <w:pPr>
        <w:ind w:left="1346" w:hanging="345"/>
      </w:pPr>
      <w:rPr>
        <w:rFonts w:hint="default" w:ascii="Times New Roman" w:eastAsia="Times New Roman"/>
      </w:rPr>
    </w:lvl>
    <w:lvl w:ilvl="2" w:tentative="0">
      <w:start w:val="1"/>
      <w:numFmt w:val="decimal"/>
      <w:isLgl/>
      <w:lvlText w:val="%1.%2.%3"/>
      <w:lvlJc w:val="left"/>
      <w:pPr>
        <w:ind w:left="1346" w:hanging="345"/>
      </w:pPr>
      <w:rPr>
        <w:rFonts w:hint="default" w:ascii="Times New Roman" w:eastAsia="Times New Roman"/>
      </w:rPr>
    </w:lvl>
    <w:lvl w:ilvl="3" w:tentative="0">
      <w:start w:val="1"/>
      <w:numFmt w:val="decimal"/>
      <w:isLgl/>
      <w:lvlText w:val="%1.%2.%3.%4"/>
      <w:lvlJc w:val="left"/>
      <w:pPr>
        <w:ind w:left="1346" w:hanging="345"/>
      </w:pPr>
      <w:rPr>
        <w:rFonts w:hint="default" w:ascii="Times New Roman" w:eastAsia="Times New Roman"/>
      </w:rPr>
    </w:lvl>
    <w:lvl w:ilvl="4" w:tentative="0">
      <w:start w:val="1"/>
      <w:numFmt w:val="decimal"/>
      <w:isLgl/>
      <w:lvlText w:val="%1.%2.%3.%4.%5"/>
      <w:lvlJc w:val="left"/>
      <w:pPr>
        <w:ind w:left="1346" w:hanging="345"/>
      </w:pPr>
      <w:rPr>
        <w:rFonts w:hint="default" w:ascii="Times New Roman" w:eastAsia="Times New Roman"/>
      </w:rPr>
    </w:lvl>
    <w:lvl w:ilvl="5" w:tentative="0">
      <w:start w:val="1"/>
      <w:numFmt w:val="decimal"/>
      <w:isLgl/>
      <w:lvlText w:val="%1.%2.%3.%4.%5.%6"/>
      <w:lvlJc w:val="left"/>
      <w:pPr>
        <w:ind w:left="1346" w:hanging="345"/>
      </w:pPr>
      <w:rPr>
        <w:rFonts w:hint="default" w:ascii="Times New Roman" w:eastAsia="Times New Roman"/>
      </w:rPr>
    </w:lvl>
    <w:lvl w:ilvl="6" w:tentative="0">
      <w:start w:val="1"/>
      <w:numFmt w:val="decimal"/>
      <w:isLgl/>
      <w:lvlText w:val="%1.%2.%3.%4.%5.%6.%7"/>
      <w:lvlJc w:val="left"/>
      <w:pPr>
        <w:ind w:left="1346" w:hanging="345"/>
      </w:pPr>
      <w:rPr>
        <w:rFonts w:hint="default" w:ascii="Times New Roman" w:eastAsia="Times New Roman"/>
      </w:rPr>
    </w:lvl>
    <w:lvl w:ilvl="7" w:tentative="0">
      <w:start w:val="1"/>
      <w:numFmt w:val="decimal"/>
      <w:isLgl/>
      <w:lvlText w:val="%1.%2.%3.%4.%5.%6.%7.%8"/>
      <w:lvlJc w:val="left"/>
      <w:pPr>
        <w:ind w:left="1346" w:hanging="345"/>
      </w:pPr>
      <w:rPr>
        <w:rFonts w:hint="default" w:ascii="Times New Roman" w:eastAsia="Times New Roman"/>
      </w:rPr>
    </w:lvl>
    <w:lvl w:ilvl="8" w:tentative="0">
      <w:start w:val="1"/>
      <w:numFmt w:val="decimal"/>
      <w:isLgl/>
      <w:lvlText w:val="%1.%2.%3.%4.%5.%6.%7.%8.%9"/>
      <w:lvlJc w:val="left"/>
      <w:pPr>
        <w:ind w:left="1346" w:hanging="345"/>
      </w:pPr>
      <w:rPr>
        <w:rFonts w:hint="default" w:ascii="Times New Roman" w:eastAsia="Times New Roman"/>
      </w:rPr>
    </w:lvl>
  </w:abstractNum>
  <w:abstractNum w:abstractNumId="52">
    <w:nsid w:val="53536B0F"/>
    <w:multiLevelType w:val="multilevel"/>
    <w:tmpl w:val="53536B0F"/>
    <w:lvl w:ilvl="0" w:tentative="0">
      <w:start w:val="1"/>
      <w:numFmt w:val="japaneseCounting"/>
      <w:lvlText w:val="（%1）"/>
      <w:lvlJc w:val="left"/>
      <w:pPr>
        <w:ind w:left="720" w:hanging="72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3A76865"/>
    <w:multiLevelType w:val="singleLevel"/>
    <w:tmpl w:val="53A76865"/>
    <w:lvl w:ilvl="0" w:tentative="0">
      <w:start w:val="1"/>
      <w:numFmt w:val="decimal"/>
      <w:lvlText w:val="（%1）"/>
      <w:lvlJc w:val="left"/>
      <w:pPr>
        <w:tabs>
          <w:tab w:val="left" w:pos="1245"/>
        </w:tabs>
        <w:ind w:left="1245" w:hanging="690"/>
      </w:pPr>
      <w:rPr>
        <w:rFonts w:hint="eastAsia"/>
      </w:rPr>
    </w:lvl>
  </w:abstractNum>
  <w:abstractNum w:abstractNumId="54">
    <w:nsid w:val="54F0464A"/>
    <w:multiLevelType w:val="multilevel"/>
    <w:tmpl w:val="54F0464A"/>
    <w:lvl w:ilvl="0" w:tentative="0">
      <w:start w:val="18"/>
      <w:numFmt w:val="decimal"/>
      <w:lvlText w:val="%1"/>
      <w:lvlJc w:val="left"/>
      <w:pPr>
        <w:ind w:left="528" w:hanging="507"/>
      </w:pPr>
      <w:rPr>
        <w:rFonts w:hint="default"/>
        <w:lang w:val="zh-CN" w:eastAsia="zh-CN" w:bidi="zh-CN"/>
      </w:rPr>
    </w:lvl>
    <w:lvl w:ilvl="1" w:tentative="0">
      <w:start w:val="1"/>
      <w:numFmt w:val="none"/>
      <w:lvlText w:val="20.4"/>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55">
    <w:nsid w:val="5626ED99"/>
    <w:multiLevelType w:val="singleLevel"/>
    <w:tmpl w:val="5626ED99"/>
    <w:lvl w:ilvl="0" w:tentative="0">
      <w:start w:val="2"/>
      <w:numFmt w:val="chineseCounting"/>
      <w:suff w:val="nothing"/>
      <w:lvlText w:val="%1、"/>
      <w:lvlJc w:val="left"/>
    </w:lvl>
  </w:abstractNum>
  <w:abstractNum w:abstractNumId="56">
    <w:nsid w:val="58184CA6"/>
    <w:multiLevelType w:val="multilevel"/>
    <w:tmpl w:val="58184CA6"/>
    <w:lvl w:ilvl="0" w:tentative="0">
      <w:start w:val="17"/>
      <w:numFmt w:val="decimal"/>
      <w:lvlText w:val="%1"/>
      <w:lvlJc w:val="left"/>
      <w:pPr>
        <w:ind w:left="528" w:hanging="531"/>
      </w:pPr>
      <w:rPr>
        <w:rFonts w:hint="default"/>
        <w:lang w:val="zh-CN" w:eastAsia="zh-CN" w:bidi="zh-CN"/>
      </w:rPr>
    </w:lvl>
    <w:lvl w:ilvl="1" w:tentative="0">
      <w:start w:val="1"/>
      <w:numFmt w:val="decimal"/>
      <w:lvlText w:val="%1.3.%2"/>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824" w:hanging="689"/>
      </w:pPr>
      <w:rPr>
        <w:rFonts w:hint="default" w:ascii="Times New Roman" w:hAnsi="Times New Roman" w:eastAsia="宋体" w:cs="Times New Roman"/>
        <w:spacing w:val="-1"/>
        <w:w w:val="82"/>
        <w:sz w:val="24"/>
        <w:szCs w:val="24"/>
        <w:lang w:val="zh-CN" w:eastAsia="zh-CN" w:bidi="zh-CN"/>
      </w:rPr>
    </w:lvl>
    <w:lvl w:ilvl="3" w:tentative="0">
      <w:start w:val="0"/>
      <w:numFmt w:val="bullet"/>
      <w:lvlText w:val="•"/>
      <w:lvlJc w:val="left"/>
      <w:pPr>
        <w:ind w:left="3808" w:hanging="689"/>
      </w:pPr>
      <w:rPr>
        <w:rFonts w:hint="default"/>
        <w:lang w:val="zh-CN" w:eastAsia="zh-CN" w:bidi="zh-CN"/>
      </w:rPr>
    </w:lvl>
    <w:lvl w:ilvl="4" w:tentative="0">
      <w:start w:val="0"/>
      <w:numFmt w:val="bullet"/>
      <w:lvlText w:val="•"/>
      <w:lvlJc w:val="left"/>
      <w:pPr>
        <w:ind w:left="4862" w:hanging="689"/>
      </w:pPr>
      <w:rPr>
        <w:rFonts w:hint="default"/>
        <w:lang w:val="zh-CN" w:eastAsia="zh-CN" w:bidi="zh-CN"/>
      </w:rPr>
    </w:lvl>
    <w:lvl w:ilvl="5" w:tentative="0">
      <w:start w:val="0"/>
      <w:numFmt w:val="bullet"/>
      <w:lvlText w:val="•"/>
      <w:lvlJc w:val="left"/>
      <w:pPr>
        <w:ind w:left="5916" w:hanging="689"/>
      </w:pPr>
      <w:rPr>
        <w:rFonts w:hint="default"/>
        <w:lang w:val="zh-CN" w:eastAsia="zh-CN" w:bidi="zh-CN"/>
      </w:rPr>
    </w:lvl>
    <w:lvl w:ilvl="6" w:tentative="0">
      <w:start w:val="0"/>
      <w:numFmt w:val="bullet"/>
      <w:lvlText w:val="•"/>
      <w:lvlJc w:val="left"/>
      <w:pPr>
        <w:ind w:left="6970" w:hanging="689"/>
      </w:pPr>
      <w:rPr>
        <w:rFonts w:hint="default"/>
        <w:lang w:val="zh-CN" w:eastAsia="zh-CN" w:bidi="zh-CN"/>
      </w:rPr>
    </w:lvl>
    <w:lvl w:ilvl="7" w:tentative="0">
      <w:start w:val="0"/>
      <w:numFmt w:val="bullet"/>
      <w:lvlText w:val="•"/>
      <w:lvlJc w:val="left"/>
      <w:pPr>
        <w:ind w:left="8024" w:hanging="689"/>
      </w:pPr>
      <w:rPr>
        <w:rFonts w:hint="default"/>
        <w:lang w:val="zh-CN" w:eastAsia="zh-CN" w:bidi="zh-CN"/>
      </w:rPr>
    </w:lvl>
    <w:lvl w:ilvl="8" w:tentative="0">
      <w:start w:val="0"/>
      <w:numFmt w:val="bullet"/>
      <w:lvlText w:val="•"/>
      <w:lvlJc w:val="left"/>
      <w:pPr>
        <w:ind w:left="9078" w:hanging="689"/>
      </w:pPr>
      <w:rPr>
        <w:rFonts w:hint="default"/>
        <w:lang w:val="zh-CN" w:eastAsia="zh-CN" w:bidi="zh-CN"/>
      </w:rPr>
    </w:lvl>
  </w:abstractNum>
  <w:abstractNum w:abstractNumId="57">
    <w:nsid w:val="5980471A"/>
    <w:multiLevelType w:val="multilevel"/>
    <w:tmpl w:val="5980471A"/>
    <w:lvl w:ilvl="0" w:tentative="0">
      <w:start w:val="1"/>
      <w:numFmt w:val="decimal"/>
      <w:pStyle w:val="153"/>
      <w:lvlText w:val="%1."/>
      <w:lvlJc w:val="left"/>
      <w:pPr>
        <w:ind w:left="1130" w:hanging="420"/>
      </w:pPr>
      <w:rPr>
        <w:rFonts w:cs="Times New Roman"/>
      </w:rPr>
    </w:lvl>
    <w:lvl w:ilvl="1" w:tentative="0">
      <w:start w:val="1"/>
      <w:numFmt w:val="decimal"/>
      <w:lvlText w:val="%2."/>
      <w:lvlJc w:val="left"/>
      <w:pPr>
        <w:ind w:left="1130" w:hanging="420"/>
      </w:pPr>
      <w:rPr>
        <w:rFonts w:cs="Times New Roman"/>
        <w:b w:val="0"/>
      </w:rPr>
    </w:lvl>
    <w:lvl w:ilvl="2" w:tentative="0">
      <w:start w:val="1"/>
      <w:numFmt w:val="bullet"/>
      <w:lvlText w:val="★"/>
      <w:lvlJc w:val="left"/>
      <w:pPr>
        <w:ind w:left="1910" w:hanging="360"/>
      </w:pPr>
      <w:rPr>
        <w:rFonts w:hint="eastAsia" w:ascii="宋体" w:hAnsi="宋体" w:eastAsia="宋体"/>
        <w:sz w:val="21"/>
      </w:rPr>
    </w:lvl>
    <w:lvl w:ilvl="3" w:tentative="0">
      <w:start w:val="1"/>
      <w:numFmt w:val="decimal"/>
      <w:lvlText w:val="%4."/>
      <w:lvlJc w:val="left"/>
      <w:pPr>
        <w:ind w:left="2390" w:hanging="420"/>
      </w:pPr>
      <w:rPr>
        <w:rFonts w:cs="Times New Roman"/>
      </w:rPr>
    </w:lvl>
    <w:lvl w:ilvl="4" w:tentative="0">
      <w:start w:val="1"/>
      <w:numFmt w:val="lowerLetter"/>
      <w:lvlText w:val="%5)"/>
      <w:lvlJc w:val="left"/>
      <w:pPr>
        <w:ind w:left="2810" w:hanging="420"/>
      </w:pPr>
      <w:rPr>
        <w:rFonts w:cs="Times New Roman"/>
      </w:rPr>
    </w:lvl>
    <w:lvl w:ilvl="5" w:tentative="0">
      <w:start w:val="1"/>
      <w:numFmt w:val="lowerRoman"/>
      <w:lvlText w:val="%6."/>
      <w:lvlJc w:val="right"/>
      <w:pPr>
        <w:ind w:left="3230" w:hanging="420"/>
      </w:pPr>
      <w:rPr>
        <w:rFonts w:cs="Times New Roman"/>
      </w:rPr>
    </w:lvl>
    <w:lvl w:ilvl="6" w:tentative="0">
      <w:start w:val="1"/>
      <w:numFmt w:val="decimal"/>
      <w:lvlText w:val="%7."/>
      <w:lvlJc w:val="left"/>
      <w:pPr>
        <w:ind w:left="3650" w:hanging="420"/>
      </w:pPr>
      <w:rPr>
        <w:rFonts w:cs="Times New Roman"/>
      </w:rPr>
    </w:lvl>
    <w:lvl w:ilvl="7" w:tentative="0">
      <w:start w:val="1"/>
      <w:numFmt w:val="lowerLetter"/>
      <w:lvlText w:val="%8)"/>
      <w:lvlJc w:val="left"/>
      <w:pPr>
        <w:ind w:left="4070" w:hanging="420"/>
      </w:pPr>
      <w:rPr>
        <w:rFonts w:cs="Times New Roman"/>
      </w:rPr>
    </w:lvl>
    <w:lvl w:ilvl="8" w:tentative="0">
      <w:start w:val="1"/>
      <w:numFmt w:val="lowerRoman"/>
      <w:lvlText w:val="%9."/>
      <w:lvlJc w:val="right"/>
      <w:pPr>
        <w:ind w:left="4490" w:hanging="420"/>
      </w:pPr>
      <w:rPr>
        <w:rFonts w:cs="Times New Roman"/>
      </w:rPr>
    </w:lvl>
  </w:abstractNum>
  <w:abstractNum w:abstractNumId="58">
    <w:nsid w:val="5FEF16EF"/>
    <w:multiLevelType w:val="multilevel"/>
    <w:tmpl w:val="5FEF16EF"/>
    <w:lvl w:ilvl="0" w:tentative="0">
      <w:start w:val="18"/>
      <w:numFmt w:val="decimal"/>
      <w:lvlText w:val="%1"/>
      <w:lvlJc w:val="left"/>
      <w:pPr>
        <w:ind w:left="528" w:hanging="507"/>
      </w:pPr>
      <w:rPr>
        <w:rFonts w:hint="default"/>
        <w:lang w:val="zh-CN" w:eastAsia="zh-CN" w:bidi="zh-CN"/>
      </w:rPr>
    </w:lvl>
    <w:lvl w:ilvl="1" w:tentative="0">
      <w:start w:val="1"/>
      <w:numFmt w:val="none"/>
      <w:lvlText w:val="19"/>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59">
    <w:nsid w:val="5FFC079F"/>
    <w:multiLevelType w:val="multilevel"/>
    <w:tmpl w:val="5FFC079F"/>
    <w:lvl w:ilvl="0" w:tentative="0">
      <w:start w:val="18"/>
      <w:numFmt w:val="decimal"/>
      <w:lvlText w:val="%1"/>
      <w:lvlJc w:val="left"/>
      <w:pPr>
        <w:ind w:left="528" w:hanging="507"/>
      </w:pPr>
      <w:rPr>
        <w:rFonts w:hint="default"/>
        <w:lang w:val="zh-CN" w:eastAsia="zh-CN" w:bidi="zh-CN"/>
      </w:rPr>
    </w:lvl>
    <w:lvl w:ilvl="1" w:tentative="0">
      <w:start w:val="1"/>
      <w:numFmt w:val="none"/>
      <w:lvlText w:val="20"/>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60">
    <w:nsid w:val="633ED03E"/>
    <w:multiLevelType w:val="singleLevel"/>
    <w:tmpl w:val="633ED03E"/>
    <w:lvl w:ilvl="0" w:tentative="0">
      <w:start w:val="1"/>
      <w:numFmt w:val="decimal"/>
      <w:suff w:val="nothing"/>
      <w:lvlText w:val="（%1）"/>
      <w:lvlJc w:val="left"/>
    </w:lvl>
  </w:abstractNum>
  <w:abstractNum w:abstractNumId="61">
    <w:nsid w:val="647C2D4F"/>
    <w:multiLevelType w:val="multilevel"/>
    <w:tmpl w:val="647C2D4F"/>
    <w:lvl w:ilvl="0" w:tentative="0">
      <w:start w:val="12"/>
      <w:numFmt w:val="decimal"/>
      <w:lvlText w:val="%1"/>
      <w:lvlJc w:val="left"/>
      <w:pPr>
        <w:ind w:left="1514" w:hanging="507"/>
      </w:pPr>
      <w:rPr>
        <w:rFonts w:hint="default"/>
        <w:lang w:val="zh-CN" w:eastAsia="zh-CN" w:bidi="zh-CN"/>
      </w:rPr>
    </w:lvl>
    <w:lvl w:ilvl="1" w:tentative="0">
      <w:start w:val="0"/>
      <w:numFmt w:val="decimal"/>
      <w:lvlText w:val="%1"/>
      <w:lvlJc w:val="left"/>
      <w:pPr>
        <w:ind w:left="1514" w:hanging="507"/>
      </w:pPr>
      <w:rPr>
        <w:rFonts w:hint="default" w:ascii="Times New Roman" w:hAnsi="Times New Roman" w:eastAsia="宋体" w:cs="Times New Roman"/>
        <w:spacing w:val="-1"/>
        <w:w w:val="101"/>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101"/>
        <w:sz w:val="24"/>
        <w:szCs w:val="24"/>
        <w:lang w:val="zh-CN" w:eastAsia="zh-CN" w:bidi="zh-CN"/>
      </w:rPr>
    </w:lvl>
    <w:lvl w:ilvl="3" w:tentative="0">
      <w:start w:val="0"/>
      <w:numFmt w:val="bullet"/>
      <w:lvlText w:val="•"/>
      <w:lvlJc w:val="left"/>
      <w:pPr>
        <w:ind w:left="3808" w:hanging="689"/>
      </w:pPr>
      <w:rPr>
        <w:rFonts w:hint="default"/>
        <w:lang w:val="zh-CN" w:eastAsia="zh-CN" w:bidi="zh-CN"/>
      </w:rPr>
    </w:lvl>
    <w:lvl w:ilvl="4" w:tentative="0">
      <w:start w:val="0"/>
      <w:numFmt w:val="bullet"/>
      <w:lvlText w:val="•"/>
      <w:lvlJc w:val="left"/>
      <w:pPr>
        <w:ind w:left="4862" w:hanging="689"/>
      </w:pPr>
      <w:rPr>
        <w:rFonts w:hint="default"/>
        <w:lang w:val="zh-CN" w:eastAsia="zh-CN" w:bidi="zh-CN"/>
      </w:rPr>
    </w:lvl>
    <w:lvl w:ilvl="5" w:tentative="0">
      <w:start w:val="0"/>
      <w:numFmt w:val="bullet"/>
      <w:lvlText w:val="•"/>
      <w:lvlJc w:val="left"/>
      <w:pPr>
        <w:ind w:left="5916" w:hanging="689"/>
      </w:pPr>
      <w:rPr>
        <w:rFonts w:hint="default"/>
        <w:lang w:val="zh-CN" w:eastAsia="zh-CN" w:bidi="zh-CN"/>
      </w:rPr>
    </w:lvl>
    <w:lvl w:ilvl="6" w:tentative="0">
      <w:start w:val="0"/>
      <w:numFmt w:val="bullet"/>
      <w:lvlText w:val="•"/>
      <w:lvlJc w:val="left"/>
      <w:pPr>
        <w:ind w:left="6970" w:hanging="689"/>
      </w:pPr>
      <w:rPr>
        <w:rFonts w:hint="default"/>
        <w:lang w:val="zh-CN" w:eastAsia="zh-CN" w:bidi="zh-CN"/>
      </w:rPr>
    </w:lvl>
    <w:lvl w:ilvl="7" w:tentative="0">
      <w:start w:val="0"/>
      <w:numFmt w:val="bullet"/>
      <w:lvlText w:val="•"/>
      <w:lvlJc w:val="left"/>
      <w:pPr>
        <w:ind w:left="8024" w:hanging="689"/>
      </w:pPr>
      <w:rPr>
        <w:rFonts w:hint="default"/>
        <w:lang w:val="zh-CN" w:eastAsia="zh-CN" w:bidi="zh-CN"/>
      </w:rPr>
    </w:lvl>
    <w:lvl w:ilvl="8" w:tentative="0">
      <w:start w:val="0"/>
      <w:numFmt w:val="bullet"/>
      <w:lvlText w:val="•"/>
      <w:lvlJc w:val="left"/>
      <w:pPr>
        <w:ind w:left="9078" w:hanging="689"/>
      </w:pPr>
      <w:rPr>
        <w:rFonts w:hint="default"/>
        <w:lang w:val="zh-CN" w:eastAsia="zh-CN" w:bidi="zh-CN"/>
      </w:rPr>
    </w:lvl>
  </w:abstractNum>
  <w:abstractNum w:abstractNumId="62">
    <w:nsid w:val="64A83C8F"/>
    <w:multiLevelType w:val="multilevel"/>
    <w:tmpl w:val="64A83C8F"/>
    <w:lvl w:ilvl="0" w:tentative="0">
      <w:start w:val="14"/>
      <w:numFmt w:val="decimal"/>
      <w:lvlText w:val="%1"/>
      <w:lvlJc w:val="left"/>
      <w:pPr>
        <w:ind w:left="1514" w:hanging="507"/>
      </w:pPr>
      <w:rPr>
        <w:rFonts w:hint="default"/>
        <w:lang w:val="zh-CN" w:eastAsia="zh-CN" w:bidi="zh-CN"/>
      </w:rPr>
    </w:lvl>
    <w:lvl w:ilvl="1" w:tentative="0">
      <w:start w:val="1"/>
      <w:numFmt w:val="decimal"/>
      <w:lvlText w:val="%1.%2"/>
      <w:lvlJc w:val="left"/>
      <w:pPr>
        <w:ind w:left="528" w:hanging="507"/>
      </w:pPr>
      <w:rPr>
        <w:rFonts w:hint="default" w:ascii="Times New Roman" w:hAnsi="Times New Roman" w:eastAsia="Times New Roman" w:cs="Times New Roman"/>
        <w:spacing w:val="-1"/>
        <w:w w:val="82"/>
        <w:sz w:val="24"/>
        <w:szCs w:val="24"/>
        <w:lang w:val="zh-CN" w:eastAsia="zh-CN" w:bidi="zh-CN"/>
      </w:rPr>
    </w:lvl>
    <w:lvl w:ilvl="2" w:tentative="0">
      <w:start w:val="0"/>
      <w:numFmt w:val="bullet"/>
      <w:lvlText w:val="•"/>
      <w:lvlJc w:val="left"/>
      <w:pPr>
        <w:ind w:left="2594" w:hanging="507"/>
      </w:pPr>
      <w:rPr>
        <w:rFonts w:hint="default"/>
        <w:lang w:val="zh-CN" w:eastAsia="zh-CN" w:bidi="zh-CN"/>
      </w:rPr>
    </w:lvl>
    <w:lvl w:ilvl="3" w:tentative="0">
      <w:start w:val="0"/>
      <w:numFmt w:val="bullet"/>
      <w:lvlText w:val="•"/>
      <w:lvlJc w:val="left"/>
      <w:pPr>
        <w:ind w:left="3668" w:hanging="507"/>
      </w:pPr>
      <w:rPr>
        <w:rFonts w:hint="default"/>
        <w:lang w:val="zh-CN" w:eastAsia="zh-CN" w:bidi="zh-CN"/>
      </w:rPr>
    </w:lvl>
    <w:lvl w:ilvl="4" w:tentative="0">
      <w:start w:val="0"/>
      <w:numFmt w:val="bullet"/>
      <w:lvlText w:val="•"/>
      <w:lvlJc w:val="left"/>
      <w:pPr>
        <w:ind w:left="4742" w:hanging="507"/>
      </w:pPr>
      <w:rPr>
        <w:rFonts w:hint="default"/>
        <w:lang w:val="zh-CN" w:eastAsia="zh-CN" w:bidi="zh-CN"/>
      </w:rPr>
    </w:lvl>
    <w:lvl w:ilvl="5" w:tentative="0">
      <w:start w:val="0"/>
      <w:numFmt w:val="bullet"/>
      <w:lvlText w:val="•"/>
      <w:lvlJc w:val="left"/>
      <w:pPr>
        <w:ind w:left="5816" w:hanging="507"/>
      </w:pPr>
      <w:rPr>
        <w:rFonts w:hint="default"/>
        <w:lang w:val="zh-CN" w:eastAsia="zh-CN" w:bidi="zh-CN"/>
      </w:rPr>
    </w:lvl>
    <w:lvl w:ilvl="6" w:tentative="0">
      <w:start w:val="0"/>
      <w:numFmt w:val="bullet"/>
      <w:lvlText w:val="•"/>
      <w:lvlJc w:val="left"/>
      <w:pPr>
        <w:ind w:left="6890" w:hanging="507"/>
      </w:pPr>
      <w:rPr>
        <w:rFonts w:hint="default"/>
        <w:lang w:val="zh-CN" w:eastAsia="zh-CN" w:bidi="zh-CN"/>
      </w:rPr>
    </w:lvl>
    <w:lvl w:ilvl="7" w:tentative="0">
      <w:start w:val="0"/>
      <w:numFmt w:val="bullet"/>
      <w:lvlText w:val="•"/>
      <w:lvlJc w:val="left"/>
      <w:pPr>
        <w:ind w:left="7964" w:hanging="507"/>
      </w:pPr>
      <w:rPr>
        <w:rFonts w:hint="default"/>
        <w:lang w:val="zh-CN" w:eastAsia="zh-CN" w:bidi="zh-CN"/>
      </w:rPr>
    </w:lvl>
    <w:lvl w:ilvl="8" w:tentative="0">
      <w:start w:val="0"/>
      <w:numFmt w:val="bullet"/>
      <w:lvlText w:val="•"/>
      <w:lvlJc w:val="left"/>
      <w:pPr>
        <w:ind w:left="9038" w:hanging="507"/>
      </w:pPr>
      <w:rPr>
        <w:rFonts w:hint="default"/>
        <w:lang w:val="zh-CN" w:eastAsia="zh-CN" w:bidi="zh-CN"/>
      </w:rPr>
    </w:lvl>
  </w:abstractNum>
  <w:abstractNum w:abstractNumId="63">
    <w:nsid w:val="66330EA0"/>
    <w:multiLevelType w:val="multilevel"/>
    <w:tmpl w:val="66330EA0"/>
    <w:lvl w:ilvl="0" w:tentative="0">
      <w:start w:val="14"/>
      <w:numFmt w:val="decimal"/>
      <w:lvlText w:val="%1"/>
      <w:lvlJc w:val="left"/>
      <w:pPr>
        <w:ind w:left="1514" w:hanging="507"/>
      </w:pPr>
      <w:rPr>
        <w:rFonts w:hint="default"/>
        <w:lang w:val="zh-CN" w:eastAsia="zh-CN" w:bidi="zh-CN"/>
      </w:rPr>
    </w:lvl>
    <w:lvl w:ilvl="1" w:tentative="0">
      <w:start w:val="1"/>
      <w:numFmt w:val="none"/>
      <w:lvlText w:val="15"/>
      <w:lvlJc w:val="left"/>
      <w:pPr>
        <w:ind w:left="528" w:hanging="507"/>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594" w:hanging="507"/>
      </w:pPr>
      <w:rPr>
        <w:rFonts w:hint="default"/>
        <w:lang w:val="zh-CN" w:eastAsia="zh-CN" w:bidi="zh-CN"/>
      </w:rPr>
    </w:lvl>
    <w:lvl w:ilvl="3" w:tentative="0">
      <w:start w:val="0"/>
      <w:numFmt w:val="bullet"/>
      <w:lvlText w:val="•"/>
      <w:lvlJc w:val="left"/>
      <w:pPr>
        <w:ind w:left="3668" w:hanging="507"/>
      </w:pPr>
      <w:rPr>
        <w:rFonts w:hint="default"/>
        <w:lang w:val="zh-CN" w:eastAsia="zh-CN" w:bidi="zh-CN"/>
      </w:rPr>
    </w:lvl>
    <w:lvl w:ilvl="4" w:tentative="0">
      <w:start w:val="0"/>
      <w:numFmt w:val="bullet"/>
      <w:lvlText w:val="•"/>
      <w:lvlJc w:val="left"/>
      <w:pPr>
        <w:ind w:left="4742" w:hanging="507"/>
      </w:pPr>
      <w:rPr>
        <w:rFonts w:hint="default"/>
        <w:lang w:val="zh-CN" w:eastAsia="zh-CN" w:bidi="zh-CN"/>
      </w:rPr>
    </w:lvl>
    <w:lvl w:ilvl="5" w:tentative="0">
      <w:start w:val="0"/>
      <w:numFmt w:val="bullet"/>
      <w:lvlText w:val="•"/>
      <w:lvlJc w:val="left"/>
      <w:pPr>
        <w:ind w:left="5816" w:hanging="507"/>
      </w:pPr>
      <w:rPr>
        <w:rFonts w:hint="default"/>
        <w:lang w:val="zh-CN" w:eastAsia="zh-CN" w:bidi="zh-CN"/>
      </w:rPr>
    </w:lvl>
    <w:lvl w:ilvl="6" w:tentative="0">
      <w:start w:val="0"/>
      <w:numFmt w:val="bullet"/>
      <w:lvlText w:val="•"/>
      <w:lvlJc w:val="left"/>
      <w:pPr>
        <w:ind w:left="6890" w:hanging="507"/>
      </w:pPr>
      <w:rPr>
        <w:rFonts w:hint="default"/>
        <w:lang w:val="zh-CN" w:eastAsia="zh-CN" w:bidi="zh-CN"/>
      </w:rPr>
    </w:lvl>
    <w:lvl w:ilvl="7" w:tentative="0">
      <w:start w:val="0"/>
      <w:numFmt w:val="bullet"/>
      <w:lvlText w:val="•"/>
      <w:lvlJc w:val="left"/>
      <w:pPr>
        <w:ind w:left="7964" w:hanging="507"/>
      </w:pPr>
      <w:rPr>
        <w:rFonts w:hint="default"/>
        <w:lang w:val="zh-CN" w:eastAsia="zh-CN" w:bidi="zh-CN"/>
      </w:rPr>
    </w:lvl>
    <w:lvl w:ilvl="8" w:tentative="0">
      <w:start w:val="0"/>
      <w:numFmt w:val="bullet"/>
      <w:lvlText w:val="•"/>
      <w:lvlJc w:val="left"/>
      <w:pPr>
        <w:ind w:left="9038" w:hanging="507"/>
      </w:pPr>
      <w:rPr>
        <w:rFonts w:hint="default"/>
        <w:lang w:val="zh-CN" w:eastAsia="zh-CN" w:bidi="zh-CN"/>
      </w:rPr>
    </w:lvl>
  </w:abstractNum>
  <w:abstractNum w:abstractNumId="64">
    <w:nsid w:val="667E976B"/>
    <w:multiLevelType w:val="singleLevel"/>
    <w:tmpl w:val="667E976B"/>
    <w:lvl w:ilvl="0" w:tentative="0">
      <w:start w:val="1"/>
      <w:numFmt w:val="chineseCounting"/>
      <w:suff w:val="nothing"/>
      <w:lvlText w:val="%1、"/>
      <w:lvlJc w:val="left"/>
      <w:rPr>
        <w:rFonts w:hint="eastAsia"/>
      </w:rPr>
    </w:lvl>
  </w:abstractNum>
  <w:abstractNum w:abstractNumId="65">
    <w:nsid w:val="68AA165E"/>
    <w:multiLevelType w:val="multilevel"/>
    <w:tmpl w:val="68AA165E"/>
    <w:lvl w:ilvl="0" w:tentative="0">
      <w:start w:val="17"/>
      <w:numFmt w:val="decimal"/>
      <w:lvlText w:val="%1"/>
      <w:lvlJc w:val="left"/>
      <w:pPr>
        <w:ind w:left="528" w:hanging="531"/>
      </w:pPr>
      <w:rPr>
        <w:rFonts w:hint="default"/>
        <w:lang w:val="zh-CN" w:eastAsia="zh-CN" w:bidi="zh-CN"/>
      </w:rPr>
    </w:lvl>
    <w:lvl w:ilvl="1" w:tentative="0">
      <w:start w:val="1"/>
      <w:numFmt w:val="decimal"/>
      <w:lvlText w:val="%1.4"/>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824" w:hanging="689"/>
      </w:pPr>
      <w:rPr>
        <w:rFonts w:hint="default" w:ascii="Times New Roman" w:hAnsi="Times New Roman" w:eastAsia="宋体" w:cs="Times New Roman"/>
        <w:spacing w:val="-1"/>
        <w:w w:val="82"/>
        <w:sz w:val="24"/>
        <w:szCs w:val="24"/>
        <w:lang w:val="zh-CN" w:eastAsia="zh-CN" w:bidi="zh-CN"/>
      </w:rPr>
    </w:lvl>
    <w:lvl w:ilvl="3" w:tentative="0">
      <w:start w:val="0"/>
      <w:numFmt w:val="bullet"/>
      <w:lvlText w:val="•"/>
      <w:lvlJc w:val="left"/>
      <w:pPr>
        <w:ind w:left="3808" w:hanging="689"/>
      </w:pPr>
      <w:rPr>
        <w:rFonts w:hint="default"/>
        <w:lang w:val="zh-CN" w:eastAsia="zh-CN" w:bidi="zh-CN"/>
      </w:rPr>
    </w:lvl>
    <w:lvl w:ilvl="4" w:tentative="0">
      <w:start w:val="0"/>
      <w:numFmt w:val="bullet"/>
      <w:lvlText w:val="•"/>
      <w:lvlJc w:val="left"/>
      <w:pPr>
        <w:ind w:left="4862" w:hanging="689"/>
      </w:pPr>
      <w:rPr>
        <w:rFonts w:hint="default"/>
        <w:lang w:val="zh-CN" w:eastAsia="zh-CN" w:bidi="zh-CN"/>
      </w:rPr>
    </w:lvl>
    <w:lvl w:ilvl="5" w:tentative="0">
      <w:start w:val="0"/>
      <w:numFmt w:val="bullet"/>
      <w:lvlText w:val="•"/>
      <w:lvlJc w:val="left"/>
      <w:pPr>
        <w:ind w:left="5916" w:hanging="689"/>
      </w:pPr>
      <w:rPr>
        <w:rFonts w:hint="default"/>
        <w:lang w:val="zh-CN" w:eastAsia="zh-CN" w:bidi="zh-CN"/>
      </w:rPr>
    </w:lvl>
    <w:lvl w:ilvl="6" w:tentative="0">
      <w:start w:val="0"/>
      <w:numFmt w:val="bullet"/>
      <w:lvlText w:val="•"/>
      <w:lvlJc w:val="left"/>
      <w:pPr>
        <w:ind w:left="6970" w:hanging="689"/>
      </w:pPr>
      <w:rPr>
        <w:rFonts w:hint="default"/>
        <w:lang w:val="zh-CN" w:eastAsia="zh-CN" w:bidi="zh-CN"/>
      </w:rPr>
    </w:lvl>
    <w:lvl w:ilvl="7" w:tentative="0">
      <w:start w:val="0"/>
      <w:numFmt w:val="bullet"/>
      <w:lvlText w:val="•"/>
      <w:lvlJc w:val="left"/>
      <w:pPr>
        <w:ind w:left="8024" w:hanging="689"/>
      </w:pPr>
      <w:rPr>
        <w:rFonts w:hint="default"/>
        <w:lang w:val="zh-CN" w:eastAsia="zh-CN" w:bidi="zh-CN"/>
      </w:rPr>
    </w:lvl>
    <w:lvl w:ilvl="8" w:tentative="0">
      <w:start w:val="0"/>
      <w:numFmt w:val="bullet"/>
      <w:lvlText w:val="•"/>
      <w:lvlJc w:val="left"/>
      <w:pPr>
        <w:ind w:left="9078" w:hanging="689"/>
      </w:pPr>
      <w:rPr>
        <w:rFonts w:hint="default"/>
        <w:lang w:val="zh-CN" w:eastAsia="zh-CN" w:bidi="zh-CN"/>
      </w:rPr>
    </w:lvl>
  </w:abstractNum>
  <w:abstractNum w:abstractNumId="66">
    <w:nsid w:val="69E37025"/>
    <w:multiLevelType w:val="multilevel"/>
    <w:tmpl w:val="69E37025"/>
    <w:lvl w:ilvl="0" w:tentative="0">
      <w:start w:val="14"/>
      <w:numFmt w:val="decimal"/>
      <w:lvlText w:val="%1"/>
      <w:lvlJc w:val="left"/>
      <w:pPr>
        <w:ind w:left="1514" w:hanging="507"/>
      </w:pPr>
      <w:rPr>
        <w:rFonts w:hint="default"/>
        <w:lang w:val="zh-CN" w:eastAsia="zh-CN" w:bidi="zh-CN"/>
      </w:rPr>
    </w:lvl>
    <w:lvl w:ilvl="1" w:tentative="0">
      <w:start w:val="1"/>
      <w:numFmt w:val="none"/>
      <w:lvlText w:val="15.5"/>
      <w:lvlJc w:val="left"/>
      <w:pPr>
        <w:ind w:left="528" w:hanging="507"/>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594" w:hanging="507"/>
      </w:pPr>
      <w:rPr>
        <w:rFonts w:hint="default"/>
        <w:lang w:val="zh-CN" w:eastAsia="zh-CN" w:bidi="zh-CN"/>
      </w:rPr>
    </w:lvl>
    <w:lvl w:ilvl="3" w:tentative="0">
      <w:start w:val="0"/>
      <w:numFmt w:val="bullet"/>
      <w:lvlText w:val="•"/>
      <w:lvlJc w:val="left"/>
      <w:pPr>
        <w:ind w:left="3668" w:hanging="507"/>
      </w:pPr>
      <w:rPr>
        <w:rFonts w:hint="default"/>
        <w:lang w:val="zh-CN" w:eastAsia="zh-CN" w:bidi="zh-CN"/>
      </w:rPr>
    </w:lvl>
    <w:lvl w:ilvl="4" w:tentative="0">
      <w:start w:val="0"/>
      <w:numFmt w:val="bullet"/>
      <w:lvlText w:val="•"/>
      <w:lvlJc w:val="left"/>
      <w:pPr>
        <w:ind w:left="4742" w:hanging="507"/>
      </w:pPr>
      <w:rPr>
        <w:rFonts w:hint="default"/>
        <w:lang w:val="zh-CN" w:eastAsia="zh-CN" w:bidi="zh-CN"/>
      </w:rPr>
    </w:lvl>
    <w:lvl w:ilvl="5" w:tentative="0">
      <w:start w:val="0"/>
      <w:numFmt w:val="bullet"/>
      <w:lvlText w:val="•"/>
      <w:lvlJc w:val="left"/>
      <w:pPr>
        <w:ind w:left="5816" w:hanging="507"/>
      </w:pPr>
      <w:rPr>
        <w:rFonts w:hint="default"/>
        <w:lang w:val="zh-CN" w:eastAsia="zh-CN" w:bidi="zh-CN"/>
      </w:rPr>
    </w:lvl>
    <w:lvl w:ilvl="6" w:tentative="0">
      <w:start w:val="0"/>
      <w:numFmt w:val="bullet"/>
      <w:lvlText w:val="•"/>
      <w:lvlJc w:val="left"/>
      <w:pPr>
        <w:ind w:left="6890" w:hanging="507"/>
      </w:pPr>
      <w:rPr>
        <w:rFonts w:hint="default"/>
        <w:lang w:val="zh-CN" w:eastAsia="zh-CN" w:bidi="zh-CN"/>
      </w:rPr>
    </w:lvl>
    <w:lvl w:ilvl="7" w:tentative="0">
      <w:start w:val="0"/>
      <w:numFmt w:val="bullet"/>
      <w:lvlText w:val="•"/>
      <w:lvlJc w:val="left"/>
      <w:pPr>
        <w:ind w:left="7964" w:hanging="507"/>
      </w:pPr>
      <w:rPr>
        <w:rFonts w:hint="default"/>
        <w:lang w:val="zh-CN" w:eastAsia="zh-CN" w:bidi="zh-CN"/>
      </w:rPr>
    </w:lvl>
    <w:lvl w:ilvl="8" w:tentative="0">
      <w:start w:val="0"/>
      <w:numFmt w:val="bullet"/>
      <w:lvlText w:val="•"/>
      <w:lvlJc w:val="left"/>
      <w:pPr>
        <w:ind w:left="9038" w:hanging="507"/>
      </w:pPr>
      <w:rPr>
        <w:rFonts w:hint="default"/>
        <w:lang w:val="zh-CN" w:eastAsia="zh-CN" w:bidi="zh-CN"/>
      </w:rPr>
    </w:lvl>
  </w:abstractNum>
  <w:abstractNum w:abstractNumId="67">
    <w:nsid w:val="6CD571AD"/>
    <w:multiLevelType w:val="multilevel"/>
    <w:tmpl w:val="6CD571AD"/>
    <w:lvl w:ilvl="0" w:tentative="0">
      <w:start w:val="12"/>
      <w:numFmt w:val="decimal"/>
      <w:lvlText w:val="%1"/>
      <w:lvlJc w:val="left"/>
      <w:pPr>
        <w:ind w:left="528" w:hanging="507"/>
      </w:pPr>
      <w:rPr>
        <w:rFonts w:hint="default"/>
        <w:lang w:val="zh-CN" w:eastAsia="zh-CN" w:bidi="zh-CN"/>
      </w:rPr>
    </w:lvl>
    <w:lvl w:ilvl="1" w:tentative="0">
      <w:start w:val="2"/>
      <w:numFmt w:val="decimal"/>
      <w:lvlText w:val="%1.%2"/>
      <w:lvlJc w:val="left"/>
      <w:pPr>
        <w:ind w:left="528" w:hanging="507"/>
      </w:pPr>
      <w:rPr>
        <w:rFonts w:hint="default" w:ascii="Times New Roman" w:hAnsi="Times New Roman" w:eastAsia="Times New Roman" w:cs="Times New Roman"/>
        <w:spacing w:val="-1"/>
        <w:w w:val="82"/>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68">
    <w:nsid w:val="6E3C35DB"/>
    <w:multiLevelType w:val="multilevel"/>
    <w:tmpl w:val="6E3C35DB"/>
    <w:lvl w:ilvl="0" w:tentative="0">
      <w:start w:val="12"/>
      <w:numFmt w:val="decimal"/>
      <w:lvlText w:val="%1"/>
      <w:lvlJc w:val="left"/>
      <w:pPr>
        <w:ind w:left="528" w:hanging="507"/>
      </w:pPr>
      <w:rPr>
        <w:rFonts w:hint="default"/>
        <w:lang w:val="zh-CN" w:eastAsia="zh-CN" w:bidi="zh-CN"/>
      </w:rPr>
    </w:lvl>
    <w:lvl w:ilvl="1" w:tentative="0">
      <w:start w:val="2"/>
      <w:numFmt w:val="none"/>
      <w:lvlText w:val="13"/>
      <w:lvlJc w:val="left"/>
      <w:pPr>
        <w:ind w:left="528" w:hanging="507"/>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69">
    <w:nsid w:val="6E934A17"/>
    <w:multiLevelType w:val="multilevel"/>
    <w:tmpl w:val="6E934A17"/>
    <w:lvl w:ilvl="0" w:tentative="0">
      <w:start w:val="16"/>
      <w:numFmt w:val="decimal"/>
      <w:lvlText w:val="%1"/>
      <w:lvlJc w:val="left"/>
      <w:pPr>
        <w:ind w:left="528" w:hanging="531"/>
      </w:pPr>
      <w:rPr>
        <w:rFonts w:hint="default" w:ascii="Times New Roman" w:hAnsi="Times New Roman"/>
        <w:sz w:val="21"/>
      </w:rPr>
    </w:lvl>
    <w:lvl w:ilvl="1" w:tentative="0">
      <w:start w:val="17"/>
      <w:numFmt w:val="none"/>
      <w:lvlText w:val="17"/>
      <w:lvlJc w:val="left"/>
      <w:pPr>
        <w:ind w:left="528" w:hanging="531"/>
      </w:pPr>
      <w:rPr>
        <w:rFonts w:hint="default" w:ascii="Times New Roman" w:hAnsi="Times New Roman" w:eastAsia="宋体" w:cs="Times New Roman"/>
        <w:spacing w:val="-1"/>
        <w:w w:val="82"/>
        <w:sz w:val="24"/>
        <w:szCs w:val="24"/>
      </w:rPr>
    </w:lvl>
    <w:lvl w:ilvl="2" w:tentative="0">
      <w:start w:val="0"/>
      <w:numFmt w:val="bullet"/>
      <w:lvlText w:val="•"/>
      <w:lvlJc w:val="left"/>
      <w:pPr>
        <w:ind w:left="2653" w:hanging="531"/>
      </w:pPr>
      <w:rPr>
        <w:rFonts w:hint="default"/>
      </w:rPr>
    </w:lvl>
    <w:lvl w:ilvl="3" w:tentative="0">
      <w:start w:val="0"/>
      <w:numFmt w:val="bullet"/>
      <w:lvlText w:val="•"/>
      <w:lvlJc w:val="left"/>
      <w:pPr>
        <w:ind w:left="3719" w:hanging="531"/>
      </w:pPr>
      <w:rPr>
        <w:rFonts w:hint="default"/>
      </w:rPr>
    </w:lvl>
    <w:lvl w:ilvl="4" w:tentative="0">
      <w:start w:val="0"/>
      <w:numFmt w:val="bullet"/>
      <w:lvlText w:val="•"/>
      <w:lvlJc w:val="left"/>
      <w:pPr>
        <w:ind w:left="4786" w:hanging="531"/>
      </w:pPr>
      <w:rPr>
        <w:rFonts w:hint="default"/>
      </w:rPr>
    </w:lvl>
    <w:lvl w:ilvl="5" w:tentative="0">
      <w:start w:val="0"/>
      <w:numFmt w:val="bullet"/>
      <w:lvlText w:val="•"/>
      <w:lvlJc w:val="left"/>
      <w:pPr>
        <w:ind w:left="5853" w:hanging="531"/>
      </w:pPr>
      <w:rPr>
        <w:rFonts w:hint="default"/>
      </w:rPr>
    </w:lvl>
    <w:lvl w:ilvl="6" w:tentative="0">
      <w:start w:val="0"/>
      <w:numFmt w:val="bullet"/>
      <w:lvlText w:val="•"/>
      <w:lvlJc w:val="left"/>
      <w:pPr>
        <w:ind w:left="6919" w:hanging="531"/>
      </w:pPr>
      <w:rPr>
        <w:rFonts w:hint="default"/>
      </w:rPr>
    </w:lvl>
    <w:lvl w:ilvl="7" w:tentative="0">
      <w:start w:val="0"/>
      <w:numFmt w:val="bullet"/>
      <w:lvlText w:val="•"/>
      <w:lvlJc w:val="left"/>
      <w:pPr>
        <w:ind w:left="7986" w:hanging="531"/>
      </w:pPr>
      <w:rPr>
        <w:rFonts w:hint="default"/>
      </w:rPr>
    </w:lvl>
    <w:lvl w:ilvl="8" w:tentative="0">
      <w:start w:val="0"/>
      <w:numFmt w:val="bullet"/>
      <w:lvlText w:val="•"/>
      <w:lvlJc w:val="left"/>
      <w:pPr>
        <w:ind w:left="9053" w:hanging="531"/>
      </w:pPr>
      <w:rPr>
        <w:rFonts w:hint="default"/>
      </w:rPr>
    </w:lvl>
  </w:abstractNum>
  <w:abstractNum w:abstractNumId="70">
    <w:nsid w:val="70884F8F"/>
    <w:multiLevelType w:val="multilevel"/>
    <w:tmpl w:val="70884F8F"/>
    <w:lvl w:ilvl="0" w:tentative="0">
      <w:start w:val="17"/>
      <w:numFmt w:val="decimal"/>
      <w:lvlText w:val="%1"/>
      <w:lvlJc w:val="left"/>
      <w:pPr>
        <w:ind w:left="528" w:hanging="531"/>
      </w:pPr>
      <w:rPr>
        <w:rFonts w:hint="default"/>
        <w:lang w:val="zh-CN" w:eastAsia="zh-CN" w:bidi="zh-CN"/>
      </w:rPr>
    </w:lvl>
    <w:lvl w:ilvl="1" w:tentative="0">
      <w:start w:val="1"/>
      <w:numFmt w:val="decimal"/>
      <w:lvlText w:val="%1.%2"/>
      <w:lvlJc w:val="left"/>
      <w:pPr>
        <w:ind w:left="528" w:hanging="531"/>
      </w:pPr>
      <w:rPr>
        <w:rFonts w:hint="default" w:ascii="Times New Roman" w:hAnsi="Times New Roman" w:eastAsia="宋体" w:cs="Times New Roman"/>
        <w:spacing w:val="-1"/>
        <w:w w:val="70"/>
        <w:sz w:val="24"/>
        <w:szCs w:val="24"/>
        <w:lang w:val="zh-CN" w:eastAsia="zh-CN" w:bidi="zh-CN"/>
      </w:rPr>
    </w:lvl>
    <w:lvl w:ilvl="2" w:tentative="0">
      <w:start w:val="1"/>
      <w:numFmt w:val="decimal"/>
      <w:lvlText w:val="%1.%2.%3"/>
      <w:lvlJc w:val="left"/>
      <w:pPr>
        <w:ind w:left="1824" w:hanging="689"/>
      </w:pPr>
      <w:rPr>
        <w:rFonts w:hint="default" w:ascii="Times New Roman" w:hAnsi="Times New Roman" w:eastAsia="宋体" w:cs="Times New Roman"/>
        <w:spacing w:val="-1"/>
        <w:w w:val="82"/>
        <w:sz w:val="24"/>
        <w:szCs w:val="24"/>
        <w:lang w:val="zh-CN" w:eastAsia="zh-CN" w:bidi="zh-CN"/>
      </w:rPr>
    </w:lvl>
    <w:lvl w:ilvl="3" w:tentative="0">
      <w:start w:val="0"/>
      <w:numFmt w:val="bullet"/>
      <w:lvlText w:val="•"/>
      <w:lvlJc w:val="left"/>
      <w:pPr>
        <w:ind w:left="3808" w:hanging="689"/>
      </w:pPr>
      <w:rPr>
        <w:rFonts w:hint="default"/>
        <w:lang w:val="zh-CN" w:eastAsia="zh-CN" w:bidi="zh-CN"/>
      </w:rPr>
    </w:lvl>
    <w:lvl w:ilvl="4" w:tentative="0">
      <w:start w:val="0"/>
      <w:numFmt w:val="bullet"/>
      <w:lvlText w:val="•"/>
      <w:lvlJc w:val="left"/>
      <w:pPr>
        <w:ind w:left="4862" w:hanging="689"/>
      </w:pPr>
      <w:rPr>
        <w:rFonts w:hint="default"/>
        <w:lang w:val="zh-CN" w:eastAsia="zh-CN" w:bidi="zh-CN"/>
      </w:rPr>
    </w:lvl>
    <w:lvl w:ilvl="5" w:tentative="0">
      <w:start w:val="0"/>
      <w:numFmt w:val="bullet"/>
      <w:lvlText w:val="•"/>
      <w:lvlJc w:val="left"/>
      <w:pPr>
        <w:ind w:left="5916" w:hanging="689"/>
      </w:pPr>
      <w:rPr>
        <w:rFonts w:hint="default"/>
        <w:lang w:val="zh-CN" w:eastAsia="zh-CN" w:bidi="zh-CN"/>
      </w:rPr>
    </w:lvl>
    <w:lvl w:ilvl="6" w:tentative="0">
      <w:start w:val="0"/>
      <w:numFmt w:val="bullet"/>
      <w:lvlText w:val="•"/>
      <w:lvlJc w:val="left"/>
      <w:pPr>
        <w:ind w:left="6970" w:hanging="689"/>
      </w:pPr>
      <w:rPr>
        <w:rFonts w:hint="default"/>
        <w:lang w:val="zh-CN" w:eastAsia="zh-CN" w:bidi="zh-CN"/>
      </w:rPr>
    </w:lvl>
    <w:lvl w:ilvl="7" w:tentative="0">
      <w:start w:val="0"/>
      <w:numFmt w:val="bullet"/>
      <w:lvlText w:val="•"/>
      <w:lvlJc w:val="left"/>
      <w:pPr>
        <w:ind w:left="8024" w:hanging="689"/>
      </w:pPr>
      <w:rPr>
        <w:rFonts w:hint="default"/>
        <w:lang w:val="zh-CN" w:eastAsia="zh-CN" w:bidi="zh-CN"/>
      </w:rPr>
    </w:lvl>
    <w:lvl w:ilvl="8" w:tentative="0">
      <w:start w:val="0"/>
      <w:numFmt w:val="bullet"/>
      <w:lvlText w:val="•"/>
      <w:lvlJc w:val="left"/>
      <w:pPr>
        <w:ind w:left="9078" w:hanging="689"/>
      </w:pPr>
      <w:rPr>
        <w:rFonts w:hint="default"/>
        <w:lang w:val="zh-CN" w:eastAsia="zh-CN" w:bidi="zh-CN"/>
      </w:rPr>
    </w:lvl>
  </w:abstractNum>
  <w:abstractNum w:abstractNumId="71">
    <w:nsid w:val="71CB43EA"/>
    <w:multiLevelType w:val="multilevel"/>
    <w:tmpl w:val="71CB43EA"/>
    <w:lvl w:ilvl="0" w:tentative="0">
      <w:start w:val="14"/>
      <w:numFmt w:val="decimal"/>
      <w:lvlText w:val="%1"/>
      <w:lvlJc w:val="left"/>
      <w:pPr>
        <w:ind w:left="1514" w:hanging="507"/>
      </w:pPr>
      <w:rPr>
        <w:rFonts w:hint="default"/>
        <w:lang w:val="zh-CN" w:eastAsia="zh-CN" w:bidi="zh-CN"/>
      </w:rPr>
    </w:lvl>
    <w:lvl w:ilvl="1" w:tentative="0">
      <w:start w:val="1"/>
      <w:numFmt w:val="none"/>
      <w:lvlText w:val="15.3"/>
      <w:lvlJc w:val="left"/>
      <w:pPr>
        <w:ind w:left="528" w:hanging="507"/>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594" w:hanging="507"/>
      </w:pPr>
      <w:rPr>
        <w:rFonts w:hint="default"/>
        <w:lang w:val="zh-CN" w:eastAsia="zh-CN" w:bidi="zh-CN"/>
      </w:rPr>
    </w:lvl>
    <w:lvl w:ilvl="3" w:tentative="0">
      <w:start w:val="0"/>
      <w:numFmt w:val="bullet"/>
      <w:lvlText w:val="•"/>
      <w:lvlJc w:val="left"/>
      <w:pPr>
        <w:ind w:left="3668" w:hanging="507"/>
      </w:pPr>
      <w:rPr>
        <w:rFonts w:hint="default"/>
        <w:lang w:val="zh-CN" w:eastAsia="zh-CN" w:bidi="zh-CN"/>
      </w:rPr>
    </w:lvl>
    <w:lvl w:ilvl="4" w:tentative="0">
      <w:start w:val="0"/>
      <w:numFmt w:val="bullet"/>
      <w:lvlText w:val="•"/>
      <w:lvlJc w:val="left"/>
      <w:pPr>
        <w:ind w:left="4742" w:hanging="507"/>
      </w:pPr>
      <w:rPr>
        <w:rFonts w:hint="default"/>
        <w:lang w:val="zh-CN" w:eastAsia="zh-CN" w:bidi="zh-CN"/>
      </w:rPr>
    </w:lvl>
    <w:lvl w:ilvl="5" w:tentative="0">
      <w:start w:val="0"/>
      <w:numFmt w:val="bullet"/>
      <w:lvlText w:val="•"/>
      <w:lvlJc w:val="left"/>
      <w:pPr>
        <w:ind w:left="5816" w:hanging="507"/>
      </w:pPr>
      <w:rPr>
        <w:rFonts w:hint="default"/>
        <w:lang w:val="zh-CN" w:eastAsia="zh-CN" w:bidi="zh-CN"/>
      </w:rPr>
    </w:lvl>
    <w:lvl w:ilvl="6" w:tentative="0">
      <w:start w:val="0"/>
      <w:numFmt w:val="bullet"/>
      <w:lvlText w:val="•"/>
      <w:lvlJc w:val="left"/>
      <w:pPr>
        <w:ind w:left="6890" w:hanging="507"/>
      </w:pPr>
      <w:rPr>
        <w:rFonts w:hint="default"/>
        <w:lang w:val="zh-CN" w:eastAsia="zh-CN" w:bidi="zh-CN"/>
      </w:rPr>
    </w:lvl>
    <w:lvl w:ilvl="7" w:tentative="0">
      <w:start w:val="0"/>
      <w:numFmt w:val="bullet"/>
      <w:lvlText w:val="•"/>
      <w:lvlJc w:val="left"/>
      <w:pPr>
        <w:ind w:left="7964" w:hanging="507"/>
      </w:pPr>
      <w:rPr>
        <w:rFonts w:hint="default"/>
        <w:lang w:val="zh-CN" w:eastAsia="zh-CN" w:bidi="zh-CN"/>
      </w:rPr>
    </w:lvl>
    <w:lvl w:ilvl="8" w:tentative="0">
      <w:start w:val="0"/>
      <w:numFmt w:val="bullet"/>
      <w:lvlText w:val="•"/>
      <w:lvlJc w:val="left"/>
      <w:pPr>
        <w:ind w:left="9038" w:hanging="507"/>
      </w:pPr>
      <w:rPr>
        <w:rFonts w:hint="default"/>
        <w:lang w:val="zh-CN" w:eastAsia="zh-CN" w:bidi="zh-CN"/>
      </w:rPr>
    </w:lvl>
  </w:abstractNum>
  <w:abstractNum w:abstractNumId="72">
    <w:nsid w:val="73B95B61"/>
    <w:multiLevelType w:val="multilevel"/>
    <w:tmpl w:val="73B95B61"/>
    <w:lvl w:ilvl="0" w:tentative="0">
      <w:start w:val="18"/>
      <w:numFmt w:val="decimal"/>
      <w:lvlText w:val="%1"/>
      <w:lvlJc w:val="left"/>
      <w:pPr>
        <w:ind w:left="528" w:hanging="507"/>
      </w:pPr>
      <w:rPr>
        <w:rFonts w:hint="default"/>
        <w:lang w:val="zh-CN" w:eastAsia="zh-CN" w:bidi="zh-CN"/>
      </w:rPr>
    </w:lvl>
    <w:lvl w:ilvl="1" w:tentative="0">
      <w:start w:val="1"/>
      <w:numFmt w:val="none"/>
      <w:lvlText w:val="20.3"/>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73">
    <w:nsid w:val="74A22B63"/>
    <w:multiLevelType w:val="multilevel"/>
    <w:tmpl w:val="74A22B63"/>
    <w:lvl w:ilvl="0" w:tentative="0">
      <w:start w:val="2"/>
      <w:numFmt w:val="decimal"/>
      <w:lvlText w:val="%1"/>
      <w:lvlJc w:val="left"/>
      <w:pPr>
        <w:ind w:left="1373" w:hanging="375"/>
      </w:pPr>
      <w:rPr>
        <w:rFonts w:hint="default"/>
        <w:lang w:val="zh-CN" w:eastAsia="zh-CN" w:bidi="zh-CN"/>
      </w:rPr>
    </w:lvl>
    <w:lvl w:ilvl="1" w:tentative="0">
      <w:start w:val="1"/>
      <w:numFmt w:val="decimal"/>
      <w:lvlText w:val="%1.%2"/>
      <w:lvlJc w:val="left"/>
      <w:pPr>
        <w:ind w:left="528" w:hanging="375"/>
      </w:pPr>
      <w:rPr>
        <w:rFonts w:hint="default"/>
        <w:color w:val="000000" w:themeColor="text1"/>
        <w:spacing w:val="-1"/>
        <w:w w:val="82"/>
        <w:lang w:val="zh-CN" w:eastAsia="zh-CN" w:bidi="zh-CN"/>
        <w14:textFill>
          <w14:solidFill>
            <w14:schemeClr w14:val="tx1"/>
          </w14:solidFill>
        </w14:textFill>
      </w:rPr>
    </w:lvl>
    <w:lvl w:ilvl="2" w:tentative="0">
      <w:start w:val="0"/>
      <w:numFmt w:val="bullet"/>
      <w:lvlText w:val="•"/>
      <w:lvlJc w:val="left"/>
      <w:pPr>
        <w:ind w:left="2469" w:hanging="375"/>
      </w:pPr>
      <w:rPr>
        <w:rFonts w:hint="default"/>
        <w:lang w:val="zh-CN" w:eastAsia="zh-CN" w:bidi="zh-CN"/>
      </w:rPr>
    </w:lvl>
    <w:lvl w:ilvl="3" w:tentative="0">
      <w:start w:val="0"/>
      <w:numFmt w:val="bullet"/>
      <w:lvlText w:val="•"/>
      <w:lvlJc w:val="left"/>
      <w:pPr>
        <w:ind w:left="3559" w:hanging="375"/>
      </w:pPr>
      <w:rPr>
        <w:rFonts w:hint="default"/>
        <w:lang w:val="zh-CN" w:eastAsia="zh-CN" w:bidi="zh-CN"/>
      </w:rPr>
    </w:lvl>
    <w:lvl w:ilvl="4" w:tentative="0">
      <w:start w:val="0"/>
      <w:numFmt w:val="bullet"/>
      <w:lvlText w:val="•"/>
      <w:lvlJc w:val="left"/>
      <w:pPr>
        <w:ind w:left="4648" w:hanging="375"/>
      </w:pPr>
      <w:rPr>
        <w:rFonts w:hint="default"/>
        <w:lang w:val="zh-CN" w:eastAsia="zh-CN" w:bidi="zh-CN"/>
      </w:rPr>
    </w:lvl>
    <w:lvl w:ilvl="5" w:tentative="0">
      <w:start w:val="0"/>
      <w:numFmt w:val="bullet"/>
      <w:lvlText w:val="•"/>
      <w:lvlJc w:val="left"/>
      <w:pPr>
        <w:ind w:left="5738" w:hanging="375"/>
      </w:pPr>
      <w:rPr>
        <w:rFonts w:hint="default"/>
        <w:lang w:val="zh-CN" w:eastAsia="zh-CN" w:bidi="zh-CN"/>
      </w:rPr>
    </w:lvl>
    <w:lvl w:ilvl="6" w:tentative="0">
      <w:start w:val="0"/>
      <w:numFmt w:val="bullet"/>
      <w:lvlText w:val="•"/>
      <w:lvlJc w:val="left"/>
      <w:pPr>
        <w:ind w:left="6828" w:hanging="375"/>
      </w:pPr>
      <w:rPr>
        <w:rFonts w:hint="default"/>
        <w:lang w:val="zh-CN" w:eastAsia="zh-CN" w:bidi="zh-CN"/>
      </w:rPr>
    </w:lvl>
    <w:lvl w:ilvl="7" w:tentative="0">
      <w:start w:val="0"/>
      <w:numFmt w:val="bullet"/>
      <w:lvlText w:val="•"/>
      <w:lvlJc w:val="left"/>
      <w:pPr>
        <w:ind w:left="7917" w:hanging="375"/>
      </w:pPr>
      <w:rPr>
        <w:rFonts w:hint="default"/>
        <w:lang w:val="zh-CN" w:eastAsia="zh-CN" w:bidi="zh-CN"/>
      </w:rPr>
    </w:lvl>
    <w:lvl w:ilvl="8" w:tentative="0">
      <w:start w:val="0"/>
      <w:numFmt w:val="bullet"/>
      <w:lvlText w:val="•"/>
      <w:lvlJc w:val="left"/>
      <w:pPr>
        <w:ind w:left="9007" w:hanging="375"/>
      </w:pPr>
      <w:rPr>
        <w:rFonts w:hint="default"/>
        <w:lang w:val="zh-CN" w:eastAsia="zh-CN" w:bidi="zh-CN"/>
      </w:rPr>
    </w:lvl>
  </w:abstractNum>
  <w:abstractNum w:abstractNumId="74">
    <w:nsid w:val="7D992027"/>
    <w:multiLevelType w:val="multilevel"/>
    <w:tmpl w:val="7D992027"/>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5">
    <w:nsid w:val="7D99202F"/>
    <w:multiLevelType w:val="singleLevel"/>
    <w:tmpl w:val="7D99202F"/>
    <w:lvl w:ilvl="0" w:tentative="0">
      <w:start w:val="19"/>
      <w:numFmt w:val="chineseCounting"/>
      <w:suff w:val="nothing"/>
      <w:lvlText w:val="%1、"/>
      <w:lvlJc w:val="left"/>
      <w:rPr>
        <w:rFonts w:hint="eastAsia"/>
      </w:rPr>
    </w:lvl>
  </w:abstractNum>
  <w:num w:numId="1">
    <w:abstractNumId w:val="39"/>
  </w:num>
  <w:num w:numId="2">
    <w:abstractNumId w:val="14"/>
  </w:num>
  <w:num w:numId="3">
    <w:abstractNumId w:val="3"/>
  </w:num>
  <w:num w:numId="4">
    <w:abstractNumId w:val="4"/>
  </w:num>
  <w:num w:numId="5">
    <w:abstractNumId w:val="57"/>
  </w:num>
  <w:num w:numId="6">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43"/>
  </w:num>
  <w:num w:numId="9">
    <w:abstractNumId w:val="60"/>
  </w:num>
  <w:num w:numId="10">
    <w:abstractNumId w:val="51"/>
  </w:num>
  <w:num w:numId="11">
    <w:abstractNumId w:val="73"/>
  </w:num>
  <w:num w:numId="12">
    <w:abstractNumId w:val="46"/>
  </w:num>
  <w:num w:numId="13">
    <w:abstractNumId w:val="48"/>
  </w:num>
  <w:num w:numId="14">
    <w:abstractNumId w:val="31"/>
  </w:num>
  <w:num w:numId="15">
    <w:abstractNumId w:val="5"/>
  </w:num>
  <w:num w:numId="16">
    <w:abstractNumId w:val="49"/>
  </w:num>
  <w:num w:numId="17">
    <w:abstractNumId w:val="24"/>
  </w:num>
  <w:num w:numId="18">
    <w:abstractNumId w:val="20"/>
  </w:num>
  <w:num w:numId="19">
    <w:abstractNumId w:val="19"/>
  </w:num>
  <w:num w:numId="20">
    <w:abstractNumId w:val="35"/>
  </w:num>
  <w:num w:numId="21">
    <w:abstractNumId w:val="6"/>
  </w:num>
  <w:num w:numId="22">
    <w:abstractNumId w:val="38"/>
  </w:num>
  <w:num w:numId="23">
    <w:abstractNumId w:val="61"/>
  </w:num>
  <w:num w:numId="24">
    <w:abstractNumId w:val="28"/>
  </w:num>
  <w:num w:numId="25">
    <w:abstractNumId w:val="67"/>
  </w:num>
  <w:num w:numId="26">
    <w:abstractNumId w:val="68"/>
  </w:num>
  <w:num w:numId="27">
    <w:abstractNumId w:val="34"/>
  </w:num>
  <w:num w:numId="28">
    <w:abstractNumId w:val="62"/>
  </w:num>
  <w:num w:numId="29">
    <w:abstractNumId w:val="63"/>
  </w:num>
  <w:num w:numId="30">
    <w:abstractNumId w:val="22"/>
  </w:num>
  <w:num w:numId="31">
    <w:abstractNumId w:val="71"/>
  </w:num>
  <w:num w:numId="32">
    <w:abstractNumId w:val="30"/>
  </w:num>
  <w:num w:numId="33">
    <w:abstractNumId w:val="66"/>
  </w:num>
  <w:num w:numId="34">
    <w:abstractNumId w:val="10"/>
  </w:num>
  <w:num w:numId="35">
    <w:abstractNumId w:val="42"/>
  </w:num>
  <w:num w:numId="36">
    <w:abstractNumId w:val="40"/>
  </w:num>
  <w:num w:numId="37">
    <w:abstractNumId w:val="21"/>
  </w:num>
  <w:num w:numId="38">
    <w:abstractNumId w:val="18"/>
  </w:num>
  <w:num w:numId="39">
    <w:abstractNumId w:val="50"/>
  </w:num>
  <w:num w:numId="40">
    <w:abstractNumId w:val="16"/>
  </w:num>
  <w:num w:numId="41">
    <w:abstractNumId w:val="69"/>
  </w:num>
  <w:num w:numId="42">
    <w:abstractNumId w:val="70"/>
  </w:num>
  <w:num w:numId="43">
    <w:abstractNumId w:val="56"/>
  </w:num>
  <w:num w:numId="44">
    <w:abstractNumId w:val="65"/>
  </w:num>
  <w:num w:numId="45">
    <w:abstractNumId w:val="7"/>
  </w:num>
  <w:num w:numId="46">
    <w:abstractNumId w:val="44"/>
  </w:num>
  <w:num w:numId="47">
    <w:abstractNumId w:val="37"/>
  </w:num>
  <w:num w:numId="48">
    <w:abstractNumId w:val="47"/>
  </w:num>
  <w:num w:numId="49">
    <w:abstractNumId w:val="32"/>
  </w:num>
  <w:num w:numId="50">
    <w:abstractNumId w:val="36"/>
  </w:num>
  <w:num w:numId="51">
    <w:abstractNumId w:val="26"/>
  </w:num>
  <w:num w:numId="52">
    <w:abstractNumId w:val="25"/>
  </w:num>
  <w:num w:numId="53">
    <w:abstractNumId w:val="27"/>
  </w:num>
  <w:num w:numId="54">
    <w:abstractNumId w:val="58"/>
  </w:num>
  <w:num w:numId="55">
    <w:abstractNumId w:val="41"/>
  </w:num>
  <w:num w:numId="56">
    <w:abstractNumId w:val="12"/>
  </w:num>
  <w:num w:numId="57">
    <w:abstractNumId w:val="33"/>
  </w:num>
  <w:num w:numId="58">
    <w:abstractNumId w:val="13"/>
  </w:num>
  <w:num w:numId="59">
    <w:abstractNumId w:val="59"/>
  </w:num>
  <w:num w:numId="60">
    <w:abstractNumId w:val="17"/>
  </w:num>
  <w:num w:numId="61">
    <w:abstractNumId w:val="15"/>
  </w:num>
  <w:num w:numId="62">
    <w:abstractNumId w:val="72"/>
  </w:num>
  <w:num w:numId="63">
    <w:abstractNumId w:val="54"/>
  </w:num>
  <w:num w:numId="64">
    <w:abstractNumId w:val="8"/>
  </w:num>
  <w:num w:numId="65">
    <w:abstractNumId w:val="9"/>
  </w:num>
  <w:num w:numId="66">
    <w:abstractNumId w:val="75"/>
  </w:num>
  <w:num w:numId="67">
    <w:abstractNumId w:val="0"/>
  </w:num>
  <w:num w:numId="68">
    <w:abstractNumId w:val="11"/>
  </w:num>
  <w:num w:numId="69">
    <w:abstractNumId w:val="2"/>
  </w:num>
  <w:num w:numId="70">
    <w:abstractNumId w:val="1"/>
  </w:num>
  <w:num w:numId="71">
    <w:abstractNumId w:val="64"/>
  </w:num>
  <w:num w:numId="72">
    <w:abstractNumId w:val="55"/>
  </w:num>
  <w:num w:numId="73">
    <w:abstractNumId w:val="29"/>
  </w:num>
  <w:num w:numId="74">
    <w:abstractNumId w:val="52"/>
  </w:num>
  <w:num w:numId="75">
    <w:abstractNumId w:val="53"/>
  </w:num>
  <w:num w:numId="7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MzgyYzgzYzA0MWM3NTZlNDAyZWZhMzA1OWNkZDUifQ=="/>
  </w:docVars>
  <w:rsids>
    <w:rsidRoot w:val="00C70BD0"/>
    <w:rsid w:val="00000E46"/>
    <w:rsid w:val="000051C5"/>
    <w:rsid w:val="0000538B"/>
    <w:rsid w:val="00007BB7"/>
    <w:rsid w:val="000121B8"/>
    <w:rsid w:val="00012AFB"/>
    <w:rsid w:val="0001432D"/>
    <w:rsid w:val="00021C84"/>
    <w:rsid w:val="0002276A"/>
    <w:rsid w:val="00022D2B"/>
    <w:rsid w:val="00030167"/>
    <w:rsid w:val="00032BE2"/>
    <w:rsid w:val="00033D65"/>
    <w:rsid w:val="000358DF"/>
    <w:rsid w:val="000364F1"/>
    <w:rsid w:val="00036577"/>
    <w:rsid w:val="00037E1E"/>
    <w:rsid w:val="00040D75"/>
    <w:rsid w:val="0004249E"/>
    <w:rsid w:val="000440B5"/>
    <w:rsid w:val="000474B3"/>
    <w:rsid w:val="00047BE8"/>
    <w:rsid w:val="00050EB0"/>
    <w:rsid w:val="00052193"/>
    <w:rsid w:val="00053D47"/>
    <w:rsid w:val="00055AED"/>
    <w:rsid w:val="00055FBB"/>
    <w:rsid w:val="000560F3"/>
    <w:rsid w:val="0006466C"/>
    <w:rsid w:val="000659D3"/>
    <w:rsid w:val="00070B21"/>
    <w:rsid w:val="00070C52"/>
    <w:rsid w:val="000729CE"/>
    <w:rsid w:val="00073575"/>
    <w:rsid w:val="00077719"/>
    <w:rsid w:val="0008036B"/>
    <w:rsid w:val="00083B1E"/>
    <w:rsid w:val="000939AD"/>
    <w:rsid w:val="00097918"/>
    <w:rsid w:val="000A0F55"/>
    <w:rsid w:val="000A12CB"/>
    <w:rsid w:val="000A24C1"/>
    <w:rsid w:val="000A50AD"/>
    <w:rsid w:val="000A5206"/>
    <w:rsid w:val="000A5B87"/>
    <w:rsid w:val="000A764D"/>
    <w:rsid w:val="000B44AC"/>
    <w:rsid w:val="000B526F"/>
    <w:rsid w:val="000B7543"/>
    <w:rsid w:val="000C0B46"/>
    <w:rsid w:val="000C2396"/>
    <w:rsid w:val="000C468F"/>
    <w:rsid w:val="000C66F3"/>
    <w:rsid w:val="000D08EA"/>
    <w:rsid w:val="000D0C27"/>
    <w:rsid w:val="000E3E6C"/>
    <w:rsid w:val="000E5A19"/>
    <w:rsid w:val="000E707B"/>
    <w:rsid w:val="000E7C4C"/>
    <w:rsid w:val="000F1B13"/>
    <w:rsid w:val="000F2137"/>
    <w:rsid w:val="000F25FB"/>
    <w:rsid w:val="000F340D"/>
    <w:rsid w:val="000F4531"/>
    <w:rsid w:val="000F62B0"/>
    <w:rsid w:val="000F7A22"/>
    <w:rsid w:val="00100BCB"/>
    <w:rsid w:val="001046AF"/>
    <w:rsid w:val="001067C0"/>
    <w:rsid w:val="00110791"/>
    <w:rsid w:val="00111ADB"/>
    <w:rsid w:val="0011672F"/>
    <w:rsid w:val="00120170"/>
    <w:rsid w:val="0013058F"/>
    <w:rsid w:val="00130DD2"/>
    <w:rsid w:val="00131826"/>
    <w:rsid w:val="0013634F"/>
    <w:rsid w:val="0014019F"/>
    <w:rsid w:val="00141315"/>
    <w:rsid w:val="00144B1B"/>
    <w:rsid w:val="001465A2"/>
    <w:rsid w:val="00146E90"/>
    <w:rsid w:val="0015259E"/>
    <w:rsid w:val="00154197"/>
    <w:rsid w:val="001553F8"/>
    <w:rsid w:val="0016196E"/>
    <w:rsid w:val="00163B01"/>
    <w:rsid w:val="0016444D"/>
    <w:rsid w:val="001672B4"/>
    <w:rsid w:val="00170F87"/>
    <w:rsid w:val="0017386E"/>
    <w:rsid w:val="00175BA0"/>
    <w:rsid w:val="00176F7C"/>
    <w:rsid w:val="00177D5F"/>
    <w:rsid w:val="00184824"/>
    <w:rsid w:val="00194126"/>
    <w:rsid w:val="00194193"/>
    <w:rsid w:val="001950BF"/>
    <w:rsid w:val="001A0A6F"/>
    <w:rsid w:val="001A65A2"/>
    <w:rsid w:val="001A68A7"/>
    <w:rsid w:val="001A7F66"/>
    <w:rsid w:val="001B0280"/>
    <w:rsid w:val="001B0A9D"/>
    <w:rsid w:val="001B27D6"/>
    <w:rsid w:val="001B2F74"/>
    <w:rsid w:val="001B3B28"/>
    <w:rsid w:val="001B604E"/>
    <w:rsid w:val="001B7810"/>
    <w:rsid w:val="001C2A11"/>
    <w:rsid w:val="001C6083"/>
    <w:rsid w:val="001C63C1"/>
    <w:rsid w:val="001C6A4B"/>
    <w:rsid w:val="001D763C"/>
    <w:rsid w:val="001E028F"/>
    <w:rsid w:val="001E2FC7"/>
    <w:rsid w:val="001E646A"/>
    <w:rsid w:val="001E7640"/>
    <w:rsid w:val="001F10EB"/>
    <w:rsid w:val="001F1662"/>
    <w:rsid w:val="001F2DCC"/>
    <w:rsid w:val="001F6E2C"/>
    <w:rsid w:val="001F7396"/>
    <w:rsid w:val="001F7C6D"/>
    <w:rsid w:val="0020104E"/>
    <w:rsid w:val="00201E30"/>
    <w:rsid w:val="002036BA"/>
    <w:rsid w:val="00204852"/>
    <w:rsid w:val="002108E5"/>
    <w:rsid w:val="00213710"/>
    <w:rsid w:val="002158CA"/>
    <w:rsid w:val="002160FD"/>
    <w:rsid w:val="00220D92"/>
    <w:rsid w:val="0022320A"/>
    <w:rsid w:val="00224855"/>
    <w:rsid w:val="002254FB"/>
    <w:rsid w:val="00235B61"/>
    <w:rsid w:val="002378BE"/>
    <w:rsid w:val="00244B17"/>
    <w:rsid w:val="002450A4"/>
    <w:rsid w:val="00252AD9"/>
    <w:rsid w:val="00255857"/>
    <w:rsid w:val="00256BA4"/>
    <w:rsid w:val="00261648"/>
    <w:rsid w:val="00262B5E"/>
    <w:rsid w:val="00262D15"/>
    <w:rsid w:val="00264355"/>
    <w:rsid w:val="00266750"/>
    <w:rsid w:val="00270C84"/>
    <w:rsid w:val="0027340B"/>
    <w:rsid w:val="0028062B"/>
    <w:rsid w:val="00282C17"/>
    <w:rsid w:val="00283A6C"/>
    <w:rsid w:val="0028636D"/>
    <w:rsid w:val="002868D0"/>
    <w:rsid w:val="00286BEF"/>
    <w:rsid w:val="00286D49"/>
    <w:rsid w:val="00286E85"/>
    <w:rsid w:val="00290BCE"/>
    <w:rsid w:val="002918E9"/>
    <w:rsid w:val="0029302F"/>
    <w:rsid w:val="0029531E"/>
    <w:rsid w:val="002A34C5"/>
    <w:rsid w:val="002A3C1B"/>
    <w:rsid w:val="002A551D"/>
    <w:rsid w:val="002A68CF"/>
    <w:rsid w:val="002A6F09"/>
    <w:rsid w:val="002B2343"/>
    <w:rsid w:val="002B23DB"/>
    <w:rsid w:val="002B3953"/>
    <w:rsid w:val="002B4DCE"/>
    <w:rsid w:val="002B4F87"/>
    <w:rsid w:val="002B5E14"/>
    <w:rsid w:val="002B671D"/>
    <w:rsid w:val="002B7BE5"/>
    <w:rsid w:val="002C264B"/>
    <w:rsid w:val="002C2B89"/>
    <w:rsid w:val="002C577A"/>
    <w:rsid w:val="002D0658"/>
    <w:rsid w:val="002D16A1"/>
    <w:rsid w:val="002D2E75"/>
    <w:rsid w:val="002D4D3E"/>
    <w:rsid w:val="002D573A"/>
    <w:rsid w:val="002D5E78"/>
    <w:rsid w:val="002D6F13"/>
    <w:rsid w:val="002E1341"/>
    <w:rsid w:val="002E34CC"/>
    <w:rsid w:val="002F347B"/>
    <w:rsid w:val="002F490F"/>
    <w:rsid w:val="00302FE8"/>
    <w:rsid w:val="00304A43"/>
    <w:rsid w:val="0030571D"/>
    <w:rsid w:val="003114DD"/>
    <w:rsid w:val="003117E5"/>
    <w:rsid w:val="00311CDF"/>
    <w:rsid w:val="00321184"/>
    <w:rsid w:val="00324EDF"/>
    <w:rsid w:val="00324EE3"/>
    <w:rsid w:val="00326793"/>
    <w:rsid w:val="003272CA"/>
    <w:rsid w:val="00327D9D"/>
    <w:rsid w:val="00331A10"/>
    <w:rsid w:val="00332AE0"/>
    <w:rsid w:val="003373F3"/>
    <w:rsid w:val="00340DF1"/>
    <w:rsid w:val="0034261D"/>
    <w:rsid w:val="00347993"/>
    <w:rsid w:val="00350794"/>
    <w:rsid w:val="0035099A"/>
    <w:rsid w:val="00351F5A"/>
    <w:rsid w:val="00352923"/>
    <w:rsid w:val="00353E32"/>
    <w:rsid w:val="00354E70"/>
    <w:rsid w:val="0035619F"/>
    <w:rsid w:val="00356E87"/>
    <w:rsid w:val="00357276"/>
    <w:rsid w:val="00357561"/>
    <w:rsid w:val="00362946"/>
    <w:rsid w:val="00363E41"/>
    <w:rsid w:val="003652E5"/>
    <w:rsid w:val="003705EC"/>
    <w:rsid w:val="00370858"/>
    <w:rsid w:val="003742AE"/>
    <w:rsid w:val="003742F6"/>
    <w:rsid w:val="00375212"/>
    <w:rsid w:val="00381244"/>
    <w:rsid w:val="00385248"/>
    <w:rsid w:val="00385DFD"/>
    <w:rsid w:val="00391245"/>
    <w:rsid w:val="0039746B"/>
    <w:rsid w:val="003A2000"/>
    <w:rsid w:val="003A2185"/>
    <w:rsid w:val="003A3888"/>
    <w:rsid w:val="003A4F1C"/>
    <w:rsid w:val="003A524D"/>
    <w:rsid w:val="003A577D"/>
    <w:rsid w:val="003A72C7"/>
    <w:rsid w:val="003A77CC"/>
    <w:rsid w:val="003A7A23"/>
    <w:rsid w:val="003B3DC6"/>
    <w:rsid w:val="003B6DF7"/>
    <w:rsid w:val="003C1BE8"/>
    <w:rsid w:val="003C21A6"/>
    <w:rsid w:val="003C4C64"/>
    <w:rsid w:val="003C6CA7"/>
    <w:rsid w:val="003D3CB2"/>
    <w:rsid w:val="003D46B3"/>
    <w:rsid w:val="003D5497"/>
    <w:rsid w:val="003D6D25"/>
    <w:rsid w:val="003E04CC"/>
    <w:rsid w:val="003E1ED8"/>
    <w:rsid w:val="003E3E1A"/>
    <w:rsid w:val="003E56B8"/>
    <w:rsid w:val="003E57A8"/>
    <w:rsid w:val="003E77CF"/>
    <w:rsid w:val="003F108C"/>
    <w:rsid w:val="003F45A3"/>
    <w:rsid w:val="003F53EF"/>
    <w:rsid w:val="003F57E5"/>
    <w:rsid w:val="003F587E"/>
    <w:rsid w:val="003F64A7"/>
    <w:rsid w:val="003F70A7"/>
    <w:rsid w:val="00400450"/>
    <w:rsid w:val="00400E5B"/>
    <w:rsid w:val="004046C6"/>
    <w:rsid w:val="00404B5A"/>
    <w:rsid w:val="00406F43"/>
    <w:rsid w:val="00410166"/>
    <w:rsid w:val="00412E15"/>
    <w:rsid w:val="004173C8"/>
    <w:rsid w:val="00417A12"/>
    <w:rsid w:val="004210DB"/>
    <w:rsid w:val="0042191B"/>
    <w:rsid w:val="004236D8"/>
    <w:rsid w:val="00424416"/>
    <w:rsid w:val="00424DFB"/>
    <w:rsid w:val="004270BC"/>
    <w:rsid w:val="0043135C"/>
    <w:rsid w:val="004333ED"/>
    <w:rsid w:val="004355AC"/>
    <w:rsid w:val="0043773C"/>
    <w:rsid w:val="004410DB"/>
    <w:rsid w:val="00442A46"/>
    <w:rsid w:val="00444FB3"/>
    <w:rsid w:val="00445F00"/>
    <w:rsid w:val="004477F7"/>
    <w:rsid w:val="004506E2"/>
    <w:rsid w:val="00450BE9"/>
    <w:rsid w:val="00452084"/>
    <w:rsid w:val="0045394F"/>
    <w:rsid w:val="00455C29"/>
    <w:rsid w:val="004564B4"/>
    <w:rsid w:val="00464770"/>
    <w:rsid w:val="00464C5E"/>
    <w:rsid w:val="004664EB"/>
    <w:rsid w:val="0047029D"/>
    <w:rsid w:val="00471122"/>
    <w:rsid w:val="004718E7"/>
    <w:rsid w:val="00473EE2"/>
    <w:rsid w:val="0047411B"/>
    <w:rsid w:val="00475294"/>
    <w:rsid w:val="00481620"/>
    <w:rsid w:val="004833EC"/>
    <w:rsid w:val="00483C9F"/>
    <w:rsid w:val="00485A3C"/>
    <w:rsid w:val="00486DC2"/>
    <w:rsid w:val="004877B2"/>
    <w:rsid w:val="004914AB"/>
    <w:rsid w:val="00492CBD"/>
    <w:rsid w:val="00492DD2"/>
    <w:rsid w:val="00494BC1"/>
    <w:rsid w:val="004952DE"/>
    <w:rsid w:val="004A10EB"/>
    <w:rsid w:val="004A4F45"/>
    <w:rsid w:val="004A5F93"/>
    <w:rsid w:val="004C08E3"/>
    <w:rsid w:val="004C1F88"/>
    <w:rsid w:val="004C396E"/>
    <w:rsid w:val="004C683D"/>
    <w:rsid w:val="004C694B"/>
    <w:rsid w:val="004C71D5"/>
    <w:rsid w:val="004D3927"/>
    <w:rsid w:val="004D44C7"/>
    <w:rsid w:val="004D7EF0"/>
    <w:rsid w:val="004E045D"/>
    <w:rsid w:val="004E3FFD"/>
    <w:rsid w:val="004F11B5"/>
    <w:rsid w:val="004F1F20"/>
    <w:rsid w:val="004F4BD9"/>
    <w:rsid w:val="004F64B3"/>
    <w:rsid w:val="00500C1F"/>
    <w:rsid w:val="00501D4D"/>
    <w:rsid w:val="00503C69"/>
    <w:rsid w:val="00505833"/>
    <w:rsid w:val="00511544"/>
    <w:rsid w:val="00513DED"/>
    <w:rsid w:val="00521741"/>
    <w:rsid w:val="00521C61"/>
    <w:rsid w:val="00522C41"/>
    <w:rsid w:val="00525EAE"/>
    <w:rsid w:val="0053294D"/>
    <w:rsid w:val="00535E8E"/>
    <w:rsid w:val="00537318"/>
    <w:rsid w:val="00540DA0"/>
    <w:rsid w:val="00551D6C"/>
    <w:rsid w:val="005525FF"/>
    <w:rsid w:val="00556CB4"/>
    <w:rsid w:val="005572FA"/>
    <w:rsid w:val="0056601E"/>
    <w:rsid w:val="005715B5"/>
    <w:rsid w:val="0057451D"/>
    <w:rsid w:val="0057791A"/>
    <w:rsid w:val="00584C7E"/>
    <w:rsid w:val="00585865"/>
    <w:rsid w:val="00586CFB"/>
    <w:rsid w:val="00587426"/>
    <w:rsid w:val="00587781"/>
    <w:rsid w:val="005902B7"/>
    <w:rsid w:val="00592086"/>
    <w:rsid w:val="0059548A"/>
    <w:rsid w:val="00595DAE"/>
    <w:rsid w:val="00597442"/>
    <w:rsid w:val="0059780B"/>
    <w:rsid w:val="005A357B"/>
    <w:rsid w:val="005A52F5"/>
    <w:rsid w:val="005A6868"/>
    <w:rsid w:val="005B26FE"/>
    <w:rsid w:val="005B6F13"/>
    <w:rsid w:val="005C1A78"/>
    <w:rsid w:val="005C2CFF"/>
    <w:rsid w:val="005C46B3"/>
    <w:rsid w:val="005C5B2E"/>
    <w:rsid w:val="005C64E4"/>
    <w:rsid w:val="005D0BE3"/>
    <w:rsid w:val="005D1E59"/>
    <w:rsid w:val="005D6DA3"/>
    <w:rsid w:val="005D7DB5"/>
    <w:rsid w:val="005E1D20"/>
    <w:rsid w:val="005E2D4C"/>
    <w:rsid w:val="005E378D"/>
    <w:rsid w:val="005E3C61"/>
    <w:rsid w:val="005E472E"/>
    <w:rsid w:val="005E6CC2"/>
    <w:rsid w:val="005E7C1F"/>
    <w:rsid w:val="005F00B1"/>
    <w:rsid w:val="005F0921"/>
    <w:rsid w:val="005F3DE3"/>
    <w:rsid w:val="005F41C2"/>
    <w:rsid w:val="0060062D"/>
    <w:rsid w:val="00602C27"/>
    <w:rsid w:val="00603286"/>
    <w:rsid w:val="006044EE"/>
    <w:rsid w:val="00605A90"/>
    <w:rsid w:val="00607003"/>
    <w:rsid w:val="0061202F"/>
    <w:rsid w:val="006129CB"/>
    <w:rsid w:val="0061535F"/>
    <w:rsid w:val="0061655D"/>
    <w:rsid w:val="00616869"/>
    <w:rsid w:val="006229AF"/>
    <w:rsid w:val="00622C0B"/>
    <w:rsid w:val="00623277"/>
    <w:rsid w:val="00625176"/>
    <w:rsid w:val="00626806"/>
    <w:rsid w:val="00626C99"/>
    <w:rsid w:val="0063086E"/>
    <w:rsid w:val="00631FE6"/>
    <w:rsid w:val="00637BAF"/>
    <w:rsid w:val="006401F9"/>
    <w:rsid w:val="00642AA5"/>
    <w:rsid w:val="00643FF2"/>
    <w:rsid w:val="00646897"/>
    <w:rsid w:val="00650B85"/>
    <w:rsid w:val="00651DD8"/>
    <w:rsid w:val="00654D28"/>
    <w:rsid w:val="006635EE"/>
    <w:rsid w:val="006656C7"/>
    <w:rsid w:val="0066644A"/>
    <w:rsid w:val="00672027"/>
    <w:rsid w:val="006726E9"/>
    <w:rsid w:val="00676087"/>
    <w:rsid w:val="00680D2F"/>
    <w:rsid w:val="00682BED"/>
    <w:rsid w:val="0068650D"/>
    <w:rsid w:val="00686C22"/>
    <w:rsid w:val="00690E36"/>
    <w:rsid w:val="00694645"/>
    <w:rsid w:val="006957D1"/>
    <w:rsid w:val="006971AB"/>
    <w:rsid w:val="006A1611"/>
    <w:rsid w:val="006A2911"/>
    <w:rsid w:val="006A629A"/>
    <w:rsid w:val="006B015F"/>
    <w:rsid w:val="006B0BE1"/>
    <w:rsid w:val="006B1144"/>
    <w:rsid w:val="006B5A16"/>
    <w:rsid w:val="006B797B"/>
    <w:rsid w:val="006C3A88"/>
    <w:rsid w:val="006D128E"/>
    <w:rsid w:val="006D1B61"/>
    <w:rsid w:val="006D31D3"/>
    <w:rsid w:val="006D4486"/>
    <w:rsid w:val="006D59EC"/>
    <w:rsid w:val="006E028B"/>
    <w:rsid w:val="006E2D5F"/>
    <w:rsid w:val="006E3187"/>
    <w:rsid w:val="006F5DAF"/>
    <w:rsid w:val="006F776B"/>
    <w:rsid w:val="00704159"/>
    <w:rsid w:val="00704998"/>
    <w:rsid w:val="007102B1"/>
    <w:rsid w:val="00710F80"/>
    <w:rsid w:val="007112A8"/>
    <w:rsid w:val="007163C1"/>
    <w:rsid w:val="0071692D"/>
    <w:rsid w:val="00724D78"/>
    <w:rsid w:val="0073209A"/>
    <w:rsid w:val="00741BE7"/>
    <w:rsid w:val="00743825"/>
    <w:rsid w:val="00743DE1"/>
    <w:rsid w:val="00745E77"/>
    <w:rsid w:val="0075289B"/>
    <w:rsid w:val="007529BC"/>
    <w:rsid w:val="00753D62"/>
    <w:rsid w:val="0075694F"/>
    <w:rsid w:val="00757C67"/>
    <w:rsid w:val="00760321"/>
    <w:rsid w:val="007605E7"/>
    <w:rsid w:val="007652D9"/>
    <w:rsid w:val="0076675E"/>
    <w:rsid w:val="0076689B"/>
    <w:rsid w:val="007671EE"/>
    <w:rsid w:val="00774642"/>
    <w:rsid w:val="007747CC"/>
    <w:rsid w:val="0077687F"/>
    <w:rsid w:val="00780BAC"/>
    <w:rsid w:val="007821E1"/>
    <w:rsid w:val="0078232C"/>
    <w:rsid w:val="00785120"/>
    <w:rsid w:val="00790EFB"/>
    <w:rsid w:val="00792442"/>
    <w:rsid w:val="007A222F"/>
    <w:rsid w:val="007A380A"/>
    <w:rsid w:val="007A608E"/>
    <w:rsid w:val="007A656C"/>
    <w:rsid w:val="007B1E6A"/>
    <w:rsid w:val="007B2F5D"/>
    <w:rsid w:val="007B4BC9"/>
    <w:rsid w:val="007B51BD"/>
    <w:rsid w:val="007C15D5"/>
    <w:rsid w:val="007C1CB8"/>
    <w:rsid w:val="007C6558"/>
    <w:rsid w:val="007D288E"/>
    <w:rsid w:val="007D2DDD"/>
    <w:rsid w:val="007D31DC"/>
    <w:rsid w:val="007D46A5"/>
    <w:rsid w:val="007D5969"/>
    <w:rsid w:val="007D6C0F"/>
    <w:rsid w:val="007E1F5A"/>
    <w:rsid w:val="007E3554"/>
    <w:rsid w:val="007E46E9"/>
    <w:rsid w:val="007E4803"/>
    <w:rsid w:val="007E5B4C"/>
    <w:rsid w:val="007E5E0C"/>
    <w:rsid w:val="007E6B2E"/>
    <w:rsid w:val="007E77C9"/>
    <w:rsid w:val="007F5FC6"/>
    <w:rsid w:val="00802DC7"/>
    <w:rsid w:val="00802DF9"/>
    <w:rsid w:val="008046E3"/>
    <w:rsid w:val="008063FE"/>
    <w:rsid w:val="00806A5C"/>
    <w:rsid w:val="00810C09"/>
    <w:rsid w:val="00811FAC"/>
    <w:rsid w:val="00813A47"/>
    <w:rsid w:val="00813C0F"/>
    <w:rsid w:val="00813C65"/>
    <w:rsid w:val="00813D59"/>
    <w:rsid w:val="00814796"/>
    <w:rsid w:val="00817957"/>
    <w:rsid w:val="0082687D"/>
    <w:rsid w:val="00826C04"/>
    <w:rsid w:val="00827100"/>
    <w:rsid w:val="0082777D"/>
    <w:rsid w:val="00827B18"/>
    <w:rsid w:val="00831611"/>
    <w:rsid w:val="00832084"/>
    <w:rsid w:val="008331BF"/>
    <w:rsid w:val="00834885"/>
    <w:rsid w:val="00835100"/>
    <w:rsid w:val="00835B92"/>
    <w:rsid w:val="00836520"/>
    <w:rsid w:val="00836CEE"/>
    <w:rsid w:val="00837375"/>
    <w:rsid w:val="00840177"/>
    <w:rsid w:val="00840686"/>
    <w:rsid w:val="00842589"/>
    <w:rsid w:val="008434F5"/>
    <w:rsid w:val="00843E55"/>
    <w:rsid w:val="00850F69"/>
    <w:rsid w:val="00855544"/>
    <w:rsid w:val="0085624C"/>
    <w:rsid w:val="008722C4"/>
    <w:rsid w:val="008723BB"/>
    <w:rsid w:val="00872C01"/>
    <w:rsid w:val="00875C0E"/>
    <w:rsid w:val="008773C6"/>
    <w:rsid w:val="008829A9"/>
    <w:rsid w:val="00882DFC"/>
    <w:rsid w:val="00883419"/>
    <w:rsid w:val="00883A4A"/>
    <w:rsid w:val="0088743C"/>
    <w:rsid w:val="008A0051"/>
    <w:rsid w:val="008A0388"/>
    <w:rsid w:val="008A6CB3"/>
    <w:rsid w:val="008B4F9E"/>
    <w:rsid w:val="008B5132"/>
    <w:rsid w:val="008B733A"/>
    <w:rsid w:val="008B7CE7"/>
    <w:rsid w:val="008C0F6D"/>
    <w:rsid w:val="008C1200"/>
    <w:rsid w:val="008C16F3"/>
    <w:rsid w:val="008C1D4F"/>
    <w:rsid w:val="008C2C5B"/>
    <w:rsid w:val="008C5269"/>
    <w:rsid w:val="008C7DA9"/>
    <w:rsid w:val="008D08B6"/>
    <w:rsid w:val="008D2ACD"/>
    <w:rsid w:val="008D4AD1"/>
    <w:rsid w:val="008D4EF2"/>
    <w:rsid w:val="008D6911"/>
    <w:rsid w:val="008E1154"/>
    <w:rsid w:val="008E12AC"/>
    <w:rsid w:val="008F0DE8"/>
    <w:rsid w:val="008F1147"/>
    <w:rsid w:val="008F351C"/>
    <w:rsid w:val="00914AFB"/>
    <w:rsid w:val="00915B55"/>
    <w:rsid w:val="009175BD"/>
    <w:rsid w:val="00920C96"/>
    <w:rsid w:val="00926FDF"/>
    <w:rsid w:val="00930364"/>
    <w:rsid w:val="00930603"/>
    <w:rsid w:val="00931B19"/>
    <w:rsid w:val="0093252B"/>
    <w:rsid w:val="009357C9"/>
    <w:rsid w:val="00935A6D"/>
    <w:rsid w:val="00940287"/>
    <w:rsid w:val="009433A7"/>
    <w:rsid w:val="009434DD"/>
    <w:rsid w:val="00947144"/>
    <w:rsid w:val="00964D8F"/>
    <w:rsid w:val="009655D6"/>
    <w:rsid w:val="00971D29"/>
    <w:rsid w:val="009724CD"/>
    <w:rsid w:val="00973D71"/>
    <w:rsid w:val="009749DC"/>
    <w:rsid w:val="00974C37"/>
    <w:rsid w:val="0097551A"/>
    <w:rsid w:val="00976B04"/>
    <w:rsid w:val="009801AC"/>
    <w:rsid w:val="00990717"/>
    <w:rsid w:val="0099141F"/>
    <w:rsid w:val="009921C7"/>
    <w:rsid w:val="009937FD"/>
    <w:rsid w:val="00994964"/>
    <w:rsid w:val="009952D9"/>
    <w:rsid w:val="00996F84"/>
    <w:rsid w:val="0099771A"/>
    <w:rsid w:val="00997F7A"/>
    <w:rsid w:val="009A02FC"/>
    <w:rsid w:val="009A0412"/>
    <w:rsid w:val="009A1240"/>
    <w:rsid w:val="009A65AD"/>
    <w:rsid w:val="009B001F"/>
    <w:rsid w:val="009B1761"/>
    <w:rsid w:val="009B4372"/>
    <w:rsid w:val="009C2BA0"/>
    <w:rsid w:val="009C2F9C"/>
    <w:rsid w:val="009D0009"/>
    <w:rsid w:val="009D340D"/>
    <w:rsid w:val="009D469C"/>
    <w:rsid w:val="009D601B"/>
    <w:rsid w:val="009D6BB9"/>
    <w:rsid w:val="009D75FE"/>
    <w:rsid w:val="009E03AE"/>
    <w:rsid w:val="009E1669"/>
    <w:rsid w:val="009E3222"/>
    <w:rsid w:val="009E5E0A"/>
    <w:rsid w:val="009E5EF6"/>
    <w:rsid w:val="009F16F1"/>
    <w:rsid w:val="00A00E08"/>
    <w:rsid w:val="00A02895"/>
    <w:rsid w:val="00A10C79"/>
    <w:rsid w:val="00A116F3"/>
    <w:rsid w:val="00A155AA"/>
    <w:rsid w:val="00A16803"/>
    <w:rsid w:val="00A203BB"/>
    <w:rsid w:val="00A20767"/>
    <w:rsid w:val="00A21545"/>
    <w:rsid w:val="00A26367"/>
    <w:rsid w:val="00A32B72"/>
    <w:rsid w:val="00A33F7C"/>
    <w:rsid w:val="00A40AF3"/>
    <w:rsid w:val="00A43E2E"/>
    <w:rsid w:val="00A50AA3"/>
    <w:rsid w:val="00A50CE8"/>
    <w:rsid w:val="00A52E33"/>
    <w:rsid w:val="00A53202"/>
    <w:rsid w:val="00A54F1C"/>
    <w:rsid w:val="00A55628"/>
    <w:rsid w:val="00A57732"/>
    <w:rsid w:val="00A62131"/>
    <w:rsid w:val="00A638CE"/>
    <w:rsid w:val="00A658D2"/>
    <w:rsid w:val="00A67DAB"/>
    <w:rsid w:val="00A70399"/>
    <w:rsid w:val="00A71125"/>
    <w:rsid w:val="00A80780"/>
    <w:rsid w:val="00A8376B"/>
    <w:rsid w:val="00A83D0C"/>
    <w:rsid w:val="00A85919"/>
    <w:rsid w:val="00A95274"/>
    <w:rsid w:val="00AA06BE"/>
    <w:rsid w:val="00AA1089"/>
    <w:rsid w:val="00AA11D9"/>
    <w:rsid w:val="00AA1E83"/>
    <w:rsid w:val="00AA2018"/>
    <w:rsid w:val="00AA24A7"/>
    <w:rsid w:val="00AA374D"/>
    <w:rsid w:val="00AB3974"/>
    <w:rsid w:val="00AB45D6"/>
    <w:rsid w:val="00AB5505"/>
    <w:rsid w:val="00AC0BF4"/>
    <w:rsid w:val="00AC0F38"/>
    <w:rsid w:val="00AC245D"/>
    <w:rsid w:val="00AD0961"/>
    <w:rsid w:val="00AD4109"/>
    <w:rsid w:val="00AD5B1C"/>
    <w:rsid w:val="00AE372E"/>
    <w:rsid w:val="00AE567A"/>
    <w:rsid w:val="00AE6286"/>
    <w:rsid w:val="00AE7D88"/>
    <w:rsid w:val="00AF07FF"/>
    <w:rsid w:val="00AF54F3"/>
    <w:rsid w:val="00AF58DC"/>
    <w:rsid w:val="00AF5CB1"/>
    <w:rsid w:val="00B00CD8"/>
    <w:rsid w:val="00B0260A"/>
    <w:rsid w:val="00B05610"/>
    <w:rsid w:val="00B07D15"/>
    <w:rsid w:val="00B211F7"/>
    <w:rsid w:val="00B215AB"/>
    <w:rsid w:val="00B30E59"/>
    <w:rsid w:val="00B4063D"/>
    <w:rsid w:val="00B41725"/>
    <w:rsid w:val="00B41ECA"/>
    <w:rsid w:val="00B43A7F"/>
    <w:rsid w:val="00B46E97"/>
    <w:rsid w:val="00B477FC"/>
    <w:rsid w:val="00B521E1"/>
    <w:rsid w:val="00B57809"/>
    <w:rsid w:val="00B578CD"/>
    <w:rsid w:val="00B57909"/>
    <w:rsid w:val="00B57FF8"/>
    <w:rsid w:val="00B63F64"/>
    <w:rsid w:val="00B67DBA"/>
    <w:rsid w:val="00B728F4"/>
    <w:rsid w:val="00B74548"/>
    <w:rsid w:val="00B76C72"/>
    <w:rsid w:val="00B77B07"/>
    <w:rsid w:val="00B8507B"/>
    <w:rsid w:val="00B851CA"/>
    <w:rsid w:val="00B873D6"/>
    <w:rsid w:val="00B9205E"/>
    <w:rsid w:val="00B95096"/>
    <w:rsid w:val="00B962AF"/>
    <w:rsid w:val="00BA1E6D"/>
    <w:rsid w:val="00BA7017"/>
    <w:rsid w:val="00BB0AA2"/>
    <w:rsid w:val="00BB1041"/>
    <w:rsid w:val="00BC47AC"/>
    <w:rsid w:val="00BC4810"/>
    <w:rsid w:val="00BD1653"/>
    <w:rsid w:val="00BD4815"/>
    <w:rsid w:val="00BD569F"/>
    <w:rsid w:val="00BE30A3"/>
    <w:rsid w:val="00BF1201"/>
    <w:rsid w:val="00BF1725"/>
    <w:rsid w:val="00BF26F1"/>
    <w:rsid w:val="00BF2901"/>
    <w:rsid w:val="00BF372C"/>
    <w:rsid w:val="00BF3F45"/>
    <w:rsid w:val="00BF5CF3"/>
    <w:rsid w:val="00C00482"/>
    <w:rsid w:val="00C01AD4"/>
    <w:rsid w:val="00C01D18"/>
    <w:rsid w:val="00C0328D"/>
    <w:rsid w:val="00C04084"/>
    <w:rsid w:val="00C079F1"/>
    <w:rsid w:val="00C07E1F"/>
    <w:rsid w:val="00C13B57"/>
    <w:rsid w:val="00C17B02"/>
    <w:rsid w:val="00C22CA9"/>
    <w:rsid w:val="00C27AA7"/>
    <w:rsid w:val="00C32670"/>
    <w:rsid w:val="00C34996"/>
    <w:rsid w:val="00C372D0"/>
    <w:rsid w:val="00C3798B"/>
    <w:rsid w:val="00C427DE"/>
    <w:rsid w:val="00C434E0"/>
    <w:rsid w:val="00C43C34"/>
    <w:rsid w:val="00C46CEB"/>
    <w:rsid w:val="00C5001F"/>
    <w:rsid w:val="00C536B9"/>
    <w:rsid w:val="00C55D5D"/>
    <w:rsid w:val="00C622D1"/>
    <w:rsid w:val="00C62420"/>
    <w:rsid w:val="00C62BB4"/>
    <w:rsid w:val="00C63765"/>
    <w:rsid w:val="00C64260"/>
    <w:rsid w:val="00C66B7E"/>
    <w:rsid w:val="00C66B9B"/>
    <w:rsid w:val="00C66DFE"/>
    <w:rsid w:val="00C70BD0"/>
    <w:rsid w:val="00C7319C"/>
    <w:rsid w:val="00C7353C"/>
    <w:rsid w:val="00C75710"/>
    <w:rsid w:val="00C758CA"/>
    <w:rsid w:val="00C75E22"/>
    <w:rsid w:val="00C76C2C"/>
    <w:rsid w:val="00C77BCC"/>
    <w:rsid w:val="00C8423F"/>
    <w:rsid w:val="00C84CB9"/>
    <w:rsid w:val="00C87947"/>
    <w:rsid w:val="00C87CAB"/>
    <w:rsid w:val="00C87CC3"/>
    <w:rsid w:val="00C925F1"/>
    <w:rsid w:val="00C93B1A"/>
    <w:rsid w:val="00CA1244"/>
    <w:rsid w:val="00CA1C3B"/>
    <w:rsid w:val="00CA4982"/>
    <w:rsid w:val="00CA72FD"/>
    <w:rsid w:val="00CB3AAE"/>
    <w:rsid w:val="00CB5035"/>
    <w:rsid w:val="00CB6781"/>
    <w:rsid w:val="00CC0262"/>
    <w:rsid w:val="00CC122E"/>
    <w:rsid w:val="00CC2AD8"/>
    <w:rsid w:val="00CC2F9A"/>
    <w:rsid w:val="00CD03C6"/>
    <w:rsid w:val="00CD4115"/>
    <w:rsid w:val="00CD45CE"/>
    <w:rsid w:val="00CD5474"/>
    <w:rsid w:val="00CD55ED"/>
    <w:rsid w:val="00CD5A94"/>
    <w:rsid w:val="00CE1116"/>
    <w:rsid w:val="00CE5C66"/>
    <w:rsid w:val="00CF02B1"/>
    <w:rsid w:val="00CF2667"/>
    <w:rsid w:val="00CF38A7"/>
    <w:rsid w:val="00CF3D50"/>
    <w:rsid w:val="00CF760A"/>
    <w:rsid w:val="00CF7745"/>
    <w:rsid w:val="00D00F73"/>
    <w:rsid w:val="00D0197C"/>
    <w:rsid w:val="00D0383B"/>
    <w:rsid w:val="00D056D2"/>
    <w:rsid w:val="00D05D08"/>
    <w:rsid w:val="00D07059"/>
    <w:rsid w:val="00D11E46"/>
    <w:rsid w:val="00D126BA"/>
    <w:rsid w:val="00D1787C"/>
    <w:rsid w:val="00D17A49"/>
    <w:rsid w:val="00D2093C"/>
    <w:rsid w:val="00D20F2C"/>
    <w:rsid w:val="00D21866"/>
    <w:rsid w:val="00D2196B"/>
    <w:rsid w:val="00D21B02"/>
    <w:rsid w:val="00D22CB5"/>
    <w:rsid w:val="00D239B2"/>
    <w:rsid w:val="00D339D5"/>
    <w:rsid w:val="00D37476"/>
    <w:rsid w:val="00D40665"/>
    <w:rsid w:val="00D40C50"/>
    <w:rsid w:val="00D43BD9"/>
    <w:rsid w:val="00D46454"/>
    <w:rsid w:val="00D50EED"/>
    <w:rsid w:val="00D547B3"/>
    <w:rsid w:val="00D551C8"/>
    <w:rsid w:val="00D570EF"/>
    <w:rsid w:val="00D617E2"/>
    <w:rsid w:val="00D63924"/>
    <w:rsid w:val="00D63D1D"/>
    <w:rsid w:val="00D6463D"/>
    <w:rsid w:val="00D64651"/>
    <w:rsid w:val="00D65BF8"/>
    <w:rsid w:val="00D8366B"/>
    <w:rsid w:val="00D86403"/>
    <w:rsid w:val="00D86F05"/>
    <w:rsid w:val="00D90C39"/>
    <w:rsid w:val="00D91EC3"/>
    <w:rsid w:val="00D93C58"/>
    <w:rsid w:val="00D93D2D"/>
    <w:rsid w:val="00DA089D"/>
    <w:rsid w:val="00DA1192"/>
    <w:rsid w:val="00DA2085"/>
    <w:rsid w:val="00DA4410"/>
    <w:rsid w:val="00DA6812"/>
    <w:rsid w:val="00DA7F79"/>
    <w:rsid w:val="00DB0114"/>
    <w:rsid w:val="00DB18A9"/>
    <w:rsid w:val="00DB2213"/>
    <w:rsid w:val="00DB659D"/>
    <w:rsid w:val="00DB65D6"/>
    <w:rsid w:val="00DB7AE2"/>
    <w:rsid w:val="00DC2C1B"/>
    <w:rsid w:val="00DC359C"/>
    <w:rsid w:val="00DC3B82"/>
    <w:rsid w:val="00DC40C1"/>
    <w:rsid w:val="00DC6172"/>
    <w:rsid w:val="00DC61CA"/>
    <w:rsid w:val="00DC69E5"/>
    <w:rsid w:val="00DD0238"/>
    <w:rsid w:val="00DD2B50"/>
    <w:rsid w:val="00DD5D5C"/>
    <w:rsid w:val="00DD7069"/>
    <w:rsid w:val="00DE1D6E"/>
    <w:rsid w:val="00DE25C1"/>
    <w:rsid w:val="00DE386F"/>
    <w:rsid w:val="00DE6F96"/>
    <w:rsid w:val="00DE71C9"/>
    <w:rsid w:val="00DF033E"/>
    <w:rsid w:val="00DF4112"/>
    <w:rsid w:val="00DF5BE6"/>
    <w:rsid w:val="00DF76AD"/>
    <w:rsid w:val="00E003F6"/>
    <w:rsid w:val="00E03A50"/>
    <w:rsid w:val="00E03E05"/>
    <w:rsid w:val="00E040A7"/>
    <w:rsid w:val="00E044EE"/>
    <w:rsid w:val="00E149BB"/>
    <w:rsid w:val="00E20719"/>
    <w:rsid w:val="00E279AB"/>
    <w:rsid w:val="00E3080D"/>
    <w:rsid w:val="00E30A86"/>
    <w:rsid w:val="00E30BAB"/>
    <w:rsid w:val="00E31F10"/>
    <w:rsid w:val="00E4247C"/>
    <w:rsid w:val="00E42C58"/>
    <w:rsid w:val="00E43C74"/>
    <w:rsid w:val="00E444DD"/>
    <w:rsid w:val="00E5302F"/>
    <w:rsid w:val="00E530C5"/>
    <w:rsid w:val="00E5751A"/>
    <w:rsid w:val="00E577F3"/>
    <w:rsid w:val="00E62B34"/>
    <w:rsid w:val="00E62E6B"/>
    <w:rsid w:val="00E63626"/>
    <w:rsid w:val="00E655F4"/>
    <w:rsid w:val="00E708F1"/>
    <w:rsid w:val="00E70F37"/>
    <w:rsid w:val="00E71850"/>
    <w:rsid w:val="00E71D28"/>
    <w:rsid w:val="00E731DD"/>
    <w:rsid w:val="00E7445D"/>
    <w:rsid w:val="00E75C55"/>
    <w:rsid w:val="00E7620F"/>
    <w:rsid w:val="00E77260"/>
    <w:rsid w:val="00E82EE5"/>
    <w:rsid w:val="00E85D98"/>
    <w:rsid w:val="00E969EB"/>
    <w:rsid w:val="00E96C5F"/>
    <w:rsid w:val="00E9746D"/>
    <w:rsid w:val="00EA19D9"/>
    <w:rsid w:val="00EA54D1"/>
    <w:rsid w:val="00EA55F6"/>
    <w:rsid w:val="00EA60AA"/>
    <w:rsid w:val="00EA6788"/>
    <w:rsid w:val="00EA7754"/>
    <w:rsid w:val="00EA7BA3"/>
    <w:rsid w:val="00EB104B"/>
    <w:rsid w:val="00EB1FCA"/>
    <w:rsid w:val="00EC1407"/>
    <w:rsid w:val="00EC2A0D"/>
    <w:rsid w:val="00EC42A5"/>
    <w:rsid w:val="00EC746B"/>
    <w:rsid w:val="00ED1971"/>
    <w:rsid w:val="00ED3F0C"/>
    <w:rsid w:val="00ED48B6"/>
    <w:rsid w:val="00ED4970"/>
    <w:rsid w:val="00ED5197"/>
    <w:rsid w:val="00ED7555"/>
    <w:rsid w:val="00ED758D"/>
    <w:rsid w:val="00ED7DA3"/>
    <w:rsid w:val="00EE056D"/>
    <w:rsid w:val="00EE1D21"/>
    <w:rsid w:val="00EE395B"/>
    <w:rsid w:val="00EE5A7B"/>
    <w:rsid w:val="00EF1ADF"/>
    <w:rsid w:val="00EF3966"/>
    <w:rsid w:val="00EF3C5D"/>
    <w:rsid w:val="00F033EF"/>
    <w:rsid w:val="00F04DE2"/>
    <w:rsid w:val="00F0780D"/>
    <w:rsid w:val="00F110EE"/>
    <w:rsid w:val="00F11F2F"/>
    <w:rsid w:val="00F215A2"/>
    <w:rsid w:val="00F21766"/>
    <w:rsid w:val="00F23388"/>
    <w:rsid w:val="00F32532"/>
    <w:rsid w:val="00F32E16"/>
    <w:rsid w:val="00F33739"/>
    <w:rsid w:val="00F342A2"/>
    <w:rsid w:val="00F34542"/>
    <w:rsid w:val="00F34D74"/>
    <w:rsid w:val="00F3541B"/>
    <w:rsid w:val="00F35AA5"/>
    <w:rsid w:val="00F362AE"/>
    <w:rsid w:val="00F4144C"/>
    <w:rsid w:val="00F41BAD"/>
    <w:rsid w:val="00F43777"/>
    <w:rsid w:val="00F4620C"/>
    <w:rsid w:val="00F468A9"/>
    <w:rsid w:val="00F47A67"/>
    <w:rsid w:val="00F5085E"/>
    <w:rsid w:val="00F51C19"/>
    <w:rsid w:val="00F54F56"/>
    <w:rsid w:val="00F550F0"/>
    <w:rsid w:val="00F60704"/>
    <w:rsid w:val="00F629DE"/>
    <w:rsid w:val="00F64D75"/>
    <w:rsid w:val="00F75525"/>
    <w:rsid w:val="00F762C0"/>
    <w:rsid w:val="00F80A62"/>
    <w:rsid w:val="00F82950"/>
    <w:rsid w:val="00F82DB3"/>
    <w:rsid w:val="00F82E8C"/>
    <w:rsid w:val="00F85963"/>
    <w:rsid w:val="00F86FC4"/>
    <w:rsid w:val="00F87CAF"/>
    <w:rsid w:val="00F87D69"/>
    <w:rsid w:val="00F9188A"/>
    <w:rsid w:val="00F92793"/>
    <w:rsid w:val="00F94319"/>
    <w:rsid w:val="00F9631E"/>
    <w:rsid w:val="00FA1B51"/>
    <w:rsid w:val="00FA4B13"/>
    <w:rsid w:val="00FA4D9F"/>
    <w:rsid w:val="00FB1DC3"/>
    <w:rsid w:val="00FB2ED0"/>
    <w:rsid w:val="00FB465C"/>
    <w:rsid w:val="00FB7488"/>
    <w:rsid w:val="00FC31E1"/>
    <w:rsid w:val="00FC3666"/>
    <w:rsid w:val="00FC4578"/>
    <w:rsid w:val="00FC47BC"/>
    <w:rsid w:val="00FC50BD"/>
    <w:rsid w:val="00FC574C"/>
    <w:rsid w:val="00FC7A15"/>
    <w:rsid w:val="00FD15BA"/>
    <w:rsid w:val="00FD165D"/>
    <w:rsid w:val="00FD2CC2"/>
    <w:rsid w:val="00FD604E"/>
    <w:rsid w:val="00FE2536"/>
    <w:rsid w:val="00FE28BC"/>
    <w:rsid w:val="00FE34FC"/>
    <w:rsid w:val="00FE651F"/>
    <w:rsid w:val="00FF6D80"/>
    <w:rsid w:val="01552A6F"/>
    <w:rsid w:val="01923464"/>
    <w:rsid w:val="03916D45"/>
    <w:rsid w:val="04FA6C19"/>
    <w:rsid w:val="062F6F76"/>
    <w:rsid w:val="06426448"/>
    <w:rsid w:val="06630C1E"/>
    <w:rsid w:val="06773169"/>
    <w:rsid w:val="076438BC"/>
    <w:rsid w:val="080D1148"/>
    <w:rsid w:val="080F525D"/>
    <w:rsid w:val="08C02EEE"/>
    <w:rsid w:val="08CA2016"/>
    <w:rsid w:val="08ED4B06"/>
    <w:rsid w:val="095C67F5"/>
    <w:rsid w:val="09C866DB"/>
    <w:rsid w:val="0ADE6CEC"/>
    <w:rsid w:val="0B132998"/>
    <w:rsid w:val="0B5A50E0"/>
    <w:rsid w:val="0B64573A"/>
    <w:rsid w:val="0B6B2702"/>
    <w:rsid w:val="0C060A3C"/>
    <w:rsid w:val="0C0A7117"/>
    <w:rsid w:val="0C7D5E6D"/>
    <w:rsid w:val="0D2C71ED"/>
    <w:rsid w:val="0D3F3404"/>
    <w:rsid w:val="0D7E7AFC"/>
    <w:rsid w:val="0E1D04CA"/>
    <w:rsid w:val="0EAF0955"/>
    <w:rsid w:val="0EEF7266"/>
    <w:rsid w:val="0FF96500"/>
    <w:rsid w:val="106B0914"/>
    <w:rsid w:val="11593FE0"/>
    <w:rsid w:val="1198130D"/>
    <w:rsid w:val="11E34665"/>
    <w:rsid w:val="122B185B"/>
    <w:rsid w:val="123F590B"/>
    <w:rsid w:val="12407AFC"/>
    <w:rsid w:val="12FC32AF"/>
    <w:rsid w:val="130146CE"/>
    <w:rsid w:val="131F0A4B"/>
    <w:rsid w:val="1382325E"/>
    <w:rsid w:val="13C768BD"/>
    <w:rsid w:val="140C3844"/>
    <w:rsid w:val="146568E6"/>
    <w:rsid w:val="14F14332"/>
    <w:rsid w:val="14F82D70"/>
    <w:rsid w:val="15222CBD"/>
    <w:rsid w:val="160475E3"/>
    <w:rsid w:val="161F6D9E"/>
    <w:rsid w:val="171A046D"/>
    <w:rsid w:val="17361A7C"/>
    <w:rsid w:val="17A20FCC"/>
    <w:rsid w:val="17A31E05"/>
    <w:rsid w:val="17F56B09"/>
    <w:rsid w:val="18261466"/>
    <w:rsid w:val="18666673"/>
    <w:rsid w:val="18AB22F0"/>
    <w:rsid w:val="191B0F82"/>
    <w:rsid w:val="192778CC"/>
    <w:rsid w:val="196244DE"/>
    <w:rsid w:val="19910389"/>
    <w:rsid w:val="19D80B64"/>
    <w:rsid w:val="1A324045"/>
    <w:rsid w:val="1A544FC7"/>
    <w:rsid w:val="1B02794B"/>
    <w:rsid w:val="1B71729F"/>
    <w:rsid w:val="1B79533C"/>
    <w:rsid w:val="1BA70F14"/>
    <w:rsid w:val="1BC25BC5"/>
    <w:rsid w:val="1C0B6F9A"/>
    <w:rsid w:val="1CA941C8"/>
    <w:rsid w:val="1CD300BD"/>
    <w:rsid w:val="1CE8263B"/>
    <w:rsid w:val="1CF32B0B"/>
    <w:rsid w:val="1DF648E5"/>
    <w:rsid w:val="1E183B86"/>
    <w:rsid w:val="1EE11A88"/>
    <w:rsid w:val="1F213C7F"/>
    <w:rsid w:val="1F9D111F"/>
    <w:rsid w:val="205E5A1A"/>
    <w:rsid w:val="2087583C"/>
    <w:rsid w:val="20A0122A"/>
    <w:rsid w:val="21815D7A"/>
    <w:rsid w:val="21D76EC7"/>
    <w:rsid w:val="21E24660"/>
    <w:rsid w:val="220F36D8"/>
    <w:rsid w:val="22404EB2"/>
    <w:rsid w:val="225E064A"/>
    <w:rsid w:val="22DC4D15"/>
    <w:rsid w:val="22EA5BA9"/>
    <w:rsid w:val="22F71CA9"/>
    <w:rsid w:val="2353559D"/>
    <w:rsid w:val="23624A09"/>
    <w:rsid w:val="23FE042F"/>
    <w:rsid w:val="244F58B7"/>
    <w:rsid w:val="248925F2"/>
    <w:rsid w:val="249D77AD"/>
    <w:rsid w:val="2512483F"/>
    <w:rsid w:val="25141EFB"/>
    <w:rsid w:val="26086958"/>
    <w:rsid w:val="27243731"/>
    <w:rsid w:val="27E21382"/>
    <w:rsid w:val="280538FD"/>
    <w:rsid w:val="28803760"/>
    <w:rsid w:val="28831404"/>
    <w:rsid w:val="289B697B"/>
    <w:rsid w:val="289F4848"/>
    <w:rsid w:val="291252F5"/>
    <w:rsid w:val="291B0132"/>
    <w:rsid w:val="291C7ECB"/>
    <w:rsid w:val="298A53B7"/>
    <w:rsid w:val="29AB1B35"/>
    <w:rsid w:val="29B945A1"/>
    <w:rsid w:val="2ADB23DC"/>
    <w:rsid w:val="2B9E2573"/>
    <w:rsid w:val="2C0E5FF7"/>
    <w:rsid w:val="2C5C394E"/>
    <w:rsid w:val="2C961A89"/>
    <w:rsid w:val="2D150035"/>
    <w:rsid w:val="2D270764"/>
    <w:rsid w:val="2D344476"/>
    <w:rsid w:val="2DCA7271"/>
    <w:rsid w:val="2E465462"/>
    <w:rsid w:val="2E4D4CDC"/>
    <w:rsid w:val="2E5F39AA"/>
    <w:rsid w:val="2E792F81"/>
    <w:rsid w:val="2F6075C9"/>
    <w:rsid w:val="2FD606E6"/>
    <w:rsid w:val="30705281"/>
    <w:rsid w:val="309B1741"/>
    <w:rsid w:val="30B94EED"/>
    <w:rsid w:val="30E762B0"/>
    <w:rsid w:val="32585158"/>
    <w:rsid w:val="32587A3E"/>
    <w:rsid w:val="32A16A9F"/>
    <w:rsid w:val="32D93F94"/>
    <w:rsid w:val="332C531B"/>
    <w:rsid w:val="33587F05"/>
    <w:rsid w:val="3370041B"/>
    <w:rsid w:val="33EF177A"/>
    <w:rsid w:val="363F6E33"/>
    <w:rsid w:val="37D37257"/>
    <w:rsid w:val="38F753F9"/>
    <w:rsid w:val="38FA4102"/>
    <w:rsid w:val="390A5B82"/>
    <w:rsid w:val="3923098D"/>
    <w:rsid w:val="39535AFD"/>
    <w:rsid w:val="397843FA"/>
    <w:rsid w:val="3A6B34DF"/>
    <w:rsid w:val="3ADA4AD5"/>
    <w:rsid w:val="3AF3146C"/>
    <w:rsid w:val="3AF619E9"/>
    <w:rsid w:val="3AFD7607"/>
    <w:rsid w:val="3BF2171A"/>
    <w:rsid w:val="3C0A61C8"/>
    <w:rsid w:val="3C5B1A8A"/>
    <w:rsid w:val="3C6E4A7B"/>
    <w:rsid w:val="3C8C43FB"/>
    <w:rsid w:val="3C96684A"/>
    <w:rsid w:val="3CD12A21"/>
    <w:rsid w:val="3D0B6DF2"/>
    <w:rsid w:val="3D11394A"/>
    <w:rsid w:val="3D6F6976"/>
    <w:rsid w:val="3DB745C5"/>
    <w:rsid w:val="3DFF0792"/>
    <w:rsid w:val="3E295A72"/>
    <w:rsid w:val="3E5D7E4D"/>
    <w:rsid w:val="3ED97433"/>
    <w:rsid w:val="3F23568A"/>
    <w:rsid w:val="3F961F67"/>
    <w:rsid w:val="3FCA4867"/>
    <w:rsid w:val="3FE17E5A"/>
    <w:rsid w:val="403B4591"/>
    <w:rsid w:val="404E6F17"/>
    <w:rsid w:val="40F7143D"/>
    <w:rsid w:val="41114FEF"/>
    <w:rsid w:val="413E240E"/>
    <w:rsid w:val="413E31CC"/>
    <w:rsid w:val="417640FB"/>
    <w:rsid w:val="41C66430"/>
    <w:rsid w:val="433268C5"/>
    <w:rsid w:val="43426F73"/>
    <w:rsid w:val="43833DAA"/>
    <w:rsid w:val="438C6DC9"/>
    <w:rsid w:val="439265B7"/>
    <w:rsid w:val="43B00752"/>
    <w:rsid w:val="454B46D5"/>
    <w:rsid w:val="45632600"/>
    <w:rsid w:val="45F1506B"/>
    <w:rsid w:val="45FF2494"/>
    <w:rsid w:val="462043F0"/>
    <w:rsid w:val="465C3A8C"/>
    <w:rsid w:val="4663502F"/>
    <w:rsid w:val="467303AA"/>
    <w:rsid w:val="46A67CCD"/>
    <w:rsid w:val="46D666F5"/>
    <w:rsid w:val="46E37060"/>
    <w:rsid w:val="47003CF8"/>
    <w:rsid w:val="47162175"/>
    <w:rsid w:val="47620E05"/>
    <w:rsid w:val="479B34E2"/>
    <w:rsid w:val="484D5A03"/>
    <w:rsid w:val="485111C8"/>
    <w:rsid w:val="48E011B6"/>
    <w:rsid w:val="48F56F3A"/>
    <w:rsid w:val="49274B88"/>
    <w:rsid w:val="4957664D"/>
    <w:rsid w:val="496716DE"/>
    <w:rsid w:val="4A094ECF"/>
    <w:rsid w:val="4A5A1B1E"/>
    <w:rsid w:val="4B1D10A8"/>
    <w:rsid w:val="4C011F40"/>
    <w:rsid w:val="4C1A24A9"/>
    <w:rsid w:val="4C2F5D32"/>
    <w:rsid w:val="4C434728"/>
    <w:rsid w:val="4CB26505"/>
    <w:rsid w:val="4CCD2599"/>
    <w:rsid w:val="4CE044FE"/>
    <w:rsid w:val="4D067BDA"/>
    <w:rsid w:val="4D130CBA"/>
    <w:rsid w:val="4D493511"/>
    <w:rsid w:val="4DBA721B"/>
    <w:rsid w:val="4DE73903"/>
    <w:rsid w:val="4DF9234A"/>
    <w:rsid w:val="4E6B65D0"/>
    <w:rsid w:val="4E9B6B98"/>
    <w:rsid w:val="4F1F652A"/>
    <w:rsid w:val="4F4E7771"/>
    <w:rsid w:val="4FB93EA6"/>
    <w:rsid w:val="4FE3195F"/>
    <w:rsid w:val="50730F5C"/>
    <w:rsid w:val="50901D37"/>
    <w:rsid w:val="50DA2222"/>
    <w:rsid w:val="50EE3679"/>
    <w:rsid w:val="50FE2CAF"/>
    <w:rsid w:val="5101761D"/>
    <w:rsid w:val="5115316A"/>
    <w:rsid w:val="513962B1"/>
    <w:rsid w:val="51B6406B"/>
    <w:rsid w:val="51C573F0"/>
    <w:rsid w:val="51C91F28"/>
    <w:rsid w:val="525002C2"/>
    <w:rsid w:val="52A821D9"/>
    <w:rsid w:val="52C852E9"/>
    <w:rsid w:val="52CE5D2E"/>
    <w:rsid w:val="52D652CF"/>
    <w:rsid w:val="52FB448E"/>
    <w:rsid w:val="53066390"/>
    <w:rsid w:val="535F5631"/>
    <w:rsid w:val="53A614D9"/>
    <w:rsid w:val="53C12AEE"/>
    <w:rsid w:val="542832F1"/>
    <w:rsid w:val="54684218"/>
    <w:rsid w:val="55374982"/>
    <w:rsid w:val="556F5BD1"/>
    <w:rsid w:val="55732362"/>
    <w:rsid w:val="55FB1A97"/>
    <w:rsid w:val="5605229D"/>
    <w:rsid w:val="569506DE"/>
    <w:rsid w:val="56CF29E7"/>
    <w:rsid w:val="56EC11C5"/>
    <w:rsid w:val="573D74A8"/>
    <w:rsid w:val="57515EC0"/>
    <w:rsid w:val="577248F6"/>
    <w:rsid w:val="58010B74"/>
    <w:rsid w:val="58BD6122"/>
    <w:rsid w:val="58CF1518"/>
    <w:rsid w:val="59103F70"/>
    <w:rsid w:val="595B1DCA"/>
    <w:rsid w:val="59792962"/>
    <w:rsid w:val="5AD6618C"/>
    <w:rsid w:val="5B213AB3"/>
    <w:rsid w:val="5B2257CC"/>
    <w:rsid w:val="5BF94A81"/>
    <w:rsid w:val="5BFB3908"/>
    <w:rsid w:val="5C027760"/>
    <w:rsid w:val="5C497367"/>
    <w:rsid w:val="5C744011"/>
    <w:rsid w:val="5CF07365"/>
    <w:rsid w:val="5DD36138"/>
    <w:rsid w:val="5EB57D9B"/>
    <w:rsid w:val="5ED313E5"/>
    <w:rsid w:val="5F591D85"/>
    <w:rsid w:val="5F837E3A"/>
    <w:rsid w:val="60F034DF"/>
    <w:rsid w:val="61236D40"/>
    <w:rsid w:val="61270EAC"/>
    <w:rsid w:val="61411D16"/>
    <w:rsid w:val="619B39D9"/>
    <w:rsid w:val="62BC62CC"/>
    <w:rsid w:val="62D34CAC"/>
    <w:rsid w:val="633728C4"/>
    <w:rsid w:val="633B737E"/>
    <w:rsid w:val="63FF3E19"/>
    <w:rsid w:val="640D2319"/>
    <w:rsid w:val="652961C2"/>
    <w:rsid w:val="653B1F87"/>
    <w:rsid w:val="65913E9A"/>
    <w:rsid w:val="6592680B"/>
    <w:rsid w:val="659356F5"/>
    <w:rsid w:val="66207974"/>
    <w:rsid w:val="66B56100"/>
    <w:rsid w:val="67032F48"/>
    <w:rsid w:val="67380819"/>
    <w:rsid w:val="67511929"/>
    <w:rsid w:val="67A73CA6"/>
    <w:rsid w:val="67C046F8"/>
    <w:rsid w:val="67DB3494"/>
    <w:rsid w:val="683C2950"/>
    <w:rsid w:val="684616A1"/>
    <w:rsid w:val="686821E7"/>
    <w:rsid w:val="68C752CE"/>
    <w:rsid w:val="693A577B"/>
    <w:rsid w:val="6A190CF6"/>
    <w:rsid w:val="6B216BB3"/>
    <w:rsid w:val="6B773800"/>
    <w:rsid w:val="6BD44F63"/>
    <w:rsid w:val="6BF356AF"/>
    <w:rsid w:val="6D7F3EED"/>
    <w:rsid w:val="6E2403D7"/>
    <w:rsid w:val="6E5E28E6"/>
    <w:rsid w:val="6EA87E2D"/>
    <w:rsid w:val="6EAA6FE7"/>
    <w:rsid w:val="6EAF42C9"/>
    <w:rsid w:val="6EB97B88"/>
    <w:rsid w:val="6F0C4ADA"/>
    <w:rsid w:val="6F8603B2"/>
    <w:rsid w:val="6FD23052"/>
    <w:rsid w:val="6FDD5ED1"/>
    <w:rsid w:val="70A60719"/>
    <w:rsid w:val="71481644"/>
    <w:rsid w:val="716A47BF"/>
    <w:rsid w:val="728E0FAB"/>
    <w:rsid w:val="72B51DBD"/>
    <w:rsid w:val="73377537"/>
    <w:rsid w:val="73504AE4"/>
    <w:rsid w:val="735C0076"/>
    <w:rsid w:val="73B541A8"/>
    <w:rsid w:val="73C20D43"/>
    <w:rsid w:val="73D90C8E"/>
    <w:rsid w:val="746D09D0"/>
    <w:rsid w:val="748C233C"/>
    <w:rsid w:val="74B8252C"/>
    <w:rsid w:val="74BF2213"/>
    <w:rsid w:val="74EA02FA"/>
    <w:rsid w:val="74EF7721"/>
    <w:rsid w:val="75DA52C9"/>
    <w:rsid w:val="75DE13F7"/>
    <w:rsid w:val="76281F8B"/>
    <w:rsid w:val="762F6035"/>
    <w:rsid w:val="76C3690D"/>
    <w:rsid w:val="775563BC"/>
    <w:rsid w:val="782B4B38"/>
    <w:rsid w:val="78924F44"/>
    <w:rsid w:val="78AA39D2"/>
    <w:rsid w:val="78CA0374"/>
    <w:rsid w:val="794D59AD"/>
    <w:rsid w:val="7AE76DDD"/>
    <w:rsid w:val="7B3C1A51"/>
    <w:rsid w:val="7B5D4B1E"/>
    <w:rsid w:val="7BFD08B8"/>
    <w:rsid w:val="7C712A1A"/>
    <w:rsid w:val="7D154AB1"/>
    <w:rsid w:val="7D171DB8"/>
    <w:rsid w:val="7E883664"/>
    <w:rsid w:val="7F3630BD"/>
    <w:rsid w:val="7F800B40"/>
    <w:rsid w:val="7FA46028"/>
    <w:rsid w:val="7FEC7D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Noto Sans Mono CJK JP Regular" w:hAnsi="Noto Sans Mono CJK JP Regular" w:eastAsia="Noto Sans Mono CJK JP Regular" w:cs="Noto Sans Mono CJK JP Regular"/>
      <w:sz w:val="22"/>
      <w:szCs w:val="22"/>
      <w:lang w:val="zh-CN" w:eastAsia="zh-CN" w:bidi="zh-CN"/>
    </w:rPr>
  </w:style>
  <w:style w:type="paragraph" w:styleId="5">
    <w:name w:val="heading 1"/>
    <w:basedOn w:val="1"/>
    <w:next w:val="1"/>
    <w:link w:val="67"/>
    <w:qFormat/>
    <w:uiPriority w:val="0"/>
    <w:pPr>
      <w:spacing w:line="580" w:lineRule="exact"/>
      <w:outlineLvl w:val="0"/>
    </w:pPr>
    <w:rPr>
      <w:sz w:val="32"/>
      <w:szCs w:val="32"/>
    </w:rPr>
  </w:style>
  <w:style w:type="paragraph" w:styleId="6">
    <w:name w:val="heading 2"/>
    <w:basedOn w:val="1"/>
    <w:next w:val="1"/>
    <w:link w:val="104"/>
    <w:qFormat/>
    <w:uiPriority w:val="0"/>
    <w:pPr>
      <w:spacing w:line="521" w:lineRule="exact"/>
      <w:jc w:val="center"/>
      <w:outlineLvl w:val="1"/>
    </w:pPr>
    <w:rPr>
      <w:sz w:val="28"/>
      <w:szCs w:val="28"/>
    </w:rPr>
  </w:style>
  <w:style w:type="paragraph" w:styleId="7">
    <w:name w:val="heading 3"/>
    <w:basedOn w:val="1"/>
    <w:next w:val="8"/>
    <w:link w:val="61"/>
    <w:unhideWhenUsed/>
    <w:qFormat/>
    <w:uiPriority w:val="0"/>
    <w:pPr>
      <w:keepNext/>
      <w:keepLines/>
      <w:spacing w:before="260" w:after="260" w:line="416" w:lineRule="auto"/>
      <w:outlineLvl w:val="2"/>
    </w:pPr>
    <w:rPr>
      <w:b/>
      <w:bCs/>
      <w:sz w:val="32"/>
      <w:szCs w:val="32"/>
    </w:rPr>
  </w:style>
  <w:style w:type="paragraph" w:styleId="9">
    <w:name w:val="heading 4"/>
    <w:basedOn w:val="1"/>
    <w:next w:val="1"/>
    <w:link w:val="72"/>
    <w:qFormat/>
    <w:uiPriority w:val="9"/>
    <w:pPr>
      <w:keepNext/>
      <w:keepLines/>
      <w:autoSpaceDE/>
      <w:autoSpaceDN/>
      <w:spacing w:before="280" w:after="290" w:line="376" w:lineRule="auto"/>
      <w:jc w:val="both"/>
      <w:outlineLvl w:val="3"/>
    </w:pPr>
    <w:rPr>
      <w:rFonts w:ascii="Cambria" w:hAnsi="Cambria" w:eastAsia="宋体" w:cs="Times New Roman"/>
      <w:b/>
      <w:bCs/>
      <w:kern w:val="2"/>
      <w:sz w:val="28"/>
      <w:szCs w:val="28"/>
      <w:lang w:bidi="ar-SA"/>
    </w:rPr>
  </w:style>
  <w:style w:type="paragraph" w:styleId="10">
    <w:name w:val="heading 6"/>
    <w:basedOn w:val="1"/>
    <w:next w:val="1"/>
    <w:link w:val="73"/>
    <w:qFormat/>
    <w:uiPriority w:val="0"/>
    <w:pPr>
      <w:keepNext/>
      <w:keepLines/>
      <w:autoSpaceDE/>
      <w:autoSpaceDN/>
      <w:adjustRightInd w:val="0"/>
      <w:snapToGrid w:val="0"/>
      <w:spacing w:before="240" w:after="64" w:line="320" w:lineRule="auto"/>
      <w:outlineLvl w:val="5"/>
    </w:pPr>
    <w:rPr>
      <w:rFonts w:ascii="Arial" w:hAnsi="Arial" w:eastAsia="黑体" w:cs="Times New Roman"/>
      <w:b/>
      <w:bCs/>
      <w:kern w:val="2"/>
      <w:sz w:val="24"/>
      <w:szCs w:val="24"/>
      <w:lang w:bidi="ar-SA"/>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ascii="宋体"/>
      <w:szCs w:val="20"/>
    </w:rPr>
  </w:style>
  <w:style w:type="paragraph" w:styleId="3">
    <w:name w:val="Body Text Indent"/>
    <w:basedOn w:val="1"/>
    <w:next w:val="4"/>
    <w:link w:val="63"/>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next w:val="1"/>
    <w:link w:val="75"/>
    <w:qFormat/>
    <w:uiPriority w:val="0"/>
    <w:pPr>
      <w:autoSpaceDE/>
      <w:autoSpaceDN/>
      <w:spacing w:before="100" w:beforeAutospacing="1" w:after="100" w:afterAutospacing="1" w:line="360" w:lineRule="auto"/>
      <w:ind w:firstLine="482"/>
      <w:jc w:val="both"/>
    </w:pPr>
    <w:rPr>
      <w:rFonts w:ascii="Arial" w:hAnsi="Arial" w:eastAsia="宋体" w:cs="Times New Roman"/>
      <w:kern w:val="2"/>
      <w:sz w:val="24"/>
      <w:szCs w:val="20"/>
      <w:lang w:val="en-US" w:bidi="ar-SA"/>
    </w:rPr>
  </w:style>
  <w:style w:type="paragraph" w:styleId="11">
    <w:name w:val="toc 7"/>
    <w:basedOn w:val="1"/>
    <w:next w:val="1"/>
    <w:qFormat/>
    <w:uiPriority w:val="0"/>
    <w:pPr>
      <w:autoSpaceDE/>
      <w:autoSpaceDN/>
      <w:adjustRightInd w:val="0"/>
      <w:snapToGrid w:val="0"/>
      <w:spacing w:line="360" w:lineRule="auto"/>
      <w:ind w:left="1260"/>
    </w:pPr>
    <w:rPr>
      <w:rFonts w:ascii="Times New Roman" w:hAnsi="Times New Roman" w:eastAsia="宋体" w:cs="Times New Roman"/>
      <w:kern w:val="2"/>
      <w:sz w:val="18"/>
      <w:szCs w:val="20"/>
      <w:lang w:val="en-US" w:bidi="ar-SA"/>
    </w:rPr>
  </w:style>
  <w:style w:type="paragraph" w:styleId="12">
    <w:name w:val="caption"/>
    <w:basedOn w:val="1"/>
    <w:next w:val="1"/>
    <w:qFormat/>
    <w:uiPriority w:val="0"/>
    <w:pPr>
      <w:autoSpaceDE/>
      <w:autoSpaceDN/>
      <w:adjustRightInd w:val="0"/>
      <w:snapToGrid w:val="0"/>
      <w:spacing w:line="360" w:lineRule="auto"/>
    </w:pPr>
    <w:rPr>
      <w:rFonts w:ascii="Arial" w:hAnsi="Arial" w:eastAsia="黑体" w:cs="Times New Roman"/>
      <w:kern w:val="2"/>
      <w:sz w:val="20"/>
      <w:szCs w:val="20"/>
      <w:lang w:val="en-US" w:bidi="ar-SA"/>
    </w:rPr>
  </w:style>
  <w:style w:type="paragraph" w:styleId="13">
    <w:name w:val="index 5"/>
    <w:basedOn w:val="14"/>
    <w:next w:val="14"/>
    <w:unhideWhenUsed/>
    <w:qFormat/>
    <w:uiPriority w:val="99"/>
    <w:pPr>
      <w:ind w:left="1680"/>
    </w:pPr>
  </w:style>
  <w:style w:type="paragraph" w:customStyle="1" w:styleId="14">
    <w:name w:val="正文_1"/>
    <w:next w:val="15"/>
    <w:qFormat/>
    <w:uiPriority w:val="0"/>
    <w:pPr>
      <w:widowControl w:val="0"/>
      <w:jc w:val="both"/>
    </w:pPr>
    <w:rPr>
      <w:rFonts w:ascii="Calibri" w:hAnsi="Calibri" w:eastAsia="宋体" w:cs="Times New Roman"/>
      <w:kern w:val="2"/>
      <w:sz w:val="21"/>
      <w:szCs w:val="22"/>
      <w:lang w:val="en-US" w:eastAsia="zh-CN" w:bidi="ar-SA"/>
    </w:rPr>
  </w:style>
  <w:style w:type="paragraph" w:styleId="15">
    <w:name w:val="footnote text"/>
    <w:basedOn w:val="1"/>
    <w:next w:val="13"/>
    <w:link w:val="84"/>
    <w:unhideWhenUsed/>
    <w:qFormat/>
    <w:uiPriority w:val="99"/>
    <w:pPr>
      <w:autoSpaceDE/>
      <w:autoSpaceDN/>
      <w:snapToGrid w:val="0"/>
    </w:pPr>
    <w:rPr>
      <w:rFonts w:ascii="Calibri" w:hAnsi="Calibri" w:eastAsia="宋体" w:cs="Times New Roman"/>
      <w:kern w:val="2"/>
      <w:sz w:val="18"/>
      <w:szCs w:val="18"/>
      <w:lang w:bidi="ar-SA"/>
    </w:rPr>
  </w:style>
  <w:style w:type="paragraph" w:styleId="16">
    <w:name w:val="Document Map"/>
    <w:basedOn w:val="1"/>
    <w:link w:val="222"/>
    <w:semiHidden/>
    <w:unhideWhenUsed/>
    <w:qFormat/>
    <w:uiPriority w:val="99"/>
    <w:rPr>
      <w:rFonts w:ascii="宋体" w:eastAsia="宋体"/>
      <w:sz w:val="18"/>
      <w:szCs w:val="18"/>
    </w:rPr>
  </w:style>
  <w:style w:type="paragraph" w:styleId="17">
    <w:name w:val="toa heading"/>
    <w:basedOn w:val="1"/>
    <w:next w:val="1"/>
    <w:qFormat/>
    <w:uiPriority w:val="0"/>
    <w:pPr>
      <w:widowControl w:val="0"/>
      <w:adjustRightInd/>
      <w:snapToGrid/>
      <w:spacing w:before="120" w:after="0"/>
      <w:jc w:val="both"/>
    </w:pPr>
    <w:rPr>
      <w:rFonts w:ascii="Cambria" w:hAnsi="Cambria"/>
      <w:sz w:val="28"/>
    </w:rPr>
  </w:style>
  <w:style w:type="paragraph" w:styleId="18">
    <w:name w:val="annotation text"/>
    <w:basedOn w:val="1"/>
    <w:link w:val="81"/>
    <w:qFormat/>
    <w:uiPriority w:val="0"/>
    <w:pPr>
      <w:autoSpaceDE/>
      <w:autoSpaceDN/>
    </w:pPr>
    <w:rPr>
      <w:rFonts w:ascii="Times New Roman" w:hAnsi="Times New Roman" w:eastAsia="宋体" w:cs="Times New Roman"/>
      <w:kern w:val="2"/>
      <w:sz w:val="21"/>
      <w:szCs w:val="24"/>
      <w:lang w:bidi="ar-SA"/>
    </w:rPr>
  </w:style>
  <w:style w:type="paragraph" w:styleId="19">
    <w:name w:val="Body Text"/>
    <w:basedOn w:val="1"/>
    <w:next w:val="1"/>
    <w:link w:val="88"/>
    <w:qFormat/>
    <w:uiPriority w:val="0"/>
    <w:pPr>
      <w:ind w:left="528"/>
    </w:pPr>
    <w:rPr>
      <w:sz w:val="24"/>
      <w:szCs w:val="24"/>
    </w:rPr>
  </w:style>
  <w:style w:type="paragraph" w:styleId="20">
    <w:name w:val="toc 5"/>
    <w:basedOn w:val="1"/>
    <w:next w:val="1"/>
    <w:qFormat/>
    <w:uiPriority w:val="0"/>
    <w:pPr>
      <w:autoSpaceDE/>
      <w:autoSpaceDN/>
      <w:adjustRightInd w:val="0"/>
      <w:snapToGrid w:val="0"/>
      <w:spacing w:line="360" w:lineRule="auto"/>
      <w:ind w:left="840"/>
    </w:pPr>
    <w:rPr>
      <w:rFonts w:ascii="Times New Roman" w:hAnsi="Times New Roman" w:eastAsia="宋体" w:cs="Times New Roman"/>
      <w:kern w:val="2"/>
      <w:sz w:val="18"/>
      <w:szCs w:val="20"/>
      <w:lang w:val="en-US" w:bidi="ar-SA"/>
    </w:rPr>
  </w:style>
  <w:style w:type="paragraph" w:styleId="21">
    <w:name w:val="toc 3"/>
    <w:basedOn w:val="1"/>
    <w:next w:val="1"/>
    <w:qFormat/>
    <w:uiPriority w:val="0"/>
    <w:pPr>
      <w:autoSpaceDE/>
      <w:autoSpaceDN/>
      <w:adjustRightInd w:val="0"/>
      <w:snapToGrid w:val="0"/>
      <w:spacing w:line="360" w:lineRule="auto"/>
      <w:ind w:left="420"/>
    </w:pPr>
    <w:rPr>
      <w:rFonts w:ascii="Times New Roman" w:hAnsi="Times New Roman" w:eastAsia="宋体" w:cs="Times New Roman"/>
      <w:i/>
      <w:kern w:val="2"/>
      <w:sz w:val="20"/>
      <w:szCs w:val="20"/>
      <w:lang w:val="en-US" w:bidi="ar-SA"/>
    </w:rPr>
  </w:style>
  <w:style w:type="paragraph" w:styleId="22">
    <w:name w:val="Plain Text"/>
    <w:basedOn w:val="1"/>
    <w:link w:val="59"/>
    <w:qFormat/>
    <w:uiPriority w:val="0"/>
    <w:pPr>
      <w:autoSpaceDE/>
      <w:autoSpaceDN/>
      <w:jc w:val="both"/>
    </w:pPr>
    <w:rPr>
      <w:rFonts w:ascii="宋体" w:hAnsi="Courier New" w:eastAsia="宋体" w:cstheme="minorBidi"/>
      <w:kern w:val="2"/>
      <w:sz w:val="21"/>
      <w:lang w:val="en-US" w:bidi="ar-SA"/>
    </w:rPr>
  </w:style>
  <w:style w:type="paragraph" w:styleId="23">
    <w:name w:val="toc 8"/>
    <w:basedOn w:val="1"/>
    <w:next w:val="1"/>
    <w:qFormat/>
    <w:uiPriority w:val="0"/>
    <w:pPr>
      <w:autoSpaceDE/>
      <w:autoSpaceDN/>
      <w:adjustRightInd w:val="0"/>
      <w:snapToGrid w:val="0"/>
      <w:spacing w:line="360" w:lineRule="auto"/>
      <w:ind w:left="1470"/>
    </w:pPr>
    <w:rPr>
      <w:rFonts w:ascii="Times New Roman" w:hAnsi="Times New Roman" w:eastAsia="宋体" w:cs="Times New Roman"/>
      <w:kern w:val="2"/>
      <w:sz w:val="18"/>
      <w:szCs w:val="20"/>
      <w:lang w:val="en-US" w:bidi="ar-SA"/>
    </w:rPr>
  </w:style>
  <w:style w:type="paragraph" w:styleId="24">
    <w:name w:val="Date"/>
    <w:basedOn w:val="1"/>
    <w:next w:val="1"/>
    <w:link w:val="122"/>
    <w:qFormat/>
    <w:uiPriority w:val="0"/>
    <w:pPr>
      <w:autoSpaceDE/>
      <w:autoSpaceDN/>
      <w:adjustRightInd w:val="0"/>
      <w:snapToGrid w:val="0"/>
      <w:spacing w:line="360" w:lineRule="auto"/>
      <w:ind w:left="100" w:leftChars="2500"/>
    </w:pPr>
    <w:rPr>
      <w:rFonts w:ascii="Times New Roman" w:hAnsi="Times New Roman" w:eastAsia="宋体" w:cs="Times New Roman"/>
      <w:kern w:val="2"/>
      <w:sz w:val="24"/>
      <w:szCs w:val="20"/>
      <w:lang w:bidi="ar-SA"/>
    </w:rPr>
  </w:style>
  <w:style w:type="paragraph" w:styleId="25">
    <w:name w:val="Body Text Indent 2"/>
    <w:basedOn w:val="1"/>
    <w:link w:val="62"/>
    <w:unhideWhenUsed/>
    <w:qFormat/>
    <w:uiPriority w:val="0"/>
    <w:pPr>
      <w:spacing w:after="120" w:line="480" w:lineRule="auto"/>
      <w:ind w:left="420" w:leftChars="200"/>
    </w:pPr>
  </w:style>
  <w:style w:type="paragraph" w:styleId="26">
    <w:name w:val="Balloon Text"/>
    <w:basedOn w:val="1"/>
    <w:link w:val="58"/>
    <w:unhideWhenUsed/>
    <w:qFormat/>
    <w:uiPriority w:val="99"/>
    <w:rPr>
      <w:sz w:val="18"/>
      <w:szCs w:val="18"/>
    </w:rPr>
  </w:style>
  <w:style w:type="paragraph" w:styleId="27">
    <w:name w:val="footer"/>
    <w:basedOn w:val="1"/>
    <w:link w:val="57"/>
    <w:unhideWhenUsed/>
    <w:qFormat/>
    <w:uiPriority w:val="99"/>
    <w:pPr>
      <w:tabs>
        <w:tab w:val="center" w:pos="4153"/>
        <w:tab w:val="right" w:pos="8306"/>
      </w:tabs>
      <w:snapToGrid w:val="0"/>
    </w:pPr>
    <w:rPr>
      <w:sz w:val="18"/>
      <w:szCs w:val="18"/>
    </w:rPr>
  </w:style>
  <w:style w:type="paragraph" w:styleId="28">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autoSpaceDE/>
      <w:autoSpaceDN/>
      <w:adjustRightInd w:val="0"/>
      <w:snapToGrid w:val="0"/>
      <w:spacing w:before="120" w:after="120" w:line="360" w:lineRule="auto"/>
    </w:pPr>
    <w:rPr>
      <w:rFonts w:ascii="Times New Roman" w:hAnsi="Times New Roman" w:eastAsia="宋体" w:cs="Times New Roman"/>
      <w:b/>
      <w:caps/>
      <w:kern w:val="2"/>
      <w:sz w:val="20"/>
      <w:szCs w:val="20"/>
      <w:lang w:val="en-US" w:bidi="ar-SA"/>
    </w:rPr>
  </w:style>
  <w:style w:type="paragraph" w:styleId="30">
    <w:name w:val="toc 4"/>
    <w:basedOn w:val="1"/>
    <w:next w:val="1"/>
    <w:qFormat/>
    <w:uiPriority w:val="0"/>
    <w:pPr>
      <w:autoSpaceDE/>
      <w:autoSpaceDN/>
      <w:adjustRightInd w:val="0"/>
      <w:snapToGrid w:val="0"/>
      <w:spacing w:line="360" w:lineRule="auto"/>
      <w:ind w:left="630"/>
    </w:pPr>
    <w:rPr>
      <w:rFonts w:ascii="Times New Roman" w:hAnsi="Times New Roman" w:eastAsia="宋体" w:cs="Times New Roman"/>
      <w:kern w:val="2"/>
      <w:sz w:val="18"/>
      <w:szCs w:val="20"/>
      <w:lang w:val="en-US" w:bidi="ar-SA"/>
    </w:rPr>
  </w:style>
  <w:style w:type="paragraph" w:styleId="31">
    <w:name w:val="Subtitle"/>
    <w:basedOn w:val="1"/>
    <w:next w:val="1"/>
    <w:link w:val="128"/>
    <w:qFormat/>
    <w:uiPriority w:val="0"/>
    <w:pPr>
      <w:widowControl/>
      <w:autoSpaceDE/>
      <w:autoSpaceDN/>
      <w:adjustRightInd w:val="0"/>
      <w:snapToGrid w:val="0"/>
      <w:spacing w:after="60" w:line="360" w:lineRule="auto"/>
      <w:jc w:val="center"/>
      <w:outlineLvl w:val="1"/>
    </w:pPr>
    <w:rPr>
      <w:rFonts w:ascii="Cambria" w:hAnsi="Cambria" w:eastAsia="宋体" w:cs="Times New Roman"/>
      <w:sz w:val="24"/>
      <w:szCs w:val="24"/>
      <w:lang w:eastAsia="en-US" w:bidi="en-US"/>
    </w:rPr>
  </w:style>
  <w:style w:type="paragraph" w:styleId="32">
    <w:name w:val="List"/>
    <w:basedOn w:val="1"/>
    <w:unhideWhenUsed/>
    <w:qFormat/>
    <w:uiPriority w:val="0"/>
    <w:pPr>
      <w:autoSpaceDE/>
      <w:autoSpaceDN/>
      <w:adjustRightInd w:val="0"/>
      <w:snapToGrid w:val="0"/>
      <w:spacing w:line="360" w:lineRule="auto"/>
      <w:ind w:left="200" w:hanging="200" w:hangingChars="200"/>
      <w:contextualSpacing/>
    </w:pPr>
    <w:rPr>
      <w:rFonts w:ascii="Times New Roman" w:hAnsi="Times New Roman" w:eastAsia="宋体" w:cs="Times New Roman"/>
      <w:kern w:val="2"/>
      <w:sz w:val="24"/>
      <w:szCs w:val="24"/>
      <w:lang w:val="en-US" w:bidi="ar-SA"/>
    </w:rPr>
  </w:style>
  <w:style w:type="paragraph" w:styleId="33">
    <w:name w:val="toc 6"/>
    <w:basedOn w:val="1"/>
    <w:next w:val="1"/>
    <w:qFormat/>
    <w:uiPriority w:val="0"/>
    <w:pPr>
      <w:autoSpaceDE/>
      <w:autoSpaceDN/>
      <w:adjustRightInd w:val="0"/>
      <w:snapToGrid w:val="0"/>
      <w:spacing w:line="360" w:lineRule="auto"/>
      <w:ind w:left="1050"/>
    </w:pPr>
    <w:rPr>
      <w:rFonts w:ascii="Times New Roman" w:hAnsi="Times New Roman" w:eastAsia="宋体" w:cs="Times New Roman"/>
      <w:kern w:val="2"/>
      <w:sz w:val="18"/>
      <w:szCs w:val="20"/>
      <w:lang w:val="en-US" w:bidi="ar-SA"/>
    </w:rPr>
  </w:style>
  <w:style w:type="paragraph" w:styleId="34">
    <w:name w:val="Body Text Indent 3"/>
    <w:basedOn w:val="1"/>
    <w:link w:val="119"/>
    <w:qFormat/>
    <w:uiPriority w:val="0"/>
    <w:pPr>
      <w:autoSpaceDE/>
      <w:autoSpaceDN/>
      <w:adjustRightInd w:val="0"/>
      <w:snapToGrid w:val="0"/>
      <w:spacing w:after="120" w:line="360" w:lineRule="auto"/>
      <w:ind w:left="420" w:leftChars="200"/>
    </w:pPr>
    <w:rPr>
      <w:rFonts w:ascii="Times New Roman" w:hAnsi="Times New Roman" w:eastAsia="宋体" w:cs="Times New Roman"/>
      <w:kern w:val="2"/>
      <w:sz w:val="16"/>
      <w:szCs w:val="16"/>
      <w:lang w:bidi="ar-SA"/>
    </w:rPr>
  </w:style>
  <w:style w:type="paragraph" w:styleId="35">
    <w:name w:val="toc 2"/>
    <w:basedOn w:val="1"/>
    <w:next w:val="1"/>
    <w:qFormat/>
    <w:uiPriority w:val="0"/>
    <w:pPr>
      <w:autoSpaceDE/>
      <w:autoSpaceDN/>
      <w:adjustRightInd w:val="0"/>
      <w:snapToGrid w:val="0"/>
      <w:spacing w:line="360" w:lineRule="auto"/>
      <w:ind w:left="210"/>
    </w:pPr>
    <w:rPr>
      <w:rFonts w:ascii="Times New Roman" w:hAnsi="Times New Roman" w:eastAsia="宋体" w:cs="Times New Roman"/>
      <w:smallCaps/>
      <w:kern w:val="2"/>
      <w:sz w:val="20"/>
      <w:szCs w:val="20"/>
      <w:lang w:val="en-US" w:bidi="ar-SA"/>
    </w:rPr>
  </w:style>
  <w:style w:type="paragraph" w:styleId="36">
    <w:name w:val="toc 9"/>
    <w:basedOn w:val="1"/>
    <w:next w:val="1"/>
    <w:qFormat/>
    <w:uiPriority w:val="0"/>
    <w:pPr>
      <w:autoSpaceDE/>
      <w:autoSpaceDN/>
      <w:adjustRightInd w:val="0"/>
      <w:snapToGrid w:val="0"/>
      <w:spacing w:line="360" w:lineRule="auto"/>
      <w:ind w:left="1680"/>
    </w:pPr>
    <w:rPr>
      <w:rFonts w:ascii="Times New Roman" w:hAnsi="Times New Roman" w:eastAsia="宋体" w:cs="Times New Roman"/>
      <w:kern w:val="2"/>
      <w:sz w:val="18"/>
      <w:szCs w:val="20"/>
      <w:lang w:val="en-US" w:bidi="ar-SA"/>
    </w:rPr>
  </w:style>
  <w:style w:type="paragraph" w:styleId="37">
    <w:name w:val="Body Text 2"/>
    <w:basedOn w:val="1"/>
    <w:link w:val="127"/>
    <w:qFormat/>
    <w:uiPriority w:val="0"/>
    <w:pPr>
      <w:autoSpaceDE/>
      <w:autoSpaceDN/>
      <w:adjustRightInd w:val="0"/>
      <w:snapToGrid w:val="0"/>
      <w:spacing w:after="120" w:line="480" w:lineRule="auto"/>
    </w:pPr>
    <w:rPr>
      <w:rFonts w:ascii="Times New Roman" w:hAnsi="Times New Roman" w:eastAsia="宋体" w:cs="Times New Roman"/>
      <w:kern w:val="2"/>
      <w:sz w:val="24"/>
      <w:szCs w:val="24"/>
      <w:lang w:bidi="ar-SA"/>
    </w:rPr>
  </w:style>
  <w:style w:type="paragraph" w:styleId="38">
    <w:name w:val="Normal (Web)"/>
    <w:basedOn w:val="1"/>
    <w:qFormat/>
    <w:uiPriority w:val="0"/>
    <w:pPr>
      <w:widowControl/>
      <w:autoSpaceDE/>
      <w:autoSpaceDN/>
      <w:adjustRightInd w:val="0"/>
      <w:snapToGrid w:val="0"/>
      <w:spacing w:before="100" w:beforeAutospacing="1" w:after="100" w:afterAutospacing="1" w:line="360" w:lineRule="auto"/>
    </w:pPr>
    <w:rPr>
      <w:rFonts w:ascii="宋体" w:hAnsi="宋体" w:eastAsia="宋体" w:cs="宋体"/>
      <w:sz w:val="24"/>
      <w:szCs w:val="24"/>
      <w:lang w:val="en-US" w:bidi="ar-SA"/>
    </w:rPr>
  </w:style>
  <w:style w:type="paragraph" w:styleId="39">
    <w:name w:val="Title"/>
    <w:basedOn w:val="1"/>
    <w:next w:val="1"/>
    <w:link w:val="217"/>
    <w:qFormat/>
    <w:uiPriority w:val="0"/>
    <w:pPr>
      <w:autoSpaceDE/>
      <w:autoSpaceDN/>
      <w:spacing w:before="240" w:after="60"/>
      <w:jc w:val="center"/>
      <w:outlineLvl w:val="0"/>
    </w:pPr>
    <w:rPr>
      <w:rFonts w:ascii="等线 Light" w:hAnsi="等线 Light" w:eastAsia="宋体" w:cs="Times New Roman"/>
      <w:b/>
      <w:bCs/>
      <w:kern w:val="2"/>
      <w:sz w:val="32"/>
      <w:szCs w:val="32"/>
      <w:lang w:bidi="ar-SA"/>
    </w:rPr>
  </w:style>
  <w:style w:type="paragraph" w:styleId="40">
    <w:name w:val="annotation subject"/>
    <w:basedOn w:val="18"/>
    <w:next w:val="18"/>
    <w:link w:val="114"/>
    <w:qFormat/>
    <w:uiPriority w:val="0"/>
    <w:pPr>
      <w:adjustRightInd w:val="0"/>
      <w:snapToGrid w:val="0"/>
      <w:spacing w:line="360" w:lineRule="auto"/>
    </w:pPr>
    <w:rPr>
      <w:b/>
      <w:sz w:val="24"/>
    </w:rPr>
  </w:style>
  <w:style w:type="paragraph" w:styleId="41">
    <w:name w:val="Body Text First Indent"/>
    <w:basedOn w:val="19"/>
    <w:qFormat/>
    <w:uiPriority w:val="0"/>
    <w:pPr>
      <w:spacing w:line="312" w:lineRule="auto"/>
      <w:ind w:firstLine="420"/>
    </w:p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unhideWhenUsed/>
    <w:qFormat/>
    <w:uiPriority w:val="0"/>
  </w:style>
  <w:style w:type="character" w:styleId="47">
    <w:name w:val="FollowedHyperlink"/>
    <w:qFormat/>
    <w:uiPriority w:val="99"/>
    <w:rPr>
      <w:color w:val="800080"/>
      <w:u w:val="single"/>
    </w:rPr>
  </w:style>
  <w:style w:type="character" w:styleId="48">
    <w:name w:val="Hyperlink"/>
    <w:basedOn w:val="44"/>
    <w:qFormat/>
    <w:uiPriority w:val="99"/>
    <w:rPr>
      <w:color w:val="0000FF"/>
      <w:u w:val="single"/>
    </w:rPr>
  </w:style>
  <w:style w:type="character" w:styleId="49">
    <w:name w:val="annotation reference"/>
    <w:qFormat/>
    <w:uiPriority w:val="0"/>
    <w:rPr>
      <w:sz w:val="21"/>
      <w:szCs w:val="21"/>
    </w:rPr>
  </w:style>
  <w:style w:type="character" w:styleId="50">
    <w:name w:val="footnote reference"/>
    <w:unhideWhenUsed/>
    <w:qFormat/>
    <w:uiPriority w:val="0"/>
    <w:rPr>
      <w:vertAlign w:val="superscript"/>
    </w:rPr>
  </w:style>
  <w:style w:type="paragraph" w:customStyle="1" w:styleId="51">
    <w:name w:val="正文文本缩进_4"/>
    <w:basedOn w:val="52"/>
    <w:qFormat/>
    <w:uiPriority w:val="0"/>
    <w:pPr>
      <w:snapToGrid w:val="0"/>
      <w:spacing w:line="500" w:lineRule="atLeast"/>
      <w:ind w:left="-525" w:firstLine="525"/>
    </w:pPr>
    <w:rPr>
      <w:snapToGrid/>
      <w:sz w:val="24"/>
    </w:rPr>
  </w:style>
  <w:style w:type="paragraph" w:customStyle="1" w:styleId="52">
    <w:name w:val="正文_14"/>
    <w:next w:val="2"/>
    <w:qFormat/>
    <w:uiPriority w:val="0"/>
    <w:pPr>
      <w:widowControl w:val="0"/>
      <w:jc w:val="both"/>
    </w:pPr>
    <w:rPr>
      <w:rFonts w:ascii="Calibri" w:hAnsi="Calibri" w:eastAsia="宋体" w:cs="Times New Roman"/>
      <w:kern w:val="2"/>
      <w:sz w:val="21"/>
      <w:szCs w:val="22"/>
      <w:lang w:val="en-US" w:eastAsia="zh-CN" w:bidi="ar-SA"/>
    </w:rPr>
  </w:style>
  <w:style w:type="table" w:customStyle="1" w:styleId="53">
    <w:name w:val="Table Normal"/>
    <w:semiHidden/>
    <w:unhideWhenUsed/>
    <w:qFormat/>
    <w:uiPriority w:val="2"/>
    <w:tblPr>
      <w:tblCellMar>
        <w:top w:w="0" w:type="dxa"/>
        <w:left w:w="0" w:type="dxa"/>
        <w:bottom w:w="0" w:type="dxa"/>
        <w:right w:w="0" w:type="dxa"/>
      </w:tblCellMar>
    </w:tblPr>
  </w:style>
  <w:style w:type="paragraph" w:styleId="54">
    <w:name w:val="List Paragraph"/>
    <w:basedOn w:val="1"/>
    <w:link w:val="68"/>
    <w:qFormat/>
    <w:uiPriority w:val="34"/>
    <w:pPr>
      <w:ind w:left="528" w:firstLine="480"/>
    </w:pPr>
  </w:style>
  <w:style w:type="paragraph" w:customStyle="1" w:styleId="55">
    <w:name w:val="Table Paragraph"/>
    <w:basedOn w:val="1"/>
    <w:qFormat/>
    <w:uiPriority w:val="1"/>
  </w:style>
  <w:style w:type="character" w:customStyle="1" w:styleId="56">
    <w:name w:val="页眉 Char"/>
    <w:basedOn w:val="44"/>
    <w:link w:val="28"/>
    <w:qFormat/>
    <w:uiPriority w:val="99"/>
    <w:rPr>
      <w:rFonts w:ascii="Noto Sans Mono CJK JP Regular" w:hAnsi="Noto Sans Mono CJK JP Regular" w:eastAsia="Noto Sans Mono CJK JP Regular" w:cs="Noto Sans Mono CJK JP Regular"/>
      <w:sz w:val="18"/>
      <w:szCs w:val="18"/>
      <w:lang w:val="zh-CN" w:eastAsia="zh-CN" w:bidi="zh-CN"/>
    </w:rPr>
  </w:style>
  <w:style w:type="character" w:customStyle="1" w:styleId="57">
    <w:name w:val="页脚 Char"/>
    <w:basedOn w:val="44"/>
    <w:link w:val="27"/>
    <w:qFormat/>
    <w:uiPriority w:val="99"/>
    <w:rPr>
      <w:rFonts w:ascii="Noto Sans Mono CJK JP Regular" w:hAnsi="Noto Sans Mono CJK JP Regular" w:eastAsia="Noto Sans Mono CJK JP Regular" w:cs="Noto Sans Mono CJK JP Regular"/>
      <w:sz w:val="18"/>
      <w:szCs w:val="18"/>
      <w:lang w:val="zh-CN" w:eastAsia="zh-CN" w:bidi="zh-CN"/>
    </w:rPr>
  </w:style>
  <w:style w:type="character" w:customStyle="1" w:styleId="58">
    <w:name w:val="批注框文本 Char"/>
    <w:basedOn w:val="44"/>
    <w:link w:val="26"/>
    <w:semiHidden/>
    <w:qFormat/>
    <w:uiPriority w:val="99"/>
    <w:rPr>
      <w:rFonts w:ascii="Noto Sans Mono CJK JP Regular" w:hAnsi="Noto Sans Mono CJK JP Regular" w:eastAsia="Noto Sans Mono CJK JP Regular" w:cs="Noto Sans Mono CJK JP Regular"/>
      <w:sz w:val="18"/>
      <w:szCs w:val="18"/>
      <w:lang w:val="zh-CN" w:eastAsia="zh-CN" w:bidi="zh-CN"/>
    </w:rPr>
  </w:style>
  <w:style w:type="character" w:customStyle="1" w:styleId="59">
    <w:name w:val="纯文本 Char"/>
    <w:link w:val="22"/>
    <w:qFormat/>
    <w:uiPriority w:val="0"/>
    <w:rPr>
      <w:rFonts w:ascii="宋体" w:hAnsi="Courier New" w:eastAsia="宋体"/>
      <w:kern w:val="2"/>
      <w:sz w:val="21"/>
      <w:lang w:eastAsia="zh-CN"/>
    </w:rPr>
  </w:style>
  <w:style w:type="character" w:customStyle="1" w:styleId="60">
    <w:name w:val="纯文本 Char1"/>
    <w:basedOn w:val="44"/>
    <w:qFormat/>
    <w:uiPriority w:val="0"/>
    <w:rPr>
      <w:rFonts w:ascii="宋体" w:hAnsi="Courier New" w:eastAsia="宋体" w:cs="Courier New"/>
      <w:sz w:val="21"/>
      <w:szCs w:val="21"/>
      <w:lang w:val="zh-CN" w:eastAsia="zh-CN" w:bidi="zh-CN"/>
    </w:rPr>
  </w:style>
  <w:style w:type="character" w:customStyle="1" w:styleId="61">
    <w:name w:val="标题 3 Char"/>
    <w:basedOn w:val="44"/>
    <w:link w:val="7"/>
    <w:qFormat/>
    <w:uiPriority w:val="0"/>
    <w:rPr>
      <w:rFonts w:ascii="Noto Sans Mono CJK JP Regular" w:hAnsi="Noto Sans Mono CJK JP Regular" w:eastAsia="Noto Sans Mono CJK JP Regular" w:cs="Noto Sans Mono CJK JP Regular"/>
      <w:b/>
      <w:bCs/>
      <w:sz w:val="32"/>
      <w:szCs w:val="32"/>
      <w:lang w:val="zh-CN" w:eastAsia="zh-CN" w:bidi="zh-CN"/>
    </w:rPr>
  </w:style>
  <w:style w:type="character" w:customStyle="1" w:styleId="62">
    <w:name w:val="正文文本缩进 2 Char"/>
    <w:basedOn w:val="44"/>
    <w:link w:val="25"/>
    <w:qFormat/>
    <w:uiPriority w:val="0"/>
    <w:rPr>
      <w:rFonts w:ascii="Noto Sans Mono CJK JP Regular" w:hAnsi="Noto Sans Mono CJK JP Regular" w:eastAsia="Noto Sans Mono CJK JP Regular" w:cs="Noto Sans Mono CJK JP Regular"/>
      <w:lang w:val="zh-CN" w:eastAsia="zh-CN" w:bidi="zh-CN"/>
    </w:rPr>
  </w:style>
  <w:style w:type="character" w:customStyle="1" w:styleId="63">
    <w:name w:val="正文文本缩进 Char"/>
    <w:basedOn w:val="44"/>
    <w:link w:val="3"/>
    <w:qFormat/>
    <w:uiPriority w:val="0"/>
    <w:rPr>
      <w:rFonts w:ascii="Noto Sans Mono CJK JP Regular" w:hAnsi="Noto Sans Mono CJK JP Regular" w:eastAsia="Noto Sans Mono CJK JP Regular" w:cs="Noto Sans Mono CJK JP Regular"/>
      <w:lang w:val="zh-CN" w:eastAsia="zh-CN" w:bidi="zh-CN"/>
    </w:rPr>
  </w:style>
  <w:style w:type="paragraph" w:customStyle="1" w:styleId="64">
    <w:name w:val="缺省文本"/>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65">
    <w:name w:val="样式 样式 样式 样式 标题 2 + 宋体 五号 非加粗 黑色 + 段前: 6 磅 段后: 0 磅 行距: 单倍行距 + 段前:..."/>
    <w:basedOn w:val="1"/>
    <w:qFormat/>
    <w:uiPriority w:val="0"/>
    <w:pPr>
      <w:keepNext/>
      <w:keepLines/>
      <w:autoSpaceDE/>
      <w:autoSpaceDN/>
      <w:adjustRightInd w:val="0"/>
      <w:spacing w:before="240"/>
      <w:jc w:val="both"/>
      <w:textAlignment w:val="baseline"/>
      <w:outlineLvl w:val="1"/>
    </w:pPr>
    <w:rPr>
      <w:rFonts w:ascii="宋体" w:hAnsi="宋体" w:eastAsia="宋体" w:cs="Times New Roman"/>
      <w:b/>
      <w:bCs/>
      <w:sz w:val="21"/>
      <w:szCs w:val="20"/>
      <w:lang w:val="en-US" w:bidi="ar-SA"/>
    </w:rPr>
  </w:style>
  <w:style w:type="character" w:customStyle="1" w:styleId="66">
    <w:name w:val="font31"/>
    <w:qFormat/>
    <w:uiPriority w:val="0"/>
    <w:rPr>
      <w:rFonts w:hint="eastAsia" w:ascii="宋体" w:hAnsi="宋体" w:eastAsia="宋体" w:cs="宋体"/>
      <w:b/>
      <w:color w:val="000000"/>
      <w:sz w:val="20"/>
      <w:szCs w:val="20"/>
      <w:u w:val="none"/>
    </w:rPr>
  </w:style>
  <w:style w:type="character" w:customStyle="1" w:styleId="67">
    <w:name w:val="标题 1 Char"/>
    <w:link w:val="5"/>
    <w:qFormat/>
    <w:uiPriority w:val="0"/>
    <w:rPr>
      <w:sz w:val="32"/>
      <w:szCs w:val="32"/>
    </w:rPr>
  </w:style>
  <w:style w:type="character" w:customStyle="1" w:styleId="68">
    <w:name w:val="列出段落 Char"/>
    <w:link w:val="54"/>
    <w:qFormat/>
    <w:uiPriority w:val="34"/>
    <w:rPr>
      <w:rFonts w:ascii="Noto Sans Mono CJK JP Regular" w:hAnsi="Noto Sans Mono CJK JP Regular" w:eastAsia="Noto Sans Mono CJK JP Regular" w:cs="Noto Sans Mono CJK JP Regular"/>
      <w:sz w:val="22"/>
      <w:szCs w:val="22"/>
      <w:lang w:val="zh-CN" w:bidi="zh-CN"/>
    </w:rPr>
  </w:style>
  <w:style w:type="paragraph" w:customStyle="1" w:styleId="6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0">
    <w:name w:val="default"/>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character" w:customStyle="1" w:styleId="71">
    <w:name w:val="apple-converted-space"/>
    <w:basedOn w:val="44"/>
    <w:qFormat/>
    <w:uiPriority w:val="0"/>
  </w:style>
  <w:style w:type="character" w:customStyle="1" w:styleId="72">
    <w:name w:val="标题 4 Char"/>
    <w:basedOn w:val="44"/>
    <w:link w:val="9"/>
    <w:qFormat/>
    <w:uiPriority w:val="9"/>
    <w:rPr>
      <w:rFonts w:ascii="Cambria" w:hAnsi="Cambria" w:eastAsia="宋体" w:cs="Times New Roman"/>
      <w:b/>
      <w:bCs/>
      <w:kern w:val="2"/>
      <w:sz w:val="28"/>
      <w:szCs w:val="28"/>
    </w:rPr>
  </w:style>
  <w:style w:type="character" w:customStyle="1" w:styleId="73">
    <w:name w:val="标题 6 Char"/>
    <w:basedOn w:val="44"/>
    <w:link w:val="10"/>
    <w:qFormat/>
    <w:uiPriority w:val="0"/>
    <w:rPr>
      <w:rFonts w:ascii="Arial" w:hAnsi="Arial" w:eastAsia="黑体" w:cs="Times New Roman"/>
      <w:b/>
      <w:bCs/>
      <w:kern w:val="2"/>
      <w:sz w:val="24"/>
      <w:szCs w:val="24"/>
    </w:rPr>
  </w:style>
  <w:style w:type="paragraph" w:customStyle="1" w:styleId="74">
    <w:name w:val="列出段落1"/>
    <w:basedOn w:val="1"/>
    <w:link w:val="213"/>
    <w:qFormat/>
    <w:uiPriority w:val="0"/>
    <w:pPr>
      <w:autoSpaceDE/>
      <w:autoSpaceDN/>
      <w:ind w:firstLine="420" w:firstLineChars="200"/>
      <w:jc w:val="both"/>
    </w:pPr>
    <w:rPr>
      <w:rFonts w:ascii="Times New Roman" w:hAnsi="Times New Roman" w:eastAsia="宋体" w:cs="Times New Roman"/>
      <w:kern w:val="2"/>
      <w:sz w:val="21"/>
      <w:szCs w:val="24"/>
      <w:lang w:bidi="ar-SA"/>
    </w:rPr>
  </w:style>
  <w:style w:type="character" w:customStyle="1" w:styleId="75">
    <w:name w:val="正文缩进 Char"/>
    <w:link w:val="8"/>
    <w:qFormat/>
    <w:uiPriority w:val="0"/>
    <w:rPr>
      <w:rFonts w:ascii="Arial" w:hAnsi="Arial" w:eastAsia="宋体" w:cs="Times New Roman"/>
      <w:kern w:val="2"/>
      <w:sz w:val="24"/>
    </w:rPr>
  </w:style>
  <w:style w:type="paragraph" w:customStyle="1" w:styleId="76">
    <w:name w:val="列表1"/>
    <w:basedOn w:val="1"/>
    <w:link w:val="77"/>
    <w:qFormat/>
    <w:uiPriority w:val="0"/>
    <w:pPr>
      <w:numPr>
        <w:ilvl w:val="0"/>
        <w:numId w:val="1"/>
      </w:numPr>
      <w:autoSpaceDE/>
      <w:autoSpaceDN/>
      <w:jc w:val="both"/>
    </w:pPr>
    <w:rPr>
      <w:rFonts w:ascii="Century" w:hAnsi="Century" w:eastAsia="宋体" w:cs="Times New Roman"/>
      <w:kern w:val="2"/>
      <w:sz w:val="21"/>
      <w:szCs w:val="21"/>
      <w:lang w:bidi="ar-SA"/>
    </w:rPr>
  </w:style>
  <w:style w:type="character" w:customStyle="1" w:styleId="77">
    <w:name w:val="列表1 Char Char"/>
    <w:link w:val="76"/>
    <w:qFormat/>
    <w:uiPriority w:val="0"/>
    <w:rPr>
      <w:rFonts w:ascii="Century" w:hAnsi="Century" w:eastAsia="宋体" w:cs="Times New Roman"/>
      <w:kern w:val="2"/>
      <w:sz w:val="21"/>
      <w:szCs w:val="21"/>
    </w:rPr>
  </w:style>
  <w:style w:type="paragraph" w:customStyle="1" w:styleId="78">
    <w:name w:val="样式6 列表并列"/>
    <w:link w:val="79"/>
    <w:qFormat/>
    <w:uiPriority w:val="0"/>
    <w:pPr>
      <w:widowControl w:val="0"/>
      <w:numPr>
        <w:ilvl w:val="0"/>
        <w:numId w:val="2"/>
      </w:numPr>
      <w:spacing w:before="40" w:after="40" w:line="240" w:lineRule="atLeast"/>
      <w:ind w:left="840" w:hanging="420"/>
      <w:textAlignment w:val="center"/>
    </w:pPr>
    <w:rPr>
      <w:rFonts w:ascii="Arial" w:hAnsi="Arial" w:eastAsia="宋体" w:cs="Times New Roman"/>
      <w:kern w:val="21"/>
      <w:sz w:val="21"/>
      <w:szCs w:val="24"/>
      <w:lang w:val="en-US" w:eastAsia="zh-CN" w:bidi="ar-SA"/>
    </w:rPr>
  </w:style>
  <w:style w:type="character" w:customStyle="1" w:styleId="79">
    <w:name w:val="样式6 列表并列 Char"/>
    <w:link w:val="78"/>
    <w:qFormat/>
    <w:uiPriority w:val="0"/>
    <w:rPr>
      <w:rFonts w:ascii="Arial" w:hAnsi="Arial" w:eastAsia="宋体" w:cs="Times New Roman"/>
      <w:kern w:val="21"/>
      <w:sz w:val="21"/>
      <w:szCs w:val="24"/>
    </w:rPr>
  </w:style>
  <w:style w:type="paragraph" w:customStyle="1" w:styleId="80">
    <w:name w:val="样式 三号"/>
    <w:basedOn w:val="1"/>
    <w:qFormat/>
    <w:uiPriority w:val="0"/>
    <w:pPr>
      <w:autoSpaceDE/>
      <w:autoSpaceDN/>
      <w:ind w:firstLine="640" w:firstLineChars="200"/>
      <w:jc w:val="both"/>
    </w:pPr>
    <w:rPr>
      <w:rFonts w:ascii="Times New Roman" w:hAnsi="Times New Roman" w:eastAsia="宋体" w:cs="宋体"/>
      <w:kern w:val="2"/>
      <w:sz w:val="21"/>
      <w:szCs w:val="20"/>
      <w:lang w:val="en-US" w:bidi="ar-SA"/>
    </w:rPr>
  </w:style>
  <w:style w:type="character" w:customStyle="1" w:styleId="81">
    <w:name w:val="批注文字 Char"/>
    <w:basedOn w:val="44"/>
    <w:link w:val="18"/>
    <w:qFormat/>
    <w:uiPriority w:val="0"/>
    <w:rPr>
      <w:rFonts w:ascii="Times New Roman" w:hAnsi="Times New Roman" w:eastAsia="宋体" w:cs="Times New Roman"/>
      <w:kern w:val="2"/>
      <w:sz w:val="21"/>
      <w:szCs w:val="24"/>
    </w:rPr>
  </w:style>
  <w:style w:type="paragraph" w:customStyle="1" w:styleId="82">
    <w:name w:val="样式5 列表步骤"/>
    <w:qFormat/>
    <w:uiPriority w:val="0"/>
    <w:pPr>
      <w:widowControl w:val="0"/>
      <w:numPr>
        <w:ilvl w:val="4"/>
        <w:numId w:val="3"/>
      </w:numPr>
      <w:spacing w:line="320" w:lineRule="atLeast"/>
      <w:textAlignment w:val="center"/>
    </w:pPr>
    <w:rPr>
      <w:rFonts w:ascii="Arial" w:hAnsi="Arial" w:eastAsia="宋体" w:cs="Times New Roman"/>
      <w:kern w:val="21"/>
      <w:sz w:val="21"/>
      <w:lang w:val="en-US" w:eastAsia="zh-CN" w:bidi="ar-SA"/>
    </w:rPr>
  </w:style>
  <w:style w:type="paragraph" w:customStyle="1" w:styleId="83">
    <w:name w:val="正文-缩进"/>
    <w:qFormat/>
    <w:uiPriority w:val="0"/>
    <w:pPr>
      <w:widowControl w:val="0"/>
      <w:spacing w:before="40" w:after="40" w:line="240" w:lineRule="atLeast"/>
      <w:ind w:firstLine="200" w:firstLineChars="200"/>
      <w:jc w:val="both"/>
      <w:textAlignment w:val="center"/>
    </w:pPr>
    <w:rPr>
      <w:rFonts w:ascii="Arial" w:hAnsi="Arial" w:eastAsia="宋体" w:cs="Times New Roman"/>
      <w:kern w:val="21"/>
      <w:sz w:val="21"/>
      <w:lang w:val="en-US" w:eastAsia="zh-CN" w:bidi="ar-SA"/>
    </w:rPr>
  </w:style>
  <w:style w:type="character" w:customStyle="1" w:styleId="84">
    <w:name w:val="脚注文本 Char"/>
    <w:basedOn w:val="44"/>
    <w:link w:val="15"/>
    <w:qFormat/>
    <w:uiPriority w:val="99"/>
    <w:rPr>
      <w:rFonts w:ascii="Calibri" w:hAnsi="Calibri" w:eastAsia="宋体" w:cs="Times New Roman"/>
      <w:kern w:val="2"/>
      <w:sz w:val="18"/>
      <w:szCs w:val="18"/>
    </w:rPr>
  </w:style>
  <w:style w:type="paragraph" w:customStyle="1" w:styleId="85">
    <w:name w:val="样式3"/>
    <w:basedOn w:val="1"/>
    <w:qFormat/>
    <w:uiPriority w:val="0"/>
    <w:pPr>
      <w:autoSpaceDE/>
      <w:autoSpaceDN/>
      <w:spacing w:line="300" w:lineRule="auto"/>
      <w:jc w:val="both"/>
    </w:pPr>
    <w:rPr>
      <w:rFonts w:ascii="宋体" w:hAnsi="Times New Roman" w:eastAsia="宋体" w:cs="Times New Roman"/>
      <w:kern w:val="2"/>
      <w:sz w:val="24"/>
      <w:szCs w:val="24"/>
      <w:lang w:val="en-US" w:bidi="ar-SA"/>
    </w:rPr>
  </w:style>
  <w:style w:type="character" w:customStyle="1" w:styleId="86">
    <w:name w:val="标题 2 Char"/>
    <w:link w:val="6"/>
    <w:qFormat/>
    <w:uiPriority w:val="0"/>
    <w:rPr>
      <w:rFonts w:ascii="Noto Sans Mono CJK JP Regular" w:hAnsi="Noto Sans Mono CJK JP Regular" w:eastAsia="Noto Sans Mono CJK JP Regular" w:cs="Noto Sans Mono CJK JP Regular"/>
      <w:sz w:val="28"/>
      <w:szCs w:val="28"/>
      <w:lang w:val="zh-CN" w:bidi="zh-CN"/>
    </w:rPr>
  </w:style>
  <w:style w:type="paragraph" w:customStyle="1" w:styleId="87">
    <w:name w:val="模板普通正文"/>
    <w:basedOn w:val="3"/>
    <w:qFormat/>
    <w:uiPriority w:val="0"/>
    <w:pPr>
      <w:autoSpaceDE/>
      <w:autoSpaceDN/>
      <w:spacing w:beforeLines="50" w:after="10" w:line="360" w:lineRule="auto"/>
      <w:ind w:left="0" w:leftChars="0" w:firstLine="490" w:firstLineChars="175"/>
    </w:pPr>
    <w:rPr>
      <w:rFonts w:ascii="Times New Roman" w:hAnsi="Times New Roman" w:eastAsia="宋体" w:cs="Times New Roman"/>
      <w:kern w:val="2"/>
      <w:sz w:val="24"/>
      <w:szCs w:val="24"/>
      <w:lang w:bidi="ar-SA"/>
    </w:rPr>
  </w:style>
  <w:style w:type="character" w:customStyle="1" w:styleId="88">
    <w:name w:val="正文文本 Char"/>
    <w:link w:val="19"/>
    <w:qFormat/>
    <w:uiPriority w:val="0"/>
    <w:rPr>
      <w:rFonts w:ascii="Noto Sans Mono CJK JP Regular" w:hAnsi="Noto Sans Mono CJK JP Regular" w:eastAsia="Noto Sans Mono CJK JP Regular" w:cs="Noto Sans Mono CJK JP Regular"/>
      <w:sz w:val="24"/>
      <w:szCs w:val="24"/>
      <w:lang w:val="zh-CN" w:bidi="zh-CN"/>
    </w:rPr>
  </w:style>
  <w:style w:type="character" w:customStyle="1" w:styleId="89">
    <w:name w:val="font41"/>
    <w:qFormat/>
    <w:uiPriority w:val="0"/>
    <w:rPr>
      <w:rFonts w:hint="eastAsia" w:ascii="宋体" w:hAnsi="宋体" w:eastAsia="宋体" w:cs="宋体"/>
      <w:color w:val="000000"/>
      <w:sz w:val="22"/>
      <w:szCs w:val="22"/>
      <w:u w:val="none"/>
    </w:rPr>
  </w:style>
  <w:style w:type="character" w:customStyle="1" w:styleId="90">
    <w:name w:val="font21"/>
    <w:qFormat/>
    <w:uiPriority w:val="0"/>
    <w:rPr>
      <w:rFonts w:ascii="Arial Unicode MS" w:hAnsi="Arial Unicode MS" w:eastAsia="Arial Unicode MS" w:cs="Arial Unicode MS"/>
      <w:color w:val="000000"/>
      <w:sz w:val="22"/>
      <w:szCs w:val="22"/>
      <w:u w:val="none"/>
    </w:rPr>
  </w:style>
  <w:style w:type="character" w:customStyle="1" w:styleId="91">
    <w:name w:val="font11"/>
    <w:qFormat/>
    <w:uiPriority w:val="0"/>
    <w:rPr>
      <w:rFonts w:hint="eastAsia" w:ascii="宋体" w:hAnsi="宋体" w:eastAsia="宋体" w:cs="宋体"/>
      <w:color w:val="000000"/>
      <w:sz w:val="20"/>
      <w:szCs w:val="20"/>
      <w:u w:val="none"/>
    </w:rPr>
  </w:style>
  <w:style w:type="paragraph" w:customStyle="1" w:styleId="92">
    <w:name w:val="样式 标题 2 + Times New Roman 四号 非加粗 段前: 5 磅 段后: 0 磅 行距: 固定值 20..."/>
    <w:basedOn w:val="6"/>
    <w:qFormat/>
    <w:uiPriority w:val="0"/>
    <w:pPr>
      <w:keepNext/>
      <w:keepLines/>
      <w:tabs>
        <w:tab w:val="left" w:pos="690"/>
      </w:tabs>
      <w:autoSpaceDE/>
      <w:autoSpaceDN/>
      <w:spacing w:before="100" w:line="400" w:lineRule="exact"/>
      <w:jc w:val="both"/>
    </w:pPr>
    <w:rPr>
      <w:rFonts w:ascii="Times New Roman" w:hAnsi="Times New Roman" w:eastAsia="黑体" w:cs="宋体"/>
      <w:kern w:val="2"/>
      <w:szCs w:val="20"/>
      <w:lang w:bidi="ar-SA"/>
    </w:rPr>
  </w:style>
  <w:style w:type="character" w:customStyle="1" w:styleId="93">
    <w:name w:val="param-name"/>
    <w:basedOn w:val="44"/>
    <w:qFormat/>
    <w:uiPriority w:val="0"/>
  </w:style>
  <w:style w:type="character" w:customStyle="1" w:styleId="94">
    <w:name w:val="font01"/>
    <w:qFormat/>
    <w:uiPriority w:val="0"/>
    <w:rPr>
      <w:rFonts w:hint="eastAsia" w:ascii="宋体" w:hAnsi="宋体" w:eastAsia="宋体" w:cs="宋体"/>
      <w:color w:val="FF0000"/>
      <w:sz w:val="20"/>
      <w:szCs w:val="20"/>
      <w:u w:val="none"/>
    </w:rPr>
  </w:style>
  <w:style w:type="character" w:customStyle="1" w:styleId="95">
    <w:name w:val="font81"/>
    <w:qFormat/>
    <w:uiPriority w:val="0"/>
    <w:rPr>
      <w:rFonts w:hint="default" w:ascii="华文中宋" w:hAnsi="华文中宋" w:eastAsia="华文中宋" w:cs="华文中宋"/>
      <w:color w:val="000000"/>
      <w:sz w:val="18"/>
      <w:szCs w:val="18"/>
      <w:u w:val="none"/>
    </w:rPr>
  </w:style>
  <w:style w:type="character" w:customStyle="1" w:styleId="96">
    <w:name w:val="font51"/>
    <w:qFormat/>
    <w:uiPriority w:val="0"/>
    <w:rPr>
      <w:rFonts w:hint="eastAsia" w:ascii="宋体" w:hAnsi="宋体" w:eastAsia="宋体" w:cs="宋体"/>
      <w:color w:val="000000"/>
      <w:sz w:val="18"/>
      <w:szCs w:val="18"/>
      <w:u w:val="none"/>
    </w:rPr>
  </w:style>
  <w:style w:type="paragraph" w:customStyle="1" w:styleId="97">
    <w:name w:val="_Style 3"/>
    <w:basedOn w:val="1"/>
    <w:qFormat/>
    <w:uiPriority w:val="34"/>
    <w:pPr>
      <w:widowControl/>
      <w:autoSpaceDE/>
      <w:autoSpaceDN/>
      <w:adjustRightInd w:val="0"/>
      <w:snapToGrid w:val="0"/>
      <w:spacing w:line="360" w:lineRule="auto"/>
      <w:ind w:firstLine="420" w:firstLineChars="200"/>
    </w:pPr>
    <w:rPr>
      <w:rFonts w:ascii="Times New Roman" w:hAnsi="Times New Roman" w:eastAsia="宋体" w:cs="Times New Roman"/>
      <w:sz w:val="24"/>
      <w:szCs w:val="20"/>
      <w:lang w:val="en-US" w:bidi="ar-SA"/>
    </w:rPr>
  </w:style>
  <w:style w:type="character" w:customStyle="1" w:styleId="98">
    <w:name w:val="all-desc"/>
    <w:qFormat/>
    <w:uiPriority w:val="0"/>
  </w:style>
  <w:style w:type="character" w:customStyle="1" w:styleId="99">
    <w:name w:val="mark12"/>
    <w:qFormat/>
    <w:uiPriority w:val="0"/>
  </w:style>
  <w:style w:type="character" w:customStyle="1" w:styleId="100">
    <w:name w:val="Char Char16"/>
    <w:qFormat/>
    <w:uiPriority w:val="0"/>
    <w:rPr>
      <w:rFonts w:ascii="Times New Roman" w:hAnsi="Times New Roman" w:eastAsia="宋体" w:cs="Times New Roman"/>
      <w:b/>
      <w:bCs/>
      <w:sz w:val="32"/>
      <w:szCs w:val="32"/>
    </w:rPr>
  </w:style>
  <w:style w:type="character" w:customStyle="1" w:styleId="101">
    <w:name w:val="c_right2"/>
    <w:qFormat/>
    <w:uiPriority w:val="0"/>
    <w:rPr>
      <w:sz w:val="21"/>
      <w:szCs w:val="21"/>
    </w:rPr>
  </w:style>
  <w:style w:type="character" w:customStyle="1" w:styleId="102">
    <w:name w:val="普通文字1 Char"/>
    <w:qFormat/>
    <w:uiPriority w:val="0"/>
    <w:rPr>
      <w:rFonts w:ascii="宋体" w:hAnsi="Courier New" w:eastAsia="宋体"/>
      <w:kern w:val="2"/>
      <w:sz w:val="21"/>
      <w:lang w:val="en-US" w:eastAsia="zh-CN" w:bidi="ar-SA"/>
    </w:rPr>
  </w:style>
  <w:style w:type="character" w:customStyle="1" w:styleId="103">
    <w:name w:val="apple-style-span"/>
    <w:qFormat/>
    <w:uiPriority w:val="0"/>
  </w:style>
  <w:style w:type="character" w:customStyle="1" w:styleId="104">
    <w:name w:val="标题 2 Char1"/>
    <w:link w:val="6"/>
    <w:qFormat/>
    <w:uiPriority w:val="0"/>
    <w:rPr>
      <w:rFonts w:ascii="Arial" w:hAnsi="Arial" w:eastAsia="黑体"/>
      <w:b/>
      <w:bCs/>
      <w:kern w:val="2"/>
      <w:sz w:val="32"/>
      <w:szCs w:val="32"/>
      <w:lang w:val="en-US" w:eastAsia="zh-CN" w:bidi="ar-SA"/>
    </w:rPr>
  </w:style>
  <w:style w:type="character" w:customStyle="1" w:styleId="105">
    <w:name w:val="font71"/>
    <w:qFormat/>
    <w:uiPriority w:val="0"/>
    <w:rPr>
      <w:rFonts w:hint="eastAsia" w:ascii="宋体" w:hAnsi="宋体" w:eastAsia="宋体" w:cs="宋体"/>
      <w:color w:val="FF0000"/>
      <w:sz w:val="18"/>
      <w:szCs w:val="18"/>
      <w:u w:val="none"/>
    </w:rPr>
  </w:style>
  <w:style w:type="character" w:customStyle="1" w:styleId="106">
    <w:name w:val="Default Text Char"/>
    <w:link w:val="107"/>
    <w:qFormat/>
    <w:uiPriority w:val="0"/>
    <w:rPr>
      <w:color w:val="000000"/>
      <w:sz w:val="24"/>
      <w:szCs w:val="24"/>
    </w:rPr>
  </w:style>
  <w:style w:type="paragraph" w:customStyle="1" w:styleId="107">
    <w:name w:val="Default Text"/>
    <w:link w:val="106"/>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character" w:customStyle="1" w:styleId="108">
    <w:name w:val="style11"/>
    <w:qFormat/>
    <w:uiPriority w:val="0"/>
    <w:rPr>
      <w:rFonts w:hint="default" w:ascii="Arial" w:hAnsi="Arial" w:cs="Arial"/>
      <w:b/>
      <w:bCs/>
    </w:rPr>
  </w:style>
  <w:style w:type="character" w:customStyle="1" w:styleId="109">
    <w:name w:val="sub_title s0"/>
    <w:qFormat/>
    <w:uiPriority w:val="0"/>
  </w:style>
  <w:style w:type="character" w:customStyle="1" w:styleId="110">
    <w:name w:val="font61"/>
    <w:qFormat/>
    <w:uiPriority w:val="0"/>
    <w:rPr>
      <w:rFonts w:hint="eastAsia" w:ascii="宋体" w:hAnsi="宋体" w:eastAsia="宋体" w:cs="宋体"/>
      <w:color w:val="000000"/>
      <w:sz w:val="18"/>
      <w:szCs w:val="18"/>
      <w:u w:val="none"/>
    </w:rPr>
  </w:style>
  <w:style w:type="character" w:customStyle="1" w:styleId="111">
    <w:name w:val="H2 Char"/>
    <w:qFormat/>
    <w:uiPriority w:val="0"/>
    <w:rPr>
      <w:rFonts w:ascii="Arial" w:hAnsi="Arial" w:eastAsia="华文中宋"/>
      <w:b/>
      <w:bCs/>
      <w:kern w:val="2"/>
      <w:sz w:val="28"/>
      <w:szCs w:val="32"/>
    </w:rPr>
  </w:style>
  <w:style w:type="character" w:customStyle="1" w:styleId="112">
    <w:name w:val="font91"/>
    <w:qFormat/>
    <w:uiPriority w:val="0"/>
    <w:rPr>
      <w:rFonts w:hint="eastAsia" w:ascii="BatangChe" w:hAnsi="BatangChe" w:eastAsia="BatangChe" w:cs="BatangChe"/>
      <w:color w:val="auto"/>
      <w:sz w:val="18"/>
      <w:szCs w:val="18"/>
      <w:u w:val="none"/>
    </w:rPr>
  </w:style>
  <w:style w:type="paragraph" w:customStyle="1" w:styleId="113">
    <w:name w:val="Char Char Char"/>
    <w:basedOn w:val="1"/>
    <w:qFormat/>
    <w:uiPriority w:val="0"/>
    <w:pPr>
      <w:numPr>
        <w:ilvl w:val="0"/>
        <w:numId w:val="4"/>
      </w:numPr>
      <w:tabs>
        <w:tab w:val="left" w:pos="1200"/>
      </w:tabs>
      <w:autoSpaceDE/>
      <w:autoSpaceDN/>
      <w:adjustRightInd w:val="0"/>
      <w:snapToGrid w:val="0"/>
      <w:spacing w:line="360" w:lineRule="auto"/>
      <w:ind w:left="1200" w:hanging="360"/>
    </w:pPr>
    <w:rPr>
      <w:rFonts w:ascii="Times New Roman" w:hAnsi="Times New Roman" w:eastAsia="宋体" w:cs="Times New Roman"/>
      <w:kern w:val="2"/>
      <w:sz w:val="24"/>
      <w:szCs w:val="24"/>
      <w:lang w:val="en-US" w:bidi="ar-SA"/>
    </w:rPr>
  </w:style>
  <w:style w:type="character" w:customStyle="1" w:styleId="114">
    <w:name w:val="批注主题 Char"/>
    <w:basedOn w:val="81"/>
    <w:link w:val="40"/>
    <w:qFormat/>
    <w:uiPriority w:val="0"/>
    <w:rPr>
      <w:rFonts w:ascii="Times New Roman" w:hAnsi="Times New Roman" w:eastAsia="宋体" w:cs="Times New Roman"/>
      <w:b/>
      <w:kern w:val="2"/>
      <w:sz w:val="24"/>
      <w:szCs w:val="24"/>
    </w:rPr>
  </w:style>
  <w:style w:type="paragraph" w:customStyle="1" w:styleId="115">
    <w:name w:val="xl6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pPr>
    <w:rPr>
      <w:rFonts w:ascii="Arial" w:hAnsi="Arial" w:eastAsia="宋体" w:cs="Arial"/>
      <w:sz w:val="17"/>
      <w:szCs w:val="17"/>
      <w:lang w:val="en-US" w:bidi="ar-SA"/>
    </w:rPr>
  </w:style>
  <w:style w:type="paragraph" w:customStyle="1" w:styleId="116">
    <w:name w:val="xl27"/>
    <w:basedOn w:val="1"/>
    <w:qFormat/>
    <w:uiPriority w:val="0"/>
    <w:pPr>
      <w:widowControl/>
      <w:autoSpaceDE/>
      <w:autoSpaceDN/>
      <w:adjustRightInd w:val="0"/>
      <w:snapToGrid w:val="0"/>
      <w:spacing w:before="100" w:beforeAutospacing="1" w:after="100" w:afterAutospacing="1" w:line="360" w:lineRule="auto"/>
      <w:jc w:val="center"/>
      <w:textAlignment w:val="center"/>
    </w:pPr>
    <w:rPr>
      <w:rFonts w:ascii="Arial" w:hAnsi="Arial" w:eastAsia="宋体" w:cs="Arial"/>
      <w:sz w:val="20"/>
      <w:szCs w:val="20"/>
      <w:lang w:val="en-US" w:bidi="ar-SA"/>
    </w:rPr>
  </w:style>
  <w:style w:type="paragraph" w:customStyle="1" w:styleId="117">
    <w:name w:val="默认段落字体 Para Char"/>
    <w:basedOn w:val="1"/>
    <w:qFormat/>
    <w:uiPriority w:val="0"/>
    <w:pPr>
      <w:autoSpaceDE/>
      <w:autoSpaceDN/>
      <w:adjustRightInd w:val="0"/>
      <w:snapToGrid w:val="0"/>
      <w:spacing w:line="360" w:lineRule="auto"/>
    </w:pPr>
    <w:rPr>
      <w:rFonts w:ascii="宋体" w:hAnsi="宋体" w:eastAsia="宋体" w:cs="宋体"/>
      <w:sz w:val="24"/>
      <w:szCs w:val="20"/>
      <w:lang w:val="en-US" w:bidi="ar-SA"/>
    </w:rPr>
  </w:style>
  <w:style w:type="paragraph" w:customStyle="1" w:styleId="118">
    <w:name w:val="font8"/>
    <w:basedOn w:val="1"/>
    <w:qFormat/>
    <w:uiPriority w:val="0"/>
    <w:pPr>
      <w:widowControl/>
      <w:autoSpaceDE/>
      <w:autoSpaceDN/>
      <w:adjustRightInd w:val="0"/>
      <w:snapToGrid w:val="0"/>
      <w:spacing w:before="100" w:beforeAutospacing="1" w:after="100" w:afterAutospacing="1" w:line="360" w:lineRule="auto"/>
    </w:pPr>
    <w:rPr>
      <w:rFonts w:ascii="Arial" w:hAnsi="Arial" w:eastAsia="宋体" w:cs="Arial"/>
      <w:b/>
      <w:bCs/>
      <w:sz w:val="17"/>
      <w:szCs w:val="17"/>
      <w:lang w:val="en-US" w:bidi="ar-SA"/>
    </w:rPr>
  </w:style>
  <w:style w:type="character" w:customStyle="1" w:styleId="119">
    <w:name w:val="正文文本缩进 3 Char"/>
    <w:basedOn w:val="44"/>
    <w:link w:val="34"/>
    <w:qFormat/>
    <w:uiPriority w:val="0"/>
    <w:rPr>
      <w:rFonts w:ascii="Times New Roman" w:hAnsi="Times New Roman" w:eastAsia="宋体" w:cs="Times New Roman"/>
      <w:kern w:val="2"/>
      <w:sz w:val="16"/>
      <w:szCs w:val="16"/>
    </w:rPr>
  </w:style>
  <w:style w:type="paragraph" w:customStyle="1" w:styleId="120">
    <w:name w:val="xl24"/>
    <w:basedOn w:val="1"/>
    <w:qFormat/>
    <w:uiPriority w:val="0"/>
    <w:pPr>
      <w:widowControl/>
      <w:autoSpaceDE/>
      <w:autoSpaceDN/>
      <w:adjustRightInd w:val="0"/>
      <w:snapToGrid w:val="0"/>
      <w:spacing w:before="100" w:beforeAutospacing="1" w:after="100" w:afterAutospacing="1" w:line="360" w:lineRule="auto"/>
      <w:jc w:val="center"/>
      <w:textAlignment w:val="center"/>
    </w:pPr>
    <w:rPr>
      <w:rFonts w:ascii="宋体" w:hAnsi="宋体" w:eastAsia="宋体" w:cs="宋体"/>
      <w:sz w:val="20"/>
      <w:szCs w:val="20"/>
      <w:lang w:val="en-US" w:bidi="ar-SA"/>
    </w:rPr>
  </w:style>
  <w:style w:type="paragraph" w:customStyle="1" w:styleId="121">
    <w:name w:val="Char Char1 Char Char Char Char Char Char"/>
    <w:basedOn w:val="1"/>
    <w:qFormat/>
    <w:uiPriority w:val="0"/>
    <w:pPr>
      <w:widowControl/>
      <w:autoSpaceDE/>
      <w:autoSpaceDN/>
      <w:adjustRightInd w:val="0"/>
      <w:snapToGrid w:val="0"/>
      <w:spacing w:beforeLines="25" w:afterLines="25" w:line="240" w:lineRule="exact"/>
      <w:ind w:firstLine="560" w:firstLineChars="192"/>
    </w:pPr>
    <w:rPr>
      <w:rFonts w:ascii="宋体" w:hAnsi="宋体" w:eastAsia="宋体" w:cs="Times New Roman"/>
      <w:sz w:val="28"/>
      <w:szCs w:val="28"/>
      <w:lang w:val="en-US" w:eastAsia="en-US" w:bidi="ar-SA"/>
    </w:rPr>
  </w:style>
  <w:style w:type="character" w:customStyle="1" w:styleId="122">
    <w:name w:val="日期 Char"/>
    <w:basedOn w:val="44"/>
    <w:link w:val="24"/>
    <w:qFormat/>
    <w:uiPriority w:val="0"/>
    <w:rPr>
      <w:rFonts w:ascii="Times New Roman" w:hAnsi="Times New Roman" w:eastAsia="宋体" w:cs="Times New Roman"/>
      <w:kern w:val="2"/>
      <w:sz w:val="24"/>
    </w:rPr>
  </w:style>
  <w:style w:type="paragraph" w:customStyle="1" w:styleId="123">
    <w:name w:val="xl28"/>
    <w:basedOn w:val="1"/>
    <w:qFormat/>
    <w:uiPriority w:val="0"/>
    <w:pPr>
      <w:widowControl/>
      <w:autoSpaceDE/>
      <w:autoSpaceDN/>
      <w:adjustRightInd w:val="0"/>
      <w:snapToGrid w:val="0"/>
      <w:spacing w:before="100" w:beforeAutospacing="1" w:after="100" w:afterAutospacing="1" w:line="360" w:lineRule="auto"/>
      <w:jc w:val="center"/>
      <w:textAlignment w:val="center"/>
    </w:pPr>
    <w:rPr>
      <w:rFonts w:ascii="Arial" w:hAnsi="Arial" w:eastAsia="宋体" w:cs="Arial"/>
      <w:sz w:val="20"/>
      <w:szCs w:val="20"/>
      <w:lang w:val="en-US" w:bidi="ar-SA"/>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宋体" w:hAnsi="宋体" w:eastAsia="宋体" w:cs="宋体"/>
      <w:sz w:val="24"/>
      <w:szCs w:val="24"/>
      <w:lang w:val="en-US" w:bidi="ar-SA"/>
    </w:rPr>
  </w:style>
  <w:style w:type="paragraph" w:customStyle="1" w:styleId="125">
    <w:name w:val="font7"/>
    <w:basedOn w:val="1"/>
    <w:qFormat/>
    <w:uiPriority w:val="0"/>
    <w:pPr>
      <w:widowControl/>
      <w:autoSpaceDE/>
      <w:autoSpaceDN/>
      <w:adjustRightInd w:val="0"/>
      <w:snapToGrid w:val="0"/>
      <w:spacing w:before="100" w:beforeAutospacing="1" w:after="100" w:afterAutospacing="1" w:line="360" w:lineRule="auto"/>
    </w:pPr>
    <w:rPr>
      <w:rFonts w:ascii="宋体" w:hAnsi="宋体" w:eastAsia="宋体" w:cs="宋体"/>
      <w:sz w:val="17"/>
      <w:szCs w:val="17"/>
      <w:lang w:val="en-US" w:bidi="ar-SA"/>
    </w:rPr>
  </w:style>
  <w:style w:type="paragraph" w:customStyle="1" w:styleId="126">
    <w:name w:val="样式 样式 样式 左侧:  2 字符1 + 首行缩进:  2 字符1 + 首行缩进:  2 字符"/>
    <w:basedOn w:val="1"/>
    <w:qFormat/>
    <w:uiPriority w:val="0"/>
    <w:pPr>
      <w:widowControl/>
      <w:autoSpaceDE/>
      <w:autoSpaceDN/>
      <w:adjustRightInd w:val="0"/>
      <w:snapToGrid w:val="0"/>
      <w:spacing w:before="60" w:after="120" w:line="440" w:lineRule="atLeast"/>
      <w:ind w:firstLine="480"/>
      <w:textAlignment w:val="baseline"/>
    </w:pPr>
    <w:rPr>
      <w:rFonts w:ascii="Times New Roman" w:hAnsi="Times New Roman" w:eastAsia="宋体" w:cs="Times New Roman"/>
      <w:kern w:val="2"/>
      <w:sz w:val="24"/>
      <w:szCs w:val="20"/>
      <w:lang w:val="en-US" w:bidi="ar-SA"/>
    </w:rPr>
  </w:style>
  <w:style w:type="character" w:customStyle="1" w:styleId="127">
    <w:name w:val="正文文本 2 Char"/>
    <w:basedOn w:val="44"/>
    <w:link w:val="37"/>
    <w:qFormat/>
    <w:uiPriority w:val="0"/>
    <w:rPr>
      <w:rFonts w:ascii="Times New Roman" w:hAnsi="Times New Roman" w:eastAsia="宋体" w:cs="Times New Roman"/>
      <w:kern w:val="2"/>
      <w:sz w:val="24"/>
      <w:szCs w:val="24"/>
    </w:rPr>
  </w:style>
  <w:style w:type="character" w:customStyle="1" w:styleId="128">
    <w:name w:val="副标题 Char"/>
    <w:basedOn w:val="44"/>
    <w:link w:val="31"/>
    <w:qFormat/>
    <w:uiPriority w:val="0"/>
    <w:rPr>
      <w:rFonts w:ascii="Cambria" w:hAnsi="Cambria" w:eastAsia="宋体" w:cs="Times New Roman"/>
      <w:sz w:val="24"/>
      <w:szCs w:val="24"/>
      <w:lang w:eastAsia="en-US" w:bidi="en-US"/>
    </w:rPr>
  </w:style>
  <w:style w:type="paragraph" w:customStyle="1" w:styleId="129">
    <w:name w:val="font6"/>
    <w:basedOn w:val="1"/>
    <w:qFormat/>
    <w:uiPriority w:val="0"/>
    <w:pPr>
      <w:widowControl/>
      <w:autoSpaceDE/>
      <w:autoSpaceDN/>
      <w:adjustRightInd w:val="0"/>
      <w:snapToGrid w:val="0"/>
      <w:spacing w:before="100" w:beforeAutospacing="1" w:after="100" w:afterAutospacing="1" w:line="360" w:lineRule="auto"/>
    </w:pPr>
    <w:rPr>
      <w:rFonts w:ascii="Arial" w:hAnsi="Arial" w:eastAsia="宋体" w:cs="Arial"/>
      <w:sz w:val="17"/>
      <w:szCs w:val="17"/>
      <w:lang w:val="en-US" w:bidi="ar-SA"/>
    </w:rPr>
  </w:style>
  <w:style w:type="paragraph" w:customStyle="1" w:styleId="130">
    <w:name w:val="Char"/>
    <w:basedOn w:val="1"/>
    <w:qFormat/>
    <w:uiPriority w:val="0"/>
    <w:pPr>
      <w:autoSpaceDE/>
      <w:autoSpaceDN/>
      <w:adjustRightInd w:val="0"/>
      <w:snapToGrid w:val="0"/>
      <w:spacing w:line="360" w:lineRule="auto"/>
    </w:pPr>
    <w:rPr>
      <w:rFonts w:ascii="Times New Roman" w:hAnsi="Times New Roman" w:eastAsia="宋体" w:cs="Times New Roman"/>
      <w:kern w:val="2"/>
      <w:sz w:val="24"/>
      <w:szCs w:val="20"/>
      <w:lang w:val="en-US" w:bidi="ar-SA"/>
    </w:rPr>
  </w:style>
  <w:style w:type="paragraph" w:customStyle="1" w:styleId="131">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宋体" w:hAnsi="宋体" w:eastAsia="宋体" w:cs="宋体"/>
      <w:b/>
      <w:bCs/>
      <w:sz w:val="18"/>
      <w:szCs w:val="18"/>
      <w:lang w:val="en-US" w:bidi="ar-SA"/>
    </w:rPr>
  </w:style>
  <w:style w:type="paragraph" w:customStyle="1" w:styleId="132">
    <w:name w:val="Char3"/>
    <w:basedOn w:val="1"/>
    <w:qFormat/>
    <w:uiPriority w:val="0"/>
    <w:pPr>
      <w:autoSpaceDE/>
      <w:autoSpaceDN/>
      <w:adjustRightInd w:val="0"/>
      <w:snapToGrid w:val="0"/>
      <w:spacing w:line="360" w:lineRule="auto"/>
    </w:pPr>
    <w:rPr>
      <w:rFonts w:ascii="仿宋_GB2312" w:hAnsi="Times New Roman" w:eastAsia="仿宋_GB2312" w:cs="仿宋_GB2312"/>
      <w:b/>
      <w:bCs/>
      <w:kern w:val="2"/>
      <w:sz w:val="32"/>
      <w:szCs w:val="32"/>
      <w:lang w:val="en-US" w:bidi="ar-SA"/>
    </w:rPr>
  </w:style>
  <w:style w:type="paragraph" w:customStyle="1" w:styleId="133">
    <w:name w:val="xl7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宋体" w:hAnsi="宋体" w:eastAsia="宋体" w:cs="宋体"/>
      <w:sz w:val="24"/>
      <w:szCs w:val="24"/>
      <w:lang w:val="en-US" w:bidi="ar-SA"/>
    </w:rPr>
  </w:style>
  <w:style w:type="paragraph" w:customStyle="1" w:styleId="134">
    <w:name w:val="Char Char Char Char Char Char Char Char Char Char Char Char Char Char Char Char"/>
    <w:basedOn w:val="1"/>
    <w:qFormat/>
    <w:uiPriority w:val="0"/>
    <w:pPr>
      <w:tabs>
        <w:tab w:val="left" w:pos="360"/>
      </w:tabs>
      <w:autoSpaceDE/>
      <w:autoSpaceDN/>
      <w:adjustRightInd w:val="0"/>
      <w:snapToGrid w:val="0"/>
      <w:spacing w:line="360" w:lineRule="auto"/>
      <w:ind w:left="482" w:firstLine="200" w:firstLineChars="200"/>
    </w:pPr>
    <w:rPr>
      <w:rFonts w:ascii="宋体" w:hAnsi="Times New Roman" w:eastAsia="宋体" w:cs="Times New Roman"/>
      <w:kern w:val="2"/>
      <w:sz w:val="24"/>
      <w:szCs w:val="24"/>
      <w:lang w:val="en-US" w:bidi="ar-SA"/>
    </w:rPr>
  </w:style>
  <w:style w:type="paragraph" w:customStyle="1" w:styleId="135">
    <w:name w:val="Default Text:1"/>
    <w:basedOn w:val="1"/>
    <w:qFormat/>
    <w:uiPriority w:val="0"/>
    <w:pPr>
      <w:widowControl/>
      <w:overflowPunct w:val="0"/>
      <w:adjustRightInd w:val="0"/>
      <w:snapToGrid w:val="0"/>
      <w:spacing w:line="360" w:lineRule="auto"/>
      <w:textAlignment w:val="baseline"/>
    </w:pPr>
    <w:rPr>
      <w:rFonts w:ascii="Times New Roman" w:hAnsi="Times New Roman" w:eastAsia="宋体" w:cs="Times New Roman"/>
      <w:sz w:val="24"/>
      <w:szCs w:val="24"/>
      <w:lang w:val="en-US" w:bidi="ar-SA"/>
    </w:rPr>
  </w:style>
  <w:style w:type="paragraph" w:customStyle="1" w:styleId="136">
    <w:name w:val="p0"/>
    <w:basedOn w:val="1"/>
    <w:qFormat/>
    <w:uiPriority w:val="0"/>
    <w:pPr>
      <w:widowControl/>
      <w:autoSpaceDE/>
      <w:autoSpaceDN/>
      <w:adjustRightInd w:val="0"/>
      <w:snapToGrid w:val="0"/>
      <w:spacing w:before="100" w:beforeAutospacing="1" w:after="100" w:afterAutospacing="1" w:line="360" w:lineRule="auto"/>
    </w:pPr>
    <w:rPr>
      <w:rFonts w:ascii="宋体" w:hAnsi="宋体" w:eastAsia="宋体" w:cs="宋体"/>
      <w:sz w:val="24"/>
      <w:szCs w:val="24"/>
      <w:lang w:val="en-US" w:bidi="ar-SA"/>
    </w:rPr>
  </w:style>
  <w:style w:type="paragraph" w:customStyle="1" w:styleId="137">
    <w:name w:val="xl72"/>
    <w:basedOn w:val="1"/>
    <w:qFormat/>
    <w:uiPriority w:val="0"/>
    <w:pPr>
      <w:widowControl/>
      <w:pBdr>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pPr>
    <w:rPr>
      <w:rFonts w:ascii="宋体" w:hAnsi="宋体" w:eastAsia="宋体" w:cs="宋体"/>
      <w:sz w:val="17"/>
      <w:szCs w:val="17"/>
      <w:lang w:val="en-US" w:bidi="ar-SA"/>
    </w:rPr>
  </w:style>
  <w:style w:type="paragraph" w:customStyle="1" w:styleId="138">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宋体" w:hAnsi="宋体" w:eastAsia="宋体" w:cs="宋体"/>
      <w:sz w:val="17"/>
      <w:szCs w:val="17"/>
      <w:lang w:val="en-US" w:bidi="ar-SA"/>
    </w:rPr>
  </w:style>
  <w:style w:type="paragraph" w:customStyle="1" w:styleId="139">
    <w:name w:val="xl74"/>
    <w:basedOn w:val="1"/>
    <w:qFormat/>
    <w:uiPriority w:val="0"/>
    <w:pPr>
      <w:widowControl/>
      <w:autoSpaceDE/>
      <w:autoSpaceDN/>
      <w:adjustRightInd w:val="0"/>
      <w:snapToGrid w:val="0"/>
      <w:spacing w:before="100" w:beforeAutospacing="1" w:after="100" w:afterAutospacing="1" w:line="360" w:lineRule="auto"/>
      <w:jc w:val="center"/>
    </w:pPr>
    <w:rPr>
      <w:rFonts w:ascii="宋体" w:hAnsi="宋体" w:eastAsia="宋体" w:cs="宋体"/>
      <w:sz w:val="18"/>
      <w:szCs w:val="18"/>
      <w:lang w:val="en-US" w:bidi="ar-SA"/>
    </w:rPr>
  </w:style>
  <w:style w:type="paragraph" w:customStyle="1" w:styleId="140">
    <w:name w:val="font5"/>
    <w:basedOn w:val="1"/>
    <w:qFormat/>
    <w:uiPriority w:val="0"/>
    <w:pPr>
      <w:widowControl/>
      <w:autoSpaceDE/>
      <w:autoSpaceDN/>
      <w:adjustRightInd w:val="0"/>
      <w:snapToGrid w:val="0"/>
      <w:spacing w:before="100" w:beforeAutospacing="1" w:after="100" w:afterAutospacing="1" w:line="360" w:lineRule="auto"/>
    </w:pPr>
    <w:rPr>
      <w:rFonts w:ascii="Tahoma" w:hAnsi="Tahoma" w:eastAsia="宋体" w:cs="Tahoma"/>
      <w:sz w:val="18"/>
      <w:szCs w:val="18"/>
      <w:lang w:val="en-US" w:bidi="ar-SA"/>
    </w:rPr>
  </w:style>
  <w:style w:type="paragraph" w:customStyle="1" w:styleId="141">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Arial" w:hAnsi="Arial" w:eastAsia="宋体" w:cs="Arial"/>
      <w:sz w:val="17"/>
      <w:szCs w:val="17"/>
      <w:lang w:val="en-US" w:bidi="ar-SA"/>
    </w:rPr>
  </w:style>
  <w:style w:type="paragraph" w:customStyle="1" w:styleId="142">
    <w:name w:val="Item List"/>
    <w:qFormat/>
    <w:uiPriority w:val="0"/>
    <w:pPr>
      <w:tabs>
        <w:tab w:val="left" w:pos="420"/>
        <w:tab w:val="left" w:pos="709"/>
        <w:tab w:val="left" w:pos="1985"/>
      </w:tabs>
      <w:adjustRightInd w:val="0"/>
      <w:snapToGrid w:val="0"/>
      <w:spacing w:before="80" w:after="80" w:line="240" w:lineRule="atLeast"/>
      <w:ind w:left="420" w:hanging="420"/>
    </w:pPr>
    <w:rPr>
      <w:rFonts w:hint="eastAsia" w:ascii="Times New Roman" w:hAnsi="Times New Roman" w:eastAsia="宋体" w:cs="Arial"/>
      <w:kern w:val="2"/>
      <w:sz w:val="21"/>
      <w:szCs w:val="21"/>
      <w:lang w:val="en-US" w:eastAsia="zh-CN" w:bidi="ar-SA"/>
    </w:rPr>
  </w:style>
  <w:style w:type="paragraph" w:customStyle="1" w:styleId="143">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Arial" w:hAnsi="Arial" w:eastAsia="宋体" w:cs="Arial"/>
      <w:sz w:val="17"/>
      <w:szCs w:val="17"/>
      <w:lang w:val="en-US" w:bidi="ar-SA"/>
    </w:rPr>
  </w:style>
  <w:style w:type="paragraph" w:customStyle="1" w:styleId="144">
    <w:name w:val="xl71"/>
    <w:basedOn w:val="1"/>
    <w:qFormat/>
    <w:uiPriority w:val="0"/>
    <w:pPr>
      <w:widowControl/>
      <w:pBdr>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宋体" w:hAnsi="宋体" w:eastAsia="宋体" w:cs="宋体"/>
      <w:sz w:val="17"/>
      <w:szCs w:val="17"/>
      <w:lang w:val="en-US" w:bidi="ar-SA"/>
    </w:rPr>
  </w:style>
  <w:style w:type="paragraph" w:customStyle="1" w:styleId="145">
    <w:name w:val="样式1"/>
    <w:basedOn w:val="1"/>
    <w:qFormat/>
    <w:uiPriority w:val="0"/>
    <w:pPr>
      <w:autoSpaceDE/>
      <w:autoSpaceDN/>
      <w:adjustRightInd w:val="0"/>
      <w:snapToGrid w:val="0"/>
      <w:jc w:val="center"/>
    </w:pPr>
    <w:rPr>
      <w:rFonts w:ascii="Times New Roman" w:hAnsi="Times New Roman" w:eastAsia="宋体" w:cs="Times New Roman"/>
      <w:kern w:val="2"/>
      <w:sz w:val="21"/>
      <w:szCs w:val="30"/>
      <w:lang w:val="en-US" w:bidi="ar-SA"/>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宋体" w:hAnsi="宋体" w:eastAsia="宋体" w:cs="宋体"/>
      <w:sz w:val="18"/>
      <w:szCs w:val="18"/>
      <w:lang w:val="en-US" w:bidi="ar-SA"/>
    </w:rPr>
  </w:style>
  <w:style w:type="paragraph" w:customStyle="1" w:styleId="147">
    <w:name w:val="xl70"/>
    <w:basedOn w:val="1"/>
    <w:qFormat/>
    <w:uiPriority w:val="0"/>
    <w:pPr>
      <w:widowControl/>
      <w:pBdr>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Arial" w:hAnsi="Arial" w:eastAsia="宋体" w:cs="Arial"/>
      <w:sz w:val="17"/>
      <w:szCs w:val="17"/>
      <w:lang w:val="en-US" w:bidi="ar-SA"/>
    </w:rPr>
  </w:style>
  <w:style w:type="paragraph" w:customStyle="1" w:styleId="148">
    <w:name w:val="Zchn Zchn"/>
    <w:basedOn w:val="1"/>
    <w:qFormat/>
    <w:uiPriority w:val="0"/>
    <w:pPr>
      <w:autoSpaceDE/>
      <w:autoSpaceDN/>
      <w:adjustRightInd w:val="0"/>
      <w:snapToGrid w:val="0"/>
      <w:spacing w:line="360" w:lineRule="auto"/>
    </w:pPr>
    <w:rPr>
      <w:rFonts w:ascii="Tahoma" w:hAnsi="Tahoma" w:eastAsia="宋体" w:cs="Times New Roman"/>
      <w:kern w:val="2"/>
      <w:sz w:val="24"/>
      <w:szCs w:val="20"/>
      <w:lang w:val="en-US" w:bidi="ar-SA"/>
    </w:rPr>
  </w:style>
  <w:style w:type="paragraph" w:customStyle="1" w:styleId="149">
    <w:name w:val="xl26"/>
    <w:basedOn w:val="1"/>
    <w:qFormat/>
    <w:uiPriority w:val="0"/>
    <w:pPr>
      <w:widowControl/>
      <w:autoSpaceDE/>
      <w:autoSpaceDN/>
      <w:adjustRightInd w:val="0"/>
      <w:snapToGrid w:val="0"/>
      <w:spacing w:before="100" w:beforeAutospacing="1" w:after="100" w:afterAutospacing="1" w:line="360" w:lineRule="auto"/>
      <w:jc w:val="center"/>
      <w:textAlignment w:val="center"/>
    </w:pPr>
    <w:rPr>
      <w:rFonts w:ascii="Tahoma" w:hAnsi="Tahoma" w:eastAsia="宋体" w:cs="Tahoma"/>
      <w:color w:val="000000"/>
      <w:sz w:val="20"/>
      <w:szCs w:val="20"/>
      <w:lang w:val="en-US" w:bidi="ar-SA"/>
    </w:rPr>
  </w:style>
  <w:style w:type="paragraph" w:customStyle="1" w:styleId="150">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宋体" w:hAnsi="宋体" w:eastAsia="宋体" w:cs="宋体"/>
      <w:b/>
      <w:bCs/>
      <w:sz w:val="17"/>
      <w:szCs w:val="17"/>
      <w:lang w:val="en-US" w:bidi="ar-SA"/>
    </w:rPr>
  </w:style>
  <w:style w:type="paragraph" w:customStyle="1" w:styleId="151">
    <w:name w:val="a2"/>
    <w:basedOn w:val="1"/>
    <w:qFormat/>
    <w:uiPriority w:val="0"/>
    <w:pPr>
      <w:widowControl/>
      <w:autoSpaceDE/>
      <w:autoSpaceDN/>
      <w:adjustRightInd w:val="0"/>
      <w:snapToGrid w:val="0"/>
      <w:spacing w:before="100" w:beforeAutospacing="1" w:after="100" w:afterAutospacing="1" w:line="360" w:lineRule="auto"/>
    </w:pPr>
    <w:rPr>
      <w:rFonts w:ascii="宋体" w:hAnsi="宋体" w:eastAsia="宋体" w:cs="宋体"/>
      <w:sz w:val="24"/>
      <w:szCs w:val="24"/>
      <w:lang w:val="en-US" w:bidi="ar-SA"/>
    </w:rPr>
  </w:style>
  <w:style w:type="paragraph" w:customStyle="1" w:styleId="152">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pPr>
    <w:rPr>
      <w:rFonts w:ascii="宋体" w:hAnsi="宋体" w:eastAsia="宋体" w:cs="宋体"/>
      <w:sz w:val="17"/>
      <w:szCs w:val="17"/>
      <w:lang w:val="en-US" w:bidi="ar-SA"/>
    </w:rPr>
  </w:style>
  <w:style w:type="paragraph" w:customStyle="1" w:styleId="153">
    <w:name w:val="Char Char Char Char Char Char Char Char Char Char"/>
    <w:basedOn w:val="1"/>
    <w:qFormat/>
    <w:uiPriority w:val="0"/>
    <w:pPr>
      <w:keepNext/>
      <w:keepLines/>
      <w:pageBreakBefore/>
      <w:numPr>
        <w:ilvl w:val="0"/>
        <w:numId w:val="5"/>
      </w:numPr>
      <w:tabs>
        <w:tab w:val="left" w:pos="360"/>
      </w:tabs>
      <w:autoSpaceDE/>
      <w:autoSpaceDN/>
      <w:adjustRightInd w:val="0"/>
      <w:snapToGrid w:val="0"/>
      <w:spacing w:line="360" w:lineRule="auto"/>
      <w:textAlignment w:val="baseline"/>
    </w:pPr>
    <w:rPr>
      <w:rFonts w:ascii="Times New Roman" w:hAnsi="Times New Roman" w:eastAsia="宋体" w:cs="Times New Roman"/>
      <w:kern w:val="2"/>
      <w:sz w:val="24"/>
      <w:szCs w:val="24"/>
      <w:lang w:val="en-US" w:bidi="ar-SA"/>
    </w:rPr>
  </w:style>
  <w:style w:type="paragraph" w:customStyle="1" w:styleId="154">
    <w:name w:val="Char2"/>
    <w:basedOn w:val="1"/>
    <w:qFormat/>
    <w:uiPriority w:val="0"/>
    <w:pPr>
      <w:tabs>
        <w:tab w:val="left" w:pos="425"/>
      </w:tabs>
      <w:autoSpaceDE/>
      <w:autoSpaceDN/>
      <w:adjustRightInd w:val="0"/>
      <w:snapToGrid w:val="0"/>
      <w:spacing w:line="360" w:lineRule="auto"/>
      <w:ind w:left="425" w:hanging="425"/>
    </w:pPr>
    <w:rPr>
      <w:rFonts w:ascii="Times New Roman" w:hAnsi="Times New Roman" w:eastAsia="宋体" w:cs="Times New Roman"/>
      <w:kern w:val="2"/>
      <w:sz w:val="24"/>
      <w:szCs w:val="24"/>
      <w:lang w:val="en-US" w:bidi="ar-SA"/>
    </w:rPr>
  </w:style>
  <w:style w:type="paragraph" w:customStyle="1" w:styleId="155">
    <w:name w:val="正文 + 10 磅"/>
    <w:basedOn w:val="1"/>
    <w:qFormat/>
    <w:uiPriority w:val="0"/>
    <w:pPr>
      <w:widowControl/>
      <w:adjustRightInd w:val="0"/>
      <w:snapToGrid w:val="0"/>
      <w:spacing w:line="360" w:lineRule="auto"/>
    </w:pPr>
    <w:rPr>
      <w:rFonts w:ascii="Times New Roman" w:hAnsi="Times New Roman" w:eastAsia="宋体" w:cs="Times New Roman"/>
      <w:sz w:val="20"/>
      <w:szCs w:val="20"/>
      <w:lang w:val="en-US" w:eastAsia="en-US" w:bidi="ar-SA"/>
    </w:rPr>
  </w:style>
  <w:style w:type="paragraph" w:customStyle="1" w:styleId="156">
    <w:name w:val="reader-word-layer reader-word-s1-9"/>
    <w:basedOn w:val="1"/>
    <w:qFormat/>
    <w:uiPriority w:val="0"/>
    <w:pPr>
      <w:widowControl/>
      <w:autoSpaceDE/>
      <w:autoSpaceDN/>
      <w:adjustRightInd w:val="0"/>
      <w:snapToGrid w:val="0"/>
      <w:spacing w:before="100" w:beforeAutospacing="1" w:after="100" w:afterAutospacing="1" w:line="360" w:lineRule="auto"/>
    </w:pPr>
    <w:rPr>
      <w:rFonts w:ascii="宋体" w:hAnsi="宋体" w:eastAsia="宋体" w:cs="宋体"/>
      <w:sz w:val="24"/>
      <w:szCs w:val="24"/>
      <w:lang w:val="en-US" w:bidi="ar-SA"/>
    </w:rPr>
  </w:style>
  <w:style w:type="paragraph" w:customStyle="1" w:styleId="157">
    <w:name w:val="Char1"/>
    <w:basedOn w:val="1"/>
    <w:qFormat/>
    <w:uiPriority w:val="0"/>
    <w:pPr>
      <w:autoSpaceDE/>
      <w:autoSpaceDN/>
      <w:adjustRightInd w:val="0"/>
      <w:snapToGrid w:val="0"/>
      <w:spacing w:line="360" w:lineRule="auto"/>
    </w:pPr>
    <w:rPr>
      <w:rFonts w:ascii="Times New Roman" w:hAnsi="Times New Roman" w:eastAsia="宋体" w:cs="Times New Roman"/>
      <w:kern w:val="2"/>
      <w:sz w:val="24"/>
      <w:szCs w:val="24"/>
      <w:lang w:val="en-US" w:bidi="ar-SA"/>
    </w:rPr>
  </w:style>
  <w:style w:type="paragraph" w:customStyle="1" w:styleId="158">
    <w:name w:val="标题1T"/>
    <w:basedOn w:val="1"/>
    <w:qFormat/>
    <w:uiPriority w:val="0"/>
    <w:pPr>
      <w:autoSpaceDE/>
      <w:autoSpaceDN/>
      <w:adjustRightInd w:val="0"/>
      <w:snapToGrid w:val="0"/>
      <w:spacing w:line="360" w:lineRule="auto"/>
      <w:ind w:left="180"/>
    </w:pPr>
    <w:rPr>
      <w:rFonts w:ascii="宋体" w:hAnsi="宋体" w:eastAsia="宋体" w:cs="Times New Roman"/>
      <w:b/>
      <w:kern w:val="2"/>
      <w:sz w:val="28"/>
      <w:szCs w:val="20"/>
      <w:lang w:val="en-US" w:bidi="ar-SA"/>
    </w:rPr>
  </w:style>
  <w:style w:type="paragraph" w:customStyle="1" w:styleId="159">
    <w:name w:val="xl29"/>
    <w:basedOn w:val="1"/>
    <w:qFormat/>
    <w:uiPriority w:val="0"/>
    <w:pPr>
      <w:widowControl/>
      <w:autoSpaceDE/>
      <w:autoSpaceDN/>
      <w:adjustRightInd w:val="0"/>
      <w:snapToGrid w:val="0"/>
      <w:spacing w:before="100" w:beforeAutospacing="1" w:after="100" w:afterAutospacing="1" w:line="360" w:lineRule="auto"/>
      <w:jc w:val="center"/>
      <w:textAlignment w:val="center"/>
    </w:pPr>
    <w:rPr>
      <w:rFonts w:ascii="宋体" w:hAnsi="宋体" w:eastAsia="宋体" w:cs="宋体"/>
      <w:b/>
      <w:bCs/>
      <w:color w:val="000000"/>
      <w:sz w:val="20"/>
      <w:szCs w:val="20"/>
      <w:lang w:val="en-US" w:bidi="ar-SA"/>
    </w:rPr>
  </w:style>
  <w:style w:type="paragraph" w:customStyle="1" w:styleId="160">
    <w:name w:val="xl25"/>
    <w:basedOn w:val="1"/>
    <w:qFormat/>
    <w:uiPriority w:val="0"/>
    <w:pPr>
      <w:widowControl/>
      <w:autoSpaceDE/>
      <w:autoSpaceDN/>
      <w:adjustRightInd w:val="0"/>
      <w:snapToGrid w:val="0"/>
      <w:spacing w:before="100" w:beforeAutospacing="1" w:after="100" w:afterAutospacing="1" w:line="360" w:lineRule="auto"/>
      <w:jc w:val="center"/>
      <w:textAlignment w:val="center"/>
    </w:pPr>
    <w:rPr>
      <w:rFonts w:ascii="宋体" w:hAnsi="宋体" w:eastAsia="宋体" w:cs="宋体"/>
      <w:b/>
      <w:bCs/>
      <w:sz w:val="20"/>
      <w:szCs w:val="20"/>
      <w:lang w:val="en-US" w:bidi="ar-SA"/>
    </w:rPr>
  </w:style>
  <w:style w:type="paragraph" w:customStyle="1" w:styleId="161">
    <w:name w:val="小封面"/>
    <w:next w:val="1"/>
    <w:qFormat/>
    <w:uiPriority w:val="0"/>
    <w:pPr>
      <w:spacing w:line="360" w:lineRule="auto"/>
      <w:jc w:val="center"/>
    </w:pPr>
    <w:rPr>
      <w:rFonts w:ascii="Times New Roman" w:hAnsi="Times New Roman" w:eastAsia="宋体" w:cs="Times New Roman"/>
      <w:b/>
      <w:sz w:val="44"/>
      <w:lang w:val="en-US" w:eastAsia="zh-CN" w:bidi="ar-SA"/>
    </w:rPr>
  </w:style>
  <w:style w:type="paragraph" w:customStyle="1" w:styleId="162">
    <w:name w:val="font9"/>
    <w:basedOn w:val="1"/>
    <w:qFormat/>
    <w:uiPriority w:val="0"/>
    <w:pPr>
      <w:widowControl/>
      <w:autoSpaceDE/>
      <w:autoSpaceDN/>
      <w:spacing w:before="100" w:beforeAutospacing="1" w:after="100" w:afterAutospacing="1"/>
    </w:pPr>
    <w:rPr>
      <w:rFonts w:ascii="宋体" w:hAnsi="宋体" w:eastAsia="宋体" w:cs="宋体"/>
      <w:sz w:val="20"/>
      <w:szCs w:val="20"/>
      <w:lang w:val="en-US" w:bidi="ar-SA"/>
    </w:rPr>
  </w:style>
  <w:style w:type="paragraph" w:customStyle="1" w:styleId="163">
    <w:name w:val="font10"/>
    <w:basedOn w:val="1"/>
    <w:qFormat/>
    <w:uiPriority w:val="0"/>
    <w:pPr>
      <w:widowControl/>
      <w:autoSpaceDE/>
      <w:autoSpaceDN/>
      <w:spacing w:before="100" w:beforeAutospacing="1" w:after="100" w:afterAutospacing="1"/>
    </w:pPr>
    <w:rPr>
      <w:rFonts w:ascii="宋体" w:hAnsi="宋体" w:eastAsia="宋体" w:cs="宋体"/>
      <w:sz w:val="20"/>
      <w:szCs w:val="20"/>
      <w:lang w:val="en-US" w:bidi="ar-SA"/>
    </w:rPr>
  </w:style>
  <w:style w:type="paragraph" w:customStyle="1" w:styleId="164">
    <w:name w:val="font12"/>
    <w:basedOn w:val="1"/>
    <w:qFormat/>
    <w:uiPriority w:val="0"/>
    <w:pPr>
      <w:widowControl/>
      <w:autoSpaceDE/>
      <w:autoSpaceDN/>
      <w:spacing w:before="100" w:beforeAutospacing="1" w:after="100" w:afterAutospacing="1"/>
    </w:pPr>
    <w:rPr>
      <w:rFonts w:ascii="宋体" w:hAnsi="宋体" w:eastAsia="宋体" w:cs="宋体"/>
      <w:sz w:val="18"/>
      <w:szCs w:val="18"/>
      <w:lang w:val="en-US" w:bidi="ar-SA"/>
    </w:rPr>
  </w:style>
  <w:style w:type="paragraph" w:customStyle="1" w:styleId="165">
    <w:name w:val="font13"/>
    <w:basedOn w:val="1"/>
    <w:qFormat/>
    <w:uiPriority w:val="0"/>
    <w:pPr>
      <w:widowControl/>
      <w:autoSpaceDE/>
      <w:autoSpaceDN/>
      <w:spacing w:before="100" w:beforeAutospacing="1" w:after="100" w:afterAutospacing="1"/>
    </w:pPr>
    <w:rPr>
      <w:rFonts w:ascii="宋体" w:hAnsi="宋体" w:eastAsia="宋体" w:cs="宋体"/>
      <w:color w:val="000000"/>
      <w:lang w:val="en-US" w:bidi="ar-SA"/>
    </w:rPr>
  </w:style>
  <w:style w:type="paragraph" w:customStyle="1" w:styleId="166">
    <w:name w:val="xl79"/>
    <w:basedOn w:val="1"/>
    <w:qFormat/>
    <w:uiPriority w:val="0"/>
    <w:pPr>
      <w:widowControl/>
      <w:autoSpaceDE/>
      <w:autoSpaceDN/>
      <w:spacing w:before="100" w:beforeAutospacing="1" w:after="100" w:afterAutospacing="1"/>
    </w:pPr>
    <w:rPr>
      <w:rFonts w:ascii="宋体" w:hAnsi="宋体" w:eastAsia="宋体" w:cs="宋体"/>
      <w:b/>
      <w:bCs/>
      <w:sz w:val="24"/>
      <w:szCs w:val="24"/>
      <w:lang w:val="en-US" w:bidi="ar-SA"/>
    </w:rPr>
  </w:style>
  <w:style w:type="paragraph" w:customStyle="1" w:styleId="167">
    <w:name w:val="xl8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rFonts w:ascii="宋体" w:hAnsi="宋体" w:eastAsia="宋体" w:cs="宋体"/>
      <w:sz w:val="24"/>
      <w:szCs w:val="24"/>
      <w:lang w:val="en-US" w:bidi="ar-SA"/>
    </w:rPr>
  </w:style>
  <w:style w:type="paragraph" w:customStyle="1" w:styleId="168">
    <w:name w:val="xl8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69">
    <w:name w:val="xl8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70">
    <w:name w:val="xl83"/>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微软雅黑" w:hAnsi="微软雅黑" w:eastAsia="微软雅黑" w:cs="宋体"/>
      <w:b/>
      <w:bCs/>
      <w:sz w:val="24"/>
      <w:szCs w:val="24"/>
      <w:lang w:val="en-US" w:bidi="ar-SA"/>
    </w:rPr>
  </w:style>
  <w:style w:type="paragraph" w:customStyle="1" w:styleId="171">
    <w:name w:val="xl84"/>
    <w:basedOn w:val="1"/>
    <w:qFormat/>
    <w:uiPriority w:val="0"/>
    <w:pPr>
      <w:widowControl/>
      <w:autoSpaceDE/>
      <w:autoSpaceDN/>
      <w:spacing w:before="100" w:beforeAutospacing="1" w:after="100" w:afterAutospacing="1"/>
    </w:pPr>
    <w:rPr>
      <w:rFonts w:ascii="宋体" w:hAnsi="宋体" w:eastAsia="宋体" w:cs="宋体"/>
      <w:b/>
      <w:bCs/>
      <w:sz w:val="24"/>
      <w:szCs w:val="24"/>
      <w:lang w:val="en-US" w:bidi="ar-SA"/>
    </w:rPr>
  </w:style>
  <w:style w:type="paragraph" w:customStyle="1" w:styleId="172">
    <w:name w:val="xl8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0"/>
      <w:szCs w:val="20"/>
      <w:lang w:val="en-US" w:bidi="ar-SA"/>
    </w:rPr>
  </w:style>
  <w:style w:type="paragraph" w:customStyle="1" w:styleId="173">
    <w:name w:val="xl8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sz w:val="20"/>
      <w:szCs w:val="20"/>
      <w:lang w:val="en-US" w:bidi="ar-SA"/>
    </w:rPr>
  </w:style>
  <w:style w:type="paragraph" w:customStyle="1" w:styleId="174">
    <w:name w:val="xl8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75">
    <w:name w:val="xl8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rFonts w:ascii="宋体" w:hAnsi="宋体" w:eastAsia="宋体" w:cs="宋体"/>
      <w:color w:val="000000"/>
      <w:sz w:val="24"/>
      <w:szCs w:val="24"/>
      <w:lang w:val="en-US" w:bidi="ar-SA"/>
    </w:rPr>
  </w:style>
  <w:style w:type="paragraph" w:customStyle="1" w:styleId="176">
    <w:name w:val="xl89"/>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paragraph" w:customStyle="1" w:styleId="177">
    <w:name w:val="xl9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0"/>
      <w:szCs w:val="20"/>
      <w:lang w:val="en-US" w:bidi="ar-SA"/>
    </w:rPr>
  </w:style>
  <w:style w:type="paragraph" w:customStyle="1" w:styleId="178">
    <w:name w:val="xl9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rFonts w:ascii="宋体" w:hAnsi="宋体" w:eastAsia="宋体" w:cs="宋体"/>
      <w:sz w:val="24"/>
      <w:szCs w:val="24"/>
      <w:lang w:val="en-US" w:bidi="ar-SA"/>
    </w:rPr>
  </w:style>
  <w:style w:type="paragraph" w:customStyle="1" w:styleId="179">
    <w:name w:val="xl9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80">
    <w:name w:val="xl9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color w:val="000000"/>
      <w:sz w:val="24"/>
      <w:szCs w:val="24"/>
      <w:lang w:val="en-US" w:bidi="ar-SA"/>
    </w:rPr>
  </w:style>
  <w:style w:type="paragraph" w:customStyle="1" w:styleId="181">
    <w:name w:val="xl94"/>
    <w:basedOn w:val="1"/>
    <w:qFormat/>
    <w:uiPriority w:val="0"/>
    <w:pPr>
      <w:widowControl/>
      <w:autoSpaceDE/>
      <w:autoSpaceDN/>
      <w:spacing w:before="100" w:beforeAutospacing="1" w:after="100" w:afterAutospacing="1"/>
    </w:pPr>
    <w:rPr>
      <w:rFonts w:ascii="宋体" w:hAnsi="宋体" w:eastAsia="宋体" w:cs="宋体"/>
      <w:sz w:val="20"/>
      <w:szCs w:val="20"/>
      <w:lang w:val="en-US" w:bidi="ar-SA"/>
    </w:rPr>
  </w:style>
  <w:style w:type="paragraph" w:customStyle="1" w:styleId="182">
    <w:name w:val="xl9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color w:val="000000"/>
      <w:sz w:val="20"/>
      <w:szCs w:val="20"/>
      <w:lang w:val="en-US" w:bidi="ar-SA"/>
    </w:rPr>
  </w:style>
  <w:style w:type="paragraph" w:customStyle="1" w:styleId="183">
    <w:name w:val="xl9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top"/>
    </w:pPr>
    <w:rPr>
      <w:rFonts w:ascii="宋体" w:hAnsi="宋体" w:eastAsia="宋体" w:cs="宋体"/>
      <w:sz w:val="20"/>
      <w:szCs w:val="20"/>
      <w:lang w:val="en-US" w:bidi="ar-SA"/>
    </w:rPr>
  </w:style>
  <w:style w:type="paragraph" w:customStyle="1" w:styleId="184">
    <w:name w:val="xl97"/>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微软雅黑" w:hAnsi="微软雅黑" w:eastAsia="微软雅黑" w:cs="宋体"/>
      <w:b/>
      <w:bCs/>
      <w:sz w:val="24"/>
      <w:szCs w:val="24"/>
      <w:lang w:val="en-US" w:bidi="ar-SA"/>
    </w:rPr>
  </w:style>
  <w:style w:type="paragraph" w:customStyle="1" w:styleId="185">
    <w:name w:val="xl9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rFonts w:ascii="宋体" w:hAnsi="宋体" w:eastAsia="宋体" w:cs="宋体"/>
      <w:sz w:val="24"/>
      <w:szCs w:val="24"/>
      <w:lang w:val="en-US" w:bidi="ar-SA"/>
    </w:rPr>
  </w:style>
  <w:style w:type="paragraph" w:customStyle="1" w:styleId="186">
    <w:name w:val="xl9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87">
    <w:name w:val="xl10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88">
    <w:name w:val="xl10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color w:val="000000"/>
      <w:sz w:val="20"/>
      <w:szCs w:val="20"/>
      <w:lang w:val="en-US" w:bidi="ar-SA"/>
    </w:rPr>
  </w:style>
  <w:style w:type="paragraph" w:customStyle="1" w:styleId="189">
    <w:name w:val="xl10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rFonts w:ascii="宋体" w:hAnsi="宋体" w:eastAsia="宋体" w:cs="宋体"/>
      <w:color w:val="000000"/>
      <w:sz w:val="20"/>
      <w:szCs w:val="20"/>
      <w:lang w:val="en-US" w:bidi="ar-SA"/>
    </w:rPr>
  </w:style>
  <w:style w:type="paragraph" w:customStyle="1" w:styleId="190">
    <w:name w:val="xl103"/>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paragraph" w:customStyle="1" w:styleId="191">
    <w:name w:val="xl10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92">
    <w:name w:val="xl10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top"/>
    </w:pPr>
    <w:rPr>
      <w:rFonts w:ascii="宋体" w:hAnsi="宋体" w:eastAsia="宋体" w:cs="宋体"/>
      <w:sz w:val="24"/>
      <w:szCs w:val="24"/>
      <w:lang w:val="en-US" w:bidi="ar-SA"/>
    </w:rPr>
  </w:style>
  <w:style w:type="paragraph" w:customStyle="1" w:styleId="193">
    <w:name w:val="xl10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rFonts w:ascii="宋体" w:hAnsi="宋体" w:eastAsia="宋体" w:cs="宋体"/>
      <w:sz w:val="24"/>
      <w:szCs w:val="24"/>
      <w:lang w:val="en-US" w:bidi="ar-SA"/>
    </w:rPr>
  </w:style>
  <w:style w:type="paragraph" w:customStyle="1" w:styleId="194">
    <w:name w:val="xl10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sz w:val="24"/>
      <w:szCs w:val="24"/>
      <w:lang w:val="en-US" w:bidi="ar-SA"/>
    </w:rPr>
  </w:style>
  <w:style w:type="paragraph" w:customStyle="1" w:styleId="195">
    <w:name w:val="xl108"/>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96">
    <w:name w:val="xl109"/>
    <w:basedOn w:val="1"/>
    <w:qFormat/>
    <w:uiPriority w:val="0"/>
    <w:pPr>
      <w:widowControl/>
      <w:pBdr>
        <w:left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97">
    <w:name w:val="xl110"/>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98">
    <w:name w:val="xl111"/>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right"/>
    </w:pPr>
    <w:rPr>
      <w:rFonts w:ascii="宋体" w:hAnsi="宋体" w:eastAsia="宋体" w:cs="宋体"/>
      <w:sz w:val="24"/>
      <w:szCs w:val="24"/>
      <w:lang w:val="en-US" w:bidi="ar-SA"/>
    </w:rPr>
  </w:style>
  <w:style w:type="paragraph" w:customStyle="1" w:styleId="199">
    <w:name w:val="xl112"/>
    <w:basedOn w:val="1"/>
    <w:qFormat/>
    <w:uiPriority w:val="0"/>
    <w:pPr>
      <w:widowControl/>
      <w:pBdr>
        <w:left w:val="single" w:color="auto" w:sz="4" w:space="0"/>
        <w:right w:val="single" w:color="auto" w:sz="4" w:space="0"/>
      </w:pBdr>
      <w:autoSpaceDE/>
      <w:autoSpaceDN/>
      <w:spacing w:before="100" w:beforeAutospacing="1" w:after="100" w:afterAutospacing="1"/>
      <w:jc w:val="right"/>
    </w:pPr>
    <w:rPr>
      <w:rFonts w:ascii="宋体" w:hAnsi="宋体" w:eastAsia="宋体" w:cs="宋体"/>
      <w:sz w:val="24"/>
      <w:szCs w:val="24"/>
      <w:lang w:val="en-US" w:bidi="ar-SA"/>
    </w:rPr>
  </w:style>
  <w:style w:type="paragraph" w:customStyle="1" w:styleId="200">
    <w:name w:val="xl113"/>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right"/>
    </w:pPr>
    <w:rPr>
      <w:rFonts w:ascii="宋体" w:hAnsi="宋体" w:eastAsia="宋体" w:cs="宋体"/>
      <w:sz w:val="24"/>
      <w:szCs w:val="24"/>
      <w:lang w:val="en-US" w:bidi="ar-SA"/>
    </w:rPr>
  </w:style>
  <w:style w:type="paragraph" w:customStyle="1" w:styleId="201">
    <w:name w:val="xl114"/>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202">
    <w:name w:val="xl115"/>
    <w:basedOn w:val="1"/>
    <w:qFormat/>
    <w:uiPriority w:val="0"/>
    <w:pPr>
      <w:widowControl/>
      <w:pBdr>
        <w:left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203">
    <w:name w:val="xl116"/>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204">
    <w:name w:val="xl11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b/>
      <w:bCs/>
      <w:sz w:val="24"/>
      <w:szCs w:val="24"/>
      <w:lang w:val="en-US" w:bidi="ar-SA"/>
    </w:rPr>
  </w:style>
  <w:style w:type="paragraph" w:customStyle="1" w:styleId="205">
    <w:name w:val="xl11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b/>
      <w:bCs/>
      <w:sz w:val="24"/>
      <w:szCs w:val="24"/>
      <w:lang w:val="en-US" w:bidi="ar-SA"/>
    </w:rPr>
  </w:style>
  <w:style w:type="paragraph" w:customStyle="1" w:styleId="206">
    <w:name w:val="xl11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rFonts w:ascii="宋体" w:hAnsi="宋体" w:eastAsia="宋体" w:cs="宋体"/>
      <w:sz w:val="24"/>
      <w:szCs w:val="24"/>
      <w:lang w:val="en-US" w:bidi="ar-SA"/>
    </w:rPr>
  </w:style>
  <w:style w:type="paragraph" w:customStyle="1" w:styleId="207">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208">
    <w:name w:val="xl12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209">
    <w:name w:val="xl12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b/>
      <w:bCs/>
      <w:sz w:val="24"/>
      <w:szCs w:val="24"/>
      <w:lang w:val="en-US" w:bidi="ar-SA"/>
    </w:rPr>
  </w:style>
  <w:style w:type="paragraph" w:customStyle="1" w:styleId="210">
    <w:name w:val="xl123"/>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rFonts w:ascii="宋体" w:hAnsi="宋体" w:eastAsia="宋体" w:cs="宋体"/>
      <w:b/>
      <w:bCs/>
      <w:sz w:val="24"/>
      <w:szCs w:val="24"/>
      <w:lang w:val="en-US" w:bidi="ar-SA"/>
    </w:rPr>
  </w:style>
  <w:style w:type="paragraph" w:customStyle="1" w:styleId="211">
    <w:name w:val="xl124"/>
    <w:basedOn w:val="1"/>
    <w:qFormat/>
    <w:uiPriority w:val="0"/>
    <w:pPr>
      <w:widowControl/>
      <w:pBdr>
        <w:top w:val="single" w:color="auto" w:sz="4" w:space="0"/>
        <w:bottom w:val="single" w:color="auto" w:sz="4" w:space="0"/>
      </w:pBdr>
      <w:autoSpaceDE/>
      <w:autoSpaceDN/>
      <w:spacing w:before="100" w:beforeAutospacing="1" w:after="100" w:afterAutospacing="1"/>
    </w:pPr>
    <w:rPr>
      <w:rFonts w:ascii="宋体" w:hAnsi="宋体" w:eastAsia="宋体" w:cs="宋体"/>
      <w:b/>
      <w:bCs/>
      <w:sz w:val="24"/>
      <w:szCs w:val="24"/>
      <w:lang w:val="en-US" w:bidi="ar-SA"/>
    </w:rPr>
  </w:style>
  <w:style w:type="paragraph" w:customStyle="1" w:styleId="212">
    <w:name w:val="xl1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b/>
      <w:bCs/>
      <w:sz w:val="24"/>
      <w:szCs w:val="24"/>
      <w:lang w:val="en-US" w:bidi="ar-SA"/>
    </w:rPr>
  </w:style>
  <w:style w:type="character" w:customStyle="1" w:styleId="213">
    <w:name w:val="列出段落1 Char"/>
    <w:link w:val="74"/>
    <w:qFormat/>
    <w:locked/>
    <w:uiPriority w:val="0"/>
    <w:rPr>
      <w:rFonts w:ascii="Times New Roman" w:hAnsi="Times New Roman" w:eastAsia="宋体" w:cs="Times New Roman"/>
      <w:kern w:val="2"/>
      <w:sz w:val="21"/>
      <w:szCs w:val="24"/>
    </w:rPr>
  </w:style>
  <w:style w:type="paragraph" w:customStyle="1" w:styleId="214">
    <w:name w:val="**正文"/>
    <w:basedOn w:val="1"/>
    <w:qFormat/>
    <w:uiPriority w:val="0"/>
    <w:pPr>
      <w:autoSpaceDE/>
      <w:autoSpaceDN/>
      <w:spacing w:line="360" w:lineRule="auto"/>
      <w:ind w:firstLine="480" w:firstLineChars="200"/>
      <w:jc w:val="both"/>
    </w:pPr>
    <w:rPr>
      <w:rFonts w:ascii="Times New Roman" w:hAnsi="Times New Roman" w:eastAsia="宋体" w:cs="Times New Roman"/>
      <w:sz w:val="20"/>
      <w:szCs w:val="32"/>
      <w:lang w:val="en-US" w:bidi="ar-SA"/>
    </w:rPr>
  </w:style>
  <w:style w:type="paragraph" w:customStyle="1" w:styleId="215">
    <w:name w:val="列出段落3"/>
    <w:basedOn w:val="1"/>
    <w:link w:val="216"/>
    <w:qFormat/>
    <w:uiPriority w:val="0"/>
    <w:pPr>
      <w:autoSpaceDE/>
      <w:autoSpaceDN/>
      <w:spacing w:line="360" w:lineRule="auto"/>
      <w:ind w:firstLine="420"/>
      <w:jc w:val="both"/>
    </w:pPr>
    <w:rPr>
      <w:rFonts w:ascii="Calibri" w:hAnsi="Calibri" w:eastAsia="Calibri" w:cs="Times New Roman"/>
      <w:sz w:val="21"/>
      <w:szCs w:val="20"/>
      <w:lang w:eastAsia="en-US" w:bidi="ar-SA"/>
    </w:rPr>
  </w:style>
  <w:style w:type="character" w:customStyle="1" w:styleId="216">
    <w:name w:val="列出段落 字符"/>
    <w:link w:val="215"/>
    <w:qFormat/>
    <w:uiPriority w:val="0"/>
    <w:rPr>
      <w:rFonts w:ascii="Calibri" w:hAnsi="Calibri" w:eastAsia="Calibri" w:cs="Times New Roman"/>
      <w:sz w:val="21"/>
      <w:lang w:eastAsia="en-US"/>
    </w:rPr>
  </w:style>
  <w:style w:type="character" w:customStyle="1" w:styleId="217">
    <w:name w:val="标题 Char"/>
    <w:basedOn w:val="44"/>
    <w:link w:val="39"/>
    <w:qFormat/>
    <w:uiPriority w:val="0"/>
    <w:rPr>
      <w:rFonts w:ascii="等线 Light" w:hAnsi="等线 Light" w:eastAsia="宋体" w:cs="Times New Roman"/>
      <w:b/>
      <w:bCs/>
      <w:kern w:val="2"/>
      <w:sz w:val="32"/>
      <w:szCs w:val="32"/>
    </w:rPr>
  </w:style>
  <w:style w:type="paragraph" w:customStyle="1" w:styleId="218">
    <w:name w:val="font0"/>
    <w:basedOn w:val="1"/>
    <w:qFormat/>
    <w:uiPriority w:val="0"/>
    <w:pPr>
      <w:widowControl/>
      <w:autoSpaceDE/>
      <w:autoSpaceDN/>
      <w:spacing w:before="100" w:beforeAutospacing="1" w:after="100" w:afterAutospacing="1"/>
    </w:pPr>
    <w:rPr>
      <w:rFonts w:ascii="宋体" w:hAnsi="宋体" w:eastAsia="宋体" w:cs="宋体"/>
      <w:color w:val="000000"/>
      <w:lang w:val="en-US" w:bidi="ar-SA"/>
    </w:rPr>
  </w:style>
  <w:style w:type="paragraph" w:customStyle="1" w:styleId="219">
    <w:name w:val="font14"/>
    <w:basedOn w:val="1"/>
    <w:qFormat/>
    <w:uiPriority w:val="0"/>
    <w:pPr>
      <w:widowControl/>
      <w:autoSpaceDE/>
      <w:autoSpaceDN/>
      <w:spacing w:before="100" w:beforeAutospacing="1" w:after="100" w:afterAutospacing="1"/>
    </w:pPr>
    <w:rPr>
      <w:rFonts w:ascii="宋体" w:hAnsi="宋体" w:eastAsia="宋体" w:cs="宋体"/>
      <w:b/>
      <w:bCs/>
      <w:color w:val="000000"/>
      <w:lang w:val="en-US" w:bidi="ar-SA"/>
    </w:rPr>
  </w:style>
  <w:style w:type="paragraph" w:customStyle="1" w:styleId="220">
    <w:name w:val="font15"/>
    <w:basedOn w:val="1"/>
    <w:qFormat/>
    <w:uiPriority w:val="0"/>
    <w:pPr>
      <w:widowControl/>
      <w:autoSpaceDE/>
      <w:autoSpaceDN/>
      <w:spacing w:before="100" w:beforeAutospacing="1" w:after="100" w:afterAutospacing="1"/>
    </w:pPr>
    <w:rPr>
      <w:rFonts w:ascii="宋体" w:hAnsi="宋体" w:eastAsia="宋体" w:cs="宋体"/>
      <w:color w:val="000000"/>
      <w:lang w:val="en-US" w:bidi="ar-SA"/>
    </w:rPr>
  </w:style>
  <w:style w:type="paragraph" w:customStyle="1" w:styleId="221">
    <w:name w:val="font16"/>
    <w:basedOn w:val="1"/>
    <w:qFormat/>
    <w:uiPriority w:val="0"/>
    <w:pPr>
      <w:widowControl/>
      <w:autoSpaceDE/>
      <w:autoSpaceDN/>
      <w:spacing w:before="100" w:beforeAutospacing="1" w:after="100" w:afterAutospacing="1"/>
    </w:pPr>
    <w:rPr>
      <w:rFonts w:ascii="宋体" w:hAnsi="宋体" w:eastAsia="宋体" w:cs="宋体"/>
      <w:color w:val="000000"/>
      <w:lang w:val="en-US" w:bidi="ar-SA"/>
    </w:rPr>
  </w:style>
  <w:style w:type="character" w:customStyle="1" w:styleId="222">
    <w:name w:val="文档结构图 Char"/>
    <w:basedOn w:val="44"/>
    <w:link w:val="16"/>
    <w:semiHidden/>
    <w:qFormat/>
    <w:uiPriority w:val="99"/>
    <w:rPr>
      <w:rFonts w:ascii="宋体" w:hAnsi="Noto Sans Mono CJK JP Regular" w:eastAsia="宋体" w:cs="Noto Sans Mono CJK JP Regular"/>
      <w:sz w:val="18"/>
      <w:szCs w:val="18"/>
      <w:lang w:val="zh-CN" w:bidi="zh-CN"/>
    </w:rPr>
  </w:style>
  <w:style w:type="character" w:customStyle="1" w:styleId="223">
    <w:name w:val="fontstyle01"/>
    <w:qFormat/>
    <w:uiPriority w:val="0"/>
    <w:rPr>
      <w:rFonts w:hint="eastAsia" w:ascii="宋体" w:hAnsi="宋体" w:eastAsia="宋体"/>
      <w:color w:val="000000"/>
      <w:sz w:val="24"/>
      <w:szCs w:val="24"/>
    </w:rPr>
  </w:style>
  <w:style w:type="paragraph" w:customStyle="1" w:styleId="224">
    <w:name w:val="正文_0"/>
    <w:basedOn w:val="14"/>
    <w:next w:val="17"/>
    <w:qFormat/>
    <w:uiPriority w:val="0"/>
    <w:rPr>
      <w:rFonts w:ascii="Calibri" w:hAnsi="Calibri" w:cs="宋体"/>
      <w:szCs w:val="21"/>
    </w:rPr>
  </w:style>
  <w:style w:type="paragraph" w:customStyle="1" w:styleId="225">
    <w:name w:val="正文_5"/>
    <w:basedOn w:val="226"/>
    <w:next w:val="25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正文_2"/>
    <w:next w:val="2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正文文本_0"/>
    <w:basedOn w:val="228"/>
    <w:qFormat/>
    <w:uiPriority w:val="0"/>
    <w:pPr>
      <w:spacing w:after="120"/>
    </w:pPr>
    <w:rPr>
      <w:rFonts w:ascii="Calibri" w:hAnsi="Calibri"/>
      <w:kern w:val="0"/>
      <w:sz w:val="20"/>
    </w:rPr>
  </w:style>
  <w:style w:type="paragraph" w:customStyle="1" w:styleId="228">
    <w:name w:val="正文_3"/>
    <w:basedOn w:val="229"/>
    <w:next w:val="230"/>
    <w:qFormat/>
    <w:uiPriority w:val="0"/>
    <w:pPr>
      <w:widowControl w:val="0"/>
      <w:jc w:val="both"/>
    </w:pPr>
    <w:rPr>
      <w:kern w:val="2"/>
      <w:sz w:val="21"/>
      <w:szCs w:val="24"/>
      <w:lang w:val="en-US" w:eastAsia="zh-CN" w:bidi="ar-SA"/>
    </w:rPr>
  </w:style>
  <w:style w:type="paragraph" w:customStyle="1" w:styleId="229">
    <w:name w:val="Normal_0"/>
    <w:qFormat/>
    <w:uiPriority w:val="0"/>
    <w:rPr>
      <w:rFonts w:ascii="黑体" w:hAnsi="黑体" w:eastAsia="黑体" w:cs="Times New Roman"/>
      <w:b/>
      <w:sz w:val="32"/>
      <w:szCs w:val="24"/>
      <w:lang w:bidi="ar-SA"/>
    </w:rPr>
  </w:style>
  <w:style w:type="paragraph" w:customStyle="1" w:styleId="230">
    <w:name w:val="正文缩进_0_0"/>
    <w:basedOn w:val="231"/>
    <w:unhideWhenUsed/>
    <w:qFormat/>
    <w:uiPriority w:val="0"/>
    <w:pPr>
      <w:ind w:firstLine="420" w:firstLineChars="200"/>
    </w:pPr>
    <w:rPr>
      <w:rFonts w:ascii="Calibri" w:hAnsi="Calibri"/>
      <w:szCs w:val="22"/>
    </w:rPr>
  </w:style>
  <w:style w:type="paragraph" w:customStyle="1" w:styleId="231">
    <w:name w:val="正文_2_0_0"/>
    <w:basedOn w:val="232"/>
    <w:next w:val="236"/>
    <w:qFormat/>
    <w:uiPriority w:val="0"/>
    <w:rPr>
      <w:rFonts w:ascii="Calibri" w:hAnsi="Calibri" w:cs="Calibri"/>
      <w:szCs w:val="21"/>
    </w:rPr>
  </w:style>
  <w:style w:type="paragraph" w:customStyle="1" w:styleId="232">
    <w:name w:val="正文_3_0_0"/>
    <w:basedOn w:val="233"/>
    <w:next w:val="234"/>
    <w:qFormat/>
    <w:uiPriority w:val="0"/>
    <w:rPr>
      <w:rFonts w:ascii="Times New Roman" w:hAnsi="Times New Roman"/>
      <w:szCs w:val="21"/>
    </w:rPr>
  </w:style>
  <w:style w:type="paragraph" w:customStyle="1" w:styleId="233">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4">
    <w:name w:val="正文文本_1_0_0"/>
    <w:basedOn w:val="235"/>
    <w:qFormat/>
    <w:uiPriority w:val="0"/>
    <w:pPr>
      <w:spacing w:after="120"/>
    </w:pPr>
    <w:rPr>
      <w:rFonts w:ascii="Calibri" w:hAnsi="Calibri" w:eastAsia="宋体"/>
    </w:rPr>
  </w:style>
  <w:style w:type="paragraph" w:customStyle="1" w:styleId="235">
    <w:name w:val="正文_2_0_0_0_0"/>
    <w:next w:val="2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正文1_0_0"/>
    <w:basedOn w:val="237"/>
    <w:qFormat/>
    <w:uiPriority w:val="0"/>
    <w:pPr>
      <w:widowControl/>
      <w:adjustRightInd w:val="0"/>
      <w:spacing w:before="120" w:after="120"/>
      <w:ind w:firstLine="200" w:firstLineChars="200"/>
      <w:jc w:val="left"/>
    </w:pPr>
    <w:rPr>
      <w:rFonts w:ascii="Times New Roman" w:hAnsi="Times New Roman" w:eastAsia="Adobe 仿宋 Std R" w:cs="Times New Roman"/>
    </w:rPr>
  </w:style>
  <w:style w:type="paragraph" w:customStyle="1" w:styleId="237">
    <w:name w:val="正文_3_1"/>
    <w:basedOn w:val="238"/>
    <w:next w:val="2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Normal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正文缩进_0_0_0"/>
    <w:basedOn w:val="240"/>
    <w:unhideWhenUsed/>
    <w:qFormat/>
    <w:uiPriority w:val="0"/>
    <w:pPr>
      <w:ind w:firstLine="420" w:firstLineChars="200"/>
    </w:pPr>
    <w:rPr>
      <w:rFonts w:ascii="Calibri" w:hAnsi="Calibri"/>
      <w:szCs w:val="22"/>
    </w:rPr>
  </w:style>
  <w:style w:type="paragraph" w:customStyle="1" w:styleId="240">
    <w:name w:val="正文_0_1_0"/>
    <w:basedOn w:val="241"/>
    <w:next w:val="253"/>
    <w:qFormat/>
    <w:uiPriority w:val="0"/>
    <w:rPr>
      <w:rFonts w:ascii="Calibri" w:hAnsi="Calibri" w:cs="宋体"/>
    </w:rPr>
  </w:style>
  <w:style w:type="paragraph" w:customStyle="1" w:styleId="241">
    <w:name w:val="正文_1_1"/>
    <w:basedOn w:val="242"/>
    <w:next w:val="253"/>
    <w:qFormat/>
    <w:uiPriority w:val="0"/>
    <w:pPr>
      <w:widowControl w:val="0"/>
      <w:jc w:val="both"/>
    </w:pPr>
    <w:rPr>
      <w:kern w:val="2"/>
      <w:sz w:val="21"/>
      <w:szCs w:val="24"/>
      <w:lang w:val="en-US" w:eastAsia="zh-CN" w:bidi="ar-SA"/>
    </w:rPr>
  </w:style>
  <w:style w:type="paragraph" w:customStyle="1" w:styleId="242">
    <w:name w:val="正文_2_1"/>
    <w:basedOn w:val="243"/>
    <w:next w:val="252"/>
    <w:qFormat/>
    <w:uiPriority w:val="0"/>
    <w:pPr>
      <w:widowControl w:val="0"/>
      <w:jc w:val="both"/>
    </w:pPr>
    <w:rPr>
      <w:kern w:val="2"/>
      <w:sz w:val="21"/>
      <w:szCs w:val="24"/>
      <w:lang w:val="en-US" w:eastAsia="zh-CN" w:bidi="ar-SA"/>
    </w:rPr>
  </w:style>
  <w:style w:type="paragraph" w:customStyle="1" w:styleId="243">
    <w:name w:val="正文_3_0"/>
    <w:basedOn w:val="244"/>
    <w:next w:val="245"/>
    <w:qFormat/>
    <w:uiPriority w:val="0"/>
    <w:pPr>
      <w:widowControl w:val="0"/>
      <w:jc w:val="both"/>
    </w:pPr>
    <w:rPr>
      <w:rFonts w:ascii="Calibri" w:hAnsi="Calibri"/>
      <w:kern w:val="2"/>
      <w:sz w:val="21"/>
      <w:szCs w:val="22"/>
      <w:lang w:val="en-US" w:eastAsia="zh-CN" w:bidi="ar-SA"/>
    </w:rPr>
  </w:style>
  <w:style w:type="paragraph" w:customStyle="1" w:styleId="244">
    <w:name w:val="Normal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5">
    <w:name w:val="正文缩进_0_0_1"/>
    <w:basedOn w:val="246"/>
    <w:unhideWhenUsed/>
    <w:qFormat/>
    <w:uiPriority w:val="0"/>
    <w:pPr>
      <w:ind w:firstLine="420" w:firstLineChars="200"/>
    </w:pPr>
    <w:rPr>
      <w:rFonts w:ascii="Calibri" w:hAnsi="Calibri"/>
      <w:szCs w:val="22"/>
    </w:rPr>
  </w:style>
  <w:style w:type="paragraph" w:customStyle="1" w:styleId="246">
    <w:name w:val="正文_0_1_1"/>
    <w:basedOn w:val="237"/>
    <w:next w:val="247"/>
    <w:qFormat/>
    <w:uiPriority w:val="0"/>
    <w:rPr>
      <w:rFonts w:ascii="Calibri" w:hAnsi="Calibri" w:cs="宋体"/>
    </w:rPr>
  </w:style>
  <w:style w:type="paragraph" w:customStyle="1" w:styleId="247">
    <w:name w:val="脚注文本1"/>
    <w:basedOn w:val="248"/>
    <w:next w:val="251"/>
    <w:unhideWhenUsed/>
    <w:qFormat/>
    <w:uiPriority w:val="0"/>
    <w:pPr>
      <w:snapToGrid w:val="0"/>
      <w:jc w:val="left"/>
    </w:pPr>
    <w:rPr>
      <w:rFonts w:eastAsia="宋体"/>
      <w:kern w:val="0"/>
      <w:sz w:val="18"/>
      <w:szCs w:val="18"/>
    </w:rPr>
  </w:style>
  <w:style w:type="paragraph" w:customStyle="1" w:styleId="248">
    <w:name w:val="正文_1_0"/>
    <w:basedOn w:val="249"/>
    <w:next w:val="247"/>
    <w:qFormat/>
    <w:uiPriority w:val="0"/>
    <w:pPr>
      <w:widowControl w:val="0"/>
      <w:jc w:val="both"/>
    </w:pPr>
    <w:rPr>
      <w:kern w:val="2"/>
      <w:sz w:val="21"/>
      <w:szCs w:val="24"/>
      <w:lang w:val="en-US" w:eastAsia="zh-CN" w:bidi="ar-SA"/>
    </w:rPr>
  </w:style>
  <w:style w:type="paragraph" w:customStyle="1" w:styleId="249">
    <w:name w:val="正文_2_0"/>
    <w:basedOn w:val="242"/>
    <w:next w:val="250"/>
    <w:qFormat/>
    <w:uiPriority w:val="0"/>
    <w:pPr>
      <w:widowControl w:val="0"/>
      <w:jc w:val="both"/>
    </w:pPr>
    <w:rPr>
      <w:rFonts w:ascii="Calibri" w:hAnsi="Calibri"/>
      <w:kern w:val="2"/>
      <w:sz w:val="21"/>
      <w:szCs w:val="22"/>
      <w:lang w:val="en-US" w:eastAsia="zh-CN" w:bidi="ar-SA"/>
    </w:rPr>
  </w:style>
  <w:style w:type="paragraph" w:customStyle="1" w:styleId="250">
    <w:name w:val="正文1_0"/>
    <w:basedOn w:val="228"/>
    <w:qFormat/>
    <w:uiPriority w:val="0"/>
    <w:pPr>
      <w:widowControl/>
      <w:adjustRightInd w:val="0"/>
      <w:spacing w:before="120" w:after="120"/>
      <w:ind w:firstLine="200" w:firstLineChars="200"/>
      <w:jc w:val="left"/>
    </w:pPr>
    <w:rPr>
      <w:rFonts w:ascii="Times New Roman" w:hAnsi="Times New Roman" w:eastAsia="Adobe 仿宋 Std R" w:cs="Times New Roman"/>
    </w:rPr>
  </w:style>
  <w:style w:type="paragraph" w:customStyle="1" w:styleId="251">
    <w:name w:val="索引 51"/>
    <w:basedOn w:val="248"/>
    <w:next w:val="248"/>
    <w:unhideWhenUsed/>
    <w:qFormat/>
    <w:uiPriority w:val="99"/>
    <w:pPr>
      <w:ind w:left="1680"/>
    </w:pPr>
  </w:style>
  <w:style w:type="paragraph" w:customStyle="1" w:styleId="252">
    <w:name w:val="No Spacing_0"/>
    <w:basedOn w:val="225"/>
    <w:qFormat/>
    <w:uiPriority w:val="1"/>
  </w:style>
  <w:style w:type="paragraph" w:customStyle="1" w:styleId="253">
    <w:name w:val="脚注文本_0"/>
    <w:basedOn w:val="254"/>
    <w:next w:val="226"/>
    <w:semiHidden/>
    <w:qFormat/>
    <w:uiPriority w:val="0"/>
    <w:rPr>
      <w:rFonts w:ascii="Calibri" w:hAnsi="Calibri"/>
    </w:rPr>
  </w:style>
  <w:style w:type="paragraph" w:customStyle="1" w:styleId="254">
    <w:name w:val="正文_0_2"/>
    <w:next w:val="2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页脚_0_0"/>
    <w:basedOn w:val="254"/>
    <w:unhideWhenUsed/>
    <w:qFormat/>
    <w:uiPriority w:val="99"/>
    <w:pPr>
      <w:tabs>
        <w:tab w:val="center" w:pos="4153"/>
        <w:tab w:val="right" w:pos="8306"/>
      </w:tabs>
      <w:snapToGrid w:val="0"/>
      <w:jc w:val="left"/>
    </w:pPr>
    <w:rPr>
      <w:sz w:val="18"/>
      <w:szCs w:val="18"/>
    </w:rPr>
  </w:style>
  <w:style w:type="paragraph" w:customStyle="1" w:styleId="256">
    <w:name w:val="段_0"/>
    <w:next w:val="225"/>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257">
    <w:name w:val="正文_1_0_0"/>
    <w:basedOn w:val="258"/>
    <w:qFormat/>
    <w:uiPriority w:val="0"/>
    <w:rPr>
      <w:rFonts w:ascii="Calibri" w:hAnsi="Calibri" w:cs="宋体"/>
      <w:szCs w:val="21"/>
    </w:rPr>
  </w:style>
  <w:style w:type="paragraph" w:customStyle="1" w:styleId="258">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正文文本_0_0"/>
    <w:basedOn w:val="257"/>
    <w:qFormat/>
    <w:uiPriority w:val="0"/>
    <w:pPr>
      <w:spacing w:before="100" w:beforeAutospacing="1" w:after="120"/>
    </w:pPr>
    <w:rPr>
      <w:rFonts w:ascii="Calibri" w:hAnsi="Calibri"/>
      <w:kern w:val="0"/>
      <w:sz w:val="20"/>
      <w:szCs w:val="20"/>
    </w:rPr>
  </w:style>
  <w:style w:type="paragraph" w:customStyle="1" w:styleId="260">
    <w:name w:val="标题 3_0_0"/>
    <w:basedOn w:val="261"/>
    <w:next w:val="261"/>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261">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262">
    <w:name w:val="1"/>
    <w:basedOn w:val="1"/>
    <w:next w:val="54"/>
    <w:qFormat/>
    <w:uiPriority w:val="34"/>
    <w:pPr>
      <w:ind w:firstLine="420" w:firstLineChars="200"/>
    </w:pPr>
    <w:rPr>
      <w:rFonts w:ascii="Calibri" w:hAnsi="Calibri"/>
      <w:szCs w:val="22"/>
    </w:rPr>
  </w:style>
  <w:style w:type="paragraph" w:customStyle="1" w:styleId="263">
    <w:name w:val="Normal"/>
    <w:basedOn w:val="225"/>
    <w:next w:val="2"/>
    <w:qFormat/>
    <w:uiPriority w:val="0"/>
    <w:pPr>
      <w:widowControl w:val="0"/>
      <w:jc w:val="both"/>
    </w:pPr>
    <w:rPr>
      <w:rFonts w:ascii="Calibri" w:hAnsi="Calibri" w:eastAsia="Times New Roman"/>
      <w:kern w:val="2"/>
      <w:sz w:val="21"/>
      <w:szCs w:val="22"/>
      <w:lang w:val="en-US" w:eastAsia="zh-CN" w:bidi="ar-SA"/>
    </w:rPr>
  </w:style>
  <w:style w:type="paragraph" w:customStyle="1" w:styleId="264">
    <w:name w:val="正文_5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5">
    <w:name w:val="NormalCharacter"/>
    <w:semiHidden/>
    <w:qFormat/>
    <w:uiPriority w:val="0"/>
    <w:rPr>
      <w:rFonts w:ascii="Calibri" w:hAnsi="Calibri" w:eastAsia="宋体" w:cs="Times New Roman"/>
      <w:kern w:val="2"/>
      <w:sz w:val="21"/>
      <w:szCs w:val="24"/>
      <w:lang w:val="en-US" w:eastAsia="zh-CN" w:bidi="ar-SA"/>
    </w:rPr>
  </w:style>
  <w:style w:type="paragraph" w:customStyle="1" w:styleId="266">
    <w:name w:val="No Spacing"/>
    <w:basedOn w:val="1"/>
    <w:qFormat/>
    <w:uiPriority w:val="1"/>
  </w:style>
  <w:style w:type="paragraph" w:customStyle="1" w:styleId="26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FC8E1-3ACC-4FE4-AFED-7364DCE37A0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65</Pages>
  <Words>36222</Words>
  <Characters>37760</Characters>
  <Lines>305</Lines>
  <Paragraphs>86</Paragraphs>
  <TotalTime>27</TotalTime>
  <ScaleCrop>false</ScaleCrop>
  <LinksUpToDate>false</LinksUpToDate>
  <CharactersWithSpaces>39941</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2019-06-12T07:25:00Z</dcterms:created>
  <dc:creator>Administrator</dc:creator>
  <cp:lastModifiedBy>卡布奇诺</cp:lastModifiedBy>
  <cp:lastPrinted>2021-06-10T03:05:00Z</cp:lastPrinted>
  <dcterms:modified xsi:type="dcterms:W3CDTF">2022-05-31T11:13:20Z</dcterms:modified>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Word 2010</vt:lpwstr>
  </property>
  <property fmtid="{D5CDD505-2E9C-101B-9397-08002B2CF9AE}" pid="4" name="LastSaved">
    <vt:filetime>2019-01-26T00:00:00Z</vt:filetime>
  </property>
  <property fmtid="{D5CDD505-2E9C-101B-9397-08002B2CF9AE}" pid="5" name="KSOProductBuildVer">
    <vt:lpwstr>2052-11.1.0.9564</vt:lpwstr>
  </property>
  <property fmtid="{D5CDD505-2E9C-101B-9397-08002B2CF9AE}" pid="6" name="ICV">
    <vt:lpwstr>CB966B6A91AB4940894633A1E4B1DAA8</vt:lpwstr>
  </property>
</Properties>
</file>