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ind w:left="3630" w:hanging="5963" w:hangingChars="825"/>
        <w:jc w:val="center"/>
        <w:outlineLvl w:val="1"/>
        <w:rPr>
          <w:rFonts w:hint="eastAsia" w:ascii="宋体" w:hAnsi="Times New Roman" w:eastAsia="黑体" w:cs="Times New Roman"/>
          <w:b/>
          <w:color w:val="auto"/>
          <w:kern w:val="2"/>
          <w:sz w:val="72"/>
          <w:szCs w:val="72"/>
          <w:highlight w:val="none"/>
          <w:lang w:val="en-US" w:eastAsia="zh-CN" w:bidi="ar-SA"/>
        </w:rPr>
      </w:pPr>
    </w:p>
    <w:p>
      <w:pPr>
        <w:widowControl/>
        <w:spacing w:line="700" w:lineRule="exact"/>
        <w:ind w:left="3630" w:hanging="5963" w:hangingChars="825"/>
        <w:jc w:val="center"/>
        <w:outlineLvl w:val="1"/>
        <w:rPr>
          <w:rFonts w:hint="eastAsia" w:ascii="宋体" w:hAnsi="Times New Roman" w:eastAsia="黑体" w:cs="Times New Roman"/>
          <w:b/>
          <w:color w:val="auto"/>
          <w:kern w:val="2"/>
          <w:sz w:val="72"/>
          <w:szCs w:val="72"/>
          <w:highlight w:val="none"/>
          <w:lang w:val="en-US" w:eastAsia="zh-CN" w:bidi="ar-SA"/>
        </w:rPr>
      </w:pPr>
      <w:r>
        <w:rPr>
          <w:rFonts w:hint="eastAsia" w:ascii="宋体" w:hAnsi="Times New Roman" w:eastAsia="黑体" w:cs="Times New Roman"/>
          <w:b/>
          <w:color w:val="auto"/>
          <w:kern w:val="2"/>
          <w:sz w:val="72"/>
          <w:szCs w:val="72"/>
          <w:highlight w:val="none"/>
          <w:lang w:val="en-US" w:eastAsia="zh-CN" w:bidi="ar-SA"/>
        </w:rPr>
        <w:t>新和县城区绿化种植补植</w:t>
      </w:r>
    </w:p>
    <w:p>
      <w:pPr>
        <w:widowControl/>
        <w:spacing w:line="700" w:lineRule="exact"/>
        <w:ind w:left="3630" w:hanging="5963" w:hangingChars="825"/>
        <w:jc w:val="center"/>
        <w:outlineLvl w:val="1"/>
        <w:rPr>
          <w:rFonts w:hint="eastAsia" w:ascii="宋体" w:hAnsi="Times New Roman" w:eastAsia="黑体" w:cs="Times New Roman"/>
          <w:b/>
          <w:color w:val="auto"/>
          <w:kern w:val="2"/>
          <w:sz w:val="72"/>
          <w:szCs w:val="72"/>
          <w:highlight w:val="none"/>
          <w:lang w:val="en-US" w:eastAsia="zh-CN" w:bidi="ar-SA"/>
        </w:rPr>
      </w:pPr>
    </w:p>
    <w:p>
      <w:pPr>
        <w:widowControl/>
        <w:spacing w:line="700" w:lineRule="exact"/>
        <w:ind w:left="3630" w:hanging="5963" w:hangingChars="825"/>
        <w:jc w:val="center"/>
        <w:outlineLvl w:val="1"/>
        <w:rPr>
          <w:rFonts w:hint="eastAsia" w:ascii="宋体" w:hAnsi="Times New Roman" w:eastAsia="黑体" w:cs="Times New Roman"/>
          <w:b/>
          <w:color w:val="auto"/>
          <w:kern w:val="2"/>
          <w:sz w:val="72"/>
          <w:szCs w:val="72"/>
          <w:highlight w:val="none"/>
          <w:lang w:val="en-US" w:eastAsia="zh-CN" w:bidi="ar-SA"/>
        </w:rPr>
      </w:pPr>
      <w:r>
        <w:rPr>
          <w:rFonts w:hint="eastAsia" w:ascii="宋体" w:hAnsi="Times New Roman" w:eastAsia="黑体" w:cs="Times New Roman"/>
          <w:b/>
          <w:color w:val="auto"/>
          <w:kern w:val="2"/>
          <w:sz w:val="72"/>
          <w:szCs w:val="72"/>
          <w:highlight w:val="none"/>
          <w:lang w:val="en-US" w:eastAsia="zh-CN" w:bidi="ar-SA"/>
        </w:rPr>
        <w:t>及养护项目</w:t>
      </w:r>
      <w:r>
        <w:rPr>
          <w:rFonts w:hint="eastAsia" w:ascii="宋体" w:eastAsia="黑体" w:cs="Times New Roman"/>
          <w:b/>
          <w:color w:val="auto"/>
          <w:kern w:val="2"/>
          <w:sz w:val="72"/>
          <w:szCs w:val="72"/>
          <w:highlight w:val="none"/>
          <w:lang w:val="en-US" w:eastAsia="zh-CN" w:bidi="ar-SA"/>
        </w:rPr>
        <w:t>（二次）</w:t>
      </w:r>
    </w:p>
    <w:p>
      <w:pPr>
        <w:widowControl/>
        <w:spacing w:line="700" w:lineRule="exact"/>
        <w:jc w:val="both"/>
        <w:outlineLvl w:val="1"/>
        <w:rPr>
          <w:rFonts w:hint="eastAsia" w:ascii="宋体" w:hAnsi="Times New Roman" w:eastAsia="黑体" w:cs="Times New Roman"/>
          <w:b/>
          <w:color w:val="auto"/>
          <w:kern w:val="2"/>
          <w:sz w:val="52"/>
          <w:szCs w:val="52"/>
          <w:highlight w:val="none"/>
          <w:lang w:val="en-US" w:eastAsia="zh-CN" w:bidi="ar-SA"/>
        </w:rPr>
      </w:pPr>
    </w:p>
    <w:p>
      <w:pPr>
        <w:pStyle w:val="7"/>
        <w:rPr>
          <w:rFonts w:hint="eastAsia" w:ascii="宋体" w:hAnsi="Times New Roman" w:eastAsia="黑体" w:cs="Times New Roman"/>
          <w:b/>
          <w:color w:val="auto"/>
          <w:kern w:val="2"/>
          <w:sz w:val="52"/>
          <w:szCs w:val="52"/>
          <w:highlight w:val="none"/>
          <w:lang w:val="en-US" w:eastAsia="zh-CN" w:bidi="ar-SA"/>
        </w:rPr>
      </w:pPr>
    </w:p>
    <w:p>
      <w:pPr>
        <w:pStyle w:val="7"/>
        <w:ind w:left="0" w:leftChars="0" w:firstLine="0" w:firstLineChars="0"/>
        <w:rPr>
          <w:rFonts w:hint="eastAsia"/>
          <w:color w:val="auto"/>
          <w:lang w:val="en-US" w:eastAsia="zh-CN"/>
        </w:rPr>
      </w:pPr>
    </w:p>
    <w:p>
      <w:pPr>
        <w:widowControl/>
        <w:spacing w:line="700" w:lineRule="exact"/>
        <w:ind w:left="3630" w:hanging="5963" w:hangingChars="825"/>
        <w:jc w:val="center"/>
        <w:outlineLvl w:val="1"/>
        <w:rPr>
          <w:rFonts w:hint="eastAsia" w:ascii="宋体" w:hAnsi="Times New Roman" w:eastAsia="黑体" w:cs="Times New Roman"/>
          <w:b/>
          <w:color w:val="auto"/>
          <w:kern w:val="2"/>
          <w:sz w:val="72"/>
          <w:szCs w:val="72"/>
          <w:highlight w:val="none"/>
          <w:lang w:val="en-US" w:eastAsia="zh-CN" w:bidi="ar-SA"/>
        </w:rPr>
      </w:pPr>
      <w:r>
        <w:rPr>
          <w:rFonts w:hint="eastAsia" w:ascii="宋体" w:hAnsi="Times New Roman" w:eastAsia="黑体" w:cs="Times New Roman"/>
          <w:b/>
          <w:color w:val="auto"/>
          <w:kern w:val="2"/>
          <w:sz w:val="72"/>
          <w:szCs w:val="72"/>
          <w:highlight w:val="none"/>
          <w:lang w:val="en-US" w:eastAsia="zh-CN" w:bidi="ar-SA"/>
        </w:rPr>
        <w:t>招</w:t>
      </w:r>
      <w:r>
        <w:rPr>
          <w:rFonts w:hint="eastAsia" w:ascii="宋体" w:eastAsia="黑体" w:cs="Times New Roman"/>
          <w:b/>
          <w:color w:val="auto"/>
          <w:kern w:val="2"/>
          <w:sz w:val="72"/>
          <w:szCs w:val="72"/>
          <w:highlight w:val="none"/>
          <w:lang w:val="en-US" w:eastAsia="zh-CN" w:bidi="ar-SA"/>
        </w:rPr>
        <w:t xml:space="preserve"> </w:t>
      </w:r>
      <w:r>
        <w:rPr>
          <w:rFonts w:hint="eastAsia" w:ascii="宋体" w:hAnsi="Times New Roman" w:eastAsia="黑体" w:cs="Times New Roman"/>
          <w:b/>
          <w:color w:val="auto"/>
          <w:kern w:val="2"/>
          <w:sz w:val="72"/>
          <w:szCs w:val="72"/>
          <w:highlight w:val="none"/>
          <w:lang w:val="en-US" w:eastAsia="zh-CN" w:bidi="ar-SA"/>
        </w:rPr>
        <w:t>标</w:t>
      </w:r>
      <w:r>
        <w:rPr>
          <w:rFonts w:hint="eastAsia" w:ascii="宋体" w:eastAsia="黑体" w:cs="Times New Roman"/>
          <w:b/>
          <w:color w:val="auto"/>
          <w:kern w:val="2"/>
          <w:sz w:val="72"/>
          <w:szCs w:val="72"/>
          <w:highlight w:val="none"/>
          <w:lang w:val="en-US" w:eastAsia="zh-CN" w:bidi="ar-SA"/>
        </w:rPr>
        <w:t xml:space="preserve"> </w:t>
      </w:r>
      <w:r>
        <w:rPr>
          <w:rFonts w:hint="eastAsia" w:ascii="宋体" w:hAnsi="Times New Roman" w:eastAsia="黑体" w:cs="Times New Roman"/>
          <w:b/>
          <w:color w:val="auto"/>
          <w:kern w:val="2"/>
          <w:sz w:val="72"/>
          <w:szCs w:val="72"/>
          <w:highlight w:val="none"/>
          <w:lang w:val="en-US" w:eastAsia="zh-CN" w:bidi="ar-SA"/>
        </w:rPr>
        <w:t>文</w:t>
      </w:r>
      <w:r>
        <w:rPr>
          <w:rFonts w:hint="eastAsia" w:ascii="宋体" w:eastAsia="黑体" w:cs="Times New Roman"/>
          <w:b/>
          <w:color w:val="auto"/>
          <w:kern w:val="2"/>
          <w:sz w:val="72"/>
          <w:szCs w:val="72"/>
          <w:highlight w:val="none"/>
          <w:lang w:val="en-US" w:eastAsia="zh-CN" w:bidi="ar-SA"/>
        </w:rPr>
        <w:t xml:space="preserve"> </w:t>
      </w:r>
      <w:r>
        <w:rPr>
          <w:rFonts w:hint="eastAsia" w:ascii="宋体" w:hAnsi="Times New Roman" w:eastAsia="黑体" w:cs="Times New Roman"/>
          <w:b/>
          <w:color w:val="auto"/>
          <w:kern w:val="2"/>
          <w:sz w:val="72"/>
          <w:szCs w:val="72"/>
          <w:highlight w:val="none"/>
          <w:lang w:val="en-US" w:eastAsia="zh-CN" w:bidi="ar-SA"/>
        </w:rPr>
        <w:t>件</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pStyle w:val="2"/>
        <w:rPr>
          <w:rFonts w:hint="eastAsia"/>
          <w:color w:val="auto"/>
          <w:highlight w:val="none"/>
        </w:rPr>
      </w:pPr>
    </w:p>
    <w:p>
      <w:pPr>
        <w:rPr>
          <w:rFonts w:hint="eastAsia"/>
          <w:color w:val="auto"/>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1285" w:firstLineChars="400"/>
        <w:outlineLvl w:val="0"/>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lang w:eastAsia="zh-CN"/>
        </w:rPr>
        <w:t>新和县住房和城乡建设局</w:t>
      </w:r>
    </w:p>
    <w:p>
      <w:pPr>
        <w:adjustRightInd w:val="0"/>
        <w:snapToGrid w:val="0"/>
        <w:spacing w:line="360" w:lineRule="auto"/>
        <w:ind w:firstLine="1285" w:firstLineChars="400"/>
        <w:outlineLvl w:val="0"/>
        <w:rPr>
          <w:rFonts w:hint="eastAsia"/>
          <w:color w:val="auto"/>
          <w:lang w:val="en-US"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XJFL-(2023)-CG077（二次）</w:t>
      </w:r>
    </w:p>
    <w:p>
      <w:pPr>
        <w:adjustRightInd w:val="0"/>
        <w:snapToGrid w:val="0"/>
        <w:spacing w:line="360" w:lineRule="auto"/>
        <w:ind w:firstLine="1285" w:firstLineChars="400"/>
        <w:outlineLvl w:val="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新疆峰澜工程项目管理有限公司</w:t>
      </w:r>
    </w:p>
    <w:p>
      <w:pPr>
        <w:adjustRightInd w:val="0"/>
        <w:snapToGrid w:val="0"/>
        <w:spacing w:line="360" w:lineRule="auto"/>
        <w:jc w:val="center"/>
        <w:rPr>
          <w:rFonts w:hint="eastAsia" w:ascii="宋体" w:hAnsi="宋体" w:cs="宋体"/>
          <w:b/>
          <w:bCs/>
          <w:color w:val="auto"/>
          <w:sz w:val="32"/>
          <w:szCs w:val="32"/>
          <w:highlight w:val="none"/>
        </w:rPr>
      </w:pPr>
    </w:p>
    <w:p>
      <w:pPr>
        <w:adjustRightInd w:val="0"/>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eastAsia="zh-CN"/>
        </w:rPr>
        <w:t>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eastAsia="zh-CN"/>
        </w:rPr>
        <w:t>十一</w:t>
      </w:r>
      <w:bookmarkStart w:id="46" w:name="_GoBack"/>
      <w:bookmarkEnd w:id="46"/>
      <w:r>
        <w:rPr>
          <w:rFonts w:hint="eastAsia" w:ascii="宋体" w:hAnsi="宋体" w:cs="宋体"/>
          <w:b/>
          <w:bCs/>
          <w:color w:val="auto"/>
          <w:sz w:val="32"/>
          <w:szCs w:val="32"/>
          <w:highlight w:val="none"/>
        </w:rPr>
        <w:t>月</w:t>
      </w:r>
    </w:p>
    <w:p>
      <w:pPr>
        <w:pStyle w:val="15"/>
        <w:rPr>
          <w:rFonts w:hint="eastAsia" w:ascii="宋体" w:hAnsi="宋体" w:cs="宋体"/>
          <w:b/>
          <w:bCs/>
          <w:color w:val="auto"/>
          <w:sz w:val="32"/>
          <w:szCs w:val="32"/>
          <w:highlight w:val="none"/>
        </w:rPr>
      </w:pPr>
    </w:p>
    <w:p>
      <w:pPr>
        <w:pStyle w:val="15"/>
        <w:rPr>
          <w:rFonts w:hint="eastAsia" w:ascii="宋体" w:hAnsi="宋体" w:cs="宋体"/>
          <w:b/>
          <w:bCs/>
          <w:color w:val="auto"/>
          <w:sz w:val="32"/>
          <w:szCs w:val="32"/>
          <w:highlight w:val="none"/>
        </w:rPr>
      </w:pPr>
    </w:p>
    <w:p>
      <w:pPr>
        <w:pStyle w:val="15"/>
        <w:rPr>
          <w:rFonts w:hint="eastAsia" w:ascii="宋体" w:hAnsi="宋体" w:cs="宋体"/>
          <w:b/>
          <w:bCs/>
          <w:color w:val="auto"/>
          <w:sz w:val="32"/>
          <w:szCs w:val="32"/>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hint="eastAsia" w:ascii="宋体" w:hAnsi="宋体" w:cs="宋体"/>
          <w:bCs/>
          <w:color w:val="auto"/>
          <w:sz w:val="44"/>
          <w:szCs w:val="44"/>
          <w:highlight w:val="none"/>
          <w:lang w:eastAsia="zh-CN"/>
        </w:rPr>
      </w:pPr>
    </w:p>
    <w:p>
      <w:pPr>
        <w:widowControl/>
        <w:spacing w:line="700" w:lineRule="exact"/>
        <w:jc w:val="both"/>
        <w:outlineLvl w:val="1"/>
        <w:rPr>
          <w:rFonts w:hint="eastAsia" w:ascii="宋体" w:hAnsi="宋体" w:cs="宋体"/>
          <w:bCs/>
          <w:color w:val="auto"/>
          <w:sz w:val="44"/>
          <w:szCs w:val="44"/>
          <w:highlight w:val="none"/>
          <w:lang w:eastAsia="zh-CN"/>
        </w:rPr>
      </w:pPr>
    </w:p>
    <w:p>
      <w:pPr>
        <w:widowControl/>
        <w:spacing w:line="700" w:lineRule="exact"/>
        <w:ind w:left="3630" w:hanging="3630" w:hangingChars="825"/>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lang w:eastAsia="zh-CN"/>
        </w:rPr>
        <w:t>招标</w:t>
      </w:r>
      <w:r>
        <w:rPr>
          <w:rFonts w:hint="eastAsia" w:ascii="宋体" w:hAnsi="宋体" w:cs="宋体"/>
          <w:bCs/>
          <w:color w:val="auto"/>
          <w:sz w:val="44"/>
          <w:szCs w:val="44"/>
          <w:highlight w:val="none"/>
        </w:rPr>
        <w:t>文件</w:t>
      </w:r>
    </w:p>
    <w:p>
      <w:pPr>
        <w:pStyle w:val="2"/>
        <w:rPr>
          <w:color w:val="auto"/>
          <w:highlight w:val="none"/>
        </w:rPr>
      </w:pPr>
    </w:p>
    <w:p>
      <w:pPr>
        <w:spacing w:line="600" w:lineRule="exact"/>
        <w:ind w:firstLine="560" w:firstLineChars="200"/>
        <w:outlineLvl w:val="1"/>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hint="eastAsia" w:ascii="宋体" w:hAnsi="宋体" w:cs="宋体"/>
          <w:color w:val="auto"/>
          <w:sz w:val="28"/>
          <w:szCs w:val="28"/>
          <w:highlight w:val="none"/>
          <w:lang w:eastAsia="zh-CN"/>
        </w:rPr>
        <w:t>新和县城区绿化种植补植及养护项目（二次）</w:t>
      </w:r>
      <w:r>
        <w:rPr>
          <w:rFonts w:hint="eastAsia" w:ascii="宋体" w:hAnsi="宋体" w:cs="宋体"/>
          <w:bCs/>
          <w:color w:val="auto"/>
          <w:sz w:val="28"/>
          <w:szCs w:val="28"/>
          <w:highlight w:val="none"/>
        </w:rPr>
        <w:t xml:space="preserve">    </w:t>
      </w:r>
    </w:p>
    <w:p>
      <w:pPr>
        <w:spacing w:line="600" w:lineRule="exact"/>
        <w:ind w:firstLine="560" w:firstLineChars="200"/>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招标人（公章）：</w:t>
      </w:r>
      <w:r>
        <w:rPr>
          <w:rFonts w:hint="eastAsia" w:ascii="宋体" w:hAnsi="宋体" w:cs="宋体"/>
          <w:bCs/>
          <w:color w:val="auto"/>
          <w:sz w:val="28"/>
          <w:szCs w:val="28"/>
          <w:highlight w:val="none"/>
          <w:lang w:eastAsia="zh-CN"/>
        </w:rPr>
        <w:t>新和县住房和城乡建设局</w:t>
      </w:r>
    </w:p>
    <w:p>
      <w:pPr>
        <w:spacing w:line="600" w:lineRule="exact"/>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法定代表人（签章）： </w:t>
      </w:r>
    </w:p>
    <w:p>
      <w:pPr>
        <w:spacing w:line="600" w:lineRule="exact"/>
        <w:jc w:val="left"/>
        <w:outlineLvl w:val="1"/>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w:t>
      </w:r>
      <w:r>
        <w:rPr>
          <w:rFonts w:hint="eastAsia" w:ascii="宋体" w:hAnsi="宋体" w:eastAsia="宋体" w:cs="宋体"/>
          <w:bCs/>
          <w:color w:val="auto"/>
          <w:sz w:val="28"/>
          <w:szCs w:val="28"/>
          <w:highlight w:val="none"/>
        </w:rPr>
        <w:t xml:space="preserve"> 联系人：</w:t>
      </w:r>
      <w:r>
        <w:rPr>
          <w:rFonts w:hint="eastAsia" w:ascii="宋体" w:hAnsi="宋体" w:cs="宋体"/>
          <w:bCs/>
          <w:color w:val="auto"/>
          <w:sz w:val="28"/>
          <w:szCs w:val="28"/>
          <w:highlight w:val="none"/>
          <w:lang w:val="en-US" w:eastAsia="zh-CN"/>
        </w:rPr>
        <w:t>艾则孜·买买提</w:t>
      </w:r>
    </w:p>
    <w:p>
      <w:pPr>
        <w:spacing w:line="600" w:lineRule="exact"/>
        <w:ind w:firstLine="560" w:firstLineChars="200"/>
        <w:outlineLvl w:val="1"/>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cs="宋体"/>
          <w:bCs/>
          <w:color w:val="auto"/>
          <w:sz w:val="28"/>
          <w:szCs w:val="28"/>
          <w:highlight w:val="none"/>
          <w:lang w:val="en-US" w:eastAsia="zh-CN"/>
        </w:rPr>
        <w:t>13779746662</w:t>
      </w:r>
    </w:p>
    <w:p>
      <w:pPr>
        <w:spacing w:line="600" w:lineRule="exact"/>
        <w:ind w:firstLine="560" w:firstLineChars="200"/>
        <w:outlineLvl w:val="1"/>
        <w:rPr>
          <w:rFonts w:hint="default"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  </w:t>
      </w: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招标代理机构（公章）：</w:t>
      </w:r>
      <w:r>
        <w:rPr>
          <w:rFonts w:hint="eastAsia" w:ascii="宋体" w:hAnsi="宋体" w:cs="宋体"/>
          <w:bCs/>
          <w:color w:val="auto"/>
          <w:sz w:val="28"/>
          <w:szCs w:val="28"/>
          <w:highlight w:val="none"/>
          <w:lang w:eastAsia="zh-CN"/>
        </w:rPr>
        <w:t>新疆峰澜工程项目管理有限公司</w:t>
      </w:r>
    </w:p>
    <w:p>
      <w:pPr>
        <w:spacing w:line="600" w:lineRule="exact"/>
        <w:ind w:firstLine="560"/>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法定代表人（签章）：</w:t>
      </w:r>
    </w:p>
    <w:p>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联系人：</w:t>
      </w:r>
      <w:r>
        <w:rPr>
          <w:rFonts w:hint="eastAsia" w:ascii="宋体" w:hAnsi="宋体" w:cs="宋体"/>
          <w:color w:val="auto"/>
          <w:sz w:val="28"/>
          <w:szCs w:val="28"/>
          <w:highlight w:val="none"/>
          <w:lang w:val="en-US" w:eastAsia="zh-CN"/>
        </w:rPr>
        <w:t>张贺新</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联系电话：</w:t>
      </w:r>
      <w:r>
        <w:rPr>
          <w:rFonts w:hint="eastAsia" w:ascii="宋体" w:hAnsi="宋体" w:cs="宋体"/>
          <w:color w:val="auto"/>
          <w:sz w:val="28"/>
          <w:szCs w:val="28"/>
          <w:highlight w:val="none"/>
          <w:lang w:val="en-US" w:eastAsia="zh-CN"/>
        </w:rPr>
        <w:t>18399572331</w:t>
      </w:r>
    </w:p>
    <w:p>
      <w:pPr>
        <w:spacing w:line="600" w:lineRule="exact"/>
        <w:ind w:left="559" w:leftChars="266" w:firstLine="0" w:firstLineChars="0"/>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联系地址：</w:t>
      </w:r>
      <w:r>
        <w:rPr>
          <w:rFonts w:hint="eastAsia" w:ascii="宋体" w:hAnsi="宋体" w:cs="宋体"/>
          <w:bCs/>
          <w:color w:val="auto"/>
          <w:sz w:val="28"/>
          <w:szCs w:val="28"/>
          <w:highlight w:val="none"/>
          <w:lang w:eastAsia="zh-CN"/>
        </w:rPr>
        <w:t>新疆阿克苏地区阿克苏市多浪片区管委会巴格莞社区江南商贸城B区22栋201号</w:t>
      </w:r>
    </w:p>
    <w:p>
      <w:pPr>
        <w:spacing w:line="600" w:lineRule="exact"/>
        <w:rPr>
          <w:rFonts w:ascii="宋体" w:hAnsi="宋体" w:cs="宋体"/>
          <w:bCs/>
          <w:color w:val="auto"/>
          <w:sz w:val="28"/>
          <w:szCs w:val="28"/>
          <w:highlight w:val="none"/>
        </w:rPr>
      </w:pPr>
    </w:p>
    <w:p>
      <w:pPr>
        <w:spacing w:line="600" w:lineRule="exact"/>
        <w:rPr>
          <w:rFonts w:ascii="宋体" w:hAnsi="宋体" w:cs="宋体"/>
          <w:bCs/>
          <w:color w:val="auto"/>
          <w:sz w:val="28"/>
          <w:szCs w:val="28"/>
          <w:highlight w:val="none"/>
        </w:rPr>
      </w:pPr>
    </w:p>
    <w:p>
      <w:pPr>
        <w:spacing w:line="600" w:lineRule="exact"/>
        <w:ind w:firstLine="3920" w:firstLineChars="1400"/>
        <w:jc w:val="both"/>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二〇二三年十一月</w:t>
      </w:r>
    </w:p>
    <w:p>
      <w:pPr>
        <w:pStyle w:val="13"/>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pPr>
        <w:pStyle w:val="6"/>
        <w:spacing w:line="360" w:lineRule="auto"/>
        <w:rPr>
          <w:rFonts w:hint="eastAsia"/>
          <w:color w:val="auto"/>
          <w:highlight w:val="none"/>
        </w:rPr>
      </w:pPr>
    </w:p>
    <w:p>
      <w:pPr>
        <w:pStyle w:val="13"/>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pPr>
        <w:pStyle w:val="13"/>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3"/>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3"/>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第四章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_Toc27253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3"/>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第五章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_Toc31265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360" w:lineRule="auto"/>
        <w:rPr>
          <w:rFonts w:hint="eastAsia" w:ascii="宋体" w:hAnsi="宋体" w:cs="宋体"/>
          <w:color w:val="auto"/>
          <w:sz w:val="24"/>
          <w:highlight w:val="none"/>
        </w:rPr>
      </w:pPr>
      <w:r>
        <w:rPr>
          <w:rFonts w:hint="eastAsia" w:ascii="宋体" w:hAnsi="宋体" w:cs="宋体"/>
          <w:color w:val="auto"/>
          <w:sz w:val="28"/>
          <w:szCs w:val="28"/>
          <w:highlight w:val="none"/>
        </w:rPr>
        <w:fldChar w:fldCharType="end"/>
      </w:r>
    </w:p>
    <w:p>
      <w:pPr>
        <w:adjustRightInd w:val="0"/>
        <w:snapToGrid w:val="0"/>
        <w:spacing w:line="360" w:lineRule="auto"/>
        <w:rPr>
          <w:rFonts w:hint="eastAsia" w:ascii="宋体" w:hAnsi="宋体" w:cs="宋体"/>
          <w:b/>
          <w:color w:val="auto"/>
          <w:sz w:val="24"/>
          <w:highlight w:val="none"/>
        </w:rPr>
        <w:sectPr>
          <w:headerReference r:id="rId3" w:type="default"/>
          <w:footerReference r:id="rId4" w:type="default"/>
          <w:footerReference r:id="rId5" w:type="even"/>
          <w:pgSz w:w="11906" w:h="16838"/>
          <w:pgMar w:top="1440" w:right="1080" w:bottom="1440" w:left="1080" w:header="851" w:footer="992" w:gutter="0"/>
          <w:pgNumType w:start="0"/>
          <w:cols w:space="720" w:num="1"/>
          <w:formProt w:val="1"/>
          <w:titlePg/>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40"/>
          <w:szCs w:val="40"/>
          <w:highlight w:val="none"/>
          <w:shd w:val="clear" w:color="auto" w:fill="FFFFFF"/>
          <w:lang w:eastAsia="zh-CN"/>
        </w:rPr>
      </w:pPr>
      <w:bookmarkStart w:id="0" w:name="_Toc9386"/>
      <w:r>
        <w:rPr>
          <w:rFonts w:hint="eastAsia" w:ascii="宋体" w:hAnsi="宋体" w:eastAsia="宋体" w:cs="宋体"/>
          <w:b/>
          <w:bCs/>
          <w:color w:val="auto"/>
          <w:kern w:val="0"/>
          <w:sz w:val="40"/>
          <w:szCs w:val="40"/>
          <w:highlight w:val="none"/>
          <w:shd w:val="clear" w:color="auto" w:fill="FFFFFF"/>
          <w:lang w:eastAsia="zh-CN"/>
        </w:rPr>
        <w:t>新和县城区绿化苗木种植采购项目（二次）</w:t>
      </w:r>
    </w:p>
    <w:p>
      <w:pPr>
        <w:pStyle w:val="3"/>
        <w:keepNext/>
        <w:keepLines/>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color w:val="auto"/>
          <w:highlight w:val="none"/>
        </w:rPr>
      </w:pPr>
      <w:r>
        <w:rPr>
          <w:rFonts w:hint="eastAsia" w:ascii="宋体" w:hAnsi="宋体" w:eastAsia="宋体" w:cs="宋体"/>
          <w:b/>
          <w:bCs/>
          <w:color w:val="auto"/>
          <w:kern w:val="0"/>
          <w:sz w:val="40"/>
          <w:szCs w:val="40"/>
          <w:highlight w:val="none"/>
          <w:shd w:val="clear" w:color="auto" w:fill="FFFFFF"/>
          <w:lang w:val="en-US" w:eastAsia="zh-CN"/>
        </w:rPr>
        <w:t>公开</w:t>
      </w:r>
      <w:r>
        <w:rPr>
          <w:rFonts w:hint="eastAsia" w:ascii="宋体" w:hAnsi="宋体" w:eastAsia="宋体" w:cs="宋体"/>
          <w:b/>
          <w:bCs/>
          <w:color w:val="auto"/>
          <w:kern w:val="0"/>
          <w:sz w:val="40"/>
          <w:szCs w:val="40"/>
          <w:highlight w:val="none"/>
          <w:shd w:val="clear" w:color="auto" w:fill="FFFFFF"/>
        </w:rPr>
        <w:t>招标公告</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新和县城区绿化苗木种植采购项目（二次）</w:t>
      </w:r>
      <w:r>
        <w:rPr>
          <w:rFonts w:hint="eastAsia" w:ascii="宋体" w:hAnsi="宋体" w:eastAsia="宋体" w:cs="宋体"/>
          <w:color w:val="auto"/>
          <w:sz w:val="28"/>
          <w:szCs w:val="28"/>
          <w:highlight w:val="none"/>
        </w:rPr>
        <w:t>的潜在供应商应在新疆政府采购网获取采购文件，并于</w:t>
      </w:r>
      <w:r>
        <w:rPr>
          <w:rFonts w:hint="eastAsia" w:ascii="宋体" w:hAnsi="宋体" w:eastAsia="宋体" w:cs="宋体"/>
          <w:color w:val="auto"/>
          <w:sz w:val="28"/>
          <w:szCs w:val="28"/>
          <w:highlight w:val="none"/>
          <w:lang w:eastAsia="zh-CN"/>
        </w:rPr>
        <w:t>2023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07</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0（北京时间）前提交响应文件。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一、项目基本情况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XJFL-(2023)-CG077（二次）</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新和县城区绿化种植补植及养护项目（二次）</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采购方式：</w:t>
      </w:r>
      <w:r>
        <w:rPr>
          <w:rFonts w:hint="eastAsia" w:ascii="宋体" w:hAnsi="宋体" w:cs="宋体"/>
          <w:color w:val="auto"/>
          <w:sz w:val="28"/>
          <w:szCs w:val="28"/>
          <w:highlight w:val="none"/>
          <w:lang w:eastAsia="zh-CN"/>
        </w:rPr>
        <w:t>公开招标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预算金额（元）：</w:t>
      </w:r>
      <w:r>
        <w:rPr>
          <w:rFonts w:hint="eastAsia" w:ascii="宋体" w:hAnsi="宋体" w:cs="宋体"/>
          <w:color w:val="auto"/>
          <w:sz w:val="28"/>
          <w:szCs w:val="28"/>
          <w:highlight w:val="none"/>
          <w:lang w:val="en-US" w:eastAsia="zh-CN"/>
        </w:rPr>
        <w:t>5000000.00</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最高限价（元）：</w:t>
      </w:r>
      <w:r>
        <w:rPr>
          <w:rFonts w:hint="eastAsia" w:ascii="宋体" w:hAnsi="宋体" w:cs="宋体"/>
          <w:color w:val="auto"/>
          <w:sz w:val="28"/>
          <w:szCs w:val="28"/>
          <w:highlight w:val="none"/>
          <w:lang w:val="en-US" w:eastAsia="zh-CN"/>
        </w:rPr>
        <w:t>5000000.00</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标项名称:</w:t>
      </w:r>
      <w:r>
        <w:rPr>
          <w:rFonts w:hint="eastAsia" w:ascii="宋体" w:hAnsi="宋体" w:cs="宋体"/>
          <w:color w:val="auto"/>
          <w:sz w:val="28"/>
          <w:szCs w:val="28"/>
          <w:highlight w:val="none"/>
          <w:lang w:eastAsia="zh-CN"/>
        </w:rPr>
        <w:t>新和县城区绿化种植补植及养护项目（二次）</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数量:</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预算金额（元）:</w:t>
      </w:r>
      <w:r>
        <w:rPr>
          <w:rFonts w:hint="eastAsia" w:ascii="宋体" w:hAnsi="宋体" w:cs="宋体"/>
          <w:color w:val="auto"/>
          <w:sz w:val="28"/>
          <w:szCs w:val="28"/>
          <w:highlight w:val="none"/>
          <w:lang w:val="en-US" w:eastAsia="zh-CN"/>
        </w:rPr>
        <w:t>5000000.00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单位：</w:t>
      </w:r>
      <w:r>
        <w:rPr>
          <w:rFonts w:hint="eastAsia" w:ascii="宋体" w:hAnsi="宋体" w:cs="宋体"/>
          <w:color w:val="auto"/>
          <w:sz w:val="28"/>
          <w:szCs w:val="28"/>
          <w:highlight w:val="none"/>
          <w:lang w:val="en-US" w:eastAsia="zh-CN"/>
        </w:rPr>
        <w:t>批</w:t>
      </w:r>
      <w:r>
        <w:rPr>
          <w:rFonts w:hint="eastAsia" w:ascii="宋体" w:hAnsi="宋体" w:eastAsia="宋体" w:cs="宋体"/>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简要规格描述：</w:t>
      </w:r>
      <w:r>
        <w:rPr>
          <w:rFonts w:hint="eastAsia" w:ascii="宋体" w:hAnsi="宋体" w:cs="宋体"/>
          <w:color w:val="auto"/>
          <w:sz w:val="28"/>
          <w:szCs w:val="28"/>
          <w:highlight w:val="none"/>
          <w:lang w:eastAsia="zh-CN"/>
        </w:rPr>
        <w:t>绿化种植补植及养护（采购清单包涵的全部内容）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合同履约期限：按照甲乙双方签订的合同日期执行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本项目</w:t>
      </w:r>
      <w:r>
        <w:rPr>
          <w:rFonts w:hint="eastAsia" w:ascii="宋体" w:hAnsi="宋体" w:cs="宋体"/>
          <w:color w:val="auto"/>
          <w:sz w:val="28"/>
          <w:szCs w:val="28"/>
          <w:highlight w:val="none"/>
          <w:lang w:eastAsia="zh-CN"/>
        </w:rPr>
        <w:t>不</w:t>
      </w:r>
      <w:r>
        <w:rPr>
          <w:rFonts w:hint="eastAsia" w:ascii="宋体" w:hAnsi="宋体" w:eastAsia="宋体" w:cs="宋体"/>
          <w:color w:val="auto"/>
          <w:sz w:val="28"/>
          <w:szCs w:val="28"/>
          <w:highlight w:val="none"/>
        </w:rPr>
        <w:t>接受联合体投标。</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二、申请人的资格要求：</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（1）具有独立承担民事责任的能力的供应商；</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（2）具有良好的商业信誉和健全的财务会计制度；</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（3）具有履行合同所必需的设备和专业技术能力；</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（4）有依法缴纳税收和社会保障资金的良好记录；</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（5）参加本次采购活动前三年内，在经营活动中没有重大违法记录；</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（6）法律、行政法规规定的其他条件。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5）财政部、工业和信息化部《关于印发《政府采购促进中小企业</w:t>
      </w:r>
      <w:r>
        <w:rPr>
          <w:rFonts w:hint="eastAsia" w:ascii="宋体" w:hAnsi="宋体" w:eastAsia="宋体" w:cs="宋体"/>
          <w:color w:val="auto"/>
          <w:sz w:val="28"/>
          <w:szCs w:val="28"/>
          <w:highlight w:val="none"/>
          <w:lang w:eastAsia="zh-CN"/>
        </w:rPr>
        <w:t>发展管理</w:t>
      </w:r>
      <w:r>
        <w:rPr>
          <w:rFonts w:hint="eastAsia" w:ascii="宋体" w:hAnsi="宋体" w:eastAsia="宋体" w:cs="宋体"/>
          <w:color w:val="auto"/>
          <w:sz w:val="28"/>
          <w:szCs w:val="28"/>
          <w:highlight w:val="none"/>
        </w:rPr>
        <w:t>办法》（财库[20</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46</w:t>
      </w:r>
      <w:r>
        <w:rPr>
          <w:rFonts w:hint="eastAsia" w:ascii="宋体" w:hAnsi="宋体" w:eastAsia="宋体" w:cs="宋体"/>
          <w:color w:val="auto"/>
          <w:sz w:val="28"/>
          <w:szCs w:val="28"/>
          <w:highlight w:val="none"/>
        </w:rPr>
        <w:t>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6）财政部、民政部、中国残疾人联合会《关于促进残疾人就业政府采购政策的通知》（财库[2017]141号）</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3.本项目的特定资格要求：须具有有效的</w:t>
      </w:r>
      <w:r>
        <w:rPr>
          <w:rFonts w:hint="eastAsia" w:ascii="宋体" w:hAnsi="宋体" w:eastAsia="宋体" w:cs="宋体"/>
          <w:color w:val="auto"/>
          <w:sz w:val="28"/>
          <w:szCs w:val="28"/>
          <w:highlight w:val="none"/>
          <w:lang w:val="en-US" w:eastAsia="zh-CN"/>
        </w:rPr>
        <w:t>《林木种子生产许可证》和《林木种子经营许可证》， 两证合一的提供《林木种子生产经营许可证》。</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三、获取</w:t>
      </w:r>
      <w:r>
        <w:rPr>
          <w:rFonts w:hint="eastAsia" w:ascii="宋体" w:hAnsi="宋体" w:cs="宋体"/>
          <w:b/>
          <w:bCs/>
          <w:color w:val="auto"/>
          <w:sz w:val="28"/>
          <w:szCs w:val="28"/>
          <w:highlight w:val="none"/>
          <w:lang w:eastAsia="zh-CN"/>
        </w:rPr>
        <w:t>招标</w:t>
      </w:r>
      <w:r>
        <w:rPr>
          <w:rFonts w:hint="eastAsia" w:ascii="宋体" w:hAnsi="宋体" w:eastAsia="宋体" w:cs="宋体"/>
          <w:b/>
          <w:bCs/>
          <w:color w:val="auto"/>
          <w:sz w:val="28"/>
          <w:szCs w:val="28"/>
          <w:highlight w:val="none"/>
        </w:rPr>
        <w:t>文件</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eastAsia="zh-CN"/>
        </w:rPr>
        <w:t>2023年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17</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lang w:eastAsia="zh-CN"/>
        </w:rPr>
        <w:t>2023年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07</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，每天上午10:00至14:00，下午</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0至</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0（北京时间，法定节假日除外）</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四、提交投标文件截止时间、开标时间和地点</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提交投标文件截止时间：2023年</w:t>
      </w:r>
      <w:r>
        <w:rPr>
          <w:rFonts w:hint="eastAsia" w:ascii="宋体" w:hAnsi="宋体" w:cs="宋体"/>
          <w:color w:val="auto"/>
          <w:sz w:val="28"/>
          <w:szCs w:val="28"/>
          <w:highlight w:val="none"/>
          <w:lang w:val="en-US" w:eastAsia="zh-CN"/>
        </w:rPr>
        <w:t>12月07日</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0（北京时间）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投标地点：政采云一站式政府采购云平台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开标时间：2023年</w:t>
      </w:r>
      <w:r>
        <w:rPr>
          <w:rFonts w:hint="eastAsia" w:ascii="宋体" w:hAnsi="宋体" w:cs="宋体"/>
          <w:color w:val="auto"/>
          <w:sz w:val="28"/>
          <w:szCs w:val="28"/>
          <w:highlight w:val="none"/>
          <w:lang w:val="en-US" w:eastAsia="zh-CN"/>
        </w:rPr>
        <w:t>12月07日</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0（北京时间）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开标地点：政采云一站式政府采购云平台</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、公告期限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自本公告发布之日起</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个工作日。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、其他补充事宜</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1.请供应商随时关注本项目的澄清、答疑、变更事项。</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2.相互关联存在实际控制、管理关系的两个企业，不得参加同一项目的采购活动。</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3.本项目实行电子招投标，供应商须登录政采云平台申请获取采购文件，并需要使用CA锁，登录政采云电子投标客户端制作响应文件，若供应商参与投标,自行承担与投标有关的一切费用。</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4.各供应商应在开标前确保是新疆维吾尔自治区政府采购网正式注册入库的供应商，并完成CA数字证书申领。因未注册入库、未办理CA数字证书等原因造成无法投标或投标失败等后果的由供应商自行承担。</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6.供应商在开标时须携带制作加密电子响应文件所使用的CA锁，电脑须提前配置好浏览器（建议使用360浏览器或谷歌浏览器），以便开标时在线解密。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val="en-US" w:eastAsia="zh-CN"/>
        </w:rPr>
        <w:t>7.投标供应商应当在投标截止时间前，将生成的“电子加密响应文件”上传递交至“政府采购云平台”，投标截止时间以后上传递交的响应文件将被“政府采购云平台”拒收。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注意事项：</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zh-CN" w:eastAsia="zh-CN"/>
        </w:rPr>
        <w:t>）请务必确保</w:t>
      </w:r>
      <w:r>
        <w:rPr>
          <w:rFonts w:hint="eastAsia" w:ascii="宋体" w:hAnsi="宋体" w:eastAsia="宋体" w:cs="宋体"/>
          <w:b w:val="0"/>
          <w:bCs w:val="0"/>
          <w:color w:val="auto"/>
          <w:sz w:val="28"/>
          <w:szCs w:val="28"/>
          <w:highlight w:val="none"/>
          <w:lang w:val="en-US" w:eastAsia="zh-CN"/>
        </w:rPr>
        <w:t>响应文件</w:t>
      </w:r>
      <w:r>
        <w:rPr>
          <w:rFonts w:hint="eastAsia" w:ascii="宋体" w:hAnsi="宋体" w:eastAsia="宋体" w:cs="宋体"/>
          <w:b w:val="0"/>
          <w:bCs w:val="0"/>
          <w:color w:val="auto"/>
          <w:sz w:val="28"/>
          <w:szCs w:val="28"/>
          <w:highlight w:val="none"/>
          <w:lang w:val="zh-CN" w:eastAsia="zh-CN"/>
        </w:rPr>
        <w:t>制作客户端为最新版本，旧版本可能导致</w:t>
      </w:r>
      <w:r>
        <w:rPr>
          <w:rFonts w:hint="eastAsia" w:ascii="宋体" w:hAnsi="宋体" w:eastAsia="宋体" w:cs="宋体"/>
          <w:b w:val="0"/>
          <w:bCs w:val="0"/>
          <w:color w:val="auto"/>
          <w:sz w:val="28"/>
          <w:szCs w:val="28"/>
          <w:highlight w:val="none"/>
          <w:lang w:val="en-US" w:eastAsia="zh-CN"/>
        </w:rPr>
        <w:t>响应文件</w:t>
      </w:r>
      <w:r>
        <w:rPr>
          <w:rFonts w:hint="eastAsia" w:ascii="宋体" w:hAnsi="宋体" w:eastAsia="宋体" w:cs="宋体"/>
          <w:b w:val="0"/>
          <w:bCs w:val="0"/>
          <w:color w:val="auto"/>
          <w:sz w:val="28"/>
          <w:szCs w:val="28"/>
          <w:highlight w:val="none"/>
          <w:lang w:val="zh-CN" w:eastAsia="zh-CN"/>
        </w:rPr>
        <w:t>解密失败。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（2）请务必确保</w:t>
      </w:r>
      <w:r>
        <w:rPr>
          <w:rFonts w:hint="eastAsia" w:ascii="宋体" w:hAnsi="宋体" w:eastAsia="宋体" w:cs="宋体"/>
          <w:b w:val="0"/>
          <w:bCs w:val="0"/>
          <w:color w:val="auto"/>
          <w:sz w:val="28"/>
          <w:szCs w:val="28"/>
          <w:highlight w:val="none"/>
          <w:lang w:val="en-US" w:eastAsia="zh-CN"/>
        </w:rPr>
        <w:t>响应文件</w:t>
      </w:r>
      <w:r>
        <w:rPr>
          <w:rFonts w:hint="eastAsia" w:ascii="宋体" w:hAnsi="宋体" w:eastAsia="宋体" w:cs="宋体"/>
          <w:b w:val="0"/>
          <w:bCs w:val="0"/>
          <w:color w:val="auto"/>
          <w:sz w:val="28"/>
          <w:szCs w:val="28"/>
          <w:highlight w:val="none"/>
          <w:lang w:val="zh-CN" w:eastAsia="zh-CN"/>
        </w:rPr>
        <w:t>制作时所用的CA锁与</w:t>
      </w:r>
      <w:r>
        <w:rPr>
          <w:rFonts w:hint="eastAsia" w:ascii="宋体" w:hAnsi="宋体" w:eastAsia="宋体" w:cs="宋体"/>
          <w:b w:val="0"/>
          <w:bCs w:val="0"/>
          <w:color w:val="auto"/>
          <w:sz w:val="28"/>
          <w:szCs w:val="28"/>
          <w:highlight w:val="none"/>
          <w:lang w:val="en-US" w:eastAsia="zh-CN"/>
        </w:rPr>
        <w:t>响应文件</w:t>
      </w:r>
      <w:r>
        <w:rPr>
          <w:rFonts w:hint="eastAsia" w:ascii="宋体" w:hAnsi="宋体" w:eastAsia="宋体" w:cs="宋体"/>
          <w:b w:val="0"/>
          <w:bCs w:val="0"/>
          <w:color w:val="auto"/>
          <w:sz w:val="28"/>
          <w:szCs w:val="28"/>
          <w:highlight w:val="none"/>
          <w:lang w:val="zh-CN" w:eastAsia="zh-CN"/>
        </w:rPr>
        <w:t>解密时的CA锁为同一把，否则可能导致</w:t>
      </w:r>
      <w:r>
        <w:rPr>
          <w:rFonts w:hint="eastAsia" w:ascii="宋体" w:hAnsi="宋体" w:eastAsia="宋体" w:cs="宋体"/>
          <w:b w:val="0"/>
          <w:bCs w:val="0"/>
          <w:color w:val="auto"/>
          <w:sz w:val="28"/>
          <w:szCs w:val="28"/>
          <w:highlight w:val="none"/>
          <w:lang w:val="en-US" w:eastAsia="zh-CN"/>
        </w:rPr>
        <w:t>响应文件</w:t>
      </w:r>
      <w:r>
        <w:rPr>
          <w:rFonts w:hint="eastAsia" w:ascii="宋体" w:hAnsi="宋体" w:eastAsia="宋体" w:cs="宋体"/>
          <w:b w:val="0"/>
          <w:bCs w:val="0"/>
          <w:color w:val="auto"/>
          <w:sz w:val="28"/>
          <w:szCs w:val="28"/>
          <w:highlight w:val="none"/>
          <w:lang w:val="zh-CN" w:eastAsia="zh-CN"/>
        </w:rPr>
        <w:t>解密失败。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特别提示：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1、采购限额标准以上，200万元以下的货物和服务采购项目、400万元以下的工程采购项目，适宜由中小企业提供的，采购人应当专门面向中小企业采购。</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2、超过200万元的货物和服务采购项目，预留该部分采购项目预算总额的30%以上专门面向中小企业采购，其中预留给小微企业的比例不低于60%。</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、对本次采购提出询问，请按以下方式联系</w:t>
      </w:r>
      <w:r>
        <w:rPr>
          <w:rFonts w:hint="eastAsia" w:ascii="宋体" w:hAnsi="宋体" w:cs="宋体"/>
          <w:b/>
          <w:bCs/>
          <w:color w:val="auto"/>
          <w:sz w:val="28"/>
          <w:szCs w:val="28"/>
          <w:highlight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名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称：</w:t>
      </w:r>
      <w:r>
        <w:rPr>
          <w:rFonts w:hint="eastAsia" w:ascii="宋体" w:hAnsi="宋体" w:cs="宋体"/>
          <w:color w:val="auto"/>
          <w:sz w:val="28"/>
          <w:szCs w:val="28"/>
          <w:highlight w:val="none"/>
          <w:lang w:eastAsia="zh-CN"/>
        </w:rPr>
        <w:t>新和县住房和城乡建设局</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rPr>
        <w:t xml:space="preserve">地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cs="宋体"/>
          <w:color w:val="auto"/>
          <w:sz w:val="28"/>
          <w:szCs w:val="28"/>
          <w:highlight w:val="none"/>
          <w:lang w:eastAsia="zh-CN"/>
        </w:rPr>
        <w:t>新和县红光路6号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bCs/>
          <w:color w:val="auto"/>
          <w:sz w:val="28"/>
          <w:szCs w:val="28"/>
          <w:highlight w:val="none"/>
          <w:lang w:val="en-US" w:eastAsia="zh-CN"/>
        </w:rPr>
        <w:t>13779746662</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color w:val="auto"/>
          <w:sz w:val="28"/>
          <w:szCs w:val="28"/>
          <w:lang w:val="en-US" w:eastAsia="zh-CN"/>
        </w:rPr>
        <w:t>新疆峰澜工程项目管理有限公司</w:t>
      </w:r>
      <w:r>
        <w:rPr>
          <w:rFonts w:hint="eastAsia" w:ascii="宋体" w:hAnsi="宋体" w:eastAsia="宋体" w:cs="宋体"/>
          <w:color w:val="auto"/>
          <w:sz w:val="28"/>
          <w:szCs w:val="28"/>
          <w:lang w:val="en-US" w:eastAsia="zh-CN"/>
        </w:rPr>
        <w:t>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w:t>
      </w:r>
      <w:r>
        <w:rPr>
          <w:rFonts w:hint="eastAsia" w:ascii="宋体" w:hAnsi="宋体" w:cs="宋体"/>
          <w:color w:val="auto"/>
          <w:sz w:val="28"/>
          <w:szCs w:val="28"/>
          <w:lang w:val="en-US" w:eastAsia="zh-CN"/>
        </w:rPr>
        <w:t>新疆阿克苏地区阿克苏市多浪片区管委会巴格莞社区江南商贸城B区22栋201号</w:t>
      </w:r>
      <w:r>
        <w:rPr>
          <w:rFonts w:hint="eastAsia" w:ascii="宋体" w:hAnsi="宋体" w:eastAsia="宋体" w:cs="宋体"/>
          <w:color w:val="auto"/>
          <w:sz w:val="28"/>
          <w:szCs w:val="28"/>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w:t>
      </w:r>
      <w:r>
        <w:rPr>
          <w:rFonts w:hint="eastAsia" w:ascii="宋体" w:hAnsi="宋体" w:cs="宋体"/>
          <w:color w:val="auto"/>
          <w:sz w:val="28"/>
          <w:szCs w:val="28"/>
          <w:lang w:val="en-US" w:eastAsia="zh-CN"/>
        </w:rPr>
        <w:t>张贺新</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color w:val="auto"/>
          <w:highlight w:val="none"/>
        </w:rPr>
      </w:pPr>
      <w:r>
        <w:rPr>
          <w:rFonts w:hint="eastAsia" w:ascii="宋体" w:hAnsi="宋体" w:eastAsia="宋体" w:cs="宋体"/>
          <w:color w:val="auto"/>
          <w:sz w:val="28"/>
          <w:szCs w:val="28"/>
          <w:lang w:val="en-US" w:eastAsia="zh-CN"/>
        </w:rPr>
        <w:t>电　　  话：</w:t>
      </w:r>
      <w:r>
        <w:rPr>
          <w:rFonts w:hint="eastAsia" w:ascii="宋体" w:hAnsi="宋体" w:cs="宋体"/>
          <w:color w:val="auto"/>
          <w:sz w:val="28"/>
          <w:szCs w:val="28"/>
          <w:lang w:val="en-US" w:eastAsia="zh-CN"/>
        </w:rPr>
        <w:t>18399572331</w:t>
      </w:r>
    </w:p>
    <w:p>
      <w:pPr>
        <w:pStyle w:val="3"/>
        <w:keepLines w:val="0"/>
        <w:pageBreakBefore/>
        <w:numPr>
          <w:ilvl w:val="0"/>
          <w:numId w:val="1"/>
        </w:numPr>
        <w:adjustRightInd w:val="0"/>
        <w:snapToGrid w:val="0"/>
        <w:spacing w:before="120" w:after="120" w:line="360" w:lineRule="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 xml:space="preserve"> </w:t>
      </w:r>
      <w:bookmarkStart w:id="1" w:name="_Toc10132"/>
      <w:bookmarkStart w:id="2" w:name="_Toc32321"/>
      <w:bookmarkStart w:id="3" w:name="_Toc5463"/>
      <w:r>
        <w:rPr>
          <w:rFonts w:hint="eastAsia" w:ascii="宋体" w:hAnsi="宋体" w:eastAsia="宋体" w:cs="宋体"/>
          <w:b/>
          <w:bCs w:val="0"/>
          <w:color w:val="auto"/>
          <w:sz w:val="32"/>
          <w:szCs w:val="32"/>
          <w:highlight w:val="none"/>
        </w:rPr>
        <w:t>投标人须知</w:t>
      </w:r>
      <w:bookmarkEnd w:id="0"/>
      <w:bookmarkEnd w:id="1"/>
      <w:bookmarkEnd w:id="2"/>
      <w:bookmarkEnd w:id="3"/>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auto"/>
          <w:sz w:val="28"/>
          <w:szCs w:val="28"/>
          <w:highlight w:val="none"/>
        </w:rPr>
      </w:pPr>
      <w:bookmarkStart w:id="4" w:name="_Toc152045528"/>
      <w:bookmarkStart w:id="5" w:name="_Toc144974496"/>
      <w:bookmarkStart w:id="6" w:name="_Toc665"/>
      <w:bookmarkStart w:id="7" w:name="_Toc25446"/>
      <w:bookmarkStart w:id="8" w:name="_Toc13641"/>
      <w:bookmarkStart w:id="9" w:name="_Toc179632545"/>
      <w:bookmarkStart w:id="10" w:name="_Toc152042304"/>
      <w:r>
        <w:rPr>
          <w:rFonts w:hint="eastAsia" w:ascii="宋体" w:hAnsi="宋体" w:eastAsia="宋体" w:cs="宋体"/>
          <w:bCs w:val="0"/>
          <w:color w:val="auto"/>
          <w:sz w:val="28"/>
          <w:szCs w:val="28"/>
          <w:highlight w:val="none"/>
        </w:rPr>
        <w:t>投标人须知前附表</w:t>
      </w:r>
      <w:bookmarkEnd w:id="4"/>
      <w:bookmarkEnd w:id="5"/>
      <w:bookmarkEnd w:id="6"/>
      <w:bookmarkEnd w:id="7"/>
      <w:bookmarkEnd w:id="8"/>
      <w:bookmarkEnd w:id="9"/>
      <w:bookmarkEnd w:id="10"/>
    </w:p>
    <w:tbl>
      <w:tblPr>
        <w:tblStyle w:val="17"/>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auto"/>
                <w:sz w:val="24"/>
                <w:highlight w:val="none"/>
              </w:rPr>
            </w:pPr>
            <w:bookmarkStart w:id="11" w:name="_Toc21488"/>
            <w:bookmarkStart w:id="12" w:name="_Toc2427"/>
            <w:bookmarkStart w:id="13" w:name="_Toc26931"/>
            <w:bookmarkStart w:id="14" w:name="_Toc144974497"/>
            <w:bookmarkStart w:id="15" w:name="_Toc179632546"/>
            <w:bookmarkStart w:id="16" w:name="_Toc152045529"/>
            <w:bookmarkStart w:id="17" w:name="_Toc152042305"/>
            <w:r>
              <w:rPr>
                <w:rFonts w:hint="eastAsia" w:ascii="宋体" w:hAnsi="宋体" w:cs="宋体"/>
                <w:color w:val="auto"/>
                <w:sz w:val="24"/>
                <w:highlight w:val="none"/>
              </w:rPr>
              <w:t>序号</w:t>
            </w:r>
          </w:p>
        </w:tc>
        <w:tc>
          <w:tcPr>
            <w:tcW w:w="9303"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303" w:type="dxa"/>
            <w:noWrap w:val="0"/>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新和县城区绿化种植补植及养护项目（二次）</w:t>
            </w:r>
          </w:p>
          <w:p>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招标文件编号：</w:t>
            </w:r>
            <w:r>
              <w:rPr>
                <w:rFonts w:hint="eastAsia" w:ascii="宋体" w:hAnsi="宋体" w:cs="宋体"/>
                <w:color w:val="auto"/>
                <w:sz w:val="24"/>
                <w:highlight w:val="none"/>
                <w:lang w:eastAsia="zh-CN"/>
              </w:rPr>
              <w:t>XJFL-(2023)-CG077（二次）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303"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新疆峰澜工程项目管理有限公司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303" w:type="dxa"/>
            <w:noWrap w:val="0"/>
            <w:vAlign w:val="center"/>
          </w:tcPr>
          <w:p>
            <w:pPr>
              <w:rPr>
                <w:rFonts w:hint="eastAsia" w:hAnsi="宋体" w:cs="宋体"/>
                <w:color w:val="auto"/>
                <w:sz w:val="24"/>
              </w:rPr>
            </w:pPr>
            <w:r>
              <w:rPr>
                <w:rFonts w:hint="eastAsia" w:hAnsi="宋体" w:cs="宋体"/>
                <w:color w:val="auto"/>
                <w:sz w:val="24"/>
              </w:rPr>
              <w:t>预算金额（元）：</w:t>
            </w:r>
            <w:r>
              <w:rPr>
                <w:rFonts w:hint="eastAsia" w:ascii="宋体" w:hAnsi="宋体" w:cs="宋体"/>
                <w:color w:val="auto"/>
                <w:sz w:val="24"/>
                <w:highlight w:val="none"/>
                <w:lang w:val="en-US" w:eastAsia="zh-CN"/>
              </w:rPr>
              <w:t>5000000.00</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hAnsi="宋体" w:cs="宋体"/>
                <w:color w:val="auto"/>
                <w:sz w:val="24"/>
              </w:rPr>
              <w:t>（元）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5000000.00(等于或超出预算的报价为无效报价)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303"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采购需求：绿化种植补植及养护</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采购范围：对滨湖广场、新沙路环岛、钟鼓楼等地进行绿化种植补植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合同履约期限：按照甲乙双方签订的合同日期执行</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项目地点：</w:t>
            </w:r>
            <w:r>
              <w:rPr>
                <w:rFonts w:hint="eastAsia" w:ascii="宋体" w:hAnsi="宋体" w:cs="宋体"/>
                <w:color w:val="auto"/>
                <w:sz w:val="24"/>
                <w:highlight w:val="none"/>
                <w:lang w:val="en-US" w:eastAsia="zh-CN"/>
              </w:rPr>
              <w:t>新和县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303"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投标人资格条件、能力和信誉：</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资格条件：</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（二）具有有效的营业执照；</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（三）须具有有效的《林木种子生产许可证》和《林木种子经营许可证》， 两证合一的提供《林木种子生产经营许可证》。</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）具有近</w:t>
            </w:r>
            <w:r>
              <w:rPr>
                <w:rFonts w:hint="eastAsia" w:ascii="宋体" w:hAnsi="宋体" w:cs="宋体"/>
                <w:color w:val="auto"/>
                <w:sz w:val="24"/>
                <w:highlight w:val="none"/>
                <w:lang w:val="en-US" w:eastAsia="zh-CN"/>
              </w:rPr>
              <w:t>一年任意三</w:t>
            </w:r>
            <w:r>
              <w:rPr>
                <w:rFonts w:hint="eastAsia" w:ascii="宋体" w:hAnsi="宋体" w:eastAsia="宋体" w:cs="宋体"/>
                <w:color w:val="auto"/>
                <w:sz w:val="24"/>
                <w:highlight w:val="none"/>
                <w:lang w:val="en-US" w:eastAsia="zh-CN"/>
              </w:rPr>
              <w:t>个月的社保证明（需有相关人员的社保缴纳明细，退休人员需提供退休证明）</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具有近</w:t>
            </w:r>
            <w:r>
              <w:rPr>
                <w:rFonts w:hint="eastAsia" w:ascii="宋体" w:hAnsi="宋体" w:cs="宋体"/>
                <w:color w:val="auto"/>
                <w:sz w:val="24"/>
                <w:highlight w:val="none"/>
                <w:lang w:val="en-US" w:eastAsia="zh-CN"/>
              </w:rPr>
              <w:t>一年任意三</w:t>
            </w:r>
            <w:r>
              <w:rPr>
                <w:rFonts w:hint="eastAsia" w:ascii="宋体" w:hAnsi="宋体" w:eastAsia="宋体" w:cs="宋体"/>
                <w:color w:val="auto"/>
                <w:sz w:val="24"/>
                <w:highlight w:val="none"/>
                <w:lang w:val="en-US" w:eastAsia="zh-CN"/>
              </w:rPr>
              <w:t>个月的完税证明</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依法免税的供应商，须提供相应文件证明其依法免税</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财务审计报告</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财务报表，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包含资产负债表、现金流量表、利润表）；</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val="en-US" w:eastAsia="zh-CN"/>
              </w:rPr>
              <w:t>）供应商未被列入“信用中国”网站信用信息报告、国家企业信用信息公示系统报告、中国政府采购网未被列入严重违法失信行为记录名单（尚在处罚期内的）；（在“信用中国”网站和“中国政府采购网”网站查询结果为准，如相关失信记录已失效，供应商需提供相关证明资料）</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lang w:val="en-US" w:eastAsia="zh-CN"/>
              </w:rPr>
              <w:t>）本项目不接受联合体投标。</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财务要求：财务状况良好。</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业绩要求：</w:t>
            </w:r>
            <w:r>
              <w:rPr>
                <w:rFonts w:hint="eastAsia" w:ascii="宋体" w:hAnsi="宋体" w:cs="宋体"/>
                <w:color w:val="auto"/>
                <w:sz w:val="24"/>
                <w:highlight w:val="none"/>
                <w:lang w:val="en-US" w:eastAsia="zh-CN"/>
              </w:rPr>
              <w:t>近三年内在政府采购中有相关的业绩</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信誉要求：良好，无不良行为记录。</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其他要求：无</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质保期：本项目</w:t>
            </w:r>
            <w:r>
              <w:rPr>
                <w:rFonts w:hint="eastAsia" w:ascii="宋体" w:hAnsi="宋体" w:cs="宋体"/>
                <w:color w:val="auto"/>
                <w:sz w:val="24"/>
                <w:highlight w:val="none"/>
                <w:lang w:val="en-US" w:eastAsia="zh-CN"/>
              </w:rPr>
              <w:t>不做要求</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303" w:type="dxa"/>
            <w:noWrap w:val="0"/>
            <w:vAlign w:val="center"/>
          </w:tcPr>
          <w:p>
            <w:pPr>
              <w:shd w:val="clear" w:color="auto" w:fill="auto"/>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投标保证金：</w:t>
            </w:r>
          </w:p>
          <w:p>
            <w:pPr>
              <w:shd w:val="clear" w:color="auto" w:fill="auto"/>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投标保证金的递交时间：2023年</w:t>
            </w: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lang w:val="en-US" w:eastAsia="zh-CN"/>
              </w:rPr>
              <w:t>月</w:t>
            </w:r>
            <w:r>
              <w:rPr>
                <w:rFonts w:hint="eastAsia" w:ascii="宋体" w:hAnsi="宋体" w:cs="宋体"/>
                <w:color w:val="auto"/>
                <w:sz w:val="24"/>
                <w:highlight w:val="none"/>
                <w:shd w:val="clear" w:color="auto" w:fill="auto"/>
                <w:lang w:val="en-US" w:eastAsia="zh-CN"/>
              </w:rPr>
              <w:t>07</w:t>
            </w:r>
            <w:r>
              <w:rPr>
                <w:rFonts w:hint="eastAsia" w:ascii="宋体" w:hAnsi="宋体" w:eastAsia="宋体" w:cs="宋体"/>
                <w:color w:val="auto"/>
                <w:sz w:val="24"/>
                <w:highlight w:val="none"/>
                <w:shd w:val="clear" w:color="auto" w:fill="auto"/>
                <w:lang w:val="en-US" w:eastAsia="zh-CN"/>
              </w:rPr>
              <w:t>日1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eastAsia="zh-CN"/>
              </w:rPr>
              <w:t>0 前</w:t>
            </w:r>
          </w:p>
          <w:p>
            <w:pPr>
              <w:shd w:val="clear" w:color="auto" w:fill="auto"/>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投标保证金的金额：</w:t>
            </w:r>
            <w:r>
              <w:rPr>
                <w:rFonts w:hint="eastAsia" w:ascii="宋体" w:hAnsi="宋体" w:cs="宋体"/>
                <w:color w:val="auto"/>
                <w:sz w:val="24"/>
                <w:highlight w:val="none"/>
                <w:shd w:val="clear" w:color="auto" w:fill="auto"/>
                <w:lang w:val="en-US" w:eastAsia="zh-CN"/>
              </w:rPr>
              <w:t>50000.00</w:t>
            </w:r>
            <w:r>
              <w:rPr>
                <w:rFonts w:hint="eastAsia" w:ascii="宋体" w:hAnsi="宋体" w:eastAsia="宋体" w:cs="宋体"/>
                <w:color w:val="auto"/>
                <w:sz w:val="24"/>
                <w:highlight w:val="none"/>
                <w:shd w:val="clear" w:color="auto" w:fill="auto"/>
                <w:lang w:eastAsia="zh-CN"/>
              </w:rPr>
              <w:t>元(</w:t>
            </w:r>
            <w:r>
              <w:rPr>
                <w:rFonts w:hint="eastAsia" w:ascii="宋体" w:hAnsi="宋体" w:cs="宋体"/>
                <w:color w:val="auto"/>
                <w:sz w:val="24"/>
                <w:highlight w:val="none"/>
                <w:shd w:val="clear" w:color="auto" w:fill="auto"/>
                <w:lang w:eastAsia="zh-CN"/>
              </w:rPr>
              <w:t>五万元整</w:t>
            </w:r>
            <w:r>
              <w:rPr>
                <w:rFonts w:hint="eastAsia" w:ascii="宋体" w:hAnsi="宋体" w:eastAsia="宋体" w:cs="宋体"/>
                <w:color w:val="auto"/>
                <w:sz w:val="24"/>
                <w:highlight w:val="none"/>
                <w:shd w:val="clear" w:color="auto" w:fill="auto"/>
                <w:lang w:eastAsia="zh-CN"/>
              </w:rPr>
              <w:t>)</w:t>
            </w:r>
          </w:p>
          <w:p>
            <w:pPr>
              <w:shd w:val="clear" w:color="auto" w:fill="auto"/>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投标保证金的形式：投标保证金应当以支票、汇票、本票或者金融机构、担保机构出具的保函等非现金形式提交。（须标注项目名称、编号）</w:t>
            </w:r>
          </w:p>
          <w:p>
            <w:pPr>
              <w:shd w:val="clear" w:color="auto" w:fill="auto"/>
              <w:spacing w:line="360" w:lineRule="auto"/>
              <w:rPr>
                <w:rFonts w:hint="default" w:ascii="宋体" w:hAnsi="宋体" w:cs="宋体"/>
                <w:color w:val="auto"/>
                <w:sz w:val="24"/>
                <w:lang w:val="en-US" w:eastAsia="zh-CN"/>
              </w:rPr>
            </w:pPr>
            <w:r>
              <w:rPr>
                <w:rFonts w:hint="default" w:ascii="宋体" w:hAnsi="宋体" w:cs="宋体"/>
                <w:color w:val="auto"/>
                <w:sz w:val="24"/>
                <w:lang w:val="en-US" w:eastAsia="zh-CN"/>
              </w:rPr>
              <w:t>账户名称：</w:t>
            </w:r>
            <w:r>
              <w:rPr>
                <w:rFonts w:hint="eastAsia" w:ascii="宋体" w:hAnsi="宋体" w:cs="宋体"/>
                <w:color w:val="auto"/>
                <w:sz w:val="24"/>
                <w:lang w:val="en-US" w:eastAsia="zh-CN"/>
              </w:rPr>
              <w:t>新疆峰澜工程项目管理有限公司</w:t>
            </w:r>
          </w:p>
          <w:p>
            <w:pPr>
              <w:shd w:val="clear" w:color="auto" w:fill="auto"/>
              <w:spacing w:line="360" w:lineRule="auto"/>
              <w:rPr>
                <w:rFonts w:hint="default" w:ascii="宋体" w:hAnsi="宋体" w:cs="宋体"/>
                <w:color w:val="auto"/>
                <w:sz w:val="24"/>
                <w:lang w:val="en-US" w:eastAsia="zh-CN"/>
              </w:rPr>
            </w:pPr>
            <w:r>
              <w:rPr>
                <w:rFonts w:hint="default" w:ascii="宋体" w:hAnsi="宋体" w:cs="宋体"/>
                <w:color w:val="auto"/>
                <w:sz w:val="24"/>
                <w:lang w:val="en-US" w:eastAsia="zh-CN"/>
              </w:rPr>
              <w:t>开户行：新疆阿克苏农村商业银行股份有限公司英阿瓦提路支行</w:t>
            </w:r>
          </w:p>
          <w:p>
            <w:pPr>
              <w:spacing w:line="360" w:lineRule="auto"/>
              <w:rPr>
                <w:rFonts w:hint="eastAsia" w:ascii="宋体" w:hAnsi="宋体" w:cs="宋体"/>
                <w:color w:val="auto"/>
                <w:sz w:val="24"/>
                <w:highlight w:val="none"/>
              </w:rPr>
            </w:pPr>
            <w:r>
              <w:rPr>
                <w:rFonts w:hint="default" w:ascii="宋体" w:hAnsi="宋体" w:cs="宋体"/>
                <w:color w:val="auto"/>
                <w:sz w:val="24"/>
                <w:lang w:val="en-US" w:eastAsia="zh-CN"/>
              </w:rPr>
              <w:t>账号：852130212010112465798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投标截止时间：</w:t>
            </w:r>
            <w:r>
              <w:rPr>
                <w:rFonts w:hint="eastAsia" w:ascii="宋体" w:hAnsi="宋体" w:eastAsia="宋体" w:cs="宋体"/>
                <w:color w:val="auto"/>
                <w:sz w:val="24"/>
                <w:highlight w:val="none"/>
                <w:shd w:val="clear" w:color="auto" w:fill="auto"/>
                <w:lang w:eastAsia="zh-CN"/>
              </w:rPr>
              <w:t>2023年</w:t>
            </w: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lang w:val="en-US" w:eastAsia="zh-CN"/>
              </w:rPr>
              <w:t>月</w:t>
            </w:r>
            <w:r>
              <w:rPr>
                <w:rFonts w:hint="eastAsia" w:ascii="宋体" w:hAnsi="宋体" w:cs="宋体"/>
                <w:color w:val="auto"/>
                <w:sz w:val="24"/>
                <w:highlight w:val="none"/>
                <w:shd w:val="clear" w:color="auto" w:fill="auto"/>
                <w:lang w:val="en-US" w:eastAsia="zh-CN"/>
              </w:rPr>
              <w:t>07</w:t>
            </w:r>
            <w:r>
              <w:rPr>
                <w:rFonts w:hint="eastAsia" w:ascii="宋体" w:hAnsi="宋体" w:eastAsia="宋体" w:cs="宋体"/>
                <w:color w:val="auto"/>
                <w:sz w:val="24"/>
                <w:highlight w:val="none"/>
                <w:shd w:val="clear" w:color="auto" w:fill="auto"/>
                <w:lang w:val="en-US" w:eastAsia="zh-CN"/>
              </w:rPr>
              <w:t>日1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eastAsia="zh-CN"/>
              </w:rPr>
              <w:t>0</w:t>
            </w:r>
            <w:r>
              <w:rPr>
                <w:rFonts w:hint="eastAsia" w:ascii="宋体" w:hAnsi="宋体" w:cs="宋体"/>
                <w:color w:val="auto"/>
                <w:sz w:val="24"/>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9303" w:type="dxa"/>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投标文件递交地点：</w:t>
            </w:r>
            <w:r>
              <w:rPr>
                <w:rFonts w:hint="eastAsia" w:ascii="宋体" w:hAnsi="宋体" w:cs="宋体"/>
                <w:color w:val="auto"/>
                <w:sz w:val="24"/>
                <w:highlight w:val="none"/>
                <w:lang w:eastAsia="zh-CN"/>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9303"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开标日期：</w:t>
            </w:r>
            <w:r>
              <w:rPr>
                <w:rFonts w:hint="eastAsia" w:ascii="宋体" w:hAnsi="宋体" w:eastAsia="宋体" w:cs="宋体"/>
                <w:color w:val="auto"/>
                <w:sz w:val="24"/>
                <w:highlight w:val="none"/>
                <w:shd w:val="clear" w:color="auto" w:fill="auto"/>
                <w:lang w:eastAsia="zh-CN"/>
              </w:rPr>
              <w:t>2023年</w:t>
            </w: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lang w:val="en-US" w:eastAsia="zh-CN"/>
              </w:rPr>
              <w:t>月</w:t>
            </w:r>
            <w:r>
              <w:rPr>
                <w:rFonts w:hint="eastAsia" w:ascii="宋体" w:hAnsi="宋体" w:cs="宋体"/>
                <w:color w:val="auto"/>
                <w:sz w:val="24"/>
                <w:highlight w:val="none"/>
                <w:shd w:val="clear" w:color="auto" w:fill="auto"/>
                <w:lang w:val="en-US" w:eastAsia="zh-CN"/>
              </w:rPr>
              <w:t>07</w:t>
            </w:r>
            <w:r>
              <w:rPr>
                <w:rFonts w:hint="eastAsia" w:ascii="宋体" w:hAnsi="宋体" w:eastAsia="宋体" w:cs="宋体"/>
                <w:color w:val="auto"/>
                <w:sz w:val="24"/>
                <w:highlight w:val="none"/>
                <w:shd w:val="clear" w:color="auto" w:fill="auto"/>
                <w:lang w:val="en-US" w:eastAsia="zh-CN"/>
              </w:rPr>
              <w:t>日1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eastAsia="zh-CN"/>
              </w:rPr>
              <w:t>0</w:t>
            </w:r>
            <w:r>
              <w:rPr>
                <w:rFonts w:hint="eastAsia" w:ascii="宋体" w:hAnsi="宋体" w:cs="宋体"/>
                <w:color w:val="auto"/>
                <w:sz w:val="24"/>
                <w:highlight w:val="none"/>
              </w:rPr>
              <w:t>时</w:t>
            </w:r>
            <w:r>
              <w:rPr>
                <w:rFonts w:hint="eastAsia" w:ascii="宋体" w:hAnsi="宋体" w:eastAsia="宋体" w:cs="宋体"/>
                <w:color w:val="auto"/>
                <w:sz w:val="24"/>
                <w:highlight w:val="none"/>
              </w:rPr>
              <w:t>（北京时间）</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r>
              <w:rPr>
                <w:rFonts w:hint="eastAsia" w:ascii="宋体" w:hAnsi="宋体" w:cs="宋体"/>
                <w:color w:val="auto"/>
                <w:sz w:val="24"/>
                <w:highlight w:val="none"/>
                <w:lang w:eastAsia="zh-CN"/>
              </w:rPr>
              <w:t>政采云一站式政府采购云平台</w:t>
            </w:r>
          </w:p>
          <w:p>
            <w:pPr>
              <w:spacing w:line="360" w:lineRule="auto"/>
              <w:rPr>
                <w:rFonts w:hint="eastAsia"/>
                <w:color w:val="auto"/>
              </w:rPr>
            </w:pPr>
            <w:r>
              <w:rPr>
                <w:rFonts w:hint="eastAsia" w:ascii="宋体" w:hAnsi="宋体" w:eastAsia="宋体" w:cs="宋体"/>
                <w:color w:val="auto"/>
                <w:sz w:val="24"/>
                <w:highlight w:val="none"/>
                <w:lang w:val="en-US" w:eastAsia="zh-CN"/>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投标文件的要求：</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4、供应商在开标时须携带制作加密电子投标文件所使用的CA锁，电脑须提前配置好浏览器（建议使用360浏览器或谷歌浏览器），以便开标时在线解密。</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注意事项：</w:t>
            </w:r>
          </w:p>
          <w:p>
            <w:p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）请务必确保</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lang w:val="zh-CN" w:eastAsia="zh-CN"/>
              </w:rPr>
              <w:t>制作客户端为最新版本，旧版本可能导致</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lang w:val="zh-CN" w:eastAsia="zh-CN"/>
              </w:rPr>
              <w:t>解密失败。</w:t>
            </w:r>
          </w:p>
          <w:p>
            <w:pPr>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zh-CN" w:eastAsia="zh-CN"/>
              </w:rPr>
              <w:t>（2）请务必确保</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lang w:val="zh-CN" w:eastAsia="zh-CN"/>
              </w:rPr>
              <w:t>制作时所用的CA锁与</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lang w:val="zh-CN" w:eastAsia="zh-CN"/>
              </w:rPr>
              <w:t>解密时的CA锁为同一把，否则可能导致</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lang w:val="zh-CN" w:eastAsia="zh-CN"/>
              </w:rPr>
              <w:t>解密失败。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6、评标结束后，各投标单位须在一周内按招标文件要求将纸质版投标文件递交至招标代理处（所产生的的费用投标单位自理）。纸质版投标文件可通过加密电子版投标文件打印生成，应当与电子版投标文件一致。【1、份数要求：正本壹份、副本贰份，电子标壹份（U盘）。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9303"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评标委员会的组建：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评标委员会由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5 </w:t>
            </w:r>
            <w:r>
              <w:rPr>
                <w:rFonts w:hint="eastAsia" w:ascii="宋体" w:hAnsi="宋体" w:cs="宋体"/>
                <w:color w:val="auto"/>
                <w:sz w:val="24"/>
                <w:highlight w:val="none"/>
              </w:rPr>
              <w:t>人构成其中招标人代表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人（应当具备评标专家相应的或者类似的条件），专家</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rPr>
              <w:t>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9303"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中标公示及中标公告媒介：</w:t>
            </w:r>
            <w:r>
              <w:rPr>
                <w:rFonts w:hint="eastAsia" w:ascii="宋体" w:hAnsi="宋体" w:cs="宋体"/>
                <w:color w:val="auto"/>
                <w:sz w:val="24"/>
                <w:highlight w:val="none"/>
                <w:lang w:eastAsia="zh-CN"/>
              </w:rPr>
              <w:t>新疆政府采购网、阿克苏地区行政公署网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17</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0" w:type="dxa"/>
            <w:noWrap w:val="0"/>
            <w:vAlign w:val="center"/>
          </w:tcPr>
          <w:p>
            <w:pPr>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9303" w:type="dxa"/>
            <w:noWrap w:val="0"/>
            <w:vAlign w:val="center"/>
          </w:tcPr>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场地使用费：投标人在提交投标文件时，需按交易场所的规定缴纳场地使用费，未按相关规定缴纳场地使用费的，则视为无效投标。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rPr>
              <w:t>场地使用费：投标单位&gt;6家时，6000元/家数，≤6家时，每家1000元。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9303" w:type="dxa"/>
            <w:noWrap w:val="0"/>
            <w:vAlign w:val="center"/>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投标人信用信息查询：</w:t>
            </w:r>
          </w:p>
          <w:p>
            <w:pPr>
              <w:numPr>
                <w:ilvl w:val="0"/>
                <w:numId w:val="2"/>
              </w:num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查询渠道：</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国家企业信用信息公示系统（http://www.gsxt.gov.cn/index.html）</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信用中国（www.creditchina.gov.cn）</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天眼查（https://www.tianyancha.com/） </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中国政府采购网（http://www.ccgp.gov.cn/）</w:t>
            </w:r>
            <w:r>
              <w:rPr>
                <w:rFonts w:hint="eastAsia" w:ascii="宋体" w:hAnsi="宋体" w:cs="宋体"/>
                <w:color w:val="auto"/>
                <w:sz w:val="24"/>
                <w:highlight w:val="none"/>
              </w:rPr>
              <w:t xml:space="preserve">          </w:t>
            </w:r>
          </w:p>
          <w:p>
            <w:pPr>
              <w:numPr>
                <w:ilvl w:val="0"/>
                <w:numId w:val="2"/>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信用信息查询记录和证据留存的方式：网页截图</w:t>
            </w:r>
          </w:p>
          <w:p>
            <w:pPr>
              <w:numPr>
                <w:ilvl w:val="0"/>
                <w:numId w:val="2"/>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auto"/>
                <w:sz w:val="24"/>
                <w:highlight w:val="none"/>
                <w:lang w:eastAsia="zh-CN"/>
              </w:rPr>
              <w:t>（以</w:t>
            </w:r>
            <w:r>
              <w:rPr>
                <w:rFonts w:hint="eastAsia" w:ascii="宋体" w:hAnsi="宋体" w:cs="宋体"/>
                <w:color w:val="auto"/>
                <w:sz w:val="24"/>
                <w:highlight w:val="none"/>
                <w:lang w:val="en-US" w:eastAsia="zh-CN"/>
              </w:rPr>
              <w:t>供应商在</w:t>
            </w:r>
            <w:r>
              <w:rPr>
                <w:rFonts w:hint="eastAsia" w:ascii="宋体" w:hAnsi="宋体" w:cs="宋体"/>
                <w:color w:val="auto"/>
                <w:sz w:val="24"/>
                <w:highlight w:val="none"/>
                <w:lang w:eastAsia="zh-CN"/>
              </w:rPr>
              <w:t>投标截止日</w:t>
            </w:r>
            <w:r>
              <w:rPr>
                <w:rFonts w:hint="eastAsia" w:ascii="宋体" w:hAnsi="宋体" w:cs="宋体"/>
                <w:color w:val="auto"/>
                <w:sz w:val="24"/>
                <w:highlight w:val="none"/>
                <w:lang w:val="en-US" w:eastAsia="zh-CN"/>
              </w:rPr>
              <w:t>期</w:t>
            </w:r>
            <w:r>
              <w:rPr>
                <w:rFonts w:hint="eastAsia" w:ascii="宋体" w:hAnsi="宋体" w:cs="宋体"/>
                <w:color w:val="auto"/>
                <w:sz w:val="24"/>
                <w:highlight w:val="none"/>
                <w:lang w:eastAsia="zh-CN"/>
              </w:rPr>
              <w:t>前</w:t>
            </w:r>
            <w:r>
              <w:rPr>
                <w:rFonts w:hint="eastAsia" w:ascii="宋体" w:hAnsi="宋体" w:cs="宋体"/>
                <w:color w:val="auto"/>
                <w:sz w:val="24"/>
                <w:highlight w:val="none"/>
                <w:lang w:val="en-US" w:eastAsia="zh-CN"/>
              </w:rPr>
              <w:t>的信用信息</w:t>
            </w:r>
            <w:r>
              <w:rPr>
                <w:rFonts w:hint="eastAsia" w:ascii="宋体" w:hAnsi="宋体" w:cs="宋体"/>
                <w:color w:val="auto"/>
                <w:sz w:val="24"/>
                <w:highlight w:val="none"/>
                <w:lang w:eastAsia="zh-CN"/>
              </w:rPr>
              <w:t>查询结果为准，如相关失信记录已失效，投标人需提供相关证明资料）</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1、政府采购强制采购：(1)标记*符号的节能产品；(2)其他。</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采购《节能产品政府采购清单》内的产品。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3、采购产品为《节能产品政府采购清单》内非标记*符号的节能产品及《环境标志产品政府采购清单》内的产品：</w:t>
            </w:r>
          </w:p>
          <w:p>
            <w:pPr>
              <w:numPr>
                <w:ilvl w:val="0"/>
                <w:numId w:val="0"/>
              </w:num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9303" w:type="dxa"/>
            <w:noWrap w:val="0"/>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color w:val="auto"/>
                <w:sz w:val="24"/>
                <w:szCs w:val="24"/>
                <w:lang w:val="en-US" w:eastAsia="zh-CN"/>
              </w:rPr>
            </w:pPr>
            <w:r>
              <w:rPr>
                <w:rFonts w:hint="eastAsia"/>
                <w:color w:val="auto"/>
                <w:sz w:val="24"/>
                <w:szCs w:val="24"/>
                <w:lang w:val="en-US" w:eastAsia="zh-CN"/>
              </w:rPr>
              <w:t>特别提示：</w:t>
            </w:r>
          </w:p>
          <w:p>
            <w:pPr>
              <w:numPr>
                <w:ilvl w:val="0"/>
                <w:numId w:val="0"/>
              </w:numPr>
              <w:adjustRightInd w:val="0"/>
              <w:snapToGrid w:val="0"/>
              <w:spacing w:line="360" w:lineRule="auto"/>
              <w:rPr>
                <w:rFonts w:hint="eastAsia"/>
                <w:color w:val="auto"/>
                <w:sz w:val="24"/>
                <w:szCs w:val="24"/>
                <w:lang w:val="en-US" w:eastAsia="zh-CN"/>
              </w:rPr>
            </w:pPr>
            <w:r>
              <w:rPr>
                <w:rFonts w:hint="eastAsia"/>
                <w:color w:val="auto"/>
                <w:sz w:val="24"/>
                <w:szCs w:val="24"/>
                <w:lang w:val="en-US" w:eastAsia="zh-CN"/>
              </w:rPr>
              <w:t>1、采购限额标准以上，200万元以下的货物和服务采购项目、400万元以下的工程采购项目，适宜由中小企业提供的，采购人应当专门面向中小企业采购。</w:t>
            </w:r>
          </w:p>
          <w:p>
            <w:pPr>
              <w:numPr>
                <w:ilvl w:val="0"/>
                <w:numId w:val="0"/>
              </w:numPr>
              <w:adjustRightInd w:val="0"/>
              <w:snapToGrid w:val="0"/>
              <w:spacing w:line="360" w:lineRule="auto"/>
              <w:rPr>
                <w:rFonts w:hint="eastAsia"/>
                <w:color w:val="auto"/>
                <w:sz w:val="24"/>
                <w:szCs w:val="24"/>
                <w:lang w:val="en-US" w:eastAsia="zh-CN"/>
              </w:rPr>
            </w:pPr>
            <w:r>
              <w:rPr>
                <w:rFonts w:hint="eastAsia"/>
                <w:color w:val="auto"/>
                <w:sz w:val="24"/>
                <w:szCs w:val="24"/>
                <w:lang w:val="en-US" w:eastAsia="zh-CN"/>
              </w:rPr>
              <w:t>2、超过200万元的货物和服务采购项目，预留该部分采购项目预算总额的30%以上专门面向中小企业采购，其中预留给小微企业的比例不低于60%。</w:t>
            </w:r>
          </w:p>
          <w:p>
            <w:pPr>
              <w:numPr>
                <w:ilvl w:val="0"/>
                <w:numId w:val="0"/>
              </w:numPr>
              <w:adjustRightInd w:val="0"/>
              <w:snapToGrid w:val="0"/>
              <w:spacing w:line="360" w:lineRule="auto"/>
              <w:rPr>
                <w:rFonts w:hint="eastAsia"/>
                <w:color w:val="auto"/>
                <w:sz w:val="24"/>
                <w:szCs w:val="24"/>
                <w:lang w:val="en-US" w:eastAsia="zh-CN"/>
              </w:rPr>
            </w:pPr>
            <w:r>
              <w:rPr>
                <w:rFonts w:hint="eastAsia"/>
                <w:color w:val="auto"/>
                <w:sz w:val="24"/>
                <w:szCs w:val="24"/>
                <w:lang w:val="en-US" w:eastAsia="zh-CN"/>
              </w:rPr>
              <w:t>3、超过400万元的工程采购项目中适宜由中小企业提供的，预留该部分采购项目预算总额的40%以上专门面向中小企业采购，其中预留给小微企业的比例不低于60%。</w:t>
            </w:r>
          </w:p>
          <w:p>
            <w:pPr>
              <w:numPr>
                <w:ilvl w:val="0"/>
                <w:numId w:val="0"/>
              </w:numPr>
              <w:adjustRightInd w:val="0"/>
              <w:snapToGrid w:val="0"/>
              <w:spacing w:line="360" w:lineRule="auto"/>
              <w:rPr>
                <w:rFonts w:hint="eastAsia"/>
                <w:color w:val="auto"/>
                <w:sz w:val="24"/>
                <w:szCs w:val="24"/>
                <w:lang w:val="en-US" w:eastAsia="zh-CN"/>
              </w:rPr>
            </w:pPr>
            <w:r>
              <w:rPr>
                <w:rFonts w:hint="eastAsia"/>
                <w:color w:val="auto"/>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numPr>
                <w:ilvl w:val="0"/>
                <w:numId w:val="0"/>
              </w:numPr>
              <w:adjustRightInd w:val="0"/>
              <w:snapToGrid w:val="0"/>
              <w:spacing w:line="360" w:lineRule="auto"/>
              <w:rPr>
                <w:rFonts w:hint="eastAsia"/>
                <w:color w:val="auto"/>
                <w:sz w:val="24"/>
                <w:szCs w:val="24"/>
                <w:lang w:val="en-US" w:eastAsia="zh-CN"/>
              </w:rPr>
            </w:pPr>
            <w:r>
              <w:rPr>
                <w:rFonts w:hint="eastAsia"/>
                <w:color w:val="auto"/>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6、本项目面向中小企业100%预留</w:t>
            </w:r>
          </w:p>
          <w:p>
            <w:pPr>
              <w:pStyle w:val="2"/>
              <w:rPr>
                <w:rFonts w:hint="eastAsia"/>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本次采购项目的所属行业：农、林、牧、渔业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政府采购支持中小企业融资：有融资需求的，可查询相关业务。</w:t>
            </w:r>
          </w:p>
          <w:p>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1.4.3 投标人不得存在下列情形之一：</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（1）与招标人存在利害关系且可能影响招标公正性；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（2）与本招标项目的其他投标人为同一个单位负责人；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（3）与本招标项目的其他投标人存在控股、管理关系；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（4）被依法暂停或者取消投标资格；</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（5）被责令停产停业、暂扣或者吊销许可证、暂扣或者吊销执照；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（6）进入清算程序，或被宣告破产，或其他丧失履约能力的情形；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（7）被工商行政管理机关在全国企业信用信息公示系统中列入严重违法失信企业名单；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（8）被最高人民法院在“信用中国”网站（www.creditchina.gov.cn）或各级信用信息共享平台中列入失信被执行人名单；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9303" w:type="dxa"/>
            <w:noWrap w:val="0"/>
            <w:vAlign w:val="center"/>
          </w:tcPr>
          <w:p>
            <w:pPr>
              <w:spacing w:line="360" w:lineRule="auto"/>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低于成本价不正当竞争预防措施</w:t>
            </w:r>
            <w:r>
              <w:rPr>
                <w:rFonts w:hint="eastAsia" w:ascii="宋体" w:hAnsi="宋体" w:cs="宋体"/>
                <w:b/>
                <w:bCs/>
                <w:color w:val="auto"/>
                <w:sz w:val="24"/>
                <w:highlight w:val="none"/>
              </w:rPr>
              <w:t>：</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9303" w:type="dxa"/>
            <w:noWrap w:val="0"/>
            <w:vAlign w:val="center"/>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招标文件的澄清和质疑</w:t>
            </w:r>
          </w:p>
          <w:p>
            <w:pPr>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1、综合说明</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2、对招标文件的澄清和质疑</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sz w:val="24"/>
                <w:highlight w:val="none"/>
                <w:lang w:val="en-US" w:eastAsia="zh-CN"/>
              </w:rPr>
              <w:t>(项目名称）</w:t>
            </w:r>
            <w:r>
              <w:rPr>
                <w:rFonts w:hint="eastAsia" w:ascii="宋体" w:hAnsi="宋体" w:cs="宋体"/>
                <w:bCs/>
                <w:color w:val="auto"/>
                <w:sz w:val="24"/>
                <w:highlight w:val="none"/>
              </w:rPr>
              <w:t>澄清或质疑使用”字样，并由身份证持有人签字确认。上述资料均须加盖公章。</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cs="宋体"/>
                <w:bCs/>
                <w:color w:val="auto"/>
                <w:sz w:val="24"/>
                <w:highlight w:val="none"/>
                <w:lang w:val="en-US" w:eastAsia="zh-CN"/>
              </w:rPr>
              <w:t>新疆政府采购网及阿克苏地区行政公署网</w:t>
            </w:r>
            <w:r>
              <w:rPr>
                <w:rFonts w:hint="eastAsia" w:ascii="宋体" w:hAnsi="宋体" w:cs="宋体"/>
                <w:bCs/>
                <w:color w:val="auto"/>
                <w:sz w:val="24"/>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3、对招标过程和拟中标结果的质疑</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投标人认为招标过程和拟中标结果使自己的权益受到损害的，可以在投标人于</w:t>
            </w:r>
            <w:r>
              <w:rPr>
                <w:rFonts w:hint="eastAsia" w:ascii="宋体" w:hAnsi="宋体" w:cs="宋体"/>
                <w:bCs/>
                <w:color w:val="auto"/>
                <w:sz w:val="24"/>
                <w:highlight w:val="none"/>
                <w:lang w:val="en-US" w:eastAsia="zh-CN"/>
              </w:rPr>
              <w:t>新疆政府采购网及阿克苏地区行政公署网</w:t>
            </w:r>
            <w:r>
              <w:rPr>
                <w:rFonts w:hint="eastAsia" w:ascii="宋体" w:hAnsi="宋体" w:cs="宋体"/>
                <w:bCs/>
                <w:color w:val="auto"/>
                <w:sz w:val="24"/>
                <w:highlight w:val="none"/>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sz w:val="24"/>
                <w:highlight w:val="none"/>
                <w:lang w:eastAsia="zh-CN"/>
              </w:rPr>
              <w:t>（项目名称）</w:t>
            </w:r>
            <w:r>
              <w:rPr>
                <w:rFonts w:hint="eastAsia" w:ascii="宋体" w:hAnsi="宋体" w:cs="宋体"/>
                <w:bCs/>
                <w:color w:val="auto"/>
                <w:sz w:val="24"/>
                <w:highlight w:val="none"/>
              </w:rPr>
              <w:t>”字样，并由身份证持有人签字确认。上述资料均须加盖公章。</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(一)不是参与该政府采购项目活动供应商的;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(二)被质疑人为采购人或政府采购代理机构之外的；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(三)所有质疑事项超过质疑有效期的；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(四)以具有法律效力的文书送达之外方式提出的；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(五) 未按上述规定递交澄清或质疑函的；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(六) 其它不符合受理条件的情形。</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5、其他</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澄清或质疑函递交地点：新疆阿克苏地区阿克苏市多浪片区管委会巴格莞社区江南商贸城B区22栋201号</w:t>
            </w:r>
          </w:p>
          <w:p>
            <w:pPr>
              <w:spacing w:line="360" w:lineRule="auto"/>
              <w:rPr>
                <w:rFonts w:hint="default" w:ascii="宋体" w:hAnsi="宋体" w:cs="宋体"/>
                <w:bCs/>
                <w:color w:val="auto"/>
                <w:sz w:val="24"/>
                <w:highlight w:val="none"/>
                <w:lang w:val="en-US"/>
              </w:rPr>
            </w:pPr>
            <w:r>
              <w:rPr>
                <w:rFonts w:hint="eastAsia" w:ascii="宋体" w:hAnsi="宋体" w:cs="宋体"/>
                <w:bCs/>
                <w:color w:val="auto"/>
                <w:sz w:val="24"/>
                <w:highlight w:val="none"/>
              </w:rPr>
              <w:t>联系电话：</w:t>
            </w:r>
            <w:r>
              <w:rPr>
                <w:rFonts w:hint="eastAsia" w:ascii="宋体" w:hAnsi="宋体" w:cs="宋体"/>
                <w:bCs/>
                <w:color w:val="auto"/>
                <w:sz w:val="24"/>
                <w:highlight w:val="none"/>
                <w:lang w:val="en-US" w:eastAsia="zh-CN"/>
              </w:rPr>
              <w:t>18399572331</w:t>
            </w:r>
          </w:p>
        </w:tc>
      </w:tr>
    </w:tbl>
    <w:p>
      <w:pPr>
        <w:pStyle w:val="4"/>
        <w:keepNext w:val="0"/>
        <w:keepLines w:val="0"/>
        <w:adjustRightInd w:val="0"/>
        <w:snapToGrid w:val="0"/>
        <w:spacing w:before="120" w:after="120" w:line="360" w:lineRule="auto"/>
        <w:jc w:val="both"/>
        <w:outlineLvl w:val="1"/>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val="en-US" w:eastAsia="zh-CN"/>
        </w:rPr>
        <w:t>注：询价文件中若有和前附表不一致时以前附表为准。</w:t>
      </w:r>
      <w:r>
        <w:rPr>
          <w:rFonts w:hint="eastAsia" w:ascii="宋体" w:hAnsi="宋体" w:eastAsia="宋体" w:cs="宋体"/>
          <w:bCs w:val="0"/>
          <w:color w:val="auto"/>
          <w:sz w:val="28"/>
          <w:szCs w:val="28"/>
          <w:highlight w:val="none"/>
        </w:rPr>
        <w:br w:type="page"/>
      </w:r>
      <w:bookmarkEnd w:id="11"/>
      <w:bookmarkEnd w:id="12"/>
      <w:bookmarkEnd w:id="13"/>
      <w:bookmarkEnd w:id="14"/>
      <w:bookmarkEnd w:id="15"/>
      <w:bookmarkEnd w:id="16"/>
      <w:bookmarkEnd w:id="17"/>
      <w:r>
        <w:rPr>
          <w:rFonts w:hint="eastAsia" w:ascii="宋体" w:hAnsi="宋体" w:eastAsia="宋体" w:cs="宋体"/>
          <w:bCs w:val="0"/>
          <w:color w:val="auto"/>
          <w:sz w:val="28"/>
          <w:szCs w:val="28"/>
          <w:highlight w:val="none"/>
        </w:rPr>
        <w:t>投标人须知正文部分</w:t>
      </w:r>
    </w:p>
    <w:p>
      <w:pPr>
        <w:pStyle w:val="22"/>
        <w:jc w:val="center"/>
        <w:rPr>
          <w:rFonts w:hint="eastAsia"/>
          <w:b/>
          <w:bCs/>
          <w:color w:val="auto"/>
          <w:highlight w:val="none"/>
          <w:lang w:eastAsia="zh-CN"/>
        </w:rPr>
      </w:pPr>
      <w:r>
        <w:rPr>
          <w:rFonts w:hint="eastAsia"/>
          <w:b/>
          <w:bCs/>
          <w:color w:val="auto"/>
          <w:highlight w:val="none"/>
          <w:lang w:eastAsia="zh-CN"/>
        </w:rPr>
        <w:t>一、总则</w:t>
      </w:r>
    </w:p>
    <w:p>
      <w:pPr>
        <w:pStyle w:val="23"/>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合格的投标人</w:t>
      </w:r>
    </w:p>
    <w:p>
      <w:pPr>
        <w:pStyle w:val="23"/>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符合《中华人民共和国政府采购法》第二十二条规定的条件，具备独立承担民事责任能力的在中华人民共和国境内注册的、三年内无违法违规记录、近三年内无法律诉讼纠纷、有承担本次招标采购项目服务能力的及符合条件的法人或其他组织。</w:t>
      </w:r>
    </w:p>
    <w:p>
      <w:pPr>
        <w:pStyle w:val="23"/>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有效的营业执照；</w:t>
      </w:r>
    </w:p>
    <w:p>
      <w:pPr>
        <w:pStyle w:val="23"/>
        <w:keepLines w:val="0"/>
        <w:kinsoku/>
        <w:wordWrap/>
        <w:overflowPunct/>
        <w:bidi w:val="0"/>
        <w:spacing w:line="360" w:lineRule="auto"/>
        <w:ind w:firstLine="567"/>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1.3</w:t>
      </w:r>
      <w:r>
        <w:rPr>
          <w:rFonts w:hint="eastAsia" w:ascii="宋体" w:hAnsi="宋体" w:eastAsia="宋体" w:cs="宋体"/>
          <w:color w:val="auto"/>
          <w:kern w:val="2"/>
          <w:sz w:val="24"/>
          <w:szCs w:val="24"/>
          <w:highlight w:val="none"/>
          <w:lang w:val="en-US" w:eastAsia="zh-CN" w:bidi="ar-SA"/>
        </w:rPr>
        <w:t>须具有有效的《林木种子生产许可证》和《林木种子经营许可证》， 两证合一的提供《林木种子生产经营许可证》。</w:t>
      </w:r>
    </w:p>
    <w:p>
      <w:pPr>
        <w:pStyle w:val="23"/>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投标人在本次招标活动中，必须遵循《中华人民共和国招标投标法》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《中华人民共和国招标投标法</w:t>
      </w:r>
      <w:r>
        <w:rPr>
          <w:rFonts w:hint="eastAsia" w:ascii="宋体" w:hAnsi="宋体" w:eastAsia="宋体" w:cs="宋体"/>
          <w:b w:val="0"/>
          <w:bCs/>
          <w:color w:val="auto"/>
          <w:sz w:val="24"/>
          <w:szCs w:val="24"/>
          <w:highlight w:val="none"/>
          <w:lang w:eastAsia="zh-CN"/>
        </w:rPr>
        <w:t>实施条例</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《政府采购货物和服务招标投标管理办法》（财政部</w:t>
      </w:r>
      <w:r>
        <w:rPr>
          <w:rFonts w:hint="eastAsia" w:ascii="宋体" w:hAnsi="宋体" w:eastAsia="宋体" w:cs="宋体"/>
          <w:b w:val="0"/>
          <w:bCs/>
          <w:color w:val="auto"/>
          <w:sz w:val="24"/>
          <w:szCs w:val="24"/>
          <w:highlight w:val="none"/>
          <w:lang w:val="en-US" w:eastAsia="zh-CN"/>
        </w:rPr>
        <w:t>87</w:t>
      </w:r>
      <w:r>
        <w:rPr>
          <w:rFonts w:hint="eastAsia" w:ascii="宋体" w:hAnsi="宋体" w:eastAsia="宋体" w:cs="宋体"/>
          <w:b w:val="0"/>
          <w:bCs/>
          <w:color w:val="auto"/>
          <w:sz w:val="24"/>
          <w:szCs w:val="24"/>
          <w:highlight w:val="none"/>
        </w:rPr>
        <w:t>号令）</w:t>
      </w:r>
      <w:r>
        <w:rPr>
          <w:rFonts w:hint="eastAsia" w:ascii="宋体" w:hAnsi="宋体" w:eastAsia="宋体" w:cs="宋体"/>
          <w:b w:val="0"/>
          <w:bCs/>
          <w:color w:val="auto"/>
          <w:sz w:val="24"/>
          <w:szCs w:val="24"/>
          <w:highlight w:val="none"/>
          <w:lang w:eastAsia="zh-CN"/>
        </w:rPr>
        <w:t>等相关法律法规</w:t>
      </w:r>
      <w:r>
        <w:rPr>
          <w:rFonts w:hint="eastAsia" w:ascii="宋体" w:hAnsi="宋体" w:eastAsia="宋体" w:cs="宋体"/>
          <w:b w:val="0"/>
          <w:bCs/>
          <w:color w:val="auto"/>
          <w:sz w:val="24"/>
          <w:szCs w:val="24"/>
          <w:highlight w:val="none"/>
        </w:rPr>
        <w:t>的规定。</w:t>
      </w:r>
    </w:p>
    <w:p>
      <w:pPr>
        <w:pStyle w:val="23"/>
        <w:spacing w:line="360" w:lineRule="auto"/>
        <w:ind w:left="563" w:leftChars="267" w:firstLine="2" w:firstLineChars="1"/>
        <w:jc w:val="both"/>
        <w:rPr>
          <w:rFonts w:hint="eastAsia" w:ascii="宋体" w:hAnsi="宋体" w:cs="宋体"/>
          <w:bCs/>
          <w:color w:val="auto"/>
          <w:szCs w:val="24"/>
          <w:lang w:val="en-US" w:eastAsia="zh-CN"/>
        </w:rPr>
      </w:pPr>
      <w:r>
        <w:rPr>
          <w:rFonts w:hint="eastAsia" w:ascii="宋体" w:hAnsi="宋体" w:cs="宋体"/>
          <w:bCs/>
          <w:color w:val="auto"/>
          <w:szCs w:val="24"/>
          <w:lang w:val="en-US" w:eastAsia="zh-CN"/>
        </w:rPr>
        <w:t>1.5投标人参加政府采购活动近三年内无违法违规记录和法律诉讼纠纷，须提供书面声明。</w:t>
      </w:r>
    </w:p>
    <w:p>
      <w:pPr>
        <w:pStyle w:val="23"/>
        <w:spacing w:line="360" w:lineRule="auto"/>
        <w:ind w:left="563" w:leftChars="267" w:firstLine="2" w:firstLineChars="1"/>
        <w:jc w:val="both"/>
        <w:rPr>
          <w:rFonts w:hint="eastAsia" w:ascii="宋体" w:hAnsi="宋体" w:cs="宋体"/>
          <w:bCs/>
          <w:color w:val="auto"/>
          <w:szCs w:val="24"/>
          <w:lang w:val="en-US" w:eastAsia="zh-CN"/>
        </w:rPr>
      </w:pPr>
      <w:r>
        <w:rPr>
          <w:rFonts w:hint="eastAsia" w:ascii="宋体" w:hAnsi="宋体" w:cs="宋体"/>
          <w:bCs/>
          <w:color w:val="auto"/>
          <w:szCs w:val="24"/>
          <w:lang w:val="en-US" w:eastAsia="zh-CN"/>
        </w:rPr>
        <w:t>1.6为保证政府采购活动公平、公正、诚实信用，投标人提供的材料及技术参数应真实有效，须提供书面诚信投标承诺书。</w:t>
      </w:r>
    </w:p>
    <w:p>
      <w:pPr>
        <w:pStyle w:val="23"/>
        <w:spacing w:line="360" w:lineRule="auto"/>
        <w:ind w:firstLine="567"/>
        <w:jc w:val="both"/>
        <w:rPr>
          <w:rFonts w:hint="eastAsia" w:ascii="宋体" w:hAnsi="宋体" w:eastAsia="宋体" w:cs="宋体"/>
          <w:b w:val="0"/>
          <w:bCs/>
          <w:color w:val="auto"/>
          <w:sz w:val="24"/>
          <w:szCs w:val="24"/>
          <w:highlight w:val="none"/>
          <w:lang w:val="en-US" w:eastAsia="zh-CN"/>
        </w:rPr>
      </w:pPr>
      <w:r>
        <w:rPr>
          <w:rFonts w:hint="eastAsia" w:ascii="宋体" w:hAnsi="宋体" w:cs="宋体"/>
          <w:bCs/>
          <w:color w:val="auto"/>
          <w:szCs w:val="24"/>
          <w:lang w:val="en-US" w:eastAsia="zh-CN"/>
        </w:rPr>
        <w:t>1.7未保证本次招标活动公平竞争，杜绝任何形式的商业贿赂行为，投标文件内必须提供反商业贿赂承诺书。</w:t>
      </w:r>
      <w:r>
        <w:rPr>
          <w:rFonts w:hint="eastAsia" w:ascii="宋体" w:hAnsi="宋体" w:eastAsia="宋体" w:cs="宋体"/>
          <w:b w:val="0"/>
          <w:bCs/>
          <w:color w:val="auto"/>
          <w:sz w:val="24"/>
          <w:szCs w:val="24"/>
          <w:highlight w:val="none"/>
          <w:lang w:val="en-US" w:eastAsia="zh-CN"/>
        </w:rPr>
        <w:t xml:space="preserve"> </w:t>
      </w:r>
    </w:p>
    <w:p>
      <w:pPr>
        <w:pStyle w:val="23"/>
        <w:spacing w:line="360" w:lineRule="auto"/>
        <w:ind w:firstLine="56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不符合</w:t>
      </w:r>
      <w:r>
        <w:rPr>
          <w:rFonts w:hint="eastAsia" w:ascii="宋体" w:hAnsi="宋体" w:eastAsia="宋体" w:cs="宋体"/>
          <w:b w:val="0"/>
          <w:bCs/>
          <w:color w:val="auto"/>
          <w:sz w:val="24"/>
          <w:szCs w:val="24"/>
          <w:highlight w:val="none"/>
          <w:lang w:eastAsia="zh-CN"/>
        </w:rPr>
        <w:t>以上</w:t>
      </w:r>
      <w:r>
        <w:rPr>
          <w:rFonts w:hint="eastAsia" w:ascii="宋体" w:hAnsi="宋体" w:eastAsia="宋体" w:cs="宋体"/>
          <w:b w:val="0"/>
          <w:bCs/>
          <w:color w:val="auto"/>
          <w:sz w:val="24"/>
          <w:szCs w:val="24"/>
          <w:highlight w:val="none"/>
        </w:rPr>
        <w:t>条款规定的投标人，其投标</w:t>
      </w:r>
      <w:r>
        <w:rPr>
          <w:rFonts w:hint="eastAsia" w:ascii="宋体" w:hAnsi="宋体" w:eastAsia="宋体" w:cs="宋体"/>
          <w:b w:val="0"/>
          <w:bCs/>
          <w:color w:val="auto"/>
          <w:sz w:val="24"/>
          <w:szCs w:val="24"/>
          <w:highlight w:val="none"/>
          <w:lang w:eastAsia="zh-CN"/>
        </w:rPr>
        <w:t>无效</w:t>
      </w:r>
      <w:r>
        <w:rPr>
          <w:rFonts w:hint="eastAsia" w:ascii="宋体" w:hAnsi="宋体" w:eastAsia="宋体" w:cs="宋体"/>
          <w:b w:val="0"/>
          <w:bCs/>
          <w:color w:val="auto"/>
          <w:sz w:val="24"/>
          <w:szCs w:val="24"/>
          <w:highlight w:val="none"/>
        </w:rPr>
        <w:t>。</w:t>
      </w:r>
    </w:p>
    <w:p>
      <w:pPr>
        <w:pStyle w:val="23"/>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2.1“采购代理机构”系指</w:t>
      </w:r>
      <w:r>
        <w:rPr>
          <w:rFonts w:hint="eastAsia" w:ascii="宋体" w:hAnsi="宋体" w:cs="宋体"/>
          <w:color w:val="auto"/>
          <w:sz w:val="24"/>
          <w:highlight w:val="none"/>
          <w:lang w:eastAsia="zh-CN"/>
        </w:rPr>
        <w:t>新疆峰澜工程项目管理有限公司</w:t>
      </w:r>
      <w:r>
        <w:rPr>
          <w:rFonts w:hint="eastAsia" w:ascii="宋体" w:hAnsi="宋体" w:eastAsia="宋体" w:cs="宋体"/>
          <w:color w:val="auto"/>
          <w:sz w:val="24"/>
          <w:szCs w:val="24"/>
          <w:highlight w:val="none"/>
          <w:lang w:eastAsia="zh-CN"/>
        </w:rPr>
        <w:t>。</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2.2“投标人”系指向采购代理机构提交投标文件的货物</w:t>
      </w:r>
      <w:r>
        <w:rPr>
          <w:rFonts w:hint="eastAsia" w:ascii="宋体" w:hAnsi="宋体" w:eastAsia="宋体" w:cs="宋体"/>
          <w:color w:val="auto"/>
          <w:sz w:val="24"/>
          <w:szCs w:val="24"/>
          <w:highlight w:val="none"/>
          <w:lang w:eastAsia="zh-CN"/>
        </w:rPr>
        <w:t>制造商或代理商</w:t>
      </w:r>
      <w:r>
        <w:rPr>
          <w:rFonts w:hint="eastAsia" w:ascii="宋体" w:hAnsi="宋体" w:eastAsia="宋体" w:cs="宋体"/>
          <w:color w:val="auto"/>
          <w:sz w:val="24"/>
          <w:szCs w:val="24"/>
          <w:highlight w:val="none"/>
        </w:rPr>
        <w:t>。</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2.3“货物”系指卖方按合同要求，须向买方提供的设计文件、货物、机械、材料、备品、手册及其他技术资料和材料。详见《政府采购品目分类目录》(财库[2013]189号)。</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2.4“服务”系指按合同规定卖方须承担的运输、装卸、安装调试、技术协助、培训和交付使用后保修期内应履行的义务及售后服务等其他类似的义务。</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2.5“卖方”系指提供合同货物和服务的经济实体。本次招标指中标人。</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2.6“买方”系指购买货物和服务的单位，即为本次招标的采购人。</w:t>
      </w:r>
    </w:p>
    <w:p>
      <w:pPr>
        <w:pStyle w:val="23"/>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2.7“节能产品”或者“环保产品”是指财政部发布</w:t>
      </w:r>
      <w:r>
        <w:rPr>
          <w:rFonts w:hint="eastAsia" w:ascii="宋体" w:hAnsi="宋体" w:eastAsia="宋体" w:cs="宋体"/>
          <w:color w:val="auto"/>
          <w:sz w:val="24"/>
          <w:szCs w:val="24"/>
          <w:highlight w:val="none"/>
          <w:lang w:eastAsia="zh-CN"/>
        </w:rPr>
        <w:t>最新一期</w:t>
      </w:r>
      <w:r>
        <w:rPr>
          <w:rFonts w:hint="eastAsia" w:ascii="宋体" w:hAnsi="宋体" w:eastAsia="宋体" w:cs="宋体"/>
          <w:color w:val="auto"/>
          <w:sz w:val="24"/>
          <w:szCs w:val="24"/>
          <w:highlight w:val="none"/>
        </w:rPr>
        <w:t>的《节能产品政府采购清单》或者《环境标志产品政府采购清单》的产品</w:t>
      </w:r>
      <w:r>
        <w:rPr>
          <w:rFonts w:hint="eastAsia" w:ascii="宋体" w:hAnsi="宋体" w:eastAsia="宋体" w:cs="宋体"/>
          <w:color w:val="auto"/>
          <w:sz w:val="24"/>
          <w:szCs w:val="24"/>
          <w:highlight w:val="none"/>
          <w:lang w:eastAsia="zh-CN"/>
        </w:rPr>
        <w:t>，可在中国政府采购网(www.ccgp.gov.cn)查询</w:t>
      </w:r>
      <w:r>
        <w:rPr>
          <w:rFonts w:hint="eastAsia" w:ascii="宋体" w:hAnsi="宋体" w:eastAsia="宋体" w:cs="宋体"/>
          <w:color w:val="auto"/>
          <w:sz w:val="24"/>
          <w:szCs w:val="24"/>
          <w:highlight w:val="none"/>
        </w:rPr>
        <w:t>。</w:t>
      </w:r>
    </w:p>
    <w:p>
      <w:pPr>
        <w:pStyle w:val="23"/>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 w:val="24"/>
          <w:szCs w:val="24"/>
          <w:highlight w:val="none"/>
          <w:lang w:eastAsia="zh-CN"/>
        </w:rPr>
        <w:t>及《关于政府采购进口产品管理有关问题的通知》（财办库（2008）248号）</w:t>
      </w:r>
      <w:r>
        <w:rPr>
          <w:rFonts w:hint="eastAsia" w:ascii="宋体" w:hAnsi="宋体" w:eastAsia="宋体" w:cs="宋体"/>
          <w:color w:val="auto"/>
          <w:sz w:val="24"/>
          <w:szCs w:val="24"/>
          <w:highlight w:val="none"/>
        </w:rPr>
        <w:t>。</w:t>
      </w:r>
    </w:p>
    <w:p>
      <w:pPr>
        <w:pStyle w:val="23"/>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 “</w:t>
      </w:r>
      <w:r>
        <w:rPr>
          <w:rFonts w:hint="eastAsia" w:ascii="宋体" w:hAnsi="宋体" w:eastAsia="宋体" w:cs="宋体"/>
          <w:color w:val="auto"/>
          <w:sz w:val="24"/>
          <w:szCs w:val="24"/>
          <w:highlight w:val="none"/>
        </w:rPr>
        <w:t>语言文字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招标投标文件使用的语言文字为中文。专用术语使用外文的，应附有中文注释。</w:t>
      </w:r>
    </w:p>
    <w:p>
      <w:pPr>
        <w:pStyle w:val="23"/>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rPr>
        <w:t>计量单位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所有计量均采用中华人民共和国法定计量单位。</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其他要求</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投标费用</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投标人应自行承担所有与本次招标投标有关的费用，而不论投标的结果如何。 </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采购进口产品</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除</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前附表另有规定外，本项目拒绝进口产品参加招标采购活动。</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本章第4.1款规定同意购买进口产品的，本项目采购活动不限制满足招标文件要求的国内产品参与招标。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政府采购政策支持 </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同一项目中部分产品属于优先采购政策的，评审时只对该部分产品的报价实行价格优惠。</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为推进政府采购诚信体系建设，供应商在签署相关承诺，提供相关信息前，应认真阅读财政部门相关政策规定。</w:t>
      </w:r>
    </w:p>
    <w:p>
      <w:pPr>
        <w:pStyle w:val="22"/>
        <w:jc w:val="center"/>
        <w:rPr>
          <w:rFonts w:hint="eastAsia"/>
          <w:b/>
          <w:bCs/>
          <w:color w:val="auto"/>
          <w:highlight w:val="none"/>
          <w:lang w:eastAsia="zh-CN"/>
        </w:rPr>
      </w:pPr>
      <w:r>
        <w:rPr>
          <w:rFonts w:hint="eastAsia"/>
          <w:b/>
          <w:bCs/>
          <w:color w:val="auto"/>
          <w:highlight w:val="none"/>
          <w:lang w:eastAsia="zh-CN"/>
        </w:rPr>
        <w:t>二、招标文件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招标文件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招标文件用以阐明所需货物和服务、招标投标程序和合同条款。包括：</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招标</w:t>
      </w:r>
      <w:r>
        <w:rPr>
          <w:rFonts w:hint="eastAsia" w:ascii="宋体" w:hAnsi="宋体" w:eastAsia="宋体" w:cs="宋体"/>
          <w:color w:val="auto"/>
          <w:sz w:val="24"/>
          <w:szCs w:val="24"/>
          <w:highlight w:val="none"/>
          <w:lang w:eastAsia="zh-CN"/>
        </w:rPr>
        <w:t>公告</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 </w:t>
      </w:r>
      <w:r>
        <w:rPr>
          <w:rFonts w:hint="eastAsia" w:ascii="宋体" w:hAnsi="宋体" w:eastAsia="宋体" w:cs="宋体"/>
          <w:color w:val="auto"/>
          <w:sz w:val="24"/>
          <w:szCs w:val="24"/>
          <w:highlight w:val="none"/>
          <w:lang w:eastAsia="zh-CN"/>
        </w:rPr>
        <w:t>投标人须知</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条款及格式</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4.1.4 </w:t>
      </w:r>
      <w:r>
        <w:rPr>
          <w:rFonts w:hint="eastAsia" w:ascii="宋体" w:hAnsi="宋体" w:eastAsia="宋体" w:cs="宋体"/>
          <w:color w:val="auto"/>
          <w:sz w:val="24"/>
          <w:szCs w:val="24"/>
          <w:highlight w:val="none"/>
          <w:lang w:eastAsia="zh-CN"/>
        </w:rPr>
        <w:t>采购需求</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 投标文件格式</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4.1.6 其他资料</w:t>
      </w:r>
    </w:p>
    <w:p>
      <w:pPr>
        <w:pStyle w:val="23"/>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招标文件的澄清和修改</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招标人如需对已发出的招标文件进行必要澄清或者修改的，招标代理机构将在招标文件要求提交投标文件截止时间</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日前，以书面形式通知所有</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。该澄清或者修改的内容为招标文件的组成部分。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延长开标时间</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招标人视采购具体情况如需延长投标截止时间和开标时间，招标代理机构将在招标文件要求提交投标文件的截止时间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w:t>
      </w:r>
    </w:p>
    <w:p>
      <w:pPr>
        <w:pStyle w:val="22"/>
        <w:jc w:val="center"/>
        <w:rPr>
          <w:rFonts w:hint="eastAsia"/>
          <w:b/>
          <w:bCs/>
          <w:color w:val="auto"/>
          <w:highlight w:val="none"/>
          <w:lang w:eastAsia="zh-CN"/>
        </w:rPr>
      </w:pPr>
      <w:r>
        <w:rPr>
          <w:rFonts w:hint="eastAsia"/>
          <w:b/>
          <w:bCs/>
          <w:color w:val="auto"/>
          <w:highlight w:val="none"/>
          <w:lang w:eastAsia="zh-CN"/>
        </w:rPr>
        <w:t>三、投标文件的编制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投标文件的编写</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投标人应仔细阅读招标文件,了解招标文件的要求，并在充分理解招标文件提出的货物技术规范、服务和商务条款后的基础上制作投标文件。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投标的语言及计量单位</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投标文件中所使用的计量单位除招标文件中有特殊规定外，一律使用法定计量单位。</w:t>
      </w:r>
    </w:p>
    <w:p>
      <w:pPr>
        <w:pStyle w:val="23"/>
        <w:spacing w:line="360" w:lineRule="auto"/>
        <w:ind w:firstLine="567"/>
        <w:jc w:val="both"/>
        <w:rPr>
          <w:rFonts w:hint="eastAsia" w:ascii="宋体" w:hAnsi="宋体" w:cs="宋体"/>
          <w:color w:val="auto"/>
          <w:szCs w:val="24"/>
          <w:highlight w:val="none"/>
        </w:rPr>
      </w:pPr>
      <w:r>
        <w:rPr>
          <w:rFonts w:hint="eastAsia" w:ascii="宋体" w:hAnsi="宋体" w:cs="宋体"/>
          <w:color w:val="auto"/>
          <w:szCs w:val="24"/>
          <w:highlight w:val="none"/>
        </w:rPr>
        <w:t>9. 投标文件构成</w:t>
      </w:r>
    </w:p>
    <w:p>
      <w:pPr>
        <w:pStyle w:val="23"/>
        <w:spacing w:line="360" w:lineRule="auto"/>
        <w:ind w:firstLine="567"/>
        <w:jc w:val="both"/>
        <w:rPr>
          <w:rFonts w:hint="eastAsia" w:ascii="宋体" w:hAnsi="宋体" w:cs="宋体"/>
          <w:color w:val="auto"/>
          <w:szCs w:val="24"/>
          <w:highlight w:val="none"/>
        </w:rPr>
      </w:pPr>
      <w:r>
        <w:rPr>
          <w:rFonts w:hint="eastAsia" w:ascii="宋体" w:hAnsi="宋体" w:cs="宋体"/>
          <w:color w:val="auto"/>
          <w:szCs w:val="24"/>
          <w:highlight w:val="none"/>
        </w:rPr>
        <w:t>9.1  投标人编写的投标文件应包含以下内容:</w:t>
      </w:r>
    </w:p>
    <w:p>
      <w:pPr>
        <w:pStyle w:val="23"/>
        <w:spacing w:line="360" w:lineRule="auto"/>
        <w:ind w:firstLine="567"/>
        <w:jc w:val="both"/>
        <w:outlineLvl w:val="2"/>
        <w:rPr>
          <w:rFonts w:hint="eastAsia" w:ascii="宋体" w:hAnsi="宋体" w:cs="宋体"/>
          <w:b/>
          <w:bCs/>
          <w:color w:val="auto"/>
          <w:szCs w:val="24"/>
          <w:highlight w:val="none"/>
        </w:rPr>
      </w:pPr>
      <w:r>
        <w:rPr>
          <w:rFonts w:hint="eastAsia" w:ascii="宋体" w:hAnsi="宋体" w:cs="宋体"/>
          <w:b/>
          <w:bCs/>
          <w:color w:val="auto"/>
          <w:szCs w:val="24"/>
          <w:highlight w:val="none"/>
        </w:rPr>
        <w:t>9.1.1 资格、资信证明文件(以下文件必须在有效期内)</w:t>
      </w:r>
    </w:p>
    <w:p>
      <w:pPr>
        <w:pStyle w:val="23"/>
        <w:spacing w:line="360" w:lineRule="auto"/>
        <w:ind w:firstLine="471" w:firstLineChars="196"/>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 企业营业执照</w:t>
      </w:r>
    </w:p>
    <w:p>
      <w:pPr>
        <w:pStyle w:val="23"/>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(2) 法定代表人身份证明或授权委托人身份证明及授权委托书</w:t>
      </w:r>
    </w:p>
    <w:p>
      <w:pPr>
        <w:pStyle w:val="23"/>
        <w:spacing w:line="360" w:lineRule="auto"/>
        <w:ind w:firstLine="482" w:firstLineChars="200"/>
        <w:jc w:val="both"/>
        <w:rPr>
          <w:rFonts w:hint="default" w:ascii="宋体" w:hAnsi="宋体" w:eastAsia="宋体" w:cs="宋体"/>
          <w:b w:val="0"/>
          <w:bCs w:val="0"/>
          <w:color w:val="auto"/>
          <w:szCs w:val="24"/>
          <w:highlight w:val="none"/>
          <w:lang w:val="en-US" w:eastAsia="zh-CN"/>
        </w:rPr>
      </w:pPr>
      <w:r>
        <w:rPr>
          <w:rFonts w:hint="eastAsia" w:ascii="宋体" w:hAnsi="宋体" w:cs="宋体"/>
          <w:b w:val="0"/>
          <w:bCs w:val="0"/>
          <w:color w:val="auto"/>
          <w:szCs w:val="24"/>
          <w:highlight w:val="none"/>
        </w:rPr>
        <w:t>(3) 投标保证金</w:t>
      </w:r>
      <w:r>
        <w:rPr>
          <w:rFonts w:hint="eastAsia" w:ascii="宋体" w:hAnsi="宋体" w:cs="宋体"/>
          <w:b w:val="0"/>
          <w:bCs w:val="0"/>
          <w:color w:val="auto"/>
          <w:szCs w:val="24"/>
          <w:highlight w:val="none"/>
          <w:lang w:val="en-US" w:eastAsia="zh-CN"/>
        </w:rPr>
        <w:t>缴纳凭证</w:t>
      </w:r>
    </w:p>
    <w:p>
      <w:pPr>
        <w:pStyle w:val="23"/>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 xml:space="preserve">(4) </w:t>
      </w:r>
      <w:r>
        <w:rPr>
          <w:rFonts w:hint="eastAsia" w:ascii="宋体" w:hAnsi="宋体" w:cs="宋体"/>
          <w:b w:val="0"/>
          <w:bCs w:val="0"/>
          <w:color w:val="auto"/>
          <w:spacing w:val="-3"/>
          <w:szCs w:val="24"/>
          <w:highlight w:val="none"/>
        </w:rPr>
        <w:t xml:space="preserve">投标人认为有必要提供的声明及文件资料（提供财务审计报告或财务报表，(包含资产负债表、现金流量表、利润表) </w:t>
      </w:r>
      <w:r>
        <w:rPr>
          <w:rFonts w:hint="eastAsia" w:ascii="宋体" w:hAnsi="宋体" w:cs="宋体"/>
          <w:b w:val="0"/>
          <w:bCs w:val="0"/>
          <w:color w:val="auto"/>
          <w:spacing w:val="-3"/>
          <w:szCs w:val="24"/>
          <w:highlight w:val="none"/>
          <w:lang w:eastAsia="zh-CN"/>
        </w:rPr>
        <w:t>、</w:t>
      </w:r>
      <w:r>
        <w:rPr>
          <w:rFonts w:hint="eastAsia" w:ascii="宋体" w:hAnsi="宋体" w:cs="宋体"/>
          <w:b w:val="0"/>
          <w:bCs w:val="0"/>
          <w:color w:val="auto"/>
          <w:spacing w:val="-3"/>
          <w:szCs w:val="24"/>
          <w:highlight w:val="none"/>
          <w:lang w:val="en-US" w:eastAsia="zh-CN"/>
        </w:rPr>
        <w:t>具有近一年任意三个月的社保证明（需有相关人员的社保缴纳明细，退休人员需提供退休证明）、具有近一年任意三个月的完税证明（</w:t>
      </w:r>
      <w:r>
        <w:rPr>
          <w:rFonts w:hint="eastAsia" w:ascii="宋体" w:hAnsi="宋体" w:cs="宋体"/>
          <w:b w:val="0"/>
          <w:bCs w:val="0"/>
          <w:color w:val="auto"/>
          <w:spacing w:val="-3"/>
          <w:szCs w:val="24"/>
          <w:highlight w:val="none"/>
          <w:lang w:eastAsia="zh-CN"/>
        </w:rPr>
        <w:t>依法免税的供应商，须提供相应文件证明其依法免税</w:t>
      </w:r>
      <w:r>
        <w:rPr>
          <w:rFonts w:hint="eastAsia" w:ascii="宋体" w:hAnsi="宋体" w:cs="宋体"/>
          <w:b w:val="0"/>
          <w:bCs w:val="0"/>
          <w:color w:val="auto"/>
          <w:spacing w:val="-3"/>
          <w:szCs w:val="24"/>
          <w:highlight w:val="none"/>
          <w:lang w:val="en-US" w:eastAsia="zh-CN"/>
        </w:rPr>
        <w:t>）</w:t>
      </w:r>
      <w:r>
        <w:rPr>
          <w:rFonts w:hint="eastAsia" w:ascii="宋体" w:hAnsi="宋体" w:cs="宋体"/>
          <w:b w:val="0"/>
          <w:bCs w:val="0"/>
          <w:color w:val="auto"/>
          <w:spacing w:val="-3"/>
          <w:szCs w:val="24"/>
          <w:highlight w:val="none"/>
        </w:rPr>
        <w:t>缴纳记录</w:t>
      </w:r>
      <w:r>
        <w:rPr>
          <w:rFonts w:hint="eastAsia" w:ascii="宋体" w:hAnsi="宋体" w:cs="宋体"/>
          <w:b w:val="0"/>
          <w:bCs w:val="0"/>
          <w:color w:val="auto"/>
          <w:spacing w:val="-3"/>
          <w:szCs w:val="24"/>
          <w:highlight w:val="none"/>
          <w:lang w:val="en-US" w:eastAsia="zh-CN"/>
        </w:rPr>
        <w:t>等</w:t>
      </w:r>
      <w:r>
        <w:rPr>
          <w:rFonts w:hint="eastAsia" w:ascii="宋体" w:hAnsi="宋体" w:cs="宋体"/>
          <w:b w:val="0"/>
          <w:bCs w:val="0"/>
          <w:color w:val="auto"/>
          <w:spacing w:val="-3"/>
          <w:szCs w:val="24"/>
          <w:highlight w:val="none"/>
        </w:rPr>
        <w:t>）</w:t>
      </w:r>
    </w:p>
    <w:p>
      <w:pPr>
        <w:pStyle w:val="23"/>
        <w:spacing w:line="360" w:lineRule="auto"/>
        <w:ind w:firstLine="567"/>
        <w:jc w:val="both"/>
        <w:outlineLvl w:val="2"/>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9.1.2 商务文件</w:t>
      </w:r>
    </w:p>
    <w:p>
      <w:pPr>
        <w:pStyle w:val="23"/>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 投标函</w:t>
      </w:r>
    </w:p>
    <w:p>
      <w:pPr>
        <w:pStyle w:val="23"/>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(2) 开标一览表</w:t>
      </w:r>
    </w:p>
    <w:p>
      <w:pPr>
        <w:pStyle w:val="23"/>
        <w:spacing w:line="360" w:lineRule="auto"/>
        <w:ind w:firstLine="470" w:firstLineChars="200"/>
        <w:jc w:val="both"/>
        <w:rPr>
          <w:rFonts w:hint="eastAsia" w:ascii="宋体" w:hAnsi="宋体" w:cs="宋体"/>
          <w:b w:val="0"/>
          <w:bCs w:val="0"/>
          <w:color w:val="auto"/>
          <w:szCs w:val="24"/>
          <w:highlight w:val="none"/>
        </w:rPr>
      </w:pPr>
      <w:r>
        <w:rPr>
          <w:rFonts w:hint="eastAsia" w:ascii="宋体" w:hAnsi="宋体" w:cs="宋体"/>
          <w:b w:val="0"/>
          <w:bCs w:val="0"/>
          <w:color w:val="auto"/>
          <w:spacing w:val="-3"/>
          <w:szCs w:val="24"/>
          <w:highlight w:val="none"/>
        </w:rPr>
        <w:t>(</w:t>
      </w:r>
      <w:r>
        <w:rPr>
          <w:rFonts w:hint="eastAsia" w:ascii="宋体" w:hAnsi="宋体" w:cs="宋体"/>
          <w:b w:val="0"/>
          <w:bCs w:val="0"/>
          <w:color w:val="auto"/>
          <w:spacing w:val="-3"/>
          <w:szCs w:val="24"/>
          <w:highlight w:val="none"/>
          <w:lang w:val="en-US" w:eastAsia="zh-CN"/>
        </w:rPr>
        <w:t>3</w:t>
      </w:r>
      <w:r>
        <w:rPr>
          <w:rFonts w:hint="eastAsia" w:ascii="宋体" w:hAnsi="宋体" w:cs="宋体"/>
          <w:b w:val="0"/>
          <w:bCs w:val="0"/>
          <w:color w:val="auto"/>
          <w:spacing w:val="-3"/>
          <w:szCs w:val="24"/>
          <w:highlight w:val="none"/>
        </w:rPr>
        <w:t xml:space="preserve">) </w:t>
      </w:r>
      <w:r>
        <w:rPr>
          <w:rFonts w:hint="eastAsia" w:ascii="宋体" w:hAnsi="宋体" w:cs="宋体"/>
          <w:b w:val="0"/>
          <w:bCs w:val="0"/>
          <w:color w:val="auto"/>
          <w:szCs w:val="24"/>
          <w:highlight w:val="none"/>
        </w:rPr>
        <w:t>售后服务方案</w:t>
      </w:r>
    </w:p>
    <w:p>
      <w:pPr>
        <w:pStyle w:val="24"/>
        <w:spacing w:line="360" w:lineRule="auto"/>
        <w:ind w:firstLine="473"/>
        <w:rPr>
          <w:rFonts w:hint="eastAsia" w:ascii="宋体" w:hAnsi="宋体" w:eastAsia="宋体" w:cs="宋体"/>
          <w:b w:val="0"/>
          <w:bCs w:val="0"/>
          <w:color w:val="auto"/>
          <w:spacing w:val="-3"/>
          <w:sz w:val="24"/>
          <w:highlight w:val="none"/>
        </w:rPr>
      </w:pPr>
      <w:r>
        <w:rPr>
          <w:rFonts w:hint="eastAsia" w:ascii="宋体" w:hAnsi="宋体" w:eastAsia="宋体" w:cs="宋体"/>
          <w:b w:val="0"/>
          <w:bCs w:val="0"/>
          <w:color w:val="auto"/>
          <w:spacing w:val="-3"/>
          <w:sz w:val="24"/>
          <w:highlight w:val="none"/>
        </w:rPr>
        <w:t>(</w:t>
      </w:r>
      <w:r>
        <w:rPr>
          <w:rFonts w:hint="eastAsia" w:ascii="宋体" w:hAnsi="宋体" w:eastAsia="宋体" w:cs="宋体"/>
          <w:b w:val="0"/>
          <w:bCs w:val="0"/>
          <w:color w:val="auto"/>
          <w:spacing w:val="-3"/>
          <w:sz w:val="24"/>
          <w:highlight w:val="none"/>
          <w:lang w:val="en-US" w:eastAsia="zh-CN"/>
        </w:rPr>
        <w:t>4</w:t>
      </w:r>
      <w:r>
        <w:rPr>
          <w:rFonts w:hint="eastAsia" w:ascii="宋体" w:hAnsi="宋体" w:eastAsia="宋体" w:cs="宋体"/>
          <w:b w:val="0"/>
          <w:bCs w:val="0"/>
          <w:color w:val="auto"/>
          <w:spacing w:val="-3"/>
          <w:sz w:val="24"/>
          <w:highlight w:val="none"/>
        </w:rPr>
        <w:t xml:space="preserve">) </w:t>
      </w:r>
      <w:r>
        <w:rPr>
          <w:rFonts w:hint="eastAsia" w:ascii="宋体" w:hAnsi="宋体" w:eastAsia="宋体" w:cs="宋体"/>
          <w:b w:val="0"/>
          <w:bCs w:val="0"/>
          <w:color w:val="auto"/>
          <w:spacing w:val="-3"/>
          <w:sz w:val="24"/>
          <w:highlight w:val="none"/>
          <w:lang w:eastAsia="zh-CN"/>
        </w:rPr>
        <w:t>供应商“信用中国”</w:t>
      </w:r>
      <w:r>
        <w:rPr>
          <w:rFonts w:hint="eastAsia" w:ascii="宋体" w:hAnsi="宋体" w:eastAsia="宋体" w:cs="宋体"/>
          <w:b w:val="0"/>
          <w:bCs w:val="0"/>
          <w:color w:val="auto"/>
          <w:spacing w:val="-3"/>
          <w:sz w:val="24"/>
          <w:highlight w:val="none"/>
          <w:lang w:val="en-US" w:eastAsia="zh-CN"/>
        </w:rPr>
        <w:t>的信用信息报告和国家企业信用信息公示报告及中国政府采购网截图</w:t>
      </w:r>
    </w:p>
    <w:p>
      <w:pPr>
        <w:pStyle w:val="24"/>
        <w:spacing w:line="360" w:lineRule="auto"/>
        <w:ind w:firstLine="473"/>
        <w:rPr>
          <w:rFonts w:hint="eastAsia" w:ascii="宋体" w:hAnsi="宋体" w:eastAsia="宋体" w:cs="宋体"/>
          <w:b w:val="0"/>
          <w:bCs w:val="0"/>
          <w:color w:val="auto"/>
          <w:spacing w:val="-3"/>
          <w:sz w:val="24"/>
          <w:highlight w:val="none"/>
        </w:rPr>
      </w:pPr>
      <w:r>
        <w:rPr>
          <w:rFonts w:hint="eastAsia" w:ascii="宋体" w:hAnsi="宋体" w:eastAsia="宋体" w:cs="宋体"/>
          <w:b w:val="0"/>
          <w:bCs w:val="0"/>
          <w:color w:val="auto"/>
          <w:spacing w:val="-3"/>
          <w:sz w:val="24"/>
          <w:highlight w:val="none"/>
        </w:rPr>
        <w:t>(</w:t>
      </w:r>
      <w:r>
        <w:rPr>
          <w:rFonts w:hint="eastAsia" w:ascii="宋体" w:hAnsi="宋体" w:eastAsia="宋体" w:cs="宋体"/>
          <w:b w:val="0"/>
          <w:bCs w:val="0"/>
          <w:color w:val="auto"/>
          <w:spacing w:val="-3"/>
          <w:sz w:val="24"/>
          <w:highlight w:val="none"/>
          <w:lang w:val="en-US" w:eastAsia="zh-CN"/>
        </w:rPr>
        <w:t>5</w:t>
      </w:r>
      <w:r>
        <w:rPr>
          <w:rFonts w:hint="eastAsia" w:ascii="宋体" w:hAnsi="宋体" w:eastAsia="宋体" w:cs="宋体"/>
          <w:b w:val="0"/>
          <w:bCs w:val="0"/>
          <w:color w:val="auto"/>
          <w:spacing w:val="-3"/>
          <w:sz w:val="24"/>
          <w:highlight w:val="none"/>
        </w:rPr>
        <w:t>) 投标人认为有必要提供的声明及文件资料</w:t>
      </w:r>
    </w:p>
    <w:p>
      <w:pPr>
        <w:pStyle w:val="23"/>
        <w:spacing w:line="360" w:lineRule="auto"/>
        <w:ind w:firstLine="567"/>
        <w:jc w:val="both"/>
        <w:outlineLvl w:val="2"/>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9.1.3 技术文件</w:t>
      </w:r>
    </w:p>
    <w:p>
      <w:pPr>
        <w:pStyle w:val="23"/>
        <w:spacing w:line="360" w:lineRule="auto"/>
        <w:ind w:firstLine="482" w:firstLineChars="200"/>
        <w:jc w:val="both"/>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1</w:t>
      </w:r>
      <w:r>
        <w:rPr>
          <w:rFonts w:hint="eastAsia" w:ascii="宋体" w:hAnsi="宋体" w:cs="宋体"/>
          <w:b w:val="0"/>
          <w:bCs w:val="0"/>
          <w:color w:val="auto"/>
          <w:szCs w:val="24"/>
          <w:highlight w:val="none"/>
        </w:rPr>
        <w:t xml:space="preserve">) </w:t>
      </w:r>
      <w:r>
        <w:rPr>
          <w:rFonts w:hint="eastAsia" w:ascii="宋体" w:hAnsi="宋体" w:cs="宋体"/>
          <w:b w:val="0"/>
          <w:bCs w:val="0"/>
          <w:color w:val="auto"/>
          <w:szCs w:val="24"/>
          <w:highlight w:val="none"/>
          <w:lang w:val="en-US" w:eastAsia="zh-CN"/>
        </w:rPr>
        <w:t>供货实施方案</w:t>
      </w:r>
    </w:p>
    <w:p>
      <w:pPr>
        <w:pStyle w:val="23"/>
        <w:spacing w:line="360" w:lineRule="auto"/>
        <w:ind w:firstLine="482" w:firstLineChars="200"/>
        <w:jc w:val="both"/>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2</w:t>
      </w:r>
      <w:r>
        <w:rPr>
          <w:rFonts w:hint="eastAsia" w:ascii="宋体" w:hAnsi="宋体" w:cs="宋体"/>
          <w:b w:val="0"/>
          <w:bCs w:val="0"/>
          <w:color w:val="auto"/>
          <w:szCs w:val="24"/>
          <w:highlight w:val="none"/>
        </w:rPr>
        <w:t xml:space="preserve">) </w:t>
      </w:r>
      <w:r>
        <w:rPr>
          <w:rFonts w:hint="eastAsia" w:ascii="宋体" w:hAnsi="宋体" w:cs="宋体"/>
          <w:b w:val="0"/>
          <w:bCs w:val="0"/>
          <w:color w:val="auto"/>
          <w:szCs w:val="24"/>
          <w:highlight w:val="none"/>
          <w:lang w:eastAsia="zh-CN"/>
        </w:rPr>
        <w:t>货物的技术指标</w:t>
      </w:r>
    </w:p>
    <w:p>
      <w:pPr>
        <w:pStyle w:val="23"/>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3</w:t>
      </w:r>
      <w:r>
        <w:rPr>
          <w:rFonts w:hint="eastAsia" w:ascii="宋体" w:hAnsi="宋体" w:cs="宋体"/>
          <w:b w:val="0"/>
          <w:bCs w:val="0"/>
          <w:color w:val="auto"/>
          <w:szCs w:val="24"/>
          <w:highlight w:val="none"/>
        </w:rPr>
        <w:t>) 投标人认为有必要提供的声明及文件资料</w:t>
      </w:r>
    </w:p>
    <w:p>
      <w:pPr>
        <w:pStyle w:val="23"/>
        <w:spacing w:line="360" w:lineRule="auto"/>
        <w:ind w:firstLine="482" w:firstLineChars="200"/>
        <w:jc w:val="both"/>
        <w:outlineLvl w:val="2"/>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9.1.4 电子标书</w:t>
      </w:r>
    </w:p>
    <w:p>
      <w:pPr>
        <w:pStyle w:val="23"/>
        <w:spacing w:line="360" w:lineRule="auto"/>
        <w:ind w:firstLine="482" w:firstLineChars="200"/>
        <w:jc w:val="both"/>
        <w:outlineLvl w:val="2"/>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本项目实行电子招投标，供应商需要使用CA锁，在新疆政府采购网--下载专区下载--供应商客户端制作投标文件，并生成JMBS格式加密文件，在投标截止前上传至政府采购云平台。</w:t>
      </w:r>
    </w:p>
    <w:p>
      <w:pPr>
        <w:pStyle w:val="23"/>
        <w:keepLines w:val="0"/>
        <w:kinsoku/>
        <w:wordWrap/>
        <w:overflowPunct/>
        <w:bidi w:val="0"/>
        <w:spacing w:line="360" w:lineRule="auto"/>
        <w:ind w:firstLine="525"/>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Cs w:val="24"/>
          <w:highlight w:val="none"/>
        </w:rPr>
        <w:t>9.</w:t>
      </w:r>
      <w:r>
        <w:rPr>
          <w:rFonts w:hint="eastAsia" w:ascii="宋体" w:hAnsi="宋体" w:cs="宋体"/>
          <w:b w:val="0"/>
          <w:bCs w:val="0"/>
          <w:color w:val="auto"/>
          <w:szCs w:val="24"/>
          <w:highlight w:val="none"/>
          <w:lang w:val="en-US" w:eastAsia="zh-CN"/>
        </w:rPr>
        <w:t>2</w:t>
      </w:r>
      <w:r>
        <w:rPr>
          <w:rFonts w:hint="eastAsia" w:ascii="宋体" w:hAnsi="宋体" w:cs="宋体"/>
          <w:b w:val="0"/>
          <w:bCs w:val="0"/>
          <w:color w:val="auto"/>
          <w:szCs w:val="24"/>
          <w:highlight w:val="none"/>
        </w:rPr>
        <w:t>投标人在投标中违反国家有关法律法规的强制性规定的，其投标按未满足招标文件实质性要求处理。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投标书格式</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投标人应按招标文件提供的格式完整地填写所提供的货物、服务、数量及价格。</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投标报价</w:t>
      </w:r>
    </w:p>
    <w:p>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投标人应按招标文件所附的《开标一览表》和《报价清单明细表》中的项目，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应按本招标文件提供的报价表格式进行填报，总体格式不得更改，并逐项写明指定项目的产品报价（单位：元），每一分项只允许有一个报价，任何有选择的报价将不予接受。不接受备选方案，但不拒绝优惠声明。</w:t>
      </w:r>
    </w:p>
    <w:p>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11.2开标时，投标</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开标一览</w:t>
      </w:r>
      <w:r>
        <w:rPr>
          <w:rFonts w:hint="eastAsia" w:ascii="宋体" w:hAnsi="宋体" w:eastAsia="宋体" w:cs="宋体"/>
          <w:color w:val="auto"/>
          <w:sz w:val="24"/>
          <w:szCs w:val="24"/>
          <w:highlight w:val="none"/>
        </w:rPr>
        <w:t>表》内容与《报价清单明细表》内容不一致的，以《</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一览表》为准。大写金额和小写金额不一致的，以大写金额为准；总价金额与单价汇总金额不一致的，以单价金额计算结果为准；单价金额小数点有明显错位的，应以总价为准，并修改单价；对不同文字文本投标文件的解释发生异议的，以中文文本为准。按照以上原则对错误报价的修正，供应商应签字确认。（如有）</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投标人应按招标文件的要求对有关设计</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、货物及其配套服务的全部内容进行报价。投标报价应包括：</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外购、外协、配套件、原材料及功能设计生产制造、检验、油漆、包装、保险、利税、管理、运杂、安装调试、人员培训等费用。</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招标文件中特别要求的零</w:t>
      </w:r>
      <w:r>
        <w:rPr>
          <w:rFonts w:hint="eastAsia" w:ascii="宋体" w:hAnsi="宋体" w:eastAsia="宋体" w:cs="宋体"/>
          <w:color w:val="auto"/>
          <w:sz w:val="24"/>
          <w:szCs w:val="24"/>
          <w:highlight w:val="none"/>
          <w:lang w:eastAsia="zh-CN"/>
        </w:rPr>
        <w:t>件</w:t>
      </w:r>
      <w:r>
        <w:rPr>
          <w:rFonts w:hint="eastAsia" w:ascii="宋体" w:hAnsi="宋体" w:eastAsia="宋体" w:cs="宋体"/>
          <w:color w:val="auto"/>
          <w:sz w:val="24"/>
          <w:szCs w:val="24"/>
          <w:highlight w:val="none"/>
        </w:rPr>
        <w:t>、备</w:t>
      </w:r>
      <w:r>
        <w:rPr>
          <w:rFonts w:hint="eastAsia" w:ascii="宋体" w:hAnsi="宋体" w:eastAsia="宋体" w:cs="宋体"/>
          <w:color w:val="auto"/>
          <w:sz w:val="24"/>
          <w:szCs w:val="24"/>
          <w:highlight w:val="none"/>
          <w:lang w:eastAsia="zh-CN"/>
        </w:rPr>
        <w:t>品备</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费用。</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  分项报价明细表中特别要求的安装、调试、运输及培训</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费用。</w:t>
      </w:r>
    </w:p>
    <w:p>
      <w:pPr>
        <w:pStyle w:val="23"/>
        <w:keepLines w:val="0"/>
        <w:kinsoku/>
        <w:wordWrap/>
        <w:overflowPunct/>
        <w:bidi w:val="0"/>
        <w:spacing w:line="360" w:lineRule="auto"/>
        <w:ind w:firstLine="567"/>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投标货币</w:t>
      </w:r>
    </w:p>
    <w:p>
      <w:pPr>
        <w:pStyle w:val="23"/>
        <w:keepLines w:val="0"/>
        <w:kinsoku/>
        <w:wordWrap/>
        <w:overflowPunct/>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本次投标货币为人民币。</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证明投标人合格和资格的文件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投标人应提交证明其有资格参加投标和一旦其投标被接受则有能力履行合同的文件，并作为其投标文件的一部分。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投标人应填写并提交招标文件所要求的资格证明类文件。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证明货物的合格性和符合招标文件规定的文件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投标人应提交招标文件要求的货物及其服务的合格性及符合招标文件规定的证明文件。证明文件可以是手册、图纸和资料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，并作为投标文件的一部分。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投标人应逐条阅读招标文件要求的技术规格条款要求，指出自己提供的货物和服务是否对招标文件做出实质性的响应，</w:t>
      </w:r>
      <w:r>
        <w:rPr>
          <w:rFonts w:hint="eastAsia" w:ascii="宋体" w:hAnsi="宋体" w:eastAsia="宋体" w:cs="宋体"/>
          <w:b/>
          <w:color w:val="auto"/>
          <w:sz w:val="24"/>
          <w:szCs w:val="24"/>
          <w:highlight w:val="none"/>
        </w:rPr>
        <w:t>并将不能响应之处在招标文件所附的“技术</w:t>
      </w:r>
      <w:r>
        <w:rPr>
          <w:rFonts w:hint="eastAsia" w:ascii="宋体" w:hAnsi="宋体" w:eastAsia="宋体" w:cs="宋体"/>
          <w:b/>
          <w:color w:val="auto"/>
          <w:sz w:val="24"/>
          <w:szCs w:val="24"/>
          <w:highlight w:val="none"/>
          <w:lang w:eastAsia="zh-CN"/>
        </w:rPr>
        <w:t>规格</w:t>
      </w:r>
      <w:r>
        <w:rPr>
          <w:rFonts w:hint="eastAsia" w:ascii="宋体" w:hAnsi="宋体" w:eastAsia="宋体" w:cs="宋体"/>
          <w:b/>
          <w:color w:val="auto"/>
          <w:sz w:val="24"/>
          <w:szCs w:val="24"/>
          <w:highlight w:val="none"/>
        </w:rPr>
        <w:t>偏离表”中一一列出。否则，将视为投标人同意、确认或接受招标文件的全部或相应部分的要求。</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证明货物的合格性和符合招标文件规定的文件应包括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下列内容：</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14.3.1  投标货物的试验</w:t>
      </w:r>
      <w:r>
        <w:rPr>
          <w:rFonts w:hint="eastAsia" w:ascii="宋体" w:hAnsi="宋体" w:eastAsia="宋体" w:cs="宋体"/>
          <w:color w:val="auto"/>
          <w:sz w:val="24"/>
          <w:szCs w:val="24"/>
          <w:highlight w:val="none"/>
          <w:lang w:eastAsia="zh-CN"/>
        </w:rPr>
        <w:t>检验</w:t>
      </w:r>
      <w:r>
        <w:rPr>
          <w:rFonts w:hint="eastAsia" w:ascii="宋体" w:hAnsi="宋体" w:eastAsia="宋体" w:cs="宋体"/>
          <w:color w:val="auto"/>
          <w:sz w:val="24"/>
          <w:szCs w:val="24"/>
          <w:highlight w:val="none"/>
        </w:rPr>
        <w:t>报告、鉴定证书（复印件）；</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有关的产品样本、手册、图纸和资料；</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投标人认为有必要提供的其它证明文件</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荣获国优、部优、省优荣誉证书</w:t>
      </w:r>
      <w:r>
        <w:rPr>
          <w:rFonts w:hint="eastAsia" w:ascii="宋体" w:hAnsi="宋体" w:eastAsia="宋体" w:cs="宋体"/>
          <w:color w:val="auto"/>
          <w:sz w:val="24"/>
          <w:szCs w:val="24"/>
          <w:highlight w:val="none"/>
          <w:lang w:eastAsia="zh-CN"/>
        </w:rPr>
        <w:t>等其他资料）</w:t>
      </w:r>
      <w:r>
        <w:rPr>
          <w:rFonts w:hint="eastAsia" w:ascii="宋体" w:hAnsi="宋体" w:eastAsia="宋体" w:cs="宋体"/>
          <w:color w:val="auto"/>
          <w:sz w:val="24"/>
          <w:szCs w:val="24"/>
          <w:highlight w:val="none"/>
        </w:rPr>
        <w:t>；</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投标文件的有效期</w:t>
      </w:r>
    </w:p>
    <w:p>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15.1  投标文件从实际开标之日起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60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天内有效。</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在特殊情况下, 在原投标有效期届满之前，采购代理机构可与投标单位协商延长投标文件的有效期，并经投标方确认。</w:t>
      </w:r>
    </w:p>
    <w:p>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15.3 投标人在投标有效期内撤销投标文件的，采购代理机构可以不退还投标保证金。</w:t>
      </w:r>
    </w:p>
    <w:p>
      <w:pPr>
        <w:pStyle w:val="23"/>
        <w:spacing w:line="360" w:lineRule="auto"/>
        <w:ind w:firstLine="567"/>
        <w:jc w:val="both"/>
        <w:rPr>
          <w:rFonts w:hint="eastAsia" w:ascii="宋体" w:hAnsi="宋体" w:eastAsia="宋体" w:cs="宋体"/>
          <w:color w:val="auto"/>
          <w:szCs w:val="24"/>
          <w:lang w:val="en-US" w:eastAsia="zh-CN"/>
        </w:rPr>
      </w:pPr>
      <w:r>
        <w:rPr>
          <w:rFonts w:hint="eastAsia" w:ascii="宋体" w:hAnsi="宋体" w:cs="宋体"/>
          <w:color w:val="auto"/>
          <w:szCs w:val="24"/>
        </w:rPr>
        <w:t>16.  投标文件的书写要求、标记要求、签署及份数</w:t>
      </w:r>
      <w:r>
        <w:rPr>
          <w:rFonts w:hint="eastAsia" w:ascii="宋体" w:hAnsi="宋体" w:cs="宋体"/>
          <w:color w:val="auto"/>
          <w:szCs w:val="24"/>
          <w:lang w:eastAsia="zh-CN"/>
        </w:rPr>
        <w:t>，</w:t>
      </w:r>
      <w:r>
        <w:rPr>
          <w:rFonts w:hint="eastAsia" w:ascii="宋体" w:hAnsi="宋体" w:cs="宋体"/>
          <w:color w:val="auto"/>
          <w:szCs w:val="24"/>
          <w:lang w:val="en-US" w:eastAsia="zh-CN"/>
        </w:rPr>
        <w:t>未按要求编制，</w:t>
      </w:r>
      <w:r>
        <w:rPr>
          <w:rFonts w:hint="eastAsia" w:ascii="宋体" w:hAnsi="宋体" w:cs="宋体"/>
          <w:color w:val="auto"/>
          <w:szCs w:val="24"/>
        </w:rPr>
        <w:t>投标文件将不能通过符合性检查，按重大偏离处理</w:t>
      </w:r>
      <w:r>
        <w:rPr>
          <w:rFonts w:hint="eastAsia" w:ascii="宋体" w:hAnsi="宋体" w:cs="宋体"/>
          <w:color w:val="auto"/>
          <w:szCs w:val="24"/>
          <w:lang w:eastAsia="zh-CN"/>
        </w:rPr>
        <w:t>。</w:t>
      </w:r>
    </w:p>
    <w:p>
      <w:pPr>
        <w:spacing w:line="360" w:lineRule="auto"/>
        <w:ind w:firstLine="560"/>
        <w:rPr>
          <w:rFonts w:hint="eastAsia" w:ascii="宋体" w:hAnsi="宋体" w:cs="宋体"/>
          <w:color w:val="auto"/>
          <w:sz w:val="24"/>
        </w:rPr>
      </w:pPr>
      <w:r>
        <w:rPr>
          <w:rFonts w:hint="eastAsia" w:ascii="宋体" w:hAnsi="宋体" w:cs="宋体"/>
          <w:color w:val="auto"/>
          <w:sz w:val="24"/>
        </w:rPr>
        <w:t>16.2  投标文件的书写应清楚工整，修改处应由法定代表人或投标人授权代表</w:t>
      </w:r>
      <w:r>
        <w:rPr>
          <w:rFonts w:hint="eastAsia" w:ascii="宋体" w:hAnsi="宋体" w:cs="宋体"/>
          <w:color w:val="auto"/>
          <w:sz w:val="24"/>
          <w:lang w:val="en-US" w:eastAsia="zh-CN"/>
        </w:rPr>
        <w:t>签章</w:t>
      </w:r>
      <w:r>
        <w:rPr>
          <w:rFonts w:hint="eastAsia" w:ascii="宋体" w:hAnsi="宋体" w:cs="宋体"/>
          <w:color w:val="auto"/>
          <w:sz w:val="24"/>
        </w:rPr>
        <w:t>。</w:t>
      </w:r>
    </w:p>
    <w:p>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16.3  未实质性响应招标文件、或者关键字迹潦草、关键内容表达不清、或者未按要求填写</w:t>
      </w:r>
      <w:r>
        <w:rPr>
          <w:rFonts w:hint="eastAsia" w:ascii="宋体" w:hAnsi="宋体" w:cs="宋体"/>
          <w:color w:val="auto"/>
          <w:szCs w:val="24"/>
          <w:lang w:val="en-US" w:eastAsia="zh-CN"/>
        </w:rPr>
        <w:t>编制</w:t>
      </w:r>
      <w:r>
        <w:rPr>
          <w:rFonts w:hint="eastAsia" w:ascii="宋体" w:hAnsi="宋体" w:cs="宋体"/>
          <w:color w:val="auto"/>
          <w:szCs w:val="24"/>
        </w:rPr>
        <w:t>、或者可能导致非唯一理解的投标文件</w:t>
      </w:r>
      <w:r>
        <w:rPr>
          <w:rFonts w:hint="eastAsia" w:ascii="宋体" w:hAnsi="宋体" w:cs="宋体"/>
          <w:color w:val="auto"/>
          <w:szCs w:val="24"/>
          <w:lang w:val="en-US" w:eastAsia="zh-CN"/>
        </w:rPr>
        <w:t>将被拒绝</w:t>
      </w:r>
      <w:r>
        <w:rPr>
          <w:rFonts w:hint="eastAsia" w:ascii="宋体" w:hAnsi="宋体" w:cs="宋体"/>
          <w:color w:val="auto"/>
          <w:szCs w:val="24"/>
        </w:rPr>
        <w:t>。</w:t>
      </w:r>
    </w:p>
    <w:p>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 xml:space="preserve">16.4  投标文件具有法律效力,若投标文件与采购清单要求不一致，其内容影响成交结果时，责任由供应商自行承担。 </w:t>
      </w:r>
    </w:p>
    <w:p>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16.5 为了保证投标文件的合法性、安全性和完整性，</w:t>
      </w:r>
      <w:r>
        <w:rPr>
          <w:rFonts w:hint="eastAsia" w:ascii="宋体" w:hAnsi="宋体" w:cs="宋体"/>
          <w:color w:val="auto"/>
          <w:szCs w:val="24"/>
          <w:lang w:eastAsia="zh-CN"/>
        </w:rPr>
        <w:t>投标文件</w:t>
      </w:r>
      <w:r>
        <w:rPr>
          <w:rFonts w:hint="eastAsia" w:ascii="宋体" w:hAnsi="宋体" w:cs="宋体"/>
          <w:color w:val="auto"/>
          <w:szCs w:val="24"/>
        </w:rPr>
        <w:t>由供应商逐页</w:t>
      </w:r>
      <w:r>
        <w:rPr>
          <w:rFonts w:hint="eastAsia" w:ascii="宋体" w:hAnsi="宋体" w:cs="宋体"/>
          <w:color w:val="auto"/>
          <w:szCs w:val="24"/>
          <w:lang w:eastAsia="zh-CN"/>
        </w:rPr>
        <w:t>加盖单位公章</w:t>
      </w:r>
      <w:r>
        <w:rPr>
          <w:rFonts w:hint="eastAsia" w:ascii="宋体" w:hAnsi="宋体" w:cs="宋体"/>
          <w:color w:val="auto"/>
          <w:szCs w:val="24"/>
        </w:rPr>
        <w:t>。授权代表须将 “法人授权书”（原件）附在投标文件中。</w:t>
      </w:r>
    </w:p>
    <w:p>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16.6 除供应商对错处做必要修改外，投标文件不得行间插字、涂改或增删。如有修改错漏处，必须由投标文件签署人签字或盖章。</w:t>
      </w:r>
    </w:p>
    <w:p>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16.7  投标文件的份数：详见《投标人须知前附表》。</w:t>
      </w:r>
    </w:p>
    <w:p>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16.8  投标人可根据投标货物的具体需要自行编制其它文件纳入投标书中。</w:t>
      </w:r>
    </w:p>
    <w:p>
      <w:pPr>
        <w:pStyle w:val="23"/>
        <w:spacing w:line="360" w:lineRule="auto"/>
        <w:ind w:firstLine="567"/>
        <w:jc w:val="both"/>
        <w:rPr>
          <w:rFonts w:hint="eastAsia" w:ascii="宋体" w:hAnsi="宋体" w:cs="宋体"/>
          <w:bCs/>
          <w:color w:val="auto"/>
          <w:szCs w:val="24"/>
        </w:rPr>
      </w:pPr>
      <w:r>
        <w:rPr>
          <w:rFonts w:hint="eastAsia" w:ascii="宋体" w:hAnsi="宋体" w:cs="宋体"/>
          <w:bCs/>
          <w:color w:val="auto"/>
          <w:szCs w:val="24"/>
        </w:rPr>
        <w:t xml:space="preserve">16.9  </w:t>
      </w:r>
      <w:r>
        <w:rPr>
          <w:rFonts w:hint="eastAsia" w:ascii="宋体" w:hAnsi="宋体" w:cs="宋体"/>
          <w:bCs/>
          <w:color w:val="auto"/>
          <w:szCs w:val="24"/>
          <w:lang w:val="en-US" w:eastAsia="zh-CN"/>
        </w:rPr>
        <w:t>纸质版</w:t>
      </w:r>
      <w:r>
        <w:rPr>
          <w:rFonts w:hint="eastAsia" w:ascii="宋体" w:hAnsi="宋体" w:cs="宋体"/>
          <w:bCs/>
          <w:color w:val="auto"/>
          <w:szCs w:val="24"/>
        </w:rPr>
        <w:t>投标文件的装订必须采用死页胶粘本，不允许活页形式装订（非胶粘方式装订的投标书一律视同活页装订），活页方式装订视为投标无效。</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  投标保证金</w:t>
      </w:r>
      <w:r>
        <w:rPr>
          <w:rFonts w:hint="eastAsia" w:ascii="宋体" w:hAnsi="宋体" w:eastAsia="宋体" w:cs="宋体"/>
          <w:color w:val="auto"/>
          <w:sz w:val="24"/>
          <w:szCs w:val="24"/>
          <w:highlight w:val="none"/>
          <w:lang w:eastAsia="zh-CN"/>
        </w:rPr>
        <w:t>。</w:t>
      </w:r>
    </w:p>
    <w:p>
      <w:pPr>
        <w:pStyle w:val="23"/>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17.1  投标保证金金额：</w:t>
      </w:r>
      <w:r>
        <w:rPr>
          <w:rFonts w:hint="eastAsia" w:ascii="宋体" w:hAnsi="宋体" w:eastAsia="宋体" w:cs="宋体"/>
          <w:b w:val="0"/>
          <w:bCs/>
          <w:color w:val="auto"/>
          <w:sz w:val="24"/>
          <w:szCs w:val="24"/>
          <w:highlight w:val="none"/>
          <w:lang w:eastAsia="zh-CN"/>
        </w:rPr>
        <w:t>详见投标人须知前附表规定。</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投标保证金用于保护本次招标免受投标人的违规、违约行为而引起的风险。</w:t>
      </w:r>
    </w:p>
    <w:p>
      <w:pPr>
        <w:pStyle w:val="23"/>
        <w:keepLines w:val="0"/>
        <w:kinsoku/>
        <w:wordWrap/>
        <w:overflowPunct/>
        <w:bidi w:val="0"/>
        <w:spacing w:line="360" w:lineRule="auto"/>
        <w:ind w:firstLine="567"/>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17.3  投标保证金应用人民币，由投标人按第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》中明确的银行、帐号</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开标</w:t>
      </w:r>
      <w:r>
        <w:rPr>
          <w:rFonts w:hint="eastAsia" w:ascii="宋体" w:hAnsi="宋体" w:eastAsia="宋体" w:cs="宋体"/>
          <w:b w:val="0"/>
          <w:bCs w:val="0"/>
          <w:color w:val="auto"/>
          <w:sz w:val="24"/>
          <w:szCs w:val="24"/>
          <w:highlight w:val="none"/>
          <w:lang w:eastAsia="zh-CN"/>
        </w:rPr>
        <w:t>前缴纳</w:t>
      </w:r>
      <w:r>
        <w:rPr>
          <w:rFonts w:hint="eastAsia" w:ascii="宋体" w:hAnsi="宋体" w:eastAsia="宋体" w:cs="宋体"/>
          <w:b w:val="0"/>
          <w:bCs w:val="0"/>
          <w:color w:val="auto"/>
          <w:sz w:val="24"/>
          <w:szCs w:val="24"/>
          <w:highlight w:val="none"/>
        </w:rPr>
        <w:t>。对未按要求提交投标保证金的投标书，采购代理机构将视为不响应投标而予以拒绝。</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投标保证金应以</w:t>
      </w:r>
      <w:r>
        <w:rPr>
          <w:rFonts w:hint="eastAsia" w:ascii="宋体" w:hAnsi="宋体" w:eastAsia="宋体" w:cs="宋体"/>
          <w:color w:val="auto"/>
          <w:sz w:val="24"/>
          <w:highlight w:val="none"/>
          <w:shd w:val="clear" w:color="auto" w:fill="auto"/>
          <w:lang w:eastAsia="zh-CN"/>
        </w:rPr>
        <w:t>以支票、汇票、本票或者金融机构、担保机构出具的保函等非现金形式提交</w:t>
      </w:r>
      <w:r>
        <w:rPr>
          <w:rFonts w:hint="eastAsia" w:ascii="宋体" w:hAnsi="宋体" w:eastAsia="宋体" w:cs="宋体"/>
          <w:color w:val="auto"/>
          <w:sz w:val="24"/>
          <w:szCs w:val="24"/>
          <w:highlight w:val="none"/>
        </w:rPr>
        <w:t>。投标保证金必须从各单位基本账户汇出。</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  中标人的投标保证金自采购合同签定之日起5个工作日内</w:t>
      </w:r>
      <w:r>
        <w:rPr>
          <w:rFonts w:hint="eastAsia" w:ascii="宋体" w:hAnsi="宋体" w:eastAsia="宋体" w:cs="宋体"/>
          <w:color w:val="auto"/>
          <w:sz w:val="24"/>
          <w:szCs w:val="24"/>
          <w:highlight w:val="none"/>
        </w:rPr>
        <w:t>不计利息予以退还</w:t>
      </w:r>
      <w:r>
        <w:rPr>
          <w:rFonts w:hint="eastAsia" w:ascii="宋体" w:hAnsi="宋体" w:eastAsia="宋体" w:cs="宋体"/>
          <w:color w:val="auto"/>
          <w:sz w:val="24"/>
          <w:szCs w:val="24"/>
          <w:highlight w:val="none"/>
          <w:lang w:eastAsia="zh-CN"/>
        </w:rPr>
        <w:t>。</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未中标人的投标保证金，</w:t>
      </w:r>
      <w:r>
        <w:rPr>
          <w:rFonts w:hint="eastAsia" w:ascii="宋体" w:hAnsi="宋体" w:eastAsia="宋体" w:cs="宋体"/>
          <w:color w:val="auto"/>
          <w:sz w:val="24"/>
          <w:szCs w:val="24"/>
          <w:highlight w:val="none"/>
          <w:lang w:eastAsia="zh-CN"/>
        </w:rPr>
        <w:t>自中标通知书发出之日起</w:t>
      </w:r>
      <w:r>
        <w:rPr>
          <w:rFonts w:hint="eastAsia" w:ascii="宋体" w:hAnsi="宋体" w:eastAsia="宋体" w:cs="宋体"/>
          <w:color w:val="auto"/>
          <w:sz w:val="24"/>
          <w:szCs w:val="24"/>
          <w:highlight w:val="none"/>
          <w:lang w:val="en-US" w:eastAsia="zh-CN"/>
        </w:rPr>
        <w:t>5个工作日内</w:t>
      </w:r>
      <w:r>
        <w:rPr>
          <w:rFonts w:hint="eastAsia" w:ascii="宋体" w:hAnsi="宋体" w:eastAsia="宋体" w:cs="宋体"/>
          <w:color w:val="auto"/>
          <w:sz w:val="24"/>
          <w:szCs w:val="24"/>
          <w:highlight w:val="none"/>
        </w:rPr>
        <w:t>不计利息予以退还。</w:t>
      </w:r>
    </w:p>
    <w:p>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 xml:space="preserve">  发生以下情况</w:t>
      </w:r>
      <w:r>
        <w:rPr>
          <w:rFonts w:hint="eastAsia" w:ascii="宋体" w:hAnsi="宋体" w:eastAsia="宋体" w:cs="宋体"/>
          <w:b w:val="0"/>
          <w:bCs w:val="0"/>
          <w:color w:val="auto"/>
          <w:sz w:val="24"/>
          <w:szCs w:val="24"/>
          <w:highlight w:val="none"/>
          <w:lang w:eastAsia="zh-CN"/>
        </w:rPr>
        <w:t>中标人的</w:t>
      </w:r>
      <w:r>
        <w:rPr>
          <w:rFonts w:hint="eastAsia" w:ascii="宋体" w:hAnsi="宋体" w:eastAsia="宋体" w:cs="宋体"/>
          <w:b w:val="0"/>
          <w:bCs w:val="0"/>
          <w:color w:val="auto"/>
          <w:sz w:val="24"/>
          <w:szCs w:val="24"/>
          <w:highlight w:val="none"/>
        </w:rPr>
        <w:t>投标保证金可能被没收：</w:t>
      </w:r>
    </w:p>
    <w:p>
      <w:pPr>
        <w:pStyle w:val="24"/>
        <w:keepLines w:val="0"/>
        <w:kinsoku/>
        <w:wordWrap/>
        <w:overflowPunct/>
        <w:bidi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17.7.1 未</w:t>
      </w:r>
      <w:r>
        <w:rPr>
          <w:rFonts w:hint="eastAsia" w:ascii="宋体" w:hAnsi="宋体" w:eastAsia="宋体" w:cs="宋体"/>
          <w:b w:val="0"/>
          <w:bCs w:val="0"/>
          <w:color w:val="auto"/>
          <w:sz w:val="24"/>
          <w:szCs w:val="24"/>
          <w:highlight w:val="none"/>
        </w:rPr>
        <w:t>按2</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条规定签定合同；</w:t>
      </w:r>
    </w:p>
    <w:p>
      <w:pPr>
        <w:pStyle w:val="24"/>
        <w:keepLines w:val="0"/>
        <w:kinsoku/>
        <w:wordWrap/>
        <w:overflowPunct/>
        <w:bidi w:val="0"/>
        <w:spacing w:line="360" w:lineRule="auto"/>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17.7.2 未按</w:t>
      </w:r>
      <w:r>
        <w:rPr>
          <w:rFonts w:hint="eastAsia" w:ascii="宋体" w:hAnsi="宋体" w:eastAsia="宋体" w:cs="宋体"/>
          <w:b w:val="0"/>
          <w:bCs w:val="0"/>
          <w:color w:val="auto"/>
          <w:sz w:val="24"/>
          <w:szCs w:val="24"/>
          <w:highlight w:val="none"/>
        </w:rPr>
        <w:t>第31条有关缴纳中标服务费的规定；</w:t>
      </w:r>
    </w:p>
    <w:p>
      <w:pPr>
        <w:pStyle w:val="24"/>
        <w:keepLines w:val="0"/>
        <w:kinsoku/>
        <w:wordWrap/>
        <w:overflowPunct/>
        <w:bidi w:val="0"/>
        <w:spacing w:line="360" w:lineRule="auto"/>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17.7.3 未</w:t>
      </w:r>
      <w:r>
        <w:rPr>
          <w:rFonts w:hint="eastAsia" w:ascii="宋体" w:hAnsi="宋体" w:eastAsia="宋体" w:cs="宋体"/>
          <w:b w:val="0"/>
          <w:bCs w:val="0"/>
          <w:color w:val="auto"/>
          <w:sz w:val="24"/>
          <w:szCs w:val="24"/>
          <w:highlight w:val="none"/>
        </w:rPr>
        <w:t>按招标文件要求提交合同履约保证金的。</w:t>
      </w:r>
    </w:p>
    <w:p>
      <w:pPr>
        <w:pStyle w:val="22"/>
        <w:jc w:val="center"/>
        <w:rPr>
          <w:rFonts w:hint="eastAsia"/>
          <w:b/>
          <w:bCs/>
          <w:color w:val="auto"/>
          <w:highlight w:val="none"/>
          <w:lang w:eastAsia="zh-CN"/>
        </w:rPr>
      </w:pPr>
      <w:r>
        <w:rPr>
          <w:rFonts w:hint="eastAsia"/>
          <w:b/>
          <w:bCs/>
          <w:color w:val="auto"/>
          <w:highlight w:val="none"/>
          <w:lang w:eastAsia="zh-CN"/>
        </w:rPr>
        <w:t>四、投标文件的递交</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投标文件</w:t>
      </w:r>
      <w:r>
        <w:rPr>
          <w:rFonts w:hint="eastAsia" w:ascii="宋体" w:hAnsi="宋体" w:eastAsia="宋体" w:cs="宋体"/>
          <w:color w:val="auto"/>
          <w:sz w:val="24"/>
          <w:szCs w:val="24"/>
          <w:highlight w:val="none"/>
          <w:lang w:val="en-US" w:eastAsia="zh-CN"/>
        </w:rPr>
        <w:t>递交的格式</w:t>
      </w:r>
    </w:p>
    <w:p>
      <w:pPr>
        <w:pStyle w:val="23"/>
        <w:keepLines w:val="0"/>
        <w:kinsoku/>
        <w:wordWrap/>
        <w:overflowPunct/>
        <w:bidi w:val="0"/>
        <w:spacing w:line="360" w:lineRule="auto"/>
        <w:ind w:firstLine="567"/>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 xml:space="preserve">18.1 </w:t>
      </w:r>
      <w:r>
        <w:rPr>
          <w:rFonts w:hint="eastAsia" w:ascii="宋体" w:hAnsi="宋体" w:cs="宋体"/>
          <w:color w:val="auto"/>
          <w:szCs w:val="24"/>
          <w:highlight w:val="none"/>
          <w:lang w:val="en-US" w:eastAsia="zh-CN"/>
        </w:rPr>
        <w:t>投标供应商应当在投标截止时间前，将生成的“JMBS格式电子加密投标文件”上传递交至“政府采购云平台”，投标截止时间以后上传递交的投标文件将被“政府采购云平台”拒收。</w:t>
      </w:r>
    </w:p>
    <w:p>
      <w:pPr>
        <w:pStyle w:val="23"/>
        <w:spacing w:line="360" w:lineRule="auto"/>
        <w:ind w:firstLine="567"/>
        <w:jc w:val="both"/>
        <w:rPr>
          <w:rFonts w:hint="eastAsia" w:ascii="宋体" w:hAnsi="宋体" w:eastAsia="宋体" w:cs="宋体"/>
          <w:color w:val="auto"/>
          <w:szCs w:val="24"/>
          <w:highlight w:val="none"/>
          <w:lang w:val="en-US" w:eastAsia="zh-CN"/>
        </w:rPr>
      </w:pPr>
      <w:r>
        <w:rPr>
          <w:rFonts w:hint="eastAsia" w:ascii="宋体" w:hAnsi="宋体" w:eastAsia="宋体" w:cs="宋体"/>
          <w:b w:val="0"/>
          <w:bCs w:val="0"/>
          <w:color w:val="auto"/>
          <w:sz w:val="24"/>
          <w:szCs w:val="24"/>
          <w:highlight w:val="none"/>
        </w:rPr>
        <w:t xml:space="preserve">18.2  </w:t>
      </w:r>
      <w:r>
        <w:rPr>
          <w:rFonts w:hint="eastAsia" w:ascii="宋体" w:hAnsi="宋体" w:eastAsia="宋体" w:cs="宋体"/>
          <w:color w:val="auto"/>
          <w:szCs w:val="24"/>
          <w:highlight w:val="none"/>
          <w:lang w:val="en-US" w:eastAsia="zh-CN"/>
        </w:rPr>
        <w:t>未按本须知要求投递投标文件，造成无法投标或投标失败等后果的由投标人自行承担。</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投标文件递交的截止日期</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19.1  投标人必须在《投标人须知前附表》中规定的时间之前将投标文件送达到规定的地点。</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超过招标文件规定的投标截止时间送达的投标文件将不予接受。</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投标文件的修改和撤销</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投标人对其投标文件进行的修改或撤销应以书面形式并在招标文件规定的投标截止时间前送达采购代理机构手中。</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投标人对投标文件的修改或撤销应按第18和19条规定进行准备、标注和递交。</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投标截止时间以后，不允许对投标文件进行修改。</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投标人不得在投标截止时间起至投标文件有效期满前撤销投标文件</w:t>
      </w:r>
      <w:r>
        <w:rPr>
          <w:rFonts w:hint="eastAsia" w:ascii="宋体" w:hAnsi="宋体" w:eastAsia="宋体" w:cs="宋体"/>
          <w:color w:val="auto"/>
          <w:sz w:val="24"/>
          <w:szCs w:val="24"/>
          <w:highlight w:val="none"/>
          <w:lang w:eastAsia="zh-CN"/>
        </w:rPr>
        <w:t>。</w:t>
      </w:r>
    </w:p>
    <w:p>
      <w:pPr>
        <w:pStyle w:val="22"/>
        <w:jc w:val="center"/>
        <w:rPr>
          <w:rFonts w:hint="eastAsia"/>
          <w:b/>
          <w:bCs/>
          <w:color w:val="auto"/>
          <w:highlight w:val="none"/>
          <w:lang w:eastAsia="zh-CN"/>
        </w:rPr>
      </w:pPr>
      <w:r>
        <w:rPr>
          <w:rFonts w:hint="eastAsia"/>
          <w:b/>
          <w:bCs/>
          <w:color w:val="auto"/>
          <w:highlight w:val="none"/>
          <w:lang w:eastAsia="zh-CN"/>
        </w:rPr>
        <w:t>五、开标</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开标</w:t>
      </w:r>
    </w:p>
    <w:p>
      <w:pPr>
        <w:pStyle w:val="23"/>
        <w:keepLines w:val="0"/>
        <w:kinsoku/>
        <w:wordWrap/>
        <w:overflowPunct/>
        <w:bidi w:val="0"/>
        <w:spacing w:line="360" w:lineRule="auto"/>
        <w:ind w:left="1" w:firstLine="484" w:firstLineChars="201"/>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  除非采购代理机构另外书面通知，本标将按本招标文件《投标人须知前附表》中规定的时间和地点开标。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val="en-US" w:eastAsia="zh-CN"/>
        </w:rPr>
        <w:t>开标时，招标人、监督部门、公证部门的工作人员将对开标会议到场监督。</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 开标时，投标单位完成在线解密后，由工作人员开始唱标。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开标时唱《开标一览表》的内容。如投标人对投标价格有说明或调整的，须与《开标一览表》附在一起，在唱标时一并唱出。</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唱标完毕后，如果投标人对所唱《开标一览表》内容有异议，应当场立即提出。经现场监标人员确认，认为有必要重新唱标的，由唱标员重新唱标。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所有唱标均记录在案，并经监标人员或公证人员的签字，作为各投标人投标文件的组成部分。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  投标人代表对开标过程和开标记录有疑义，以及认为采购人、采购代理机构相关工作人员有需要回避的情形的，应当场提出询问或者回避申请。</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  投标人未参加开标的，视同认可开标结果。</w:t>
      </w:r>
    </w:p>
    <w:p>
      <w:pPr>
        <w:pStyle w:val="22"/>
        <w:jc w:val="center"/>
        <w:rPr>
          <w:rFonts w:hint="eastAsia"/>
          <w:b/>
          <w:bCs/>
          <w:color w:val="auto"/>
          <w:highlight w:val="none"/>
          <w:lang w:eastAsia="zh-CN"/>
        </w:rPr>
      </w:pPr>
      <w:r>
        <w:rPr>
          <w:rFonts w:hint="eastAsia"/>
          <w:b/>
          <w:bCs/>
          <w:color w:val="auto"/>
          <w:highlight w:val="none"/>
          <w:lang w:eastAsia="zh-CN"/>
        </w:rPr>
        <w:t>六、评标和定标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评标原则</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本标的评标遵循公平、公正、科学、择优的原则。</w:t>
      </w:r>
    </w:p>
    <w:p>
      <w:pPr>
        <w:pStyle w:val="23"/>
        <w:keepLines w:val="0"/>
        <w:kinsoku/>
        <w:wordWrap/>
        <w:overflowPunct/>
        <w:bidi w:val="0"/>
        <w:spacing w:line="360" w:lineRule="auto"/>
        <w:ind w:left="0" w:lef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评标委员会将严格按照《中华人民共和国招标投标法》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《中华人民共和国招标投标法</w:t>
      </w:r>
      <w:r>
        <w:rPr>
          <w:rFonts w:hint="eastAsia" w:ascii="宋体" w:hAnsi="宋体" w:eastAsia="宋体" w:cs="宋体"/>
          <w:color w:val="auto"/>
          <w:sz w:val="24"/>
          <w:szCs w:val="24"/>
          <w:highlight w:val="none"/>
          <w:lang w:eastAsia="zh-CN"/>
        </w:rPr>
        <w:t>实施条例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《政府采购货物和服务招标投标管理办法》（财政部</w:t>
      </w:r>
      <w:r>
        <w:rPr>
          <w:rFonts w:hint="eastAsia" w:ascii="宋体" w:hAnsi="宋体" w:eastAsia="宋体" w:cs="宋体"/>
          <w:color w:val="auto"/>
          <w:sz w:val="24"/>
          <w:szCs w:val="24"/>
          <w:highlight w:val="none"/>
          <w:lang w:val="en-US" w:eastAsia="zh-CN"/>
        </w:rPr>
        <w:t>87</w:t>
      </w:r>
      <w:r>
        <w:rPr>
          <w:rFonts w:hint="eastAsia" w:ascii="宋体" w:hAnsi="宋体" w:eastAsia="宋体" w:cs="宋体"/>
          <w:color w:val="auto"/>
          <w:sz w:val="24"/>
          <w:szCs w:val="24"/>
          <w:highlight w:val="none"/>
        </w:rPr>
        <w:t>号令）的规定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不徇私情，不明招暗定。</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资格审查合格的投标人，均有同等机会参加竞争。</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评标人员不得私自泄露评标内容，不得进行旨在影响评标结果公正、公平的任何活动。</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  对于投标文件中含义不明确、同类问题表述不一致或者有明显文字和计算错误的内容，评标委员会应当以书面形式要求投标人作出必要的澄清、说明或者补正。</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评标方法</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采购代理机构将根据有关法律法规的规定组建本次招标的评标委员会。评标委员会成员由本行业相关技术、经济等方面的专家组成。其中，技术、经济等方面的专家不少于成员总人数的三分之二。</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评标的依据为招标文件和投标文件。根据相关法律法规的规定，评标委员会不以任何外部证据作为其评标的依据或标准。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评标过程将严格保密。开标后直到授予中标人合同止，凡是属于审查、澄清、评价和比较的有关评标资料以及授标建议等均不得向投标人或其他无关的人员透露。</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  在评标的整个过程中，投标人所进行的旨在影响评标结果的活动，可能导致其投标被拒绝，或者被取消中标资格。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  本次招标采用综合评分法进行评标。评标分初步评审和详细评审两个阶段。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23.5.1  初步评审分为资格性检查和符合性检查，只有通过初步评审的投标文件才可进入详细评审阶段。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23.5.2  详细评审分为</w:t>
      </w:r>
      <w:r>
        <w:rPr>
          <w:rFonts w:hint="eastAsia" w:ascii="宋体" w:hAnsi="宋体" w:eastAsia="宋体" w:cs="宋体"/>
          <w:color w:val="auto"/>
          <w:sz w:val="24"/>
          <w:szCs w:val="24"/>
          <w:highlight w:val="none"/>
          <w:lang w:eastAsia="zh-CN"/>
        </w:rPr>
        <w:t>经济报价部分和技术标评审两</w:t>
      </w:r>
      <w:r>
        <w:rPr>
          <w:rFonts w:hint="eastAsia" w:ascii="宋体" w:hAnsi="宋体" w:eastAsia="宋体" w:cs="宋体"/>
          <w:color w:val="auto"/>
          <w:sz w:val="24"/>
          <w:szCs w:val="24"/>
          <w:highlight w:val="none"/>
        </w:rPr>
        <w:t>个部分。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23.6  初步评审</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资格性检查：依据法律法规和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中的资格证明、投标保证金等进行审查，以确定投标人是否具备投标资格。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具体评审内容系指：</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  投标人满足本招标文件关于对合格投标人资格要求的规定；</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23.6.2  投标文件组成完整，主要内容未能按招标文件规定的内容、格式填写；</w:t>
      </w:r>
    </w:p>
    <w:p>
      <w:pPr>
        <w:adjustRightInd w:val="0"/>
        <w:snapToGrid w:val="0"/>
        <w:spacing w:line="360" w:lineRule="auto"/>
        <w:ind w:firstLine="482" w:firstLineChars="200"/>
        <w:rPr>
          <w:rFonts w:hint="default" w:ascii="宋体" w:hAnsi="宋体" w:cs="宋体"/>
          <w:color w:val="auto"/>
          <w:sz w:val="24"/>
          <w:lang w:val="en-US" w:eastAsia="zh-CN"/>
        </w:rPr>
      </w:pPr>
      <w:r>
        <w:rPr>
          <w:rFonts w:hint="eastAsia" w:ascii="宋体" w:hAnsi="宋体" w:cs="宋体"/>
          <w:color w:val="auto"/>
          <w:sz w:val="24"/>
          <w:lang w:val="en-US" w:eastAsia="zh-CN"/>
        </w:rPr>
        <w:t>23.6.3  投标人按照招标文件的要求提供投标保证金，所提供的投标保证金完整没有瑕疵；</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4</w:t>
      </w:r>
      <w:r>
        <w:rPr>
          <w:rFonts w:hint="eastAsia" w:ascii="宋体" w:hAnsi="宋体" w:cs="宋体"/>
          <w:color w:val="auto"/>
          <w:sz w:val="24"/>
        </w:rPr>
        <w:t xml:space="preserve">  投标文件的有效期满足招标文件的规定；</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 xml:space="preserve">5 </w:t>
      </w:r>
      <w:r>
        <w:rPr>
          <w:rFonts w:hint="eastAsia" w:ascii="宋体" w:hAnsi="宋体" w:cs="宋体"/>
          <w:color w:val="auto"/>
          <w:sz w:val="24"/>
        </w:rPr>
        <w:t xml:space="preserve"> 投标文件按照规定</w:t>
      </w:r>
      <w:r>
        <w:rPr>
          <w:rFonts w:hint="eastAsia" w:ascii="宋体" w:hAnsi="宋体" w:cs="宋体"/>
          <w:color w:val="auto"/>
          <w:sz w:val="24"/>
          <w:lang w:val="en-US" w:eastAsia="zh-CN"/>
        </w:rPr>
        <w:t>签章</w:t>
      </w:r>
      <w:r>
        <w:rPr>
          <w:rFonts w:hint="eastAsia" w:ascii="宋体" w:hAnsi="宋体" w:cs="宋体"/>
          <w:color w:val="auto"/>
          <w:sz w:val="24"/>
        </w:rPr>
        <w:t>的；</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6</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投标代表授权书由法定代表人签署；</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7</w:t>
      </w:r>
      <w:r>
        <w:rPr>
          <w:rFonts w:hint="eastAsia" w:ascii="宋体" w:hAnsi="宋体" w:cs="宋体"/>
          <w:color w:val="auto"/>
          <w:sz w:val="24"/>
        </w:rPr>
        <w:t xml:space="preserve">  投标文件针对每一种</w:t>
      </w:r>
      <w:r>
        <w:rPr>
          <w:rFonts w:hint="eastAsia" w:ascii="宋体" w:hAnsi="宋体" w:cs="宋体"/>
          <w:color w:val="auto"/>
          <w:sz w:val="24"/>
          <w:lang w:val="en-US" w:eastAsia="zh-CN"/>
        </w:rPr>
        <w:t>货物只提出一个报价，未</w:t>
      </w:r>
      <w:r>
        <w:rPr>
          <w:rFonts w:hint="eastAsia" w:ascii="宋体" w:hAnsi="宋体" w:cs="宋体"/>
          <w:color w:val="auto"/>
          <w:sz w:val="24"/>
        </w:rPr>
        <w:t>出现了两个或两个以上的报价；</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8</w:t>
      </w:r>
      <w:r>
        <w:rPr>
          <w:rFonts w:hint="eastAsia" w:ascii="宋体" w:hAnsi="宋体" w:cs="宋体"/>
          <w:color w:val="auto"/>
          <w:sz w:val="24"/>
        </w:rPr>
        <w:t xml:space="preserve">  </w:t>
      </w:r>
      <w:r>
        <w:rPr>
          <w:rFonts w:hint="eastAsia" w:ascii="宋体" w:hAnsi="宋体" w:cs="宋体"/>
          <w:color w:val="auto"/>
          <w:sz w:val="24"/>
          <w:lang w:val="en-US" w:eastAsia="zh-CN"/>
        </w:rPr>
        <w:t>投标报价未超过最高限价；</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9</w:t>
      </w:r>
      <w:r>
        <w:rPr>
          <w:rFonts w:hint="eastAsia" w:ascii="宋体" w:hAnsi="宋体" w:cs="宋体"/>
          <w:color w:val="auto"/>
          <w:sz w:val="24"/>
        </w:rPr>
        <w:t xml:space="preserve">  符合招标文件关于对招标技术</w:t>
      </w:r>
      <w:r>
        <w:rPr>
          <w:rFonts w:hint="eastAsia" w:ascii="宋体" w:hAnsi="宋体" w:cs="宋体"/>
          <w:color w:val="auto"/>
          <w:sz w:val="24"/>
          <w:lang w:val="en-US" w:eastAsia="zh-CN"/>
        </w:rPr>
        <w:t>服务</w:t>
      </w:r>
      <w:r>
        <w:rPr>
          <w:rFonts w:hint="eastAsia" w:ascii="宋体" w:hAnsi="宋体" w:cs="宋体"/>
          <w:color w:val="auto"/>
          <w:sz w:val="24"/>
        </w:rPr>
        <w:t>和标准的要求；按招标文件规定的格式填写，</w:t>
      </w:r>
      <w:r>
        <w:rPr>
          <w:rFonts w:hint="eastAsia" w:ascii="宋体" w:hAnsi="宋体" w:cs="宋体"/>
          <w:color w:val="auto"/>
          <w:sz w:val="24"/>
          <w:lang w:eastAsia="zh-CN"/>
        </w:rPr>
        <w:t>并无</w:t>
      </w:r>
      <w:r>
        <w:rPr>
          <w:rFonts w:hint="eastAsia" w:ascii="宋体" w:hAnsi="宋体" w:cs="宋体"/>
          <w:color w:val="auto"/>
          <w:sz w:val="24"/>
        </w:rPr>
        <w:t>内容不全或关键字迹模糊、无法辨认的；</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 xml:space="preserve">10 </w:t>
      </w:r>
      <w:r>
        <w:rPr>
          <w:rFonts w:hint="eastAsia" w:ascii="宋体" w:hAnsi="宋体" w:cs="宋体"/>
          <w:color w:val="auto"/>
          <w:sz w:val="24"/>
        </w:rPr>
        <w:t xml:space="preserve"> 投标文件载明的</w:t>
      </w:r>
      <w:r>
        <w:rPr>
          <w:rFonts w:hint="eastAsia" w:ascii="宋体" w:hAnsi="宋体" w:cs="宋体"/>
          <w:color w:val="auto"/>
          <w:sz w:val="24"/>
          <w:lang w:val="en-US" w:eastAsia="zh-CN"/>
        </w:rPr>
        <w:t>货物</w:t>
      </w:r>
      <w:r>
        <w:rPr>
          <w:rFonts w:hint="eastAsia" w:ascii="宋体" w:hAnsi="宋体" w:cs="宋体"/>
          <w:color w:val="auto"/>
          <w:sz w:val="24"/>
        </w:rPr>
        <w:t>范围、检验标准和方法等符合招标文件的要求；</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11  投标文件没有采购人不能接受的其他条件；</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12</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符合招标文件中规定的其他实质性要求。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23.7.1  </w:t>
      </w:r>
      <w:r>
        <w:rPr>
          <w:rFonts w:hint="eastAsia" w:ascii="宋体" w:hAnsi="宋体" w:eastAsia="宋体" w:cs="宋体"/>
          <w:color w:val="auto"/>
          <w:sz w:val="24"/>
          <w:szCs w:val="24"/>
          <w:highlight w:val="none"/>
        </w:rPr>
        <w:t>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eastAsia="宋体" w:cs="宋体"/>
          <w:color w:val="auto"/>
          <w:sz w:val="24"/>
          <w:szCs w:val="24"/>
          <w:highlight w:val="none"/>
          <w:lang w:val="en-US" w:eastAsia="zh-CN"/>
        </w:rPr>
        <w:t xml:space="preserve">23.7.2  </w:t>
      </w:r>
      <w:r>
        <w:rPr>
          <w:rFonts w:hint="eastAsia" w:ascii="宋体" w:hAnsi="宋体" w:cs="宋体"/>
          <w:color w:val="auto"/>
          <w:sz w:val="24"/>
        </w:rPr>
        <w:t>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23.7.3  </w:t>
      </w:r>
      <w:r>
        <w:rPr>
          <w:rFonts w:hint="eastAsia" w:ascii="宋体" w:hAnsi="宋体" w:eastAsia="宋体" w:cs="宋体"/>
          <w:color w:val="auto"/>
          <w:sz w:val="24"/>
          <w:szCs w:val="24"/>
          <w:highlight w:val="none"/>
        </w:rPr>
        <w:t>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23.7.4  </w:t>
      </w:r>
      <w:r>
        <w:rPr>
          <w:rFonts w:hint="eastAsia" w:ascii="宋体" w:hAnsi="宋体" w:eastAsia="宋体" w:cs="宋体"/>
          <w:color w:val="auto"/>
          <w:sz w:val="24"/>
          <w:szCs w:val="24"/>
          <w:highlight w:val="none"/>
        </w:rPr>
        <w:t>同时出现两种以上不一致的，按照前款规定的顺序修正。修正后的报价</w:t>
      </w:r>
      <w:r>
        <w:rPr>
          <w:rFonts w:hint="eastAsia" w:ascii="宋体" w:hAnsi="宋体" w:eastAsia="宋体" w:cs="宋体"/>
          <w:color w:val="auto"/>
          <w:sz w:val="24"/>
          <w:szCs w:val="24"/>
          <w:highlight w:val="none"/>
          <w:lang w:eastAsia="zh-CN"/>
        </w:rPr>
        <w:t>需经</w:t>
      </w:r>
      <w:r>
        <w:rPr>
          <w:rFonts w:hint="eastAsia" w:ascii="宋体" w:hAnsi="宋体" w:eastAsia="宋体" w:cs="宋体"/>
          <w:color w:val="auto"/>
          <w:sz w:val="24"/>
          <w:szCs w:val="24"/>
          <w:highlight w:val="none"/>
        </w:rPr>
        <w:t>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23.7.6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23.8.1  详细评审中，评标委员会将采用综合评估法中的打分法，以投标文件能最大限度地满足招标文件中规定的各项评价标准为依据，独立地对各投标文件进行评审和打分。</w:t>
      </w:r>
    </w:p>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评标委员会将对下述评审因素进行量化，并根据评委会每个成员对投标文件的评审和理解进行打分。</w:t>
      </w:r>
      <w:r>
        <w:rPr>
          <w:rFonts w:hint="eastAsia" w:ascii="宋体" w:hAnsi="宋体" w:eastAsia="宋体" w:cs="宋体"/>
          <w:color w:val="auto"/>
          <w:sz w:val="24"/>
          <w:szCs w:val="24"/>
          <w:highlight w:val="none"/>
          <w:lang w:eastAsia="zh-CN"/>
        </w:rPr>
        <w:t>经济报价权重占</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权重占</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部分的分值相加，即为该投标人的</w:t>
      </w:r>
      <w:r>
        <w:rPr>
          <w:rFonts w:hint="eastAsia" w:ascii="宋体" w:hAnsi="宋体" w:eastAsia="宋体" w:cs="宋体"/>
          <w:color w:val="auto"/>
          <w:sz w:val="24"/>
          <w:szCs w:val="24"/>
          <w:highlight w:val="none"/>
          <w:lang w:eastAsia="zh-CN"/>
        </w:rPr>
        <w:t>评标总得分。</w:t>
      </w:r>
    </w:p>
    <w:p>
      <w:pPr>
        <w:pStyle w:val="26"/>
        <w:rPr>
          <w:rFonts w:hint="eastAsia" w:ascii="宋体" w:hAnsi="宋体" w:eastAsia="宋体" w:cs="宋体"/>
          <w:color w:val="auto"/>
          <w:sz w:val="24"/>
          <w:szCs w:val="24"/>
          <w:highlight w:val="none"/>
          <w:lang w:eastAsia="zh-CN"/>
        </w:rPr>
      </w:pPr>
    </w:p>
    <w:p>
      <w:pPr>
        <w:spacing w:line="360"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初步评审标准</w:t>
      </w:r>
    </w:p>
    <w:tbl>
      <w:tblPr>
        <w:tblStyle w:val="17"/>
        <w:tblpPr w:leftFromText="180" w:rightFromText="180" w:vertAnchor="text" w:horzAnchor="page" w:tblpX="1104" w:tblpY="305"/>
        <w:tblOverlap w:val="never"/>
        <w:tblW w:w="10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restart"/>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初步评审</w:t>
            </w:r>
          </w:p>
        </w:tc>
        <w:tc>
          <w:tcPr>
            <w:tcW w:w="9545" w:type="dxa"/>
            <w:gridSpan w:val="2"/>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01" w:type="dxa"/>
            <w:vMerge w:val="continue"/>
            <w:noWrap w:val="0"/>
            <w:vAlign w:val="center"/>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投标人满足本招标文件关于对合格投标人资格要求的规定；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2</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投标文件组成完整，主要内容按招标文件规定的内容、格式填写；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投标人按照招标文件的要求提供投标保证金，所提供的投标保证金</w:t>
            </w:r>
            <w:r>
              <w:rPr>
                <w:rFonts w:hint="eastAsia" w:ascii="宋体" w:hAnsi="宋体" w:cs="宋体"/>
                <w:color w:val="auto"/>
                <w:sz w:val="24"/>
                <w:lang w:eastAsia="zh-CN"/>
              </w:rPr>
              <w:t>完整没</w:t>
            </w:r>
            <w:r>
              <w:rPr>
                <w:rFonts w:hint="eastAsia" w:ascii="宋体" w:hAnsi="宋体" w:cs="宋体"/>
                <w:color w:val="auto"/>
                <w:sz w:val="24"/>
              </w:rPr>
              <w:t>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983" w:type="dxa"/>
            <w:noWrap w:val="0"/>
            <w:vAlign w:val="center"/>
          </w:tcPr>
          <w:p>
            <w:pPr>
              <w:spacing w:line="360" w:lineRule="auto"/>
              <w:rPr>
                <w:rFonts w:hint="eastAsia" w:ascii="宋体" w:hAnsi="宋体" w:cs="宋体"/>
                <w:color w:val="auto"/>
                <w:sz w:val="24"/>
              </w:rPr>
            </w:pPr>
            <w:r>
              <w:rPr>
                <w:rFonts w:hint="eastAsia" w:ascii="宋体" w:hAnsi="宋体" w:eastAsia="宋体" w:cs="宋体"/>
                <w:color w:val="auto"/>
                <w:sz w:val="24"/>
              </w:rPr>
              <w:t>满足招标文件提出的技术、质量要求及技术规格；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投标文件按照规定</w:t>
            </w:r>
            <w:r>
              <w:rPr>
                <w:rFonts w:hint="eastAsia" w:ascii="宋体" w:hAnsi="宋体" w:cs="宋体"/>
                <w:color w:val="auto"/>
                <w:sz w:val="24"/>
                <w:lang w:val="en-US" w:eastAsia="zh-CN"/>
              </w:rPr>
              <w:t>签章</w:t>
            </w:r>
            <w:r>
              <w:rPr>
                <w:rFonts w:hint="eastAsia" w:ascii="宋体" w:hAnsi="宋体" w:cs="宋体"/>
                <w:color w:val="auto"/>
                <w:sz w:val="24"/>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投标文件针对每一种</w:t>
            </w:r>
            <w:r>
              <w:rPr>
                <w:rFonts w:hint="eastAsia" w:ascii="宋体" w:hAnsi="宋体" w:cs="宋体"/>
                <w:color w:val="auto"/>
                <w:sz w:val="24"/>
                <w:lang w:val="en-US" w:eastAsia="zh-CN"/>
              </w:rPr>
              <w:t>货物只提出一个报价，未</w:t>
            </w:r>
            <w:r>
              <w:rPr>
                <w:rFonts w:hint="eastAsia" w:ascii="宋体" w:hAnsi="宋体" w:cs="宋体"/>
                <w:color w:val="auto"/>
                <w:sz w:val="24"/>
              </w:rPr>
              <w:t>出现了两个或两个以上的报价；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983" w:type="dxa"/>
            <w:noWrap w:val="0"/>
            <w:vAlign w:val="center"/>
          </w:tcPr>
          <w:p>
            <w:pPr>
              <w:spacing w:line="360" w:lineRule="auto"/>
              <w:rPr>
                <w:rFonts w:hint="eastAsia" w:ascii="宋体" w:hAnsi="宋体" w:cs="宋体"/>
                <w:color w:val="auto"/>
                <w:sz w:val="24"/>
              </w:rPr>
            </w:pPr>
            <w:r>
              <w:rPr>
                <w:rFonts w:hint="eastAsia" w:ascii="宋体" w:hAnsi="宋体" w:cs="宋体"/>
                <w:b w:val="0"/>
                <w:bCs w:val="0"/>
                <w:color w:val="auto"/>
                <w:sz w:val="24"/>
                <w:highlight w:val="none"/>
                <w:lang w:val="en-US" w:eastAsia="zh-CN"/>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符合招标文件关于对招标技术</w:t>
            </w:r>
            <w:r>
              <w:rPr>
                <w:rFonts w:hint="eastAsia" w:ascii="宋体" w:hAnsi="宋体" w:cs="宋体"/>
                <w:color w:val="auto"/>
                <w:sz w:val="24"/>
                <w:lang w:val="en-US" w:eastAsia="zh-CN"/>
              </w:rPr>
              <w:t>服务</w:t>
            </w:r>
            <w:r>
              <w:rPr>
                <w:rFonts w:hint="eastAsia" w:ascii="宋体" w:hAnsi="宋体" w:cs="宋体"/>
                <w:color w:val="auto"/>
                <w:sz w:val="24"/>
              </w:rPr>
              <w:t>和标准的要求；按招标文件规定的格式填写，</w:t>
            </w:r>
            <w:r>
              <w:rPr>
                <w:rFonts w:hint="eastAsia" w:ascii="宋体" w:hAnsi="宋体" w:cs="宋体"/>
                <w:color w:val="auto"/>
                <w:sz w:val="24"/>
                <w:lang w:eastAsia="zh-CN"/>
              </w:rPr>
              <w:t>并无</w:t>
            </w:r>
            <w:r>
              <w:rPr>
                <w:rFonts w:hint="eastAsia" w:ascii="宋体" w:hAnsi="宋体" w:cs="宋体"/>
                <w:color w:val="auto"/>
                <w:sz w:val="24"/>
              </w:rPr>
              <w:t>内容不全或关键字迹模糊、无法辨认的；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1</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投标文件载明的</w:t>
            </w:r>
            <w:r>
              <w:rPr>
                <w:rFonts w:hint="eastAsia" w:ascii="宋体" w:hAnsi="宋体" w:cs="宋体"/>
                <w:color w:val="auto"/>
                <w:sz w:val="24"/>
                <w:lang w:val="en-US" w:eastAsia="zh-CN"/>
              </w:rPr>
              <w:t>货物</w:t>
            </w:r>
            <w:r>
              <w:rPr>
                <w:rFonts w:hint="eastAsia" w:ascii="宋体" w:hAnsi="宋体" w:cs="宋体"/>
                <w:color w:val="auto"/>
                <w:sz w:val="24"/>
              </w:rPr>
              <w:t>范围、检验标准和方法等符合招标文件的要求；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p>
        </w:tc>
        <w:tc>
          <w:tcPr>
            <w:tcW w:w="8983" w:type="dxa"/>
            <w:noWrap w:val="0"/>
            <w:vAlign w:val="center"/>
          </w:tcPr>
          <w:p>
            <w:pPr>
              <w:pStyle w:val="16"/>
              <w:spacing w:before="0" w:beforeAutospacing="0" w:after="0" w:afterAutospacing="0" w:line="360" w:lineRule="auto"/>
              <w:rPr>
                <w:rFonts w:hint="eastAsia" w:ascii="宋体" w:hAnsi="宋体" w:eastAsia="宋体" w:cs="宋体"/>
                <w:color w:val="auto"/>
                <w:sz w:val="24"/>
                <w:lang w:eastAsia="zh-CN"/>
              </w:rPr>
            </w:pPr>
            <w:r>
              <w:rPr>
                <w:rFonts w:hint="eastAsia" w:cs="宋体"/>
                <w:color w:val="auto"/>
              </w:rPr>
              <w:t>投标文件</w:t>
            </w:r>
            <w:r>
              <w:rPr>
                <w:rFonts w:hint="eastAsia" w:cs="宋体"/>
                <w:color w:val="auto"/>
                <w:lang w:eastAsia="zh-CN"/>
              </w:rPr>
              <w:t>没</w:t>
            </w:r>
            <w:r>
              <w:rPr>
                <w:rFonts w:hint="eastAsia" w:cs="宋体"/>
                <w:color w:val="auto"/>
              </w:rPr>
              <w:t>有采购人不能接受的其他条件；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3</w:t>
            </w:r>
          </w:p>
        </w:tc>
        <w:tc>
          <w:tcPr>
            <w:tcW w:w="8983" w:type="dxa"/>
            <w:noWrap w:val="0"/>
            <w:vAlign w:val="center"/>
          </w:tcPr>
          <w:p>
            <w:pPr>
              <w:pStyle w:val="16"/>
              <w:spacing w:before="0" w:beforeAutospacing="0" w:after="0" w:afterAutospacing="0" w:line="360" w:lineRule="auto"/>
              <w:rPr>
                <w:rFonts w:hint="eastAsia" w:ascii="宋体" w:hAnsi="宋体" w:eastAsia="宋体" w:cs="宋体"/>
                <w:color w:val="auto"/>
                <w:sz w:val="24"/>
                <w:lang w:eastAsia="zh-CN"/>
              </w:rPr>
            </w:pPr>
            <w:r>
              <w:rPr>
                <w:rFonts w:hint="eastAsia" w:cs="宋体"/>
                <w:color w:val="auto"/>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146" w:type="dxa"/>
            <w:gridSpan w:val="3"/>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初步评审合格后方可进入详细评审阶段</w:t>
            </w:r>
          </w:p>
        </w:tc>
      </w:tr>
    </w:tbl>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2"/>
        <w:rPr>
          <w:rFonts w:hint="eastAsia"/>
          <w:color w:val="auto"/>
        </w:rPr>
      </w:pPr>
    </w:p>
    <w:p>
      <w:pPr>
        <w:spacing w:line="360" w:lineRule="auto"/>
        <w:jc w:val="center"/>
        <w:outlineLvl w:val="2"/>
        <w:rPr>
          <w:rFonts w:hint="eastAsia" w:ascii="宋体" w:hAnsi="宋体" w:cs="宋体"/>
          <w:b/>
          <w:bCs/>
          <w:color w:val="auto"/>
          <w:sz w:val="24"/>
          <w:highlight w:val="none"/>
        </w:rPr>
      </w:pP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t>经济报价评分标准</w:t>
      </w:r>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3" w:hRule="atLeast"/>
          <w:jc w:val="center"/>
        </w:trPr>
        <w:tc>
          <w:tcPr>
            <w:tcW w:w="60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pPr>
              <w:pStyle w:val="27"/>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pPr>
              <w:pStyle w:val="27"/>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pPr>
              <w:pStyle w:val="27"/>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w:t>
            </w:r>
            <w:r>
              <w:rPr>
                <w:rFonts w:hint="eastAsia" w:ascii="宋体" w:hAnsi="宋体" w:eastAsia="宋体" w:cs="宋体"/>
                <w:b w:val="0"/>
                <w:color w:val="auto"/>
                <w:spacing w:val="-3"/>
                <w:sz w:val="24"/>
                <w:highlight w:val="none"/>
                <w:lang w:val="en-US" w:eastAsia="zh-CN"/>
              </w:rPr>
              <w:t>3</w:t>
            </w:r>
            <w:r>
              <w:rPr>
                <w:rFonts w:hint="eastAsia" w:ascii="宋体" w:hAnsi="宋体" w:eastAsia="宋体" w:cs="宋体"/>
                <w:b w:val="0"/>
                <w:color w:val="auto"/>
                <w:spacing w:val="-3"/>
                <w:sz w:val="24"/>
                <w:highlight w:val="none"/>
              </w:rPr>
              <w:t>0%×100</w:t>
            </w:r>
          </w:p>
          <w:p>
            <w:pPr>
              <w:pStyle w:val="27"/>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Cs/>
                <w:color w:val="auto"/>
                <w:spacing w:val="-3"/>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keepLines w:val="0"/>
              <w:kinsoku/>
              <w:wordWrap/>
              <w:overflowPunct/>
              <w:bidi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节能、环境标志产品评审优惠内容及加分幅度：</w:t>
            </w:r>
          </w:p>
          <w:p>
            <w:pPr>
              <w:pStyle w:val="27"/>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z w:val="24"/>
                <w:szCs w:val="24"/>
                <w:highlight w:val="none"/>
              </w:rPr>
              <w:t>根据《国务院办公厅关于建立政府强制采购节能产品制度的通知》（国办发[2007]51号）和财政部、发展改革委发布的《节能产品政府采购实施意见》（财库[2004]185号）以及《</w:t>
            </w:r>
            <w:r>
              <w:rPr>
                <w:rFonts w:hint="eastAsia" w:ascii="宋体" w:hAnsi="宋体" w:eastAsia="宋体" w:cs="宋体"/>
                <w:b w:val="0"/>
                <w:color w:val="auto"/>
                <w:spacing w:val="-3"/>
                <w:sz w:val="24"/>
                <w:szCs w:val="24"/>
                <w:highlight w:val="none"/>
              </w:rPr>
              <w:t>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pacing w:val="-3"/>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27"/>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价格项加分：</w:t>
            </w:r>
          </w:p>
          <w:p>
            <w:pPr>
              <w:pStyle w:val="27"/>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1、（节能清单部分产品的价格/投标报价）×3%×价格项满分值</w:t>
            </w:r>
          </w:p>
          <w:p>
            <w:pPr>
              <w:pStyle w:val="27"/>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2、（环境清单部分产品的价格/投标报价）×3%×价格项满分值</w:t>
            </w:r>
          </w:p>
          <w:p>
            <w:pPr>
              <w:pStyle w:val="27"/>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技术项加分：</w:t>
            </w:r>
          </w:p>
          <w:p>
            <w:pPr>
              <w:pStyle w:val="27"/>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1、（节能清单部分产品的价格/投标报价）×3%×技术项满分值</w:t>
            </w:r>
          </w:p>
          <w:p>
            <w:pPr>
              <w:pStyle w:val="27"/>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2、（环境清单部分产品的价格/投标报价）×3%×技术项满分值</w:t>
            </w:r>
          </w:p>
          <w:p>
            <w:pPr>
              <w:pStyle w:val="27"/>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注：1、投标人须提供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期《节能产品政府采购清单》关于投标产品当前页的打印件；</w:t>
            </w:r>
          </w:p>
          <w:p>
            <w:pPr>
              <w:pStyle w:val="27"/>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szCs w:val="24"/>
                <w:highlight w:val="none"/>
              </w:rPr>
              <w:t>2、投标人提供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期《环境标志产品政府采购清单》关于投标产品当前页的打印件；</w:t>
            </w:r>
          </w:p>
          <w:p>
            <w:pPr>
              <w:pStyle w:val="27"/>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spacing w:line="460" w:lineRule="exact"/>
        <w:ind w:firstLine="722" w:firstLineChars="200"/>
        <w:jc w:val="center"/>
        <w:rPr>
          <w:rFonts w:hint="eastAsia" w:ascii="宋体" w:hAnsi="宋体" w:cs="宋体"/>
          <w:b/>
          <w:color w:val="auto"/>
          <w:sz w:val="36"/>
          <w:szCs w:val="36"/>
          <w:highlight w:val="none"/>
        </w:rPr>
      </w:pPr>
    </w:p>
    <w:p>
      <w:pPr>
        <w:spacing w:line="460" w:lineRule="exact"/>
        <w:ind w:firstLine="722" w:firstLineChars="200"/>
        <w:jc w:val="both"/>
        <w:rPr>
          <w:rFonts w:hint="eastAsia" w:ascii="宋体" w:hAnsi="宋体" w:cs="宋体"/>
          <w:b/>
          <w:color w:val="auto"/>
          <w:sz w:val="36"/>
          <w:szCs w:val="36"/>
          <w:highlight w:val="none"/>
        </w:rPr>
      </w:pPr>
    </w:p>
    <w:p>
      <w:pPr>
        <w:pStyle w:val="2"/>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2"/>
        <w:rPr>
          <w:rFonts w:hint="eastAsia"/>
          <w:color w:val="auto"/>
        </w:rPr>
      </w:pPr>
    </w:p>
    <w:p>
      <w:pPr>
        <w:spacing w:line="460" w:lineRule="exact"/>
        <w:ind w:firstLine="722" w:firstLineChars="20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技术标评分标准</w:t>
      </w:r>
    </w:p>
    <w:p>
      <w:pPr>
        <w:pStyle w:val="2"/>
        <w:rPr>
          <w:rFonts w:hint="eastAsia"/>
          <w:color w:val="auto"/>
        </w:rPr>
      </w:pPr>
    </w:p>
    <w:tbl>
      <w:tblPr>
        <w:tblStyle w:val="17"/>
        <w:tblW w:w="95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19"/>
        <w:gridCol w:w="1047"/>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746" w:type="dxa"/>
            <w:noWrap w:val="0"/>
            <w:vAlign w:val="center"/>
          </w:tcPr>
          <w:p>
            <w:pPr>
              <w:pStyle w:val="28"/>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519" w:type="dxa"/>
            <w:noWrap w:val="0"/>
            <w:vAlign w:val="center"/>
          </w:tcPr>
          <w:p>
            <w:pPr>
              <w:pStyle w:val="28"/>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考核项目</w:t>
            </w:r>
          </w:p>
        </w:tc>
        <w:tc>
          <w:tcPr>
            <w:tcW w:w="1047" w:type="dxa"/>
            <w:noWrap w:val="0"/>
            <w:vAlign w:val="center"/>
          </w:tcPr>
          <w:p>
            <w:pPr>
              <w:pStyle w:val="28"/>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分数</w:t>
            </w:r>
          </w:p>
        </w:tc>
        <w:tc>
          <w:tcPr>
            <w:tcW w:w="6274" w:type="dxa"/>
            <w:noWrap w:val="0"/>
            <w:vAlign w:val="center"/>
          </w:tcPr>
          <w:p>
            <w:pPr>
              <w:pStyle w:val="28"/>
              <w:spacing w:before="0" w:after="0" w:line="460" w:lineRule="exact"/>
              <w:ind w:firstLine="2486" w:firstLineChars="103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586" w:type="dxa"/>
            <w:gridSpan w:val="4"/>
            <w:tcBorders>
              <w:bottom w:val="single" w:color="auto" w:sz="4" w:space="0"/>
            </w:tcBorders>
            <w:noWrap w:val="0"/>
            <w:vAlign w:val="center"/>
          </w:tcPr>
          <w:p>
            <w:pPr>
              <w:pStyle w:val="28"/>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报价部分</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28"/>
              <w:spacing w:line="460" w:lineRule="exact"/>
              <w:ind w:firstLine="241"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519"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1047"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0-30</w:t>
            </w:r>
            <w:r>
              <w:rPr>
                <w:rFonts w:hint="eastAsia" w:ascii="宋体" w:hAnsi="宋体" w:eastAsia="宋体" w:cs="宋体"/>
                <w:color w:val="auto"/>
                <w:sz w:val="24"/>
                <w:highlight w:val="none"/>
              </w:rPr>
              <w:t>分</w:t>
            </w:r>
          </w:p>
        </w:tc>
        <w:tc>
          <w:tcPr>
            <w:tcW w:w="6274" w:type="dxa"/>
            <w:tcBorders>
              <w:top w:val="single" w:color="auto" w:sz="4" w:space="0"/>
              <w:bottom w:val="single" w:color="auto" w:sz="4" w:space="0"/>
            </w:tcBorders>
            <w:noWrap w:val="0"/>
            <w:vAlign w:val="top"/>
          </w:tcPr>
          <w:p>
            <w:pPr>
              <w:pStyle w:val="28"/>
              <w:spacing w:line="460" w:lineRule="exact"/>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pPr>
              <w:pStyle w:val="28"/>
              <w:spacing w:line="460" w:lineRule="exact"/>
              <w:ind w:firstLine="0"/>
              <w:rPr>
                <w:rFonts w:hint="eastAsia" w:ascii="宋体" w:hAnsi="宋体" w:eastAsia="宋体" w:cs="宋体"/>
                <w:color w:val="auto"/>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586" w:type="dxa"/>
            <w:gridSpan w:val="4"/>
            <w:tcBorders>
              <w:top w:val="single" w:color="auto" w:sz="4" w:space="0"/>
              <w:bottom w:val="single" w:color="auto" w:sz="4" w:space="0"/>
            </w:tcBorders>
            <w:noWrap w:val="0"/>
            <w:vAlign w:val="center"/>
          </w:tcPr>
          <w:p>
            <w:pPr>
              <w:pStyle w:val="28"/>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技术部分</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746" w:type="dxa"/>
            <w:vMerge w:val="restart"/>
            <w:tcBorders>
              <w:top w:val="single" w:color="auto" w:sz="4" w:space="0"/>
            </w:tcBorders>
            <w:noWrap w:val="0"/>
            <w:vAlign w:val="center"/>
          </w:tcPr>
          <w:p>
            <w:pPr>
              <w:pStyle w:val="28"/>
              <w:spacing w:line="4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519" w:type="dxa"/>
            <w:vMerge w:val="restart"/>
            <w:tcBorders>
              <w:top w:val="single" w:color="auto" w:sz="4" w:space="0"/>
            </w:tcBorders>
            <w:noWrap w:val="0"/>
            <w:vAlign w:val="center"/>
          </w:tcPr>
          <w:p>
            <w:pPr>
              <w:spacing w:line="46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质量管理与保证措施（15分）</w:t>
            </w:r>
          </w:p>
        </w:tc>
        <w:tc>
          <w:tcPr>
            <w:tcW w:w="1047" w:type="dxa"/>
            <w:tcBorders>
              <w:top w:val="single" w:color="auto" w:sz="4" w:space="0"/>
              <w:bottom w:val="single" w:color="auto" w:sz="4" w:space="0"/>
            </w:tcBorders>
            <w:noWrap w:val="0"/>
            <w:vAlign w:val="center"/>
          </w:tcPr>
          <w:p>
            <w:pPr>
              <w:pStyle w:val="28"/>
              <w:spacing w:before="0" w:after="0" w:line="24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274" w:type="dxa"/>
            <w:tcBorders>
              <w:top w:val="single" w:color="auto" w:sz="4" w:space="0"/>
              <w:bottom w:val="single" w:color="auto" w:sz="4" w:space="0"/>
            </w:tcBorders>
            <w:noWrap w:val="0"/>
            <w:vAlign w:val="center"/>
          </w:tcPr>
          <w:p>
            <w:pPr>
              <w:pStyle w:val="29"/>
              <w:spacing w:line="354" w:lineRule="exact"/>
              <w:ind w:left="101"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有完善的质量保证体系，能保证苗木质量的得5分；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746" w:type="dxa"/>
            <w:vMerge w:val="continue"/>
            <w:noWrap w:val="0"/>
            <w:vAlign w:val="center"/>
          </w:tcPr>
          <w:p>
            <w:pPr>
              <w:pStyle w:val="28"/>
              <w:spacing w:line="460" w:lineRule="exact"/>
              <w:ind w:firstLine="0" w:firstLineChars="0"/>
              <w:jc w:val="center"/>
              <w:rPr>
                <w:rFonts w:hint="default" w:ascii="宋体" w:hAnsi="宋体" w:eastAsia="宋体" w:cs="宋体"/>
                <w:color w:val="auto"/>
                <w:szCs w:val="24"/>
                <w:highlight w:val="none"/>
                <w:lang w:val="en-US" w:eastAsia="zh-CN"/>
              </w:rPr>
            </w:pPr>
          </w:p>
        </w:tc>
        <w:tc>
          <w:tcPr>
            <w:tcW w:w="1519" w:type="dxa"/>
            <w:vMerge w:val="continue"/>
            <w:noWrap w:val="0"/>
            <w:vAlign w:val="center"/>
          </w:tcPr>
          <w:p>
            <w:pPr>
              <w:spacing w:line="460" w:lineRule="exact"/>
              <w:ind w:firstLine="28" w:firstLineChars="0"/>
              <w:jc w:val="center"/>
              <w:rPr>
                <w:rFonts w:hint="eastAsia" w:ascii="宋体" w:hAnsi="宋体" w:cs="宋体"/>
                <w:color w:val="auto"/>
                <w:sz w:val="24"/>
              </w:rPr>
            </w:pPr>
          </w:p>
        </w:tc>
        <w:tc>
          <w:tcPr>
            <w:tcW w:w="1047" w:type="dxa"/>
            <w:tcBorders>
              <w:top w:val="single" w:color="auto" w:sz="4" w:space="0"/>
              <w:bottom w:val="single" w:color="auto" w:sz="4" w:space="0"/>
            </w:tcBorders>
            <w:noWrap w:val="0"/>
            <w:vAlign w:val="center"/>
          </w:tcPr>
          <w:p>
            <w:pPr>
              <w:pStyle w:val="28"/>
              <w:spacing w:before="0"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274" w:type="dxa"/>
            <w:tcBorders>
              <w:top w:val="single" w:color="auto" w:sz="4" w:space="0"/>
              <w:bottom w:val="single" w:color="auto" w:sz="4" w:space="0"/>
            </w:tcBorders>
            <w:noWrap w:val="0"/>
            <w:vAlign w:val="center"/>
          </w:tcPr>
          <w:p>
            <w:pPr>
              <w:pStyle w:val="29"/>
              <w:spacing w:line="354" w:lineRule="exact"/>
              <w:ind w:left="101" w:lef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有季节管理措施方案、假日养护管理措施、对特殊紧急或突发情况以及其他预见的情况的处理措施的得5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jc w:val="center"/>
        </w:trPr>
        <w:tc>
          <w:tcPr>
            <w:tcW w:w="746" w:type="dxa"/>
            <w:vMerge w:val="continue"/>
            <w:tcBorders>
              <w:bottom w:val="single" w:color="auto" w:sz="4" w:space="0"/>
            </w:tcBorders>
            <w:noWrap w:val="0"/>
            <w:vAlign w:val="center"/>
          </w:tcPr>
          <w:p>
            <w:pPr>
              <w:pStyle w:val="28"/>
              <w:spacing w:line="460" w:lineRule="exact"/>
              <w:ind w:firstLine="0" w:firstLineChars="0"/>
              <w:jc w:val="center"/>
              <w:rPr>
                <w:rFonts w:hint="default" w:ascii="宋体" w:hAnsi="宋体" w:eastAsia="宋体" w:cs="宋体"/>
                <w:color w:val="auto"/>
                <w:kern w:val="2"/>
                <w:sz w:val="24"/>
                <w:szCs w:val="24"/>
                <w:highlight w:val="none"/>
                <w:lang w:val="en-US" w:eastAsia="zh-CN" w:bidi="ar-SA"/>
              </w:rPr>
            </w:pPr>
          </w:p>
        </w:tc>
        <w:tc>
          <w:tcPr>
            <w:tcW w:w="1519" w:type="dxa"/>
            <w:vMerge w:val="continue"/>
            <w:tcBorders>
              <w:bottom w:val="single" w:color="auto" w:sz="4" w:space="0"/>
            </w:tcBorders>
            <w:noWrap w:val="0"/>
            <w:vAlign w:val="center"/>
          </w:tcPr>
          <w:p>
            <w:pPr>
              <w:pStyle w:val="28"/>
              <w:spacing w:line="460" w:lineRule="exact"/>
              <w:ind w:firstLine="0" w:firstLineChars="0"/>
              <w:jc w:val="center"/>
              <w:rPr>
                <w:rFonts w:hint="eastAsia" w:ascii="宋体" w:hAnsi="宋体" w:cs="宋体"/>
                <w:color w:val="auto"/>
                <w:kern w:val="2"/>
                <w:sz w:val="24"/>
                <w:szCs w:val="24"/>
                <w:lang w:val="en-US" w:eastAsia="zh-CN" w:bidi="ar-SA"/>
              </w:rPr>
            </w:pPr>
          </w:p>
        </w:tc>
        <w:tc>
          <w:tcPr>
            <w:tcW w:w="1047" w:type="dxa"/>
            <w:tcBorders>
              <w:top w:val="single" w:color="auto" w:sz="4" w:space="0"/>
              <w:bottom w:val="single" w:color="auto" w:sz="4" w:space="0"/>
            </w:tcBorders>
            <w:noWrap w:val="0"/>
            <w:vAlign w:val="center"/>
          </w:tcPr>
          <w:p>
            <w:pPr>
              <w:pStyle w:val="28"/>
              <w:spacing w:before="0"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274" w:type="dxa"/>
            <w:tcBorders>
              <w:top w:val="single" w:color="auto" w:sz="4" w:space="0"/>
              <w:bottom w:val="single" w:color="auto" w:sz="4" w:space="0"/>
            </w:tcBorders>
            <w:noWrap w:val="0"/>
            <w:vAlign w:val="center"/>
          </w:tcPr>
          <w:p>
            <w:pPr>
              <w:pStyle w:val="29"/>
              <w:spacing w:line="354" w:lineRule="exact"/>
              <w:ind w:left="101"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提供本项目具体有效的质量保证措施并按照本项目的特点制定出质量控制措施的得5分。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28"/>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1519" w:type="dxa"/>
            <w:tcBorders>
              <w:top w:val="single" w:color="auto" w:sz="4" w:space="0"/>
            </w:tcBorders>
            <w:noWrap w:val="0"/>
            <w:vAlign w:val="center"/>
          </w:tcPr>
          <w:p>
            <w:pPr>
              <w:pStyle w:val="28"/>
              <w:spacing w:line="460" w:lineRule="exact"/>
              <w:ind w:firstLine="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花卉苗木采购流程及其质量保证措施 </w:t>
            </w:r>
          </w:p>
        </w:tc>
        <w:tc>
          <w:tcPr>
            <w:tcW w:w="1047" w:type="dxa"/>
            <w:tcBorders>
              <w:top w:val="single" w:color="auto" w:sz="4" w:space="0"/>
            </w:tcBorders>
            <w:noWrap w:val="0"/>
            <w:vAlign w:val="center"/>
          </w:tcPr>
          <w:p>
            <w:pPr>
              <w:pStyle w:val="28"/>
              <w:spacing w:line="460" w:lineRule="exact"/>
              <w:ind w:firstLine="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w:t>
            </w:r>
          </w:p>
        </w:tc>
        <w:tc>
          <w:tcPr>
            <w:tcW w:w="6274" w:type="dxa"/>
            <w:tcBorders>
              <w:top w:val="single" w:color="auto" w:sz="4" w:space="0"/>
            </w:tcBorders>
            <w:noWrap w:val="0"/>
            <w:vAlign w:val="center"/>
          </w:tcPr>
          <w:p>
            <w:pPr>
              <w:pStyle w:val="28"/>
              <w:spacing w:line="460" w:lineRule="exac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花卉苗木采购全过程（包括号苗、包装、运输与装卸、验收等）流程及其质量保证措施合理可行性高、内容详细，积极响应采购人需求的得</w:t>
            </w:r>
            <w:r>
              <w:rPr>
                <w:rFonts w:hint="eastAsia" w:ascii="宋体" w:hAnsi="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 xml:space="preserve">分； </w:t>
            </w:r>
          </w:p>
          <w:p>
            <w:pPr>
              <w:pStyle w:val="28"/>
              <w:spacing w:line="460" w:lineRule="exac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花卉苗木采购全过程（包括号苗、包装、运输与装卸、验收等）流程及其质量保证措施具有可行性，内容完整，响应采购人需求的得</w:t>
            </w: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 xml:space="preserve">分； </w:t>
            </w:r>
          </w:p>
          <w:p>
            <w:pPr>
              <w:pStyle w:val="28"/>
              <w:spacing w:line="460" w:lineRule="exac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花卉苗木采购全过程（包括号苗、包装、运输与装卸、验收等）流程及其质量保证措施可行低，内容不完整，基本满足采购人需求的得1-</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 xml:space="preserve">分； </w:t>
            </w:r>
          </w:p>
          <w:p>
            <w:pPr>
              <w:pStyle w:val="28"/>
              <w:spacing w:line="460" w:lineRule="exac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无相关描述或其它情况不得分。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tcBorders>
            <w:noWrap w:val="0"/>
            <w:vAlign w:val="center"/>
          </w:tcPr>
          <w:p>
            <w:pPr>
              <w:pStyle w:val="28"/>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c>
          <w:tcPr>
            <w:tcW w:w="1519" w:type="dxa"/>
            <w:tcBorders>
              <w:top w:val="single" w:color="auto" w:sz="4" w:space="0"/>
            </w:tcBorders>
            <w:noWrap w:val="0"/>
            <w:vAlign w:val="center"/>
          </w:tcPr>
          <w:p>
            <w:pPr>
              <w:pStyle w:val="28"/>
              <w:spacing w:line="460" w:lineRule="exact"/>
              <w:ind w:firstLine="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组织管理方案及其保证措施</w:t>
            </w:r>
          </w:p>
        </w:tc>
        <w:tc>
          <w:tcPr>
            <w:tcW w:w="1047" w:type="dxa"/>
            <w:tcBorders>
              <w:top w:val="single" w:color="auto" w:sz="4" w:space="0"/>
            </w:tcBorders>
            <w:noWrap w:val="0"/>
            <w:vAlign w:val="center"/>
          </w:tcPr>
          <w:p>
            <w:pPr>
              <w:pStyle w:val="28"/>
              <w:spacing w:line="460" w:lineRule="exact"/>
              <w:ind w:firstLine="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274" w:type="dxa"/>
            <w:tcBorders>
              <w:top w:val="single" w:color="auto" w:sz="4" w:space="0"/>
            </w:tcBorders>
            <w:noWrap w:val="0"/>
            <w:vAlign w:val="center"/>
          </w:tcPr>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1.组织管理方案（含管理组织结构图、人员培训计划等）及其保证措施合理可行、内容详细，具有保证服务队伍稳定性的措施且依法成立工会组织的得10分；</w:t>
            </w:r>
          </w:p>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2.组织管理方案（含管理组织结构图、人员培训计划等）及其保证措施可行，具有保证服务队伍稳定性的措施的得6分；</w:t>
            </w:r>
          </w:p>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3.有组织管理方案（含管理组织结构图、人员培训计划等）及其保证措施，但内容可行性差或存在漏项的得3分；</w:t>
            </w:r>
          </w:p>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无相关描述或其它情况不得分。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tcBorders>
            <w:noWrap w:val="0"/>
            <w:vAlign w:val="center"/>
          </w:tcPr>
          <w:p>
            <w:pPr>
              <w:pStyle w:val="28"/>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519" w:type="dxa"/>
            <w:tcBorders>
              <w:top w:val="single" w:color="auto" w:sz="4" w:space="0"/>
            </w:tcBorders>
            <w:noWrap w:val="0"/>
            <w:vAlign w:val="center"/>
          </w:tcPr>
          <w:p>
            <w:pPr>
              <w:pStyle w:val="28"/>
              <w:spacing w:line="460" w:lineRule="exact"/>
              <w:ind w:firstLine="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安全防护制度及应急保障措施)</w:t>
            </w:r>
          </w:p>
        </w:tc>
        <w:tc>
          <w:tcPr>
            <w:tcW w:w="1047" w:type="dxa"/>
            <w:tcBorders>
              <w:top w:val="single" w:color="auto" w:sz="4" w:space="0"/>
            </w:tcBorders>
            <w:noWrap w:val="0"/>
            <w:vAlign w:val="center"/>
          </w:tcPr>
          <w:p>
            <w:pPr>
              <w:pStyle w:val="28"/>
              <w:spacing w:line="460" w:lineRule="exact"/>
              <w:ind w:firstLine="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274" w:type="dxa"/>
            <w:tcBorders>
              <w:top w:val="single" w:color="auto" w:sz="4" w:space="0"/>
            </w:tcBorders>
            <w:noWrap w:val="0"/>
            <w:vAlign w:val="center"/>
          </w:tcPr>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1.根据采购人需求制定安全防护制度和应急保障措施，内容详细、合理可行高的得7-10分；</w:t>
            </w:r>
          </w:p>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2.根据采购人需求制定安全防护制度和应急保障措施，内容基本合理可行的得4-6分；</w:t>
            </w:r>
          </w:p>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3.有安全防护制度和应急保障措施，但内容有漏项或可行性差的得0-3分；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vMerge w:val="restart"/>
            <w:tcBorders>
              <w:top w:val="single" w:color="auto" w:sz="4" w:space="0"/>
            </w:tcBorders>
            <w:noWrap w:val="0"/>
            <w:vAlign w:val="center"/>
          </w:tcPr>
          <w:p>
            <w:pPr>
              <w:pStyle w:val="28"/>
              <w:spacing w:line="460" w:lineRule="exact"/>
              <w:ind w:firstLine="0" w:firstLineChars="0"/>
              <w:jc w:val="center"/>
              <w:rPr>
                <w:rFonts w:hint="default" w:ascii="宋体" w:hAnsi="宋体" w:eastAsia="宋体" w:cs="宋体"/>
                <w:color w:val="auto"/>
                <w:szCs w:val="24"/>
                <w:highlight w:val="none"/>
                <w:lang w:val="en-US" w:eastAsia="zh-CN"/>
              </w:rPr>
            </w:pPr>
          </w:p>
          <w:p>
            <w:pPr>
              <w:pStyle w:val="28"/>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p>
            <w:pPr>
              <w:pStyle w:val="28"/>
              <w:spacing w:line="460" w:lineRule="exact"/>
              <w:ind w:firstLine="0" w:firstLineChars="0"/>
              <w:jc w:val="center"/>
              <w:rPr>
                <w:rFonts w:hint="eastAsia" w:ascii="宋体" w:hAnsi="宋体" w:eastAsia="宋体" w:cs="宋体"/>
                <w:color w:val="auto"/>
                <w:szCs w:val="24"/>
                <w:highlight w:val="none"/>
                <w:lang w:val="en-US" w:eastAsia="zh-CN"/>
              </w:rPr>
            </w:pPr>
          </w:p>
        </w:tc>
        <w:tc>
          <w:tcPr>
            <w:tcW w:w="1519" w:type="dxa"/>
            <w:vMerge w:val="restart"/>
            <w:tcBorders>
              <w:top w:val="single" w:color="auto" w:sz="4" w:space="0"/>
            </w:tcBorders>
            <w:noWrap w:val="0"/>
            <w:vAlign w:val="center"/>
          </w:tcPr>
          <w:p>
            <w:pPr>
              <w:pStyle w:val="28"/>
              <w:spacing w:line="460" w:lineRule="exact"/>
              <w:ind w:firstLine="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w:t>
            </w:r>
          </w:p>
        </w:tc>
        <w:tc>
          <w:tcPr>
            <w:tcW w:w="1047" w:type="dxa"/>
            <w:vMerge w:val="restart"/>
            <w:tcBorders>
              <w:top w:val="single" w:color="auto" w:sz="4" w:space="0"/>
            </w:tcBorders>
            <w:noWrap w:val="0"/>
            <w:vAlign w:val="center"/>
          </w:tcPr>
          <w:p>
            <w:pPr>
              <w:pStyle w:val="28"/>
              <w:spacing w:line="460" w:lineRule="exact"/>
              <w:ind w:firstLine="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274" w:type="dxa"/>
            <w:tcBorders>
              <w:top w:val="single" w:color="auto" w:sz="4" w:space="0"/>
            </w:tcBorders>
            <w:noWrap w:val="0"/>
            <w:vAlign w:val="center"/>
          </w:tcPr>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要求根系发达而完整，有较多的侧根和须根，根系无劈裂，具有完整健壮的顶芽的得5分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vMerge w:val="continue"/>
            <w:noWrap w:val="0"/>
            <w:vAlign w:val="center"/>
          </w:tcPr>
          <w:p>
            <w:pPr>
              <w:pStyle w:val="28"/>
              <w:spacing w:line="460" w:lineRule="exact"/>
              <w:ind w:firstLine="0" w:firstLineChars="0"/>
              <w:jc w:val="center"/>
              <w:rPr>
                <w:rFonts w:hint="eastAsia" w:ascii="宋体" w:hAnsi="宋体" w:eastAsia="宋体" w:cs="宋体"/>
                <w:color w:val="auto"/>
                <w:szCs w:val="24"/>
                <w:highlight w:val="none"/>
                <w:lang w:val="en-US" w:eastAsia="zh-CN"/>
              </w:rPr>
            </w:pPr>
          </w:p>
        </w:tc>
        <w:tc>
          <w:tcPr>
            <w:tcW w:w="1519" w:type="dxa"/>
            <w:vMerge w:val="continue"/>
            <w:noWrap w:val="0"/>
            <w:vAlign w:val="center"/>
          </w:tcPr>
          <w:p>
            <w:pPr>
              <w:pStyle w:val="28"/>
              <w:spacing w:line="460" w:lineRule="exact"/>
              <w:ind w:firstLine="0"/>
              <w:jc w:val="center"/>
              <w:rPr>
                <w:rFonts w:hint="eastAsia" w:ascii="宋体" w:hAnsi="宋体" w:eastAsia="宋体" w:cs="宋体"/>
                <w:color w:val="auto"/>
                <w:kern w:val="2"/>
                <w:sz w:val="24"/>
                <w:szCs w:val="24"/>
                <w:highlight w:val="none"/>
                <w:lang w:val="en-US" w:eastAsia="zh-CN" w:bidi="ar-SA"/>
              </w:rPr>
            </w:pPr>
          </w:p>
        </w:tc>
        <w:tc>
          <w:tcPr>
            <w:tcW w:w="1047" w:type="dxa"/>
            <w:vMerge w:val="continue"/>
            <w:noWrap w:val="0"/>
            <w:vAlign w:val="center"/>
          </w:tcPr>
          <w:p>
            <w:pPr>
              <w:pStyle w:val="28"/>
              <w:spacing w:line="460" w:lineRule="exact"/>
              <w:ind w:firstLine="0"/>
              <w:jc w:val="center"/>
              <w:rPr>
                <w:rFonts w:hint="eastAsia" w:ascii="宋体" w:hAnsi="宋体" w:eastAsia="宋体" w:cs="宋体"/>
                <w:color w:val="auto"/>
                <w:kern w:val="2"/>
                <w:sz w:val="24"/>
                <w:szCs w:val="24"/>
                <w:highlight w:val="none"/>
                <w:lang w:val="en-US" w:eastAsia="zh-CN" w:bidi="ar-SA"/>
              </w:rPr>
            </w:pPr>
          </w:p>
        </w:tc>
        <w:tc>
          <w:tcPr>
            <w:tcW w:w="6274" w:type="dxa"/>
            <w:tcBorders>
              <w:top w:val="single" w:color="auto" w:sz="4" w:space="0"/>
            </w:tcBorders>
            <w:noWrap w:val="0"/>
            <w:vAlign w:val="center"/>
          </w:tcPr>
          <w:p>
            <w:pPr>
              <w:pStyle w:val="28"/>
              <w:spacing w:line="460" w:lineRule="exact"/>
              <w:ind w:firstLine="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苗木无机械损伤无病虫害，不失水，有旺盛的生命力，苗木健壮苗干通直圆满，规格要求一致，枝条茁壮，组织充实，木质化程度高的得5分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2265" w:type="dxa"/>
            <w:gridSpan w:val="2"/>
            <w:tcBorders>
              <w:top w:val="single" w:color="auto" w:sz="4" w:space="0"/>
              <w:bottom w:val="single" w:color="auto" w:sz="4" w:space="0"/>
            </w:tcBorders>
            <w:noWrap w:val="0"/>
            <w:vAlign w:val="center"/>
          </w:tcPr>
          <w:p>
            <w:pPr>
              <w:pStyle w:val="28"/>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合计</w:t>
            </w:r>
          </w:p>
        </w:tc>
        <w:tc>
          <w:tcPr>
            <w:tcW w:w="1047" w:type="dxa"/>
            <w:tcBorders>
              <w:top w:val="single" w:color="auto" w:sz="4" w:space="0"/>
              <w:bottom w:val="single" w:color="auto" w:sz="4" w:space="0"/>
            </w:tcBorders>
            <w:noWrap w:val="0"/>
            <w:vAlign w:val="center"/>
          </w:tcPr>
          <w:p>
            <w:pPr>
              <w:pStyle w:val="28"/>
              <w:tabs>
                <w:tab w:val="center" w:pos="415"/>
              </w:tabs>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70分</w:t>
            </w:r>
          </w:p>
        </w:tc>
        <w:tc>
          <w:tcPr>
            <w:tcW w:w="6274" w:type="dxa"/>
            <w:tcBorders>
              <w:top w:val="single" w:color="auto" w:sz="4" w:space="0"/>
              <w:bottom w:val="single" w:color="auto" w:sz="4" w:space="0"/>
            </w:tcBorders>
            <w:noWrap w:val="0"/>
            <w:vAlign w:val="center"/>
          </w:tcPr>
          <w:p>
            <w:pPr>
              <w:pStyle w:val="28"/>
              <w:spacing w:line="460" w:lineRule="exact"/>
              <w:ind w:firstLine="0" w:firstLineChars="0"/>
              <w:jc w:val="left"/>
              <w:rPr>
                <w:rFonts w:hint="eastAsia" w:ascii="宋体" w:hAnsi="宋体" w:eastAsia="宋体" w:cs="宋体"/>
                <w:color w:val="auto"/>
                <w:szCs w:val="24"/>
                <w:highlight w:val="none"/>
              </w:rPr>
            </w:pPr>
          </w:p>
        </w:tc>
      </w:tr>
    </w:tbl>
    <w:p>
      <w:pPr>
        <w:pStyle w:val="27"/>
        <w:spacing w:line="360" w:lineRule="auto"/>
        <w:ind w:left="0" w:leftChars="0" w:firstLine="0" w:firstLineChars="0"/>
        <w:jc w:val="left"/>
        <w:rPr>
          <w:rFonts w:hint="eastAsia" w:ascii="宋体" w:hAnsi="宋体" w:eastAsia="宋体" w:cs="宋体"/>
          <w:b w:val="0"/>
          <w:color w:val="auto"/>
          <w:sz w:val="24"/>
          <w:highlight w:val="none"/>
        </w:rPr>
      </w:pPr>
    </w:p>
    <w:p>
      <w:pPr>
        <w:pStyle w:val="27"/>
        <w:spacing w:line="360" w:lineRule="auto"/>
        <w:ind w:firstLine="483"/>
        <w:jc w:val="both"/>
        <w:rPr>
          <w:rFonts w:hint="eastAsia" w:ascii="宋体" w:hAnsi="宋体" w:eastAsia="宋体" w:cs="宋体"/>
          <w:b w:val="0"/>
          <w:color w:val="auto"/>
          <w:sz w:val="24"/>
          <w:highlight w:val="none"/>
        </w:rPr>
      </w:pPr>
      <w:bookmarkStart w:id="18" w:name="_Toc5648"/>
      <w:bookmarkStart w:id="19" w:name="_Toc4547"/>
      <w:bookmarkStart w:id="20" w:name="_Toc179632789"/>
      <w:bookmarkStart w:id="21" w:name="_Toc152042554"/>
      <w:bookmarkStart w:id="22" w:name="_Toc27253"/>
      <w:bookmarkStart w:id="23" w:name="_Toc144974834"/>
      <w:bookmarkStart w:id="24" w:name="_Toc152045772"/>
      <w:bookmarkStart w:id="25" w:name="_Toc30045"/>
      <w:r>
        <w:rPr>
          <w:rFonts w:hint="eastAsia" w:ascii="宋体" w:hAnsi="宋体" w:eastAsia="宋体" w:cs="宋体"/>
          <w:b w:val="0"/>
          <w:color w:val="auto"/>
          <w:sz w:val="24"/>
          <w:highlight w:val="none"/>
        </w:rPr>
        <w:t>23.8.3  各评标委员会成员对每个投标人的经济报价和技术标的打分合计即为该投标人的评标总得分。</w:t>
      </w:r>
    </w:p>
    <w:p>
      <w:pPr>
        <w:pStyle w:val="27"/>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计算公式为：总评标得分=F1+F2</w:t>
      </w:r>
    </w:p>
    <w:p>
      <w:pPr>
        <w:pStyle w:val="27"/>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其中：F1、F2分别为经济报价、技术标得分</w:t>
      </w:r>
    </w:p>
    <w:p>
      <w:pPr>
        <w:pStyle w:val="27"/>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7"/>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27"/>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 投标文件的澄清</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24.1  评标委员会在评标过程中有权随时请投标人就投标文件中含混之处加以澄清或答疑。</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24.2  </w:t>
      </w:r>
      <w:r>
        <w:rPr>
          <w:rFonts w:hint="eastAsia" w:ascii="宋体" w:hAnsi="宋体" w:cs="宋体"/>
          <w:color w:val="auto"/>
          <w:szCs w:val="24"/>
          <w:highlight w:val="none"/>
        </w:rPr>
        <w:t>投标人的澄清、说明或者补正应当采用书面形式，并加盖公章，或者由法定代表人或其授权的代表签字。</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24.3  </w:t>
      </w:r>
      <w:r>
        <w:rPr>
          <w:rFonts w:hint="eastAsia" w:ascii="宋体" w:hAnsi="宋体" w:cs="宋体"/>
          <w:color w:val="auto"/>
          <w:szCs w:val="24"/>
          <w:highlight w:val="none"/>
        </w:rPr>
        <w:t>投标人的澄清、说明或者补正不得超出投标文件的范围或者改变投标文件的实质性内容。</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24.4  投标人的澄清文件是投标文件的组成部分，并取代投标文件中被澄清的部分。</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 中标人的确定</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25.2  采购人在收到评标报告5个工作日内未按评标报告推荐的中标候选人顺序确定中标人，又不能说明合法理由的，视同按评标报告推荐的顺序确定排名第一的中标候选人为中标人。</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3"/>
        <w:spacing w:line="360" w:lineRule="auto"/>
        <w:ind w:firstLine="482" w:firstLineChars="200"/>
        <w:jc w:val="both"/>
        <w:rPr>
          <w:rFonts w:hint="eastAsia" w:ascii="宋体" w:hAnsi="宋体" w:cs="宋体"/>
          <w:bCs/>
          <w:color w:val="auto"/>
          <w:szCs w:val="24"/>
          <w:highlight w:val="none"/>
        </w:rPr>
      </w:pPr>
      <w:r>
        <w:rPr>
          <w:rFonts w:hint="eastAsia" w:ascii="宋体" w:hAnsi="宋体" w:cs="宋体"/>
          <w:bCs/>
          <w:color w:val="auto"/>
          <w:szCs w:val="24"/>
          <w:highlight w:val="none"/>
        </w:rPr>
        <w:t>25.4  中标供应商拒绝与采购人签订合同的，采购人可以按照评审报告推荐的中标人名单排序，确定下一候选人为中标人，也可以重新开展政府采购活动。</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26.  中标通知</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26.1 在公告中标结果的同时，采购人或者采购代理机构向中标人发出中标通知书。</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26.2 </w:t>
      </w:r>
      <w:r>
        <w:rPr>
          <w:rFonts w:hint="eastAsia" w:ascii="宋体" w:hAnsi="宋体" w:cs="宋体"/>
          <w:color w:val="auto"/>
          <w:szCs w:val="24"/>
          <w:highlight w:val="none"/>
        </w:rPr>
        <w:t>对于所有投标人的投标文件均</w:t>
      </w:r>
      <w:r>
        <w:rPr>
          <w:rFonts w:hint="eastAsia" w:ascii="宋体" w:hAnsi="宋体" w:cs="宋体"/>
          <w:color w:val="auto"/>
          <w:szCs w:val="24"/>
          <w:highlight w:val="none"/>
          <w:shd w:val="clear" w:color="auto" w:fill="FFFFFF"/>
        </w:rPr>
        <w:t>不予以退还，但对其承担保密责任。</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27. 拒绝某些或所有投标的权力。</w:t>
      </w:r>
    </w:p>
    <w:p>
      <w:pPr>
        <w:pStyle w:val="23"/>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27.1 采购人或采购代理机构有权在《中标通知书》发放之前的任何时候拒绝任何有不正当行为或扰乱正常招标工作的投标人，由此对相关投标人造成的损失不负责任。</w:t>
      </w:r>
    </w:p>
    <w:p>
      <w:pPr>
        <w:pStyle w:val="22"/>
        <w:jc w:val="center"/>
        <w:outlineLvl w:val="1"/>
        <w:rPr>
          <w:rFonts w:hint="eastAsia"/>
          <w:b/>
          <w:bCs/>
          <w:color w:val="auto"/>
          <w:highlight w:val="none"/>
        </w:rPr>
      </w:pPr>
      <w:r>
        <w:rPr>
          <w:rFonts w:hint="eastAsia"/>
          <w:b/>
          <w:bCs/>
          <w:color w:val="auto"/>
          <w:highlight w:val="none"/>
        </w:rPr>
        <w:t>七、授予合同</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  签订合同</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28.1  中标人收到《中标通知书》后，须按有关规定与采购人签定经济合同。合同的签订一般在《中标通知书》发出后30天内进行，但采购人事先约定的情况除外。</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28.2  合同签订后，中标人应按合同的规定履行合同，未按规定履约的，采购人有权取消合同，并且不退还中标人的投标保证金。</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28.3  中标合同不得转让或分包。如需对合同的非主体部分进行转让或分包，投标人必须在投标文件中予以说明，并需经采购人同意。否则，采购人有权取消中标人的中标资格。</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28.4  如中标人未按有关规定与采购人签订合同或提交合同履约保证金的，采购人可以选择其他中标候选人为中标人，并组织中标人和采购人签订经济合同。</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28.5  合同履约保证金的形式为银行保函，另有约定的，按照约定条件执行。</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  合同的组成</w:t>
      </w:r>
    </w:p>
    <w:p>
      <w:pPr>
        <w:pStyle w:val="23"/>
        <w:spacing w:line="360" w:lineRule="auto"/>
        <w:ind w:firstLine="482" w:firstLineChars="200"/>
        <w:jc w:val="both"/>
        <w:outlineLvl w:val="2"/>
        <w:rPr>
          <w:rFonts w:hint="eastAsia" w:ascii="宋体" w:hAnsi="宋体" w:cs="宋体"/>
          <w:color w:val="auto"/>
          <w:szCs w:val="24"/>
          <w:highlight w:val="none"/>
        </w:rPr>
      </w:pPr>
      <w:r>
        <w:rPr>
          <w:rFonts w:hint="eastAsia" w:ascii="宋体" w:hAnsi="宋体" w:cs="宋体"/>
          <w:color w:val="auto"/>
          <w:szCs w:val="24"/>
          <w:highlight w:val="none"/>
        </w:rPr>
        <w:t>29.1  下列文件均为经济合同不可分割的组成部分：</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29.1.1  招标文件及其附件、澄清文件；</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 xml:space="preserve">29.1.2  中标的投标文件及其他附件； </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29.1.3  经确认的答疑记录；</w:t>
      </w:r>
    </w:p>
    <w:p>
      <w:pPr>
        <w:pStyle w:val="23"/>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29.1.4  中标通知书。</w:t>
      </w:r>
    </w:p>
    <w:p>
      <w:pPr>
        <w:pStyle w:val="22"/>
        <w:jc w:val="center"/>
        <w:outlineLvl w:val="1"/>
        <w:rPr>
          <w:rFonts w:hint="eastAsia"/>
          <w:b/>
          <w:bCs/>
          <w:color w:val="auto"/>
          <w:highlight w:val="none"/>
        </w:rPr>
      </w:pPr>
      <w:r>
        <w:rPr>
          <w:rFonts w:hint="eastAsia"/>
          <w:b/>
          <w:bCs/>
          <w:color w:val="auto"/>
          <w:highlight w:val="none"/>
        </w:rPr>
        <w:t>八、买方授标时更改采购货物数量的权利</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22"/>
        <w:jc w:val="center"/>
        <w:outlineLvl w:val="1"/>
        <w:rPr>
          <w:rFonts w:hint="eastAsia"/>
          <w:b/>
          <w:bCs/>
          <w:color w:val="auto"/>
          <w:highlight w:val="none"/>
        </w:rPr>
      </w:pPr>
      <w:r>
        <w:rPr>
          <w:rFonts w:hint="eastAsia"/>
          <w:b/>
          <w:bCs/>
          <w:color w:val="auto"/>
          <w:highlight w:val="none"/>
        </w:rPr>
        <w:t>九、其他事项</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  中标服务费</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31.1 中标人应按本招标文件的规定，在《中标通知书》核发时至核发后3天内，向采购代理机构支付中标服务费。</w:t>
      </w:r>
    </w:p>
    <w:p>
      <w:pPr>
        <w:pStyle w:val="24"/>
        <w:spacing w:line="360" w:lineRule="auto"/>
        <w:ind w:firstLine="483"/>
        <w:rPr>
          <w:rFonts w:hint="eastAsia" w:ascii="宋体" w:hAnsi="宋体" w:eastAsia="宋体" w:cs="宋体"/>
          <w:color w:val="auto"/>
          <w:sz w:val="24"/>
          <w:highlight w:val="none"/>
        </w:rPr>
      </w:pPr>
      <w:bookmarkStart w:id="26" w:name="_Toc14033"/>
      <w:bookmarkStart w:id="27" w:name="_Toc19074"/>
      <w:r>
        <w:rPr>
          <w:rFonts w:hint="eastAsia" w:ascii="宋体" w:hAnsi="宋体" w:eastAsia="宋体" w:cs="宋体"/>
          <w:color w:val="auto"/>
          <w:sz w:val="24"/>
          <w:highlight w:val="none"/>
        </w:rPr>
        <w:t>31.2 中标服务费的计算基数是中标人投标报价的总金额，即中标通知书中载明的中标金额</w:t>
      </w:r>
      <w:bookmarkEnd w:id="26"/>
      <w:bookmarkEnd w:id="27"/>
      <w:r>
        <w:rPr>
          <w:rFonts w:hint="eastAsia" w:ascii="宋体" w:hAnsi="宋体" w:eastAsia="宋体" w:cs="宋体"/>
          <w:color w:val="auto"/>
          <w:sz w:val="24"/>
          <w:highlight w:val="none"/>
        </w:rPr>
        <w:t>。</w:t>
      </w:r>
    </w:p>
    <w:p>
      <w:pPr>
        <w:pStyle w:val="24"/>
        <w:spacing w:line="360" w:lineRule="auto"/>
        <w:ind w:firstLine="483"/>
        <w:rPr>
          <w:rFonts w:hint="eastAsia" w:ascii="宋体" w:hAnsi="宋体" w:eastAsia="宋体" w:cs="宋体"/>
          <w:color w:val="auto"/>
          <w:sz w:val="24"/>
          <w:highlight w:val="none"/>
        </w:rPr>
      </w:pPr>
      <w:bookmarkStart w:id="28" w:name="_Toc12711"/>
      <w:r>
        <w:rPr>
          <w:rFonts w:hint="eastAsia" w:ascii="宋体" w:hAnsi="宋体" w:eastAsia="宋体" w:cs="宋体"/>
          <w:color w:val="auto"/>
          <w:sz w:val="24"/>
          <w:highlight w:val="none"/>
        </w:rPr>
        <w:t>32. 参与本次招标的投标企业必须有商务、技术人员对评标委员会提出的商务、技术问题进行答疑。</w:t>
      </w:r>
      <w:bookmarkEnd w:id="28"/>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 有下列情形之一的，视为投标人串通投标，其投标无效：</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33.1  不同投标人的投标文件由同一单位或者个人编制；</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33.2  不同投标人委托同一单位或者个人办理投标事宜；</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33.3  不同投标人的投标文件载明的项目管理成员或者联系人员为同一人；</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33.4  不同投标人的投标文件异常一致或者投标报价呈规律性差异；</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33.5  不同投标人的投标文件相互混装；</w:t>
      </w:r>
    </w:p>
    <w:p>
      <w:pPr>
        <w:pStyle w:val="24"/>
        <w:spacing w:line="360" w:lineRule="auto"/>
        <w:ind w:firstLine="483"/>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rPr>
        <w:t>33.6  不同投标人的投标保证金从同一单位或者个人的账户转出。</w:t>
      </w:r>
      <w:bookmarkStart w:id="29" w:name="_Toc14852"/>
      <w:bookmarkStart w:id="30" w:name="_Toc179632627"/>
      <w:bookmarkStart w:id="31" w:name="_Toc470"/>
      <w:bookmarkStart w:id="32" w:name="_Toc152042387"/>
      <w:bookmarkStart w:id="33" w:name="_Toc29020"/>
      <w:bookmarkStart w:id="34" w:name="_Toc144974577"/>
      <w:bookmarkStart w:id="35" w:name="_Toc7110"/>
      <w:bookmarkStart w:id="36" w:name="_Toc152045609"/>
    </w:p>
    <w:p>
      <w:pPr>
        <w:pStyle w:val="2"/>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color w:val="auto"/>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auto"/>
          <w:sz w:val="24"/>
          <w:szCs w:val="24"/>
          <w:highlight w:val="none"/>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auto"/>
          <w:sz w:val="24"/>
          <w:szCs w:val="24"/>
          <w:highlight w:val="none"/>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auto"/>
          <w:sz w:val="24"/>
          <w:szCs w:val="24"/>
          <w:highlight w:val="none"/>
        </w:rPr>
      </w:pPr>
    </w:p>
    <w:p>
      <w:pPr>
        <w:pStyle w:val="3"/>
        <w:keepNext w:val="0"/>
        <w:keepLines w:val="0"/>
        <w:adjustRightInd w:val="0"/>
        <w:snapToGrid w:val="0"/>
        <w:spacing w:before="120" w:after="120" w:line="360" w:lineRule="auto"/>
        <w:jc w:val="both"/>
        <w:outlineLvl w:val="0"/>
        <w:rPr>
          <w:rFonts w:hint="eastAsia" w:ascii="宋体" w:hAnsi="宋体" w:eastAsia="宋体" w:cs="宋体"/>
          <w:b/>
          <w:bCs w:val="0"/>
          <w:color w:val="auto"/>
          <w:sz w:val="24"/>
          <w:szCs w:val="24"/>
          <w:highlight w:val="none"/>
        </w:rPr>
      </w:pPr>
    </w:p>
    <w:p>
      <w:pPr>
        <w:pStyle w:val="3"/>
        <w:keepNext w:val="0"/>
        <w:keepLines w:val="0"/>
        <w:adjustRightInd w:val="0"/>
        <w:snapToGrid w:val="0"/>
        <w:spacing w:before="120" w:after="120"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b/>
          <w:bCs w:val="0"/>
          <w:color w:val="auto"/>
          <w:sz w:val="24"/>
          <w:szCs w:val="24"/>
          <w:highlight w:val="none"/>
        </w:rPr>
        <w:t>第三章 合同条款</w:t>
      </w:r>
      <w:bookmarkEnd w:id="29"/>
      <w:bookmarkEnd w:id="30"/>
      <w:bookmarkEnd w:id="31"/>
      <w:bookmarkEnd w:id="32"/>
      <w:bookmarkEnd w:id="33"/>
      <w:bookmarkEnd w:id="34"/>
      <w:bookmarkEnd w:id="35"/>
      <w:bookmarkEnd w:id="36"/>
      <w:bookmarkStart w:id="37" w:name="_Toc152045767"/>
      <w:bookmarkStart w:id="38" w:name="_Toc152042546"/>
      <w:bookmarkStart w:id="39" w:name="_Toc179632785"/>
      <w:bookmarkStart w:id="40" w:name="_Toc144974826"/>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仅供参考</w:t>
      </w:r>
      <w:r>
        <w:rPr>
          <w:rFonts w:hint="eastAsia" w:ascii="宋体" w:hAnsi="宋体" w:eastAsia="宋体" w:cs="宋体"/>
          <w:b/>
          <w:bCs w:val="0"/>
          <w:color w:val="auto"/>
          <w:sz w:val="24"/>
          <w:szCs w:val="24"/>
          <w:highlight w:val="none"/>
          <w:lang w:eastAsia="zh-CN"/>
        </w:rPr>
        <w:t>）</w:t>
      </w:r>
    </w:p>
    <w:bookmarkEnd w:id="37"/>
    <w:bookmarkEnd w:id="38"/>
    <w:bookmarkEnd w:id="39"/>
    <w:bookmarkEnd w:id="40"/>
    <w:p>
      <w:pPr>
        <w:numPr>
          <w:ilvl w:val="0"/>
          <w:numId w:val="3"/>
        </w:num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定义</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本合同下列术语应解释为：</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1.1 “合同”系指买卖双方签署的、合同格式中载明的买卖双方所达成的协议,包括所有的附件、附录和上述文件所提到的构成合同的所有文件。</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1.2 “合同价”系指根据合同规定卖方在正确地完全履行合同义务后买方应支付给卖方的价格。</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1.3 “货物” 系指卖方根据合同规定须向买方提供的一切材料、设备、机械、仪表、备件、工具或其它材料。</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1.4 “服务”系指根据合同规定卖方承担与供货有关的辅助服务，比如运输、保险、以及其它的伴随服务，比如安装、调试、提供技术援助、培训和合同中规定卖方应承担的其它义务。</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1.5 “买方”系指前附表中所述购买货物和服务的单位。</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 “卖方”系指前附表中所述提供货物和服务的公司或实体。</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1.7 “项目现场”系指合同条款前附表中指明的地点。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1.8 “天”指日历天数。</w:t>
      </w:r>
    </w:p>
    <w:p>
      <w:pPr>
        <w:numPr>
          <w:ilvl w:val="0"/>
          <w:numId w:val="3"/>
        </w:num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来源地</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2.1本条所述的“来源地”系指货物生产地或提供服务的来源地。</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3.技术规格</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3.1交付的货物的技术规格应与招标文件规定的技术规格相一致。</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3.2除技术规格另有规定外,计量单位应该使用公制。</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4.专利权</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4.1卖方应保证买方在使用该货物或其任何一部分免受第三方提出侵犯其专利权、商标权或工业设计权的起诉。</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5.包装要求</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5.1除合同另有规定外，卖方提供的全部货物均应按标准保护措施进行包装，这类包装应适应于远距离运输、防潮、防震、防锈和防野蛮装卸，以确保货物安全无损运抵指定现场。</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5.2货物包装应附一份详细包装单和质量证书。</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6.包装标志</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6.1卖方应在每一包装用不褪色的、以醒目的中文字样做出下列标记:</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1、货物名称、品目号和规格：</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2、毛重/净重：</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3、生产日期</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4、行业规定的其它标识</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7.装运条件</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7.2如果是从国内供应的货物：</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 xml:space="preserve">7.2.1卖方应负责内陆运输；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7.2.2货物到达买方目的地，经验收合格，买方签字认可后的日期为交货日期。</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8.装运通知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8.2如果是从国内供应的货物，买方提前十四天制定需求计划给卖方: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8.2.1卖方应在合同规定的装运日期之前七(7)天内以电报或电传或传真形式将合同号、货物名称、数量和到货日期通知买方。同时，卖方应用挂号信把详细的货物清单一式两份，包括合同号、货物名称、规格、数量、待运日期和货物在运输、储存中的特殊要求和注意事项等通知买方。</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8.2.2卖方应在货物装完后24小时之内以电报或电传或传真形式将合同号、货物名称、数量、发票金额、运输工具名称及启运日期通知买方。</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9.付款</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9.1本合同以人民币付款。</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9.2卖方应按照双方签订的合同规定交货。交货后卖方应把下列单据提交给买方，买方按合同规定审核后付款。</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1.发票；</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2.装车单；</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3.出具的质量检验证书和数量证明书；以及国家省级以上质量监督部门对本货物的质量检验证书；</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4.验收证书。</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5.买方验收签证</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9.3卖方应在每批货物到达买方目的地后，经验收数量与卖方提供的数量证明书一致后四十八（48）小时内将上述9.2条要求的单据给买方。</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9.4付款方式：</w:t>
      </w:r>
      <w:r>
        <w:rPr>
          <w:rFonts w:hint="eastAsia" w:ascii="宋体" w:hAnsi="宋体" w:cs="宋体"/>
          <w:b/>
          <w:bCs/>
          <w:color w:val="auto"/>
          <w:sz w:val="24"/>
          <w:highlight w:val="none"/>
          <w:lang w:val="en-US" w:eastAsia="zh-CN"/>
        </w:rPr>
        <w:t>签订合同时与采购人约定。</w:t>
      </w:r>
    </w:p>
    <w:p>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10. 质量保证</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10.1 质量要求、技术标准及卖方对质量负责的条件期限。</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10.2 卖方应严格按照设备制造国家标准和行业标准进行制造。出厂前卖方的质量检验部门应按照产品原产地国家制定的各项规定进行产品质量检验，检验合格后出具质量证明书后，方能出厂。</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10.3 卖方对货物制造质量负责，在买方按照使用维护说明书的规定正确的安装维护及存放的情况下，卖方应保证所供设备自正式投入运行之日起36个月内无故障，如确因设计和制造质量不良而发生损坏或并非因维护操作不当导致不能正常使用，卖方应按国务院发布的《工业产品质量责任条例》在接到买方通知之日起1日内派人抵达设备使用现场处理，并承担相应的经济责任。</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10.4卖方应对所供应设备的外协、外购件质量负责，其负责期限和责任范围等同于1.2条款的约定。卖方在交货时应提供外购件的使用维护说明书及证明文件。</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10.5卖方单位所提供产品的技术应是最新的,并且已有运行2年以上的成功经验,并附有证明文件。</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10.6 运输方式、交货地点及到达项目现场费用负担</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10.7 运输方式由卖方决定、由卖方办理，运杂费用由卖方承担，产品包装应符合国家有关要求。</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11．技术培训要求</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11.1设备从到厂开始，希望调试人员在安装调试的全过程中对我单位保全及操作工培训。</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11.2设备安装调试完毕后，对我单位相关人员进行系统培训。</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11.3操作人员能够熟练掌握操作方法。</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11.4保全对设备有很好的认识，能够自行维修设备的一般故障，出现特殊故障时，保全能够通过电话沟通维修设备。</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12. 售后服务</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12.1在货物到达使用单位后，接到买方通知后，应在1天内派工程技术人员到达现场，在买方技术人员在场的情况下开箱清点货物，组织安装调试，并承担由此发生的一切费用，安装时间不长于7天。</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12.2设备安装后双方按国际和国家标准及本章第3条款的要求进行质量验收。卖方应向买方提供详细的验收标准、验收手册，免费提供验收所需的仪器，买方在验收合格后将仪器归还卖方。</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12.3 在设备交付使用后，卖方应对保修期及其以后终身服务作出承诺，并具有切实可行的服务措施。卖方在疆应有常设或指派的法定售后服务机构，备品备件库（进口产品除外），安装维修人员应是卖方派出的具有一定专业技术水平的人员。</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12.4 对配套设备中的产品必须提供有关资料及售后服务承诺。</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13. 备品备件</w:t>
      </w:r>
    </w:p>
    <w:p>
      <w:pPr>
        <w:pStyle w:val="24"/>
        <w:spacing w:line="360" w:lineRule="auto"/>
        <w:ind w:firstLine="483"/>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13.1 应保证终身提供该设备的所有维修零备件。</w:t>
      </w:r>
    </w:p>
    <w:p>
      <w:pPr>
        <w:pStyle w:val="24"/>
        <w:spacing w:line="360" w:lineRule="auto"/>
        <w:ind w:firstLine="483"/>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13.2 卖方须提供备件的名称、价格及有效期，保证供货期等。</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14．保修</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次招标采购的产品，要求质保期一年。质保期即自安装验收合格正式运行之日算起，至少12个月内无故障安全运行（如出现质量问题，卖方在保修期内免费更换部件及维修）。如果由于卖方责任致使系统不能验收，此保修期顺延。</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15.检验</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11.1在交货前，卖方应对货物的质量、规格、性能、数量和重量等进行详细而全面的检验，并出具一份证明货物符合合同规定的检验证书，检验证书是付款时所需文件的组成部分，但不能作为有关质量、规格、数量或重量的最终检验。卖方的检验结果应附在检验证书后面。</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15.2货物运抵买方目的地后，买方对货物的质量、规格、数量和重量进行检验，并出具检验证书。费用由卖方承担。</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16.卖方履约延误</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16.1卖方应按照“货物需求一览表及技术规格要求”中买方规定的时间表交货和提供服务。</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16.2如卖方无正当理由而拖延交货，将受到以下制裁：没收履约保证金，加收误期赔偿或违约终止合同。</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16.3在履行合同过程中，如果卖方可能遇到妨碍按时交货和提供服务的情况时，应及时以书面形式将拖延的事实，可能拖延的期限和理由通知买方。买方在收到卖方通知后，应尽快对情况进行评价，并确定是否通过修改合同，酌情延长交货时间。</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17.误期赔偿</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17.1除合同第17条规定外，如果卖方没有按照合同规定的时间交货和提供服务，买方应从货款中扣除误期赔偿费而不影响合同项下的其他补救方法，赔偿费按每周迟交货物交货价或未提供服务费用的</w:t>
      </w:r>
      <w:r>
        <w:rPr>
          <w:rFonts w:hint="eastAsia" w:ascii="宋体" w:hAnsi="宋体" w:cs="宋体"/>
          <w:b/>
          <w:bCs/>
          <w:color w:val="auto"/>
          <w:sz w:val="24"/>
          <w:highlight w:val="none"/>
        </w:rPr>
        <w:t>千分之二（2‰）</w:t>
      </w:r>
      <w:r>
        <w:rPr>
          <w:rFonts w:hint="eastAsia" w:ascii="宋体" w:hAnsi="宋体" w:cs="宋体"/>
          <w:color w:val="auto"/>
          <w:sz w:val="24"/>
          <w:highlight w:val="none"/>
        </w:rPr>
        <w:t>计收,直至交货或提供服务为止。但误期赔偿费的最高限额不超过误期货物总价或服务合同价的百分之五（5%）。一周按七（7）天计算，不足七（7）天按一周计算。一旦达到误期赔偿的最高限额，买方可考虑终止合同。</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18.不可抗力</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18.1如果卖方因不可抗力而导致合同实施延误或不能履行合同义务的话，买方不应没收履约保证金，卖方也不应该承担误期赔偿或终止合同的责任。</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18.2本条所述的“不可抗力”系指那些卖方无法控制，不可预见的事件，但不包括卖方的违约或疏忽。这些事件包括：战争、严重火灾、洪水、台风、地震以及其它经双方商定的事件。</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持续超过一百二十六（126）天，双方应通过友好协商在合理的时间内达成进一步履行合同的协议。</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19.税费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15.1卖方报价应包括货物送达买方目的地以前的所有税费。既与本合同有关的一切税费均应由卖方负担。</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20.价格调整</w:t>
      </w:r>
    </w:p>
    <w:p>
      <w:pPr>
        <w:spacing w:line="360" w:lineRule="auto"/>
        <w:outlineLvl w:val="2"/>
        <w:rPr>
          <w:rFonts w:hint="eastAsia" w:ascii="宋体" w:hAnsi="宋体" w:cs="宋体"/>
          <w:color w:val="auto"/>
          <w:sz w:val="24"/>
          <w:highlight w:val="none"/>
        </w:rPr>
      </w:pPr>
      <w:r>
        <w:rPr>
          <w:rFonts w:hint="eastAsia" w:ascii="宋体" w:hAnsi="宋体" w:cs="宋体"/>
          <w:color w:val="auto"/>
          <w:sz w:val="24"/>
          <w:highlight w:val="none"/>
        </w:rPr>
        <w:t>20.1  物价波动引起的价格调整</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本工程工期较短，投标人应自行考虑项目实施过程中材料的价格波动。招标人对物价波动引起的价格不予调整</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21．履约保证金</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21.1卖方应在收到中标通告书后七（7）天内，应按“投标人须知前附表”的要求向买方提供履约保证金。履约保证金的有效期到工程通过初步验收后28天时为止。</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21.2卖方提供的履约保证金应按招标文件所附的格式或买方可接受的其他格式提供，与此有关的费用均由卖方负担。</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21.3如果卖方未能履行合同规定的任何义务，买方有权从履约保证金中得到补偿。</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22.争端的解决</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22.1买卖双方通过友好协商，解决在执行本合同中所发生的或与本合同有关的一切争端。如从协商开始二十八（28）天内仍不能解决，双方应将争端提交阿克苏地区行业主管部门寻求可能解决的办法。如果提交行业主管部门后二十八（28）天内仍得不到解决，则应提请仲裁。</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22.2仲裁应按照双方商定的仲裁委员会根据其仲裁程序进行仲裁；</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22.3仲裁裁决应为最终裁决，对双方均具有约束力。</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22.4仲裁费除仲裁机关另有裁决外均应由败诉方负担。</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22.5在仲裁期间，除正在进行仲裁的部分外，本合同的其它部分应继续执行。</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23.违约终止合同</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23.1在买方对卖方违约而采取的任何补救措施对工程都受影响的情况下，买方可向卖方发出书面通知书，提出终止部分或全部合同。</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1、如果卖方未能在合同规定的期限或买方同意延长的期限内提供部分或全部货物；</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2、如果卖方未能履行合同规定的其它任何义务。</w:t>
      </w:r>
    </w:p>
    <w:p>
      <w:pPr>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24.转让和分包</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24.1除买方事先书面同意外，卖方不得部分转让或全部转让其应履行的合同义务。</w:t>
      </w:r>
    </w:p>
    <w:p>
      <w:pPr>
        <w:spacing w:line="360" w:lineRule="auto"/>
        <w:outlineLvl w:val="1"/>
        <w:rPr>
          <w:rFonts w:hint="eastAsia" w:ascii="宋体" w:hAnsi="宋体" w:cs="宋体"/>
          <w:color w:val="auto"/>
          <w:sz w:val="24"/>
          <w:highlight w:val="none"/>
        </w:rPr>
      </w:pPr>
      <w:r>
        <w:rPr>
          <w:rFonts w:hint="eastAsia" w:ascii="宋体" w:hAnsi="宋体" w:cs="宋体"/>
          <w:b/>
          <w:color w:val="auto"/>
          <w:sz w:val="24"/>
          <w:highlight w:val="none"/>
        </w:rPr>
        <w:t>25.适用法律</w:t>
      </w:r>
    </w:p>
    <w:p>
      <w:pPr>
        <w:spacing w:line="360" w:lineRule="auto"/>
        <w:ind w:firstLine="510"/>
        <w:outlineLvl w:val="2"/>
        <w:rPr>
          <w:rFonts w:hint="eastAsia" w:ascii="宋体" w:hAnsi="宋体" w:cs="宋体"/>
          <w:color w:val="auto"/>
          <w:sz w:val="24"/>
          <w:highlight w:val="none"/>
        </w:rPr>
      </w:pPr>
      <w:r>
        <w:rPr>
          <w:rFonts w:hint="eastAsia" w:ascii="宋体" w:hAnsi="宋体" w:cs="宋体"/>
          <w:color w:val="auto"/>
          <w:sz w:val="24"/>
          <w:highlight w:val="none"/>
        </w:rPr>
        <w:t>24.1本合同应按照中华人民共和国的现行法律进行解释。</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25.合同生效</w:t>
      </w:r>
    </w:p>
    <w:p>
      <w:pPr>
        <w:spacing w:line="360" w:lineRule="auto"/>
        <w:ind w:firstLine="510"/>
        <w:rPr>
          <w:rFonts w:hint="eastAsia" w:ascii="宋体" w:hAnsi="宋体" w:cs="宋体"/>
          <w:color w:val="auto"/>
          <w:sz w:val="24"/>
          <w:highlight w:val="none"/>
        </w:rPr>
      </w:pPr>
      <w:r>
        <w:rPr>
          <w:rFonts w:hint="eastAsia" w:ascii="宋体" w:hAnsi="宋体" w:cs="宋体"/>
          <w:b/>
          <w:color w:val="auto"/>
          <w:sz w:val="24"/>
          <w:highlight w:val="none"/>
        </w:rPr>
        <w:t>25</w:t>
      </w:r>
      <w:r>
        <w:rPr>
          <w:rFonts w:hint="eastAsia" w:ascii="宋体" w:hAnsi="宋体" w:cs="宋体"/>
          <w:color w:val="auto"/>
          <w:sz w:val="24"/>
          <w:highlight w:val="none"/>
        </w:rPr>
        <w:t>.1本合同应在双方签字和买方收到卖方提供的履约保证金后生效。</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26.主导语言</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26.1本合同一式四份，以中文书写，买方执三份，卖方执一份。</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27.合同修改</w:t>
      </w:r>
    </w:p>
    <w:p>
      <w:p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27.1除了双方签署书面修改协议，并成为本合同不可分割的一部分的情况之外，本合同的条件不得有任何变化或修改。</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28. 其它事项</w:t>
      </w:r>
    </w:p>
    <w:p>
      <w:pPr>
        <w:pStyle w:val="24"/>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28.1 本合同所确定的价格为最终价格,已包含包装费、运杂费、保险费、卖方的现场验收、安装调试费、现场服务费等各项费用。</w:t>
      </w:r>
    </w:p>
    <w:p>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29.  </w:t>
      </w:r>
      <w:r>
        <w:rPr>
          <w:rFonts w:hint="eastAsia" w:ascii="宋体" w:hAnsi="宋体" w:cs="宋体"/>
          <w:b/>
          <w:bCs/>
          <w:color w:val="auto"/>
          <w:sz w:val="24"/>
          <w:highlight w:val="none"/>
        </w:rPr>
        <w:t>其它要求</w:t>
      </w:r>
      <w:r>
        <w:rPr>
          <w:rFonts w:hint="eastAsia" w:ascii="宋体" w:hAnsi="宋体" w:cs="宋体"/>
          <w:b/>
          <w:bCs/>
          <w:color w:val="auto"/>
          <w:kern w:val="0"/>
          <w:sz w:val="24"/>
          <w:highlight w:val="none"/>
        </w:rPr>
        <w:t xml:space="preserve">  </w:t>
      </w:r>
    </w:p>
    <w:p>
      <w:pPr>
        <w:spacing w:line="360" w:lineRule="auto"/>
        <w:ind w:firstLine="482" w:firstLineChars="200"/>
        <w:rPr>
          <w:rFonts w:hint="eastAsia" w:ascii="宋体" w:hAnsi="宋体" w:cs="宋体"/>
          <w:b/>
          <w:bCs/>
          <w:color w:val="auto"/>
          <w:sz w:val="32"/>
          <w:szCs w:val="32"/>
          <w:highlight w:val="none"/>
        </w:rPr>
        <w:sectPr>
          <w:footerReference r:id="rId7" w:type="first"/>
          <w:footerReference r:id="rId6" w:type="default"/>
          <w:pgSz w:w="11849" w:h="16781"/>
          <w:pgMar w:top="1440" w:right="1080" w:bottom="1440" w:left="1080" w:header="851" w:footer="850" w:gutter="0"/>
          <w:cols w:space="720" w:num="1"/>
          <w:titlePg/>
          <w:docGrid w:type="linesAndChars" w:linePitch="320" w:charSpace="269"/>
        </w:sectPr>
      </w:pPr>
      <w:r>
        <w:rPr>
          <w:rFonts w:hint="eastAsia" w:ascii="宋体" w:hAnsi="宋体" w:cs="宋体"/>
          <w:color w:val="auto"/>
          <w:kern w:val="0"/>
          <w:sz w:val="24"/>
          <w:highlight w:val="none"/>
        </w:rPr>
        <w:t xml:space="preserve"> 质保期内，如有损坏，请按照合同规定及时派人到场</w:t>
      </w:r>
      <w:r>
        <w:rPr>
          <w:rFonts w:hint="eastAsia" w:ascii="宋体" w:hAnsi="宋体" w:cs="宋体"/>
          <w:color w:val="auto"/>
          <w:kern w:val="0"/>
          <w:sz w:val="24"/>
          <w:highlight w:val="none"/>
          <w:lang w:eastAsia="zh-CN"/>
        </w:rPr>
        <w:t>修缮</w:t>
      </w:r>
      <w:r>
        <w:rPr>
          <w:rFonts w:hint="eastAsia" w:ascii="宋体" w:hAnsi="宋体" w:cs="宋体"/>
          <w:color w:val="auto"/>
          <w:kern w:val="0"/>
          <w:sz w:val="24"/>
          <w:highlight w:val="none"/>
        </w:rPr>
        <w:t>。</w:t>
      </w:r>
    </w:p>
    <w:p>
      <w:pPr>
        <w:pStyle w:val="26"/>
        <w:numPr>
          <w:ilvl w:val="0"/>
          <w:numId w:val="5"/>
        </w:numPr>
        <w:jc w:val="center"/>
        <w:rPr>
          <w:rFonts w:hint="eastAsia"/>
          <w:b/>
          <w:bCs/>
          <w:color w:val="auto"/>
          <w:sz w:val="32"/>
          <w:szCs w:val="32"/>
          <w:highlight w:val="none"/>
        </w:rPr>
      </w:pPr>
      <w:r>
        <w:rPr>
          <w:rFonts w:hint="eastAsia"/>
          <w:b/>
          <w:bCs/>
          <w:color w:val="auto"/>
          <w:sz w:val="32"/>
          <w:szCs w:val="32"/>
          <w:highlight w:val="none"/>
          <w:lang w:eastAsia="zh-CN"/>
        </w:rPr>
        <w:t>货物需求一览表</w:t>
      </w:r>
    </w:p>
    <w:bookmarkEnd w:id="18"/>
    <w:bookmarkEnd w:id="19"/>
    <w:bookmarkEnd w:id="20"/>
    <w:bookmarkEnd w:id="21"/>
    <w:bookmarkEnd w:id="22"/>
    <w:bookmarkEnd w:id="23"/>
    <w:bookmarkEnd w:id="24"/>
    <w:bookmarkEnd w:id="25"/>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620"/>
        <w:gridCol w:w="1260"/>
        <w:gridCol w:w="1095"/>
        <w:gridCol w:w="4320"/>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bookmarkStart w:id="41" w:name="_Toc179632806"/>
            <w:bookmarkStart w:id="42" w:name="_Toc3191"/>
            <w:bookmarkStart w:id="43" w:name="_Toc31265"/>
            <w:bookmarkStart w:id="44" w:name="_Toc16742"/>
            <w:bookmarkStart w:id="45" w:name="_Toc54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绿化区域</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绿化种类</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园林环卫服务中心采购草种、花种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高羊茅草种</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三叶草种</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波斯菊</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醉蝶</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鼠尾草</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虞美人</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新沙路与乌喀路环岛改造</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水蜡</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两年生冠丛高度40cm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丁香树</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桃叶卫矛</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榆叶梅球</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卫矛球</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高杆卫矛</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金叶榆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红叶李</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塔其艾日克镇钟鼓楼 采购苗木</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胸径12-15cm、株高5-6m、冠径3-3.5m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东城片区生态停车场、文化产业园 、气象局绿地采购苗木</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紫叶稠李</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滨湖广场凉亭旁绿化带 </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爬山虎</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冠丛高度100cm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友谊路、新华路、文化产业园、和字广场  花卉种植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大花萱草</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荷兰菊</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松果菊</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假龙头</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月季</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多年生</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黑心菊</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四季玫瑰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多年生</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天人菊</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孔雀草</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牵牛花</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鸡冠花</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一年生高度30-40公分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万寿菊</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172150株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一年生高度30-41公分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孔雀草</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东城片区苗木、花卉、草皮种植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矮牵牛</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四季玫瑰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两年生杯苗50-60cm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芍药花</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两年生杯苗10-20cm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水蜡球</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红叶李球</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276株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高羊茅草种</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胸径10-12cm、株高4-4.5m、冠径3-3.5m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金叶榆</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胸径10-12cm、株高3-3.5m、冠径3-3.5m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金叶榆球</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万寿菊</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60000株</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胡杨</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胸径15-20cm、株高4-4.5m、冠径3-3.5m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垂柳</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胸径15-20cm、株高5-6m、冠径3-3.5m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长枝榆</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胸径10-12cm、株高4-4.5m、冠径3-3.5m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山杏</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丝棉木</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胸径10-12cm、株高3-3.5m、冠径3-3.5m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核桃</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胸径10-12cm、株高3.5-4m、冠径3-3.5m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东城片区新增养护</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文工团范围整改绿化林带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4490㎡</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都护府二期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142126㎡</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迎宾馆</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2671㎡</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教育局范围整改绿化林带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6650㎡</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环城路杨树林带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39516㎡</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和谐路人行道南侧林带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3325㎡</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红光路滨湖B区大门口两侧林带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5740㎡</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红光路滨湖A区北门大门口两侧林带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4510㎡</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解放路滨湖生态停车场</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1547㎡</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解放路滨湖C区大门口左边宽幅林带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2210㎡</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滨湖南路宽幅林带及游乐场南头绿化改造</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高羊茅草种</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numPr>
          <w:ilvl w:val="0"/>
          <w:numId w:val="5"/>
        </w:numPr>
        <w:tabs>
          <w:tab w:val="left" w:pos="3780"/>
        </w:tabs>
        <w:topLinePunct/>
        <w:adjustRightInd w:val="0"/>
        <w:snapToGrid w:val="0"/>
        <w:spacing w:line="360" w:lineRule="auto"/>
        <w:ind w:left="0" w:leftChars="0" w:firstLine="0" w:firstLineChars="0"/>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投标文件格式</w:t>
      </w:r>
      <w:bookmarkEnd w:id="41"/>
      <w:bookmarkEnd w:id="42"/>
      <w:bookmarkEnd w:id="43"/>
      <w:bookmarkEnd w:id="44"/>
      <w:bookmarkEnd w:id="45"/>
    </w:p>
    <w:p>
      <w:pPr>
        <w:pStyle w:val="2"/>
        <w:numPr>
          <w:ilvl w:val="0"/>
          <w:numId w:val="0"/>
        </w:numPr>
        <w:ind w:leftChars="0"/>
        <w:rPr>
          <w:rFonts w:hint="eastAsia"/>
          <w:color w:val="auto"/>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482" w:firstLineChars="200"/>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adjustRightInd w:val="0"/>
        <w:snapToGrid w:val="0"/>
        <w:spacing w:line="360" w:lineRule="auto"/>
        <w:jc w:val="center"/>
        <w:rPr>
          <w:rFonts w:hint="eastAsia" w:ascii="宋体" w:hAnsi="宋体" w:cs="宋体"/>
          <w:color w:val="auto"/>
          <w:sz w:val="24"/>
          <w:highlight w:val="none"/>
          <w:u w:val="singl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投标人自行编制</w:t>
      </w:r>
      <w:r>
        <w:rPr>
          <w:rFonts w:hint="eastAsia" w:ascii="宋体" w:hAnsi="宋体" w:cs="宋体"/>
          <w:color w:val="auto"/>
          <w:sz w:val="24"/>
          <w:highlight w:val="none"/>
          <w:lang w:eastAsia="zh-CN"/>
        </w:rPr>
        <w:t>）</w:t>
      </w:r>
      <w:r>
        <w:rPr>
          <w:rFonts w:hint="eastAsia" w:ascii="宋体" w:hAnsi="宋体" w:cs="宋体"/>
          <w:color w:val="auto"/>
          <w:sz w:val="24"/>
          <w:highlight w:val="none"/>
        </w:rPr>
        <w:br w:type="page"/>
      </w:r>
      <w:r>
        <w:rPr>
          <w:rFonts w:hint="eastAsia" w:ascii="宋体" w:hAnsi="宋体" w:cs="宋体"/>
          <w:b/>
          <w:color w:val="auto"/>
          <w:sz w:val="24"/>
          <w:highlight w:val="none"/>
        </w:rPr>
        <w:t>1、投标函及投标报价表</w:t>
      </w:r>
    </w:p>
    <w:p>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（一）投 标 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号招标文件，经认真研究，我们决定参加投标。</w:t>
      </w:r>
    </w:p>
    <w:p>
      <w:pPr>
        <w:spacing w:line="360" w:lineRule="auto"/>
        <w:ind w:firstLine="567"/>
        <w:jc w:val="left"/>
        <w:rPr>
          <w:rFonts w:hint="eastAsia" w:ascii="宋体" w:hAnsi="宋体" w:cs="宋体"/>
          <w:color w:val="auto"/>
          <w:sz w:val="24"/>
          <w:highlight w:val="none"/>
        </w:rPr>
      </w:pPr>
      <w:r>
        <w:rPr>
          <w:rFonts w:hint="eastAsia" w:ascii="宋体" w:hAnsi="宋体" w:cs="宋体"/>
          <w:color w:val="auto"/>
          <w:sz w:val="24"/>
          <w:highlight w:val="none"/>
        </w:rPr>
        <w:t xml:space="preserve">⒈按照招标文件中的一切要求，提供招标货物、安装及技术服务投标总价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元（用阿拉伯数字书写）人民币，明细见投标产品名称数量报价表。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⒊我们同意按招标文件的规定，本投标书的有效期为开标后</w:t>
      </w:r>
      <w:r>
        <w:rPr>
          <w:rFonts w:hint="eastAsia" w:ascii="宋体" w:hAnsi="宋体" w:cs="宋体"/>
          <w:color w:val="auto"/>
          <w:sz w:val="24"/>
          <w:highlight w:val="none"/>
          <w:u w:val="single"/>
        </w:rPr>
        <w:t>60</w:t>
      </w:r>
      <w:r>
        <w:rPr>
          <w:rFonts w:hint="eastAsia" w:ascii="宋体" w:hAnsi="宋体" w:cs="宋体"/>
          <w:color w:val="auto"/>
          <w:sz w:val="24"/>
          <w:highlight w:val="none"/>
        </w:rPr>
        <w:t xml:space="preserve"> 天。</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⒋我们愿意提供采购人在招标文件中要求的所有资料。</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⒍我们愿按合同法履行自己的全部责任。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⒏该项投标在开标后的全过程中保持有效，不作任何更改和变动。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⒐我们同意按招标文件规定，交纳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.所有有关本标书的函电，请按下列地址联系：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spacing w:line="360" w:lineRule="auto"/>
        <w:ind w:firstLine="3133"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6"/>
        <w:rPr>
          <w:rFonts w:hint="eastAsia" w:ascii="宋体" w:hAnsi="宋体" w:cs="宋体"/>
          <w:bCs/>
          <w:color w:val="auto"/>
          <w:sz w:val="24"/>
          <w:highlight w:val="none"/>
        </w:rPr>
      </w:pPr>
    </w:p>
    <w:p>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（二）、法定代表人身份证明</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pPr>
        <w:spacing w:line="360" w:lineRule="auto"/>
        <w:ind w:firstLine="964"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注：后附法定代表人身份证复印件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rPr>
        <w:t>（三）、法定代表人的授权委托书</w:t>
      </w:r>
    </w:p>
    <w:p>
      <w:pPr>
        <w:spacing w:line="360" w:lineRule="auto"/>
        <w:rPr>
          <w:rFonts w:hint="eastAsia" w:ascii="宋体" w:hAnsi="宋体" w:cs="宋体"/>
          <w:color w:val="auto"/>
          <w:sz w:val="24"/>
          <w:highlight w:val="none"/>
        </w:rPr>
      </w:pPr>
    </w:p>
    <w:p>
      <w:pPr>
        <w:topLinePunct/>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标段投标文件、签订合同和处理有关事宜，其法律后果由我方承担。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ind w:firstLine="482" w:firstLineChars="200"/>
        <w:rPr>
          <w:rFonts w:hint="eastAsia" w:ascii="宋体" w:hAnsi="宋体" w:cs="宋体"/>
          <w:color w:val="auto"/>
          <w:sz w:val="24"/>
          <w:highlight w:val="none"/>
        </w:rPr>
      </w:pP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附：法定代表人身份证明、委托代理人身份证复印件</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jc w:val="center"/>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center"/>
        <w:outlineLvl w:val="1"/>
        <w:rPr>
          <w:rFonts w:hint="eastAsia" w:ascii="宋体" w:hAnsi="宋体" w:eastAsia="宋体" w:cs="宋体"/>
          <w:b/>
          <w:color w:val="auto"/>
          <w:sz w:val="24"/>
          <w:highlight w:val="none"/>
          <w:lang w:eastAsia="zh-CN"/>
        </w:rPr>
        <w:sectPr>
          <w:footerReference r:id="rId9" w:type="first"/>
          <w:footerReference r:id="rId8" w:type="default"/>
          <w:pgSz w:w="11849" w:h="16781"/>
          <w:pgMar w:top="1440" w:right="1080" w:bottom="1440" w:left="1080" w:header="851" w:footer="850" w:gutter="0"/>
          <w:cols w:space="720" w:num="1"/>
          <w:formProt w:val="1"/>
          <w:titlePg/>
          <w:docGrid w:type="linesAndChars" w:linePitch="320" w:charSpace="269"/>
        </w:sectPr>
      </w:pPr>
      <w:r>
        <w:rPr>
          <w:rFonts w:hint="eastAsia" w:ascii="宋体" w:hAnsi="宋体" w:cs="宋体"/>
          <w:b/>
          <w:color w:val="auto"/>
          <w:sz w:val="24"/>
          <w:highlight w:val="none"/>
        </w:rPr>
        <w:t>（四）、投标保证金</w:t>
      </w:r>
      <w:r>
        <w:rPr>
          <w:rFonts w:hint="eastAsia" w:ascii="宋体" w:hAnsi="宋体" w:cs="宋体"/>
          <w:b/>
          <w:color w:val="auto"/>
          <w:sz w:val="24"/>
          <w:highlight w:val="none"/>
          <w:lang w:eastAsia="zh-CN"/>
        </w:rPr>
        <w:t>（应附开户信息、投标保证金打款凭证）</w:t>
      </w:r>
    </w:p>
    <w:p>
      <w:pPr>
        <w:tabs>
          <w:tab w:val="center" w:pos="7115"/>
          <w:tab w:val="right" w:pos="14230"/>
        </w:tabs>
        <w:spacing w:line="360" w:lineRule="auto"/>
        <w:jc w:val="center"/>
        <w:outlineLvl w:val="1"/>
        <w:rPr>
          <w:rFonts w:hint="eastAsia" w:ascii="仿宋_GB2312" w:hAnsi="Dotum" w:eastAsia="仿宋_GB2312"/>
          <w:b/>
          <w:color w:val="auto"/>
          <w:sz w:val="28"/>
          <w:highlight w:val="none"/>
        </w:rPr>
      </w:pPr>
      <w:r>
        <w:rPr>
          <w:rFonts w:hint="eastAsia" w:ascii="宋体" w:hAnsi="宋体" w:cs="宋体"/>
          <w:b/>
          <w:color w:val="auto"/>
          <w:sz w:val="24"/>
          <w:highlight w:val="none"/>
        </w:rPr>
        <w:t>(五)开标一览表</w:t>
      </w:r>
      <w:r>
        <w:rPr>
          <w:rFonts w:hint="eastAsia" w:ascii="仿宋_GB2312" w:hAnsi="Dotum" w:eastAsia="仿宋_GB2312"/>
          <w:b/>
          <w:color w:val="auto"/>
          <w:sz w:val="28"/>
          <w:highlight w:val="none"/>
        </w:rPr>
        <w:t xml:space="preserve">  </w:t>
      </w:r>
      <w:r>
        <w:rPr>
          <w:rFonts w:hint="eastAsia" w:ascii="仿宋_GB2312" w:hAnsi="Dotum" w:eastAsia="仿宋_GB2312"/>
          <w:color w:val="auto"/>
          <w:sz w:val="28"/>
          <w:highlight w:val="none"/>
        </w:rPr>
        <w:t xml:space="preserve">                                                                            </w:t>
      </w:r>
    </w:p>
    <w:p>
      <w:pPr>
        <w:spacing w:line="360" w:lineRule="auto"/>
        <w:ind w:left="121" w:hanging="120" w:hangingChars="5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ind w:left="121" w:hanging="120" w:hangingChars="50"/>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17"/>
        <w:tblW w:w="14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5"/>
        <w:gridCol w:w="4426"/>
        <w:gridCol w:w="2799"/>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7" w:hRule="exact"/>
          <w:jc w:val="center"/>
        </w:trPr>
        <w:tc>
          <w:tcPr>
            <w:tcW w:w="3195" w:type="dxa"/>
            <w:tcBorders>
              <w:bottom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w:t>
            </w:r>
          </w:p>
        </w:tc>
        <w:tc>
          <w:tcPr>
            <w:tcW w:w="4426" w:type="dxa"/>
            <w:tcBorders>
              <w:bottom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投标报价</w:t>
            </w:r>
          </w:p>
        </w:tc>
        <w:tc>
          <w:tcPr>
            <w:tcW w:w="2799" w:type="dxa"/>
            <w:tcBorders>
              <w:bottom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合同履约期限</w:t>
            </w:r>
          </w:p>
        </w:tc>
        <w:tc>
          <w:tcPr>
            <w:tcW w:w="4237"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jc w:val="center"/>
        </w:trPr>
        <w:tc>
          <w:tcPr>
            <w:tcW w:w="3195" w:type="dxa"/>
            <w:tcBorders>
              <w:bottom w:val="single" w:color="auto" w:sz="4" w:space="0"/>
            </w:tcBorders>
            <w:noWrap w:val="0"/>
            <w:vAlign w:val="center"/>
          </w:tcPr>
          <w:p>
            <w:pPr>
              <w:pStyle w:val="24"/>
              <w:spacing w:line="360" w:lineRule="auto"/>
              <w:ind w:firstLine="0" w:firstLineChars="0"/>
              <w:jc w:val="center"/>
              <w:rPr>
                <w:rFonts w:hint="eastAsia" w:ascii="宋体" w:hAnsi="宋体" w:eastAsia="宋体" w:cs="宋体"/>
                <w:color w:val="auto"/>
                <w:sz w:val="24"/>
                <w:highlight w:val="none"/>
              </w:rPr>
            </w:pPr>
          </w:p>
        </w:tc>
        <w:tc>
          <w:tcPr>
            <w:tcW w:w="4426"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799"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4237"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exact"/>
          <w:jc w:val="center"/>
        </w:trPr>
        <w:tc>
          <w:tcPr>
            <w:tcW w:w="3195"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11462" w:type="dxa"/>
            <w:gridSpan w:val="3"/>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9" w:hRule="exact"/>
          <w:jc w:val="center"/>
        </w:trPr>
        <w:tc>
          <w:tcPr>
            <w:tcW w:w="3195" w:type="dxa"/>
            <w:vMerge w:val="continue"/>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1462" w:type="dxa"/>
            <w:gridSpan w:val="3"/>
            <w:tcBorders>
              <w:bottom w:val="single" w:color="auto" w:sz="4"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(大写)</w:t>
            </w:r>
          </w:p>
        </w:tc>
      </w:tr>
    </w:tbl>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360" w:lineRule="auto"/>
        <w:outlineLvl w:val="2"/>
        <w:rPr>
          <w:rFonts w:hint="eastAsia" w:ascii="宋体" w:hAnsi="宋体" w:cs="宋体"/>
          <w:b/>
          <w:color w:val="auto"/>
          <w:sz w:val="24"/>
          <w:highlight w:val="none"/>
        </w:rPr>
      </w:pPr>
      <w:r>
        <w:rPr>
          <w:rFonts w:hint="eastAsia" w:ascii="宋体" w:hAnsi="宋体" w:cs="宋体"/>
          <w:b/>
          <w:color w:val="auto"/>
          <w:sz w:val="24"/>
          <w:highlight w:val="none"/>
        </w:rPr>
        <w:t>注：在开标一览表中，按第二章投标人须知11.2条款的规定不允许出现两种报价，否则其投标将被拒绝。</w:t>
      </w:r>
    </w:p>
    <w:p>
      <w:pPr>
        <w:spacing w:line="360" w:lineRule="auto"/>
        <w:ind w:left="564"/>
        <w:rPr>
          <w:rFonts w:hint="eastAsia" w:ascii="宋体" w:hAnsi="宋体" w:cs="宋体"/>
          <w:b/>
          <w:color w:val="auto"/>
          <w:sz w:val="24"/>
          <w:highlight w:val="none"/>
        </w:rPr>
      </w:pPr>
    </w:p>
    <w:p>
      <w:pPr>
        <w:pStyle w:val="27"/>
        <w:spacing w:line="360" w:lineRule="auto"/>
        <w:ind w:left="0" w:leftChars="0" w:firstLine="0" w:firstLineChars="0"/>
        <w:jc w:val="both"/>
        <w:outlineLvl w:val="1"/>
        <w:rPr>
          <w:rFonts w:hint="eastAsia" w:ascii="宋体" w:hAnsi="宋体" w:eastAsia="宋体" w:cs="宋体"/>
          <w:color w:val="auto"/>
          <w:sz w:val="24"/>
        </w:rPr>
      </w:pPr>
    </w:p>
    <w:p>
      <w:pPr>
        <w:spacing w:line="360" w:lineRule="auto"/>
        <w:jc w:val="left"/>
        <w:outlineLvl w:val="1"/>
        <w:rPr>
          <w:rFonts w:hint="eastAsia" w:ascii="宋体" w:hAnsi="宋体" w:cs="宋体"/>
          <w:b/>
          <w:color w:val="auto"/>
          <w:sz w:val="24"/>
          <w:highlight w:val="none"/>
        </w:rPr>
        <w:sectPr>
          <w:pgSz w:w="16781" w:h="11849" w:orient="landscape"/>
          <w:pgMar w:top="1080" w:right="1440" w:bottom="1080" w:left="1440" w:header="851" w:footer="850" w:gutter="0"/>
          <w:cols w:space="720" w:num="1"/>
          <w:formProt w:val="1"/>
          <w:titlePg/>
          <w:docGrid w:type="linesAndChars" w:linePitch="320" w:charSpace="269"/>
        </w:sectPr>
      </w:pPr>
    </w:p>
    <w:p>
      <w:pPr>
        <w:pStyle w:val="7"/>
        <w:jc w:val="center"/>
        <w:rPr>
          <w:rFonts w:hint="eastAsia"/>
          <w:color w:val="auto"/>
        </w:rPr>
      </w:pPr>
      <w:r>
        <w:rPr>
          <w:rFonts w:hint="eastAsia"/>
          <w:b/>
          <w:color w:val="auto"/>
          <w:sz w:val="30"/>
          <w:szCs w:val="30"/>
          <w:highlight w:val="none"/>
          <w:lang w:eastAsia="zh-CN"/>
        </w:rPr>
        <w:t>（六）报价清单明细</w:t>
      </w:r>
      <w:r>
        <w:rPr>
          <w:rFonts w:hint="eastAsia"/>
          <w:b/>
          <w:color w:val="auto"/>
          <w:sz w:val="30"/>
          <w:szCs w:val="30"/>
          <w:highlight w:val="none"/>
        </w:rPr>
        <w:t>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1125"/>
        <w:gridCol w:w="1305"/>
        <w:gridCol w:w="930"/>
        <w:gridCol w:w="3090"/>
        <w:gridCol w:w="915"/>
        <w:gridCol w:w="825"/>
        <w:gridCol w:w="525"/>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35"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p>
        </w:tc>
        <w:tc>
          <w:tcPr>
            <w:tcW w:w="41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p>
        </w:tc>
        <w:tc>
          <w:tcPr>
            <w:tcW w:w="26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p>
        </w:tc>
        <w:tc>
          <w:tcPr>
            <w:tcW w:w="38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绿化区域</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绿化种类</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单价(元)</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rPr>
              <w:t>合价(元)</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厂</w:t>
            </w:r>
            <w:r>
              <w:rPr>
                <w:rFonts w:hint="eastAsia" w:ascii="宋体" w:hAnsi="宋体" w:eastAsia="宋体" w:cs="宋体"/>
                <w:i w:val="0"/>
                <w:iCs w:val="0"/>
                <w:color w:val="auto"/>
                <w:kern w:val="0"/>
                <w:sz w:val="22"/>
                <w:szCs w:val="22"/>
                <w:u w:val="none"/>
                <w:lang w:val="en-US" w:eastAsia="zh-CN" w:bidi="ar"/>
              </w:rPr>
              <w:t>家</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品牌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园林环卫服务中心采购草种、花种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高羊茅草种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三叶草种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波斯菊</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醉蝶</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鼠尾草</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虞美人</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新沙路与乌喀路环岛改造</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水蜡</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两年生冠丛高度40cm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丁香树</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桃叶卫矛</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榆叶梅球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卫矛球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高杆卫矛</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金叶榆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红叶李</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塔其艾日克镇钟鼓楼 采购苗木</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胸径12-15cm、株高5-6m、冠径3-3.5m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东城片区生态停车场、文化产业园 、气象局绿地采购苗木</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紫叶稠李</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滨湖广场凉亭旁绿化带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爬山虎</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冠丛高度100cm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友谊路、新华路、文化产业园、和字广场  花卉种植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大花萱草</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燕尾</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荷兰菊</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松果菊</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假龙头</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月季</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多年生</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黑心菊</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四季玫瑰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多年生</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天人菊</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孔雀草</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牵牛花</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鸡冠花</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一年生高度30-40公分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万寿菊</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172150株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一年生高度30-41公分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孔雀草</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东城片区苗木、花卉、草皮种植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矮牵牛</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四季玫瑰</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两年生杯苗50-60cm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芍药花</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两年生杯苗10-20cm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水蜡球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红叶李球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276株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高羊茅草种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胸径10-12cm、株高4-4.5m、冠径3-3.5m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金叶榆</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胸径10-12cm、株高3-3.5m、冠径3-3.5m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金叶榆球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万寿菊</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60000株</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胡杨</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胸径15-20cm、株高4-4.5m、冠径3-3.5m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垂柳</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胸径15-20cm、株高5-6m、冠径3-3.5m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长枝榆</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胸径10-12cm、株高4-4.5m、冠径3-3.5m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山杏</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丝棉木</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胸径10-12cm、株高3-3.5m、冠径3-3.5m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胸径10-12cm、株高3.5-4m、冠径3-3.5m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东城片区新增养护</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文工团范围整改绿化林带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4490㎡</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都护府二期</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142126㎡</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迎宾馆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2671㎡</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教育局范围整改绿化林带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6650㎡</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环城路杨树林带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39516㎡</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和谐路人行道南侧林带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3325㎡</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红光路滨湖B区大门口两侧林带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5740㎡</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红光路滨湖A区北门大门口两侧林带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4510㎡</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解放路滨湖生态停车场</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1547㎡</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解放路滨湖C区大门口左边宽幅林带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2210㎡</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滨湖南路宽幅林带及游乐场南头绿化改造</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高羊茅草种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spacing w:line="360" w:lineRule="auto"/>
        <w:ind w:firstLine="3754" w:firstLineChars="1558"/>
        <w:jc w:val="left"/>
        <w:outlineLvl w:val="1"/>
        <w:rPr>
          <w:rFonts w:hint="eastAsia" w:ascii="宋体" w:hAnsi="宋体" w:cs="宋体"/>
          <w:b/>
          <w:color w:val="auto"/>
          <w:sz w:val="24"/>
          <w:highlight w:val="none"/>
        </w:rPr>
      </w:pPr>
    </w:p>
    <w:p>
      <w:pPr>
        <w:spacing w:line="360" w:lineRule="auto"/>
        <w:ind w:firstLine="3754" w:firstLineChars="1558"/>
        <w:jc w:val="left"/>
        <w:outlineLvl w:val="1"/>
        <w:rPr>
          <w:rFonts w:hint="eastAsia" w:ascii="宋体" w:hAnsi="宋体" w:cs="宋体"/>
          <w:b/>
          <w:color w:val="auto"/>
          <w:sz w:val="24"/>
          <w:highlight w:val="none"/>
        </w:rPr>
      </w:pPr>
    </w:p>
    <w:p>
      <w:pPr>
        <w:pStyle w:val="7"/>
        <w:rPr>
          <w:rFonts w:hint="eastAsia" w:ascii="宋体" w:hAnsi="宋体" w:cs="宋体"/>
          <w:b/>
          <w:color w:val="auto"/>
          <w:sz w:val="24"/>
          <w:highlight w:val="none"/>
        </w:rPr>
      </w:pP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8"/>
        <w:rPr>
          <w:rFonts w:hint="eastAsia"/>
          <w:color w:val="auto"/>
        </w:rPr>
      </w:pPr>
    </w:p>
    <w:p>
      <w:pPr>
        <w:rPr>
          <w:rFonts w:hint="eastAsia"/>
          <w:color w:val="auto"/>
        </w:rPr>
      </w:pPr>
    </w:p>
    <w:p>
      <w:pPr>
        <w:pStyle w:val="7"/>
        <w:rPr>
          <w:rFonts w:hint="eastAsia"/>
          <w:color w:val="auto"/>
        </w:rPr>
      </w:pPr>
    </w:p>
    <w:p>
      <w:pPr>
        <w:pStyle w:val="8"/>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8"/>
        <w:ind w:left="0" w:leftChars="0" w:firstLine="0" w:firstLineChars="0"/>
        <w:rPr>
          <w:rFonts w:hint="eastAsia"/>
          <w:color w:val="auto"/>
        </w:rPr>
      </w:pPr>
    </w:p>
    <w:p>
      <w:pPr>
        <w:spacing w:line="360" w:lineRule="auto"/>
        <w:ind w:firstLine="3754" w:firstLineChars="1558"/>
        <w:jc w:val="left"/>
        <w:outlineLvl w:val="1"/>
        <w:rPr>
          <w:rFonts w:hint="eastAsia" w:ascii="宋体" w:hAnsi="宋体" w:cs="宋体"/>
          <w:b/>
          <w:color w:val="auto"/>
          <w:sz w:val="24"/>
          <w:highlight w:val="none"/>
        </w:rPr>
      </w:pPr>
    </w:p>
    <w:p>
      <w:pPr>
        <w:pStyle w:val="10"/>
        <w:ind w:right="-553"/>
        <w:jc w:val="center"/>
        <w:outlineLvl w:val="1"/>
        <w:rPr>
          <w:rFonts w:hint="eastAsia" w:hAnsi="宋体" w:cs="宋体"/>
          <w:color w:val="auto"/>
          <w:sz w:val="24"/>
          <w:highlight w:val="none"/>
        </w:rPr>
      </w:pPr>
      <w:r>
        <w:rPr>
          <w:rFonts w:hint="eastAsia" w:hAnsi="宋体" w:cs="宋体"/>
          <w:b/>
          <w:color w:val="auto"/>
          <w:sz w:val="24"/>
          <w:highlight w:val="none"/>
          <w:lang w:eastAsia="zh-CN"/>
        </w:rPr>
        <w:t>（七）</w:t>
      </w:r>
      <w:r>
        <w:rPr>
          <w:rFonts w:hint="eastAsia" w:hAnsi="宋体" w:cs="宋体"/>
          <w:b/>
          <w:color w:val="auto"/>
          <w:sz w:val="24"/>
          <w:highlight w:val="none"/>
        </w:rPr>
        <w:t>技 术 规 格 偏 离 表</w:t>
      </w:r>
    </w:p>
    <w:p>
      <w:pPr>
        <w:spacing w:line="360" w:lineRule="auto"/>
        <w:ind w:firstLine="3754" w:firstLineChars="1558"/>
        <w:jc w:val="left"/>
        <w:outlineLvl w:val="1"/>
        <w:rPr>
          <w:rFonts w:hint="eastAsia" w:ascii="宋体" w:hAnsi="宋体" w:cs="宋体"/>
          <w:b/>
          <w:color w:val="auto"/>
          <w:sz w:val="24"/>
          <w:highlight w:val="none"/>
        </w:rPr>
      </w:pPr>
    </w:p>
    <w:tbl>
      <w:tblPr>
        <w:tblStyle w:val="17"/>
        <w:tblW w:w="46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200"/>
        <w:gridCol w:w="1275"/>
        <w:gridCol w:w="990"/>
        <w:gridCol w:w="3360"/>
        <w:gridCol w:w="675"/>
        <w:gridCol w:w="70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2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城区绿化项目预算表</w:t>
            </w:r>
          </w:p>
        </w:tc>
        <w:tc>
          <w:tcPr>
            <w:tcW w:w="38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36"/>
                <w:szCs w:val="36"/>
                <w:u w:val="none"/>
                <w:lang w:val="en-US" w:eastAsia="zh-CN" w:bidi="ar"/>
              </w:rPr>
            </w:pPr>
          </w:p>
        </w:tc>
        <w:tc>
          <w:tcPr>
            <w:tcW w:w="29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绿化区域</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绿化种类</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供应商提供的参数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正偏离/负偏离/无偏离</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园林环卫服务中心采购草种、花种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高羊茅草种</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三叶草种</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波斯菊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醉蝶</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鼠尾草</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虞美人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新沙路与乌喀路环岛改造</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两年生冠丛高度40cm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丁香树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桃叶卫矛</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榆叶梅球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卫矛球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高杆卫矛</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冠丛高度0.8-1m、蓬径0.6-0.8m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金叶榆</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红叶李</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塔其艾日克镇钟鼓楼 采购苗木</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白蜡</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胸径12-15cm、株高5-6m、冠径3-3.5m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东城片区生态停车场、文化产业园 、气象局绿地采购苗木</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紫叶稠李</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滨湖广场凉亭旁绿化带 </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爬山虎</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冠丛高度100cm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友谊路、新华路、文化产业园、和字广场  花卉种植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大花萱草</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燕尾</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荷兰菊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松果菊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假龙头</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月季</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多年生</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黑心菊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四季玫瑰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多年生</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天人菊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孔雀草</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牵牛花</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鸡冠花</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一年生高度30-40公分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万寿菊</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172150株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一年生高度30-41公分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孔雀草</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东城片区苗木、花卉、草皮种植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矮牵牛</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四季玫瑰</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两年生杯苗50-60cm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芍药花</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两年生杯苗10-20cm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水蜡球</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红叶李球</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276株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高羊茅草种</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胸径10-12cm、株高4-4.5m、冠径3-3.5m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金叶榆</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胸径10-12cm、株高3-3.5m、冠径3-3.5m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金叶榆球</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冠丛高度100cm、蓬径50cm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万寿菊</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60000株</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一年生高度10-20公分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胡杨</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胸径15-20cm、株高4-4.5m、冠径3-3.5m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垂柳</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胸径15-20cm、株高5-6m、冠径3-3.5m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长枝榆</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胸径10-12cm、株高4-4.5m、冠径3-3.5m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山杏</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胸径8-10cm、株高2.5-3m、冠径2-2.5m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丝棉木</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胸径10-12cm、株高3-3.5m、冠径3-3.5m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核桃</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20棵</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胸径10-12cm、株高3.5-4m、冠径3-3.5m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东城片区新增养护</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文工团范围整改绿化林带</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4490㎡</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都护府二期</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142126㎡</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迎宾馆</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2671㎡</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教育局范围整改绿化林带</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6650㎡</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环城路杨树林带</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39516㎡</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和谐路人行道南侧林带</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3325㎡</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红光路滨湖B区大门口两侧林带</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5740㎡</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红光路滨湖A区北门大门口两侧林带</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4510㎡</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解放路滨湖生态停车场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1547㎡</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解放路滨湖C区大门口左边宽幅林带</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2210㎡</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二级养护</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滨湖南路宽幅林带及游乐场南头绿化改造</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高羊茅草种</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pStyle w:val="7"/>
        <w:rPr>
          <w:rFonts w:hint="eastAsia" w:ascii="宋体" w:hAnsi="宋体" w:cs="宋体"/>
          <w:b/>
          <w:color w:val="auto"/>
          <w:sz w:val="24"/>
          <w:highlight w:val="none"/>
        </w:rPr>
      </w:pPr>
    </w:p>
    <w:p>
      <w:pPr>
        <w:pStyle w:val="8"/>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7"/>
        <w:rPr>
          <w:rFonts w:hint="eastAsia"/>
          <w:color w:val="auto"/>
        </w:rPr>
      </w:pPr>
    </w:p>
    <w:p>
      <w:pPr>
        <w:pStyle w:val="8"/>
        <w:rPr>
          <w:rFonts w:hint="eastAsia"/>
          <w:color w:val="auto"/>
        </w:rPr>
      </w:pPr>
    </w:p>
    <w:p>
      <w:pPr>
        <w:rPr>
          <w:rFonts w:hint="eastAsia"/>
          <w:color w:val="auto"/>
        </w:rPr>
      </w:pP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
        <w:rPr>
          <w:rFonts w:hint="eastAsia"/>
          <w:color w:val="auto"/>
        </w:rPr>
        <w:sectPr>
          <w:pgSz w:w="11849" w:h="16781"/>
          <w:pgMar w:top="1440" w:right="1080" w:bottom="1440" w:left="1080" w:header="851" w:footer="850" w:gutter="0"/>
          <w:cols w:space="720" w:num="1"/>
          <w:formProt w:val="1"/>
          <w:titlePg/>
          <w:docGrid w:type="linesAndChars" w:linePitch="320" w:charSpace="269"/>
        </w:sectPr>
      </w:pPr>
    </w:p>
    <w:p>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八</w:t>
      </w:r>
      <w:r>
        <w:rPr>
          <w:rFonts w:hint="eastAsia" w:ascii="宋体" w:hAnsi="宋体" w:cs="宋体"/>
          <w:b/>
          <w:color w:val="auto"/>
          <w:kern w:val="0"/>
          <w:sz w:val="24"/>
          <w:highlight w:val="none"/>
        </w:rPr>
        <w:t>）、资格审查资料</w:t>
      </w:r>
    </w:p>
    <w:p>
      <w:pPr>
        <w:autoSpaceDE w:val="0"/>
        <w:autoSpaceDN w:val="0"/>
        <w:adjustRightInd w:val="0"/>
        <w:spacing w:line="360"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t>（１）投标人基本情况表</w:t>
      </w:r>
    </w:p>
    <w:tbl>
      <w:tblPr>
        <w:tblStyle w:val="1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09"/>
        <w:gridCol w:w="283"/>
        <w:gridCol w:w="1078"/>
        <w:gridCol w:w="906"/>
        <w:gridCol w:w="537"/>
        <w:gridCol w:w="1402"/>
        <w:gridCol w:w="294"/>
        <w:gridCol w:w="79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3813" w:type="dxa"/>
            <w:gridSpan w:val="5"/>
            <w:noWrap w:val="0"/>
            <w:vAlign w:val="center"/>
          </w:tcPr>
          <w:p>
            <w:pPr>
              <w:spacing w:line="360" w:lineRule="auto"/>
              <w:jc w:val="center"/>
              <w:rPr>
                <w:rFonts w:hint="eastAsia" w:ascii="宋体" w:hAnsi="宋体" w:cs="宋体"/>
                <w:color w:val="auto"/>
                <w:sz w:val="24"/>
                <w:highlight w:val="none"/>
              </w:rPr>
            </w:pPr>
          </w:p>
        </w:tc>
        <w:tc>
          <w:tcPr>
            <w:tcW w:w="140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2685"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1"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1292"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521" w:type="dxa"/>
            <w:gridSpan w:val="3"/>
            <w:noWrap w:val="0"/>
            <w:vAlign w:val="center"/>
          </w:tcPr>
          <w:p>
            <w:pPr>
              <w:spacing w:line="360" w:lineRule="auto"/>
              <w:jc w:val="center"/>
              <w:rPr>
                <w:rFonts w:hint="eastAsia" w:ascii="宋体" w:hAnsi="宋体" w:cs="宋体"/>
                <w:color w:val="auto"/>
                <w:sz w:val="24"/>
                <w:highlight w:val="none"/>
              </w:rPr>
            </w:pPr>
          </w:p>
        </w:tc>
        <w:tc>
          <w:tcPr>
            <w:tcW w:w="140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  话</w:t>
            </w:r>
          </w:p>
        </w:tc>
        <w:tc>
          <w:tcPr>
            <w:tcW w:w="2685"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71" w:type="dxa"/>
            <w:vMerge w:val="continue"/>
            <w:noWrap w:val="0"/>
            <w:vAlign w:val="center"/>
          </w:tcPr>
          <w:p>
            <w:pPr>
              <w:spacing w:line="360" w:lineRule="auto"/>
              <w:jc w:val="center"/>
              <w:rPr>
                <w:rFonts w:hint="eastAsia" w:ascii="宋体" w:hAnsi="宋体" w:cs="宋体"/>
                <w:color w:val="auto"/>
                <w:sz w:val="24"/>
                <w:highlight w:val="none"/>
              </w:rPr>
            </w:pPr>
          </w:p>
        </w:tc>
        <w:tc>
          <w:tcPr>
            <w:tcW w:w="1292"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传  真</w:t>
            </w:r>
          </w:p>
        </w:tc>
        <w:tc>
          <w:tcPr>
            <w:tcW w:w="2521" w:type="dxa"/>
            <w:gridSpan w:val="3"/>
            <w:noWrap w:val="0"/>
            <w:vAlign w:val="center"/>
          </w:tcPr>
          <w:p>
            <w:pPr>
              <w:spacing w:line="360" w:lineRule="auto"/>
              <w:jc w:val="center"/>
              <w:rPr>
                <w:rFonts w:hint="eastAsia" w:ascii="宋体" w:hAnsi="宋体" w:cs="宋体"/>
                <w:color w:val="auto"/>
                <w:sz w:val="24"/>
                <w:highlight w:val="none"/>
              </w:rPr>
            </w:pPr>
          </w:p>
        </w:tc>
        <w:tc>
          <w:tcPr>
            <w:tcW w:w="140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网  址</w:t>
            </w:r>
          </w:p>
        </w:tc>
        <w:tc>
          <w:tcPr>
            <w:tcW w:w="2685"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组织结构</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009"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1443"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96" w:type="dxa"/>
            <w:gridSpan w:val="2"/>
            <w:noWrap w:val="0"/>
            <w:vAlign w:val="center"/>
          </w:tcPr>
          <w:p>
            <w:pPr>
              <w:spacing w:line="360" w:lineRule="auto"/>
              <w:jc w:val="center"/>
              <w:rPr>
                <w:rFonts w:hint="eastAsia" w:ascii="宋体" w:hAnsi="宋体" w:cs="宋体"/>
                <w:color w:val="auto"/>
                <w:sz w:val="24"/>
                <w:highlight w:val="none"/>
              </w:rPr>
            </w:pPr>
          </w:p>
        </w:tc>
        <w:tc>
          <w:tcPr>
            <w:tcW w:w="79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593"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009"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1443"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96" w:type="dxa"/>
            <w:gridSpan w:val="2"/>
            <w:noWrap w:val="0"/>
            <w:vAlign w:val="center"/>
          </w:tcPr>
          <w:p>
            <w:pPr>
              <w:spacing w:line="360" w:lineRule="auto"/>
              <w:jc w:val="center"/>
              <w:rPr>
                <w:rFonts w:hint="eastAsia" w:ascii="宋体" w:hAnsi="宋体" w:cs="宋体"/>
                <w:color w:val="auto"/>
                <w:sz w:val="24"/>
                <w:highlight w:val="none"/>
              </w:rPr>
            </w:pPr>
          </w:p>
        </w:tc>
        <w:tc>
          <w:tcPr>
            <w:tcW w:w="79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593"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2370" w:type="dxa"/>
            <w:gridSpan w:val="3"/>
            <w:noWrap w:val="0"/>
            <w:vAlign w:val="center"/>
          </w:tcPr>
          <w:p>
            <w:pPr>
              <w:spacing w:line="360" w:lineRule="auto"/>
              <w:jc w:val="center"/>
              <w:rPr>
                <w:rFonts w:hint="eastAsia" w:ascii="宋体" w:hAnsi="宋体" w:cs="宋体"/>
                <w:color w:val="auto"/>
                <w:sz w:val="24"/>
                <w:highlight w:val="none"/>
              </w:rPr>
            </w:pPr>
          </w:p>
        </w:tc>
        <w:tc>
          <w:tcPr>
            <w:tcW w:w="5530" w:type="dxa"/>
            <w:gridSpan w:val="6"/>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企业资质等级</w:t>
            </w:r>
          </w:p>
        </w:tc>
        <w:tc>
          <w:tcPr>
            <w:tcW w:w="1009" w:type="dxa"/>
            <w:noWrap w:val="0"/>
            <w:vAlign w:val="center"/>
          </w:tcPr>
          <w:p>
            <w:pPr>
              <w:spacing w:line="360" w:lineRule="auto"/>
              <w:jc w:val="center"/>
              <w:rPr>
                <w:rFonts w:hint="eastAsia" w:ascii="宋体" w:hAnsi="宋体" w:cs="宋体"/>
                <w:color w:val="auto"/>
                <w:sz w:val="24"/>
                <w:highlight w:val="none"/>
              </w:rPr>
            </w:pP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906"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营业执照号</w:t>
            </w:r>
          </w:p>
        </w:tc>
        <w:tc>
          <w:tcPr>
            <w:tcW w:w="1009" w:type="dxa"/>
            <w:noWrap w:val="0"/>
            <w:vAlign w:val="center"/>
          </w:tcPr>
          <w:p>
            <w:pPr>
              <w:spacing w:line="360" w:lineRule="auto"/>
              <w:jc w:val="center"/>
              <w:rPr>
                <w:rFonts w:hint="eastAsia" w:ascii="宋体" w:hAnsi="宋体" w:cs="宋体"/>
                <w:color w:val="auto"/>
                <w:sz w:val="24"/>
                <w:highlight w:val="none"/>
              </w:rPr>
            </w:pP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高级职称人员</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1009" w:type="dxa"/>
            <w:noWrap w:val="0"/>
            <w:vAlign w:val="center"/>
          </w:tcPr>
          <w:p>
            <w:pPr>
              <w:spacing w:line="360" w:lineRule="auto"/>
              <w:jc w:val="center"/>
              <w:rPr>
                <w:rFonts w:hint="eastAsia" w:ascii="宋体" w:hAnsi="宋体" w:cs="宋体"/>
                <w:color w:val="auto"/>
                <w:sz w:val="24"/>
                <w:highlight w:val="none"/>
              </w:rPr>
            </w:pP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中级职称人员</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1009" w:type="dxa"/>
            <w:noWrap w:val="0"/>
            <w:vAlign w:val="center"/>
          </w:tcPr>
          <w:p>
            <w:pPr>
              <w:spacing w:line="360" w:lineRule="auto"/>
              <w:jc w:val="center"/>
              <w:rPr>
                <w:rFonts w:hint="eastAsia" w:ascii="宋体" w:hAnsi="宋体" w:cs="宋体"/>
                <w:color w:val="auto"/>
                <w:sz w:val="24"/>
                <w:highlight w:val="none"/>
              </w:rPr>
            </w:pP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初级职称人员</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账号</w:t>
            </w:r>
          </w:p>
        </w:tc>
        <w:tc>
          <w:tcPr>
            <w:tcW w:w="1009" w:type="dxa"/>
            <w:noWrap w:val="0"/>
            <w:vAlign w:val="center"/>
          </w:tcPr>
          <w:p>
            <w:pPr>
              <w:spacing w:line="360" w:lineRule="auto"/>
              <w:jc w:val="center"/>
              <w:rPr>
                <w:rFonts w:hint="eastAsia" w:ascii="宋体" w:hAnsi="宋体" w:cs="宋体"/>
                <w:color w:val="auto"/>
                <w:sz w:val="24"/>
                <w:highlight w:val="none"/>
              </w:rPr>
            </w:pP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  工</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bl>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备注：本表后应附企业法人营业执照及其年检合格的证明材料等材料的复印件。</w:t>
      </w:r>
    </w:p>
    <w:p>
      <w:pPr>
        <w:spacing w:line="360" w:lineRule="auto"/>
        <w:rPr>
          <w:rFonts w:hint="eastAsia" w:ascii="宋体" w:hAnsi="宋体" w:cs="宋体"/>
          <w:color w:val="auto"/>
          <w:sz w:val="24"/>
          <w:highlight w:val="none"/>
        </w:rPr>
      </w:pPr>
    </w:p>
    <w:p>
      <w:pPr>
        <w:spacing w:before="160" w:beforeLines="50" w:after="160" w:afterLines="50" w:line="360" w:lineRule="auto"/>
        <w:jc w:val="both"/>
        <w:rPr>
          <w:rFonts w:hint="eastAsia" w:ascii="宋体" w:hAnsi="宋体" w:cs="宋体"/>
          <w:b/>
          <w:color w:val="auto"/>
          <w:sz w:val="24"/>
          <w:highlight w:val="none"/>
        </w:rPr>
      </w:pPr>
      <w:r>
        <w:rPr>
          <w:rFonts w:hint="eastAsia" w:ascii="宋体" w:hAnsi="宋体" w:cs="宋体"/>
          <w:b/>
          <w:color w:val="auto"/>
          <w:sz w:val="24"/>
          <w:highlight w:val="none"/>
        </w:rPr>
        <w:t>（2）企业其他信誉情况表</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1）近三年企业不良行为记录情况</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2）在供货以及近年已完成供货合同履行情况</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3）其  他</w:t>
      </w:r>
    </w:p>
    <w:p>
      <w:pPr>
        <w:spacing w:line="360" w:lineRule="auto"/>
        <w:ind w:left="724" w:hanging="723" w:hangingChars="300"/>
        <w:rPr>
          <w:rFonts w:hint="eastAsia" w:ascii="宋体" w:hAnsi="宋体" w:cs="宋体"/>
          <w:color w:val="auto"/>
          <w:sz w:val="24"/>
          <w:highlight w:val="none"/>
        </w:rPr>
      </w:pPr>
    </w:p>
    <w:p>
      <w:pPr>
        <w:pStyle w:val="2"/>
        <w:rPr>
          <w:rFonts w:hint="eastAsia"/>
          <w:color w:val="auto"/>
        </w:rPr>
      </w:pPr>
    </w:p>
    <w:p>
      <w:pPr>
        <w:rPr>
          <w:rFonts w:hint="eastAsia"/>
          <w:color w:val="auto"/>
        </w:rPr>
      </w:pPr>
    </w:p>
    <w:p>
      <w:pPr>
        <w:numPr>
          <w:ilvl w:val="0"/>
          <w:numId w:val="0"/>
        </w:numPr>
        <w:autoSpaceDE w:val="0"/>
        <w:autoSpaceDN w:val="0"/>
        <w:adjustRightInd w:val="0"/>
        <w:snapToGrid w:val="0"/>
        <w:spacing w:line="360" w:lineRule="auto"/>
        <w:jc w:val="center"/>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九</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
          <w:color w:val="auto"/>
          <w:kern w:val="0"/>
          <w:sz w:val="24"/>
          <w:lang w:val="en-US" w:eastAsia="zh-CN"/>
        </w:rPr>
      </w:pPr>
      <w:r>
        <w:rPr>
          <w:rFonts w:hint="eastAsia" w:ascii="宋体" w:hAnsi="宋体" w:cs="宋体"/>
          <w:b/>
          <w:bCs/>
          <w:color w:val="auto"/>
          <w:kern w:val="0"/>
          <w:sz w:val="28"/>
          <w:szCs w:val="18"/>
          <w:lang w:val="en-US" w:eastAsia="zh-CN" w:bidi="ar-SA"/>
        </w:rPr>
        <w:t>（提供财务审计报告或财务报表，（包含资产负债表、现金流量表、利润表）</w:t>
      </w:r>
      <w:r>
        <w:rPr>
          <w:rFonts w:hint="eastAsia" w:ascii="宋体" w:hAnsi="宋体" w:eastAsia="宋体" w:cs="宋体"/>
          <w:b/>
          <w:color w:val="auto"/>
          <w:kern w:val="0"/>
          <w:sz w:val="24"/>
          <w:lang w:val="en-US" w:eastAsia="zh-CN"/>
        </w:rPr>
        <w:t>；具有近一年任意三个月的社保证明（需有相关人员的社保缴纳明细，退休人员需提供退休证明）；具有近一年任意三个月的完税证明（依法免税的供应商，须提供相应文件证明其依法免税）；“信用中国”网站和国家企业信用公示报告、中国政府采购网未列入失信被执行人、重大税收违法案件当事人名单、政府采购严重违法失信行为记录名单的（尚在处罚期内的）、经营异常名录的的查询结果的截图。）</w:t>
      </w:r>
    </w:p>
    <w:p>
      <w:pPr>
        <w:autoSpaceDE w:val="0"/>
        <w:autoSpaceDN w:val="0"/>
        <w:adjustRightInd w:val="0"/>
        <w:snapToGrid w:val="0"/>
        <w:spacing w:line="360" w:lineRule="auto"/>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7"/>
        <w:ind w:firstLine="0"/>
        <w:rPr>
          <w:rFonts w:hint="eastAsia" w:ascii="宋体" w:hAnsi="宋体" w:cs="宋体"/>
          <w:color w:val="auto"/>
          <w:sz w:val="24"/>
        </w:rPr>
      </w:pPr>
      <w:r>
        <w:rPr>
          <w:rFonts w:hint="eastAsia" w:ascii="宋体" w:hAnsi="宋体" w:cs="宋体"/>
          <w:color w:val="auto"/>
          <w:sz w:val="24"/>
        </w:rPr>
        <w:t>附件：</w:t>
      </w:r>
    </w:p>
    <w:p>
      <w:pPr>
        <w:widowControl/>
        <w:jc w:val="center"/>
        <w:rPr>
          <w:rFonts w:hint="eastAsia" w:ascii="宋体" w:hAnsi="宋体" w:cs="宋体"/>
          <w:color w:val="auto"/>
        </w:rPr>
      </w:pPr>
      <w:r>
        <w:rPr>
          <w:rFonts w:hint="eastAsia" w:ascii="宋体" w:hAnsi="宋体" w:cs="宋体"/>
          <w:b/>
          <w:color w:val="auto"/>
          <w:kern w:val="0"/>
          <w:sz w:val="36"/>
          <w:szCs w:val="36"/>
          <w:lang w:bidi="ar"/>
        </w:rPr>
        <w:t>中小企业声明函</w:t>
      </w:r>
    </w:p>
    <w:p>
      <w:pPr>
        <w:widowControl/>
        <w:spacing w:line="440" w:lineRule="exact"/>
        <w:ind w:firstLine="482" w:firstLineChars="200"/>
        <w:jc w:val="left"/>
        <w:rPr>
          <w:rFonts w:hint="eastAsia" w:ascii="宋体" w:hAnsi="宋体" w:cs="宋体"/>
          <w:color w:val="auto"/>
          <w:sz w:val="24"/>
        </w:rPr>
      </w:pPr>
      <w:r>
        <w:rPr>
          <w:rFonts w:hint="eastAsia" w:ascii="宋体" w:hAnsi="宋体" w:cs="宋体"/>
          <w:color w:val="auto"/>
          <w:kern w:val="0"/>
          <w:sz w:val="24"/>
          <w:lang w:bidi="ar"/>
        </w:rPr>
        <w:t>本公司（联合体）郑重声明，根据《政府采购促进中小企业发展管理办法》（财库﹝2020﹞46号）的规定，本公司（联合体）参加</w:t>
      </w:r>
      <w:r>
        <w:rPr>
          <w:rFonts w:hint="eastAsia" w:ascii="宋体" w:hAnsi="宋体" w:cs="宋体"/>
          <w:color w:val="auto"/>
          <w:kern w:val="0"/>
          <w:sz w:val="24"/>
          <w:u w:val="single"/>
          <w:lang w:bidi="ar"/>
        </w:rPr>
        <w:t xml:space="preserve">  （单位名称）  </w:t>
      </w:r>
      <w:r>
        <w:rPr>
          <w:rFonts w:hint="eastAsia" w:ascii="宋体" w:hAnsi="宋体" w:cs="宋体"/>
          <w:color w:val="auto"/>
          <w:kern w:val="0"/>
          <w:sz w:val="24"/>
          <w:lang w:bidi="ar"/>
        </w:rPr>
        <w:t>的</w:t>
      </w:r>
      <w:r>
        <w:rPr>
          <w:rFonts w:hint="eastAsia" w:ascii="宋体" w:hAnsi="宋体" w:cs="宋体"/>
          <w:color w:val="auto"/>
          <w:kern w:val="0"/>
          <w:sz w:val="24"/>
          <w:u w:val="single"/>
          <w:lang w:bidi="ar"/>
        </w:rPr>
        <w:t xml:space="preserve">  （项目名称）  </w:t>
      </w:r>
      <w:r>
        <w:rPr>
          <w:rFonts w:hint="eastAsia" w:ascii="宋体" w:hAnsi="宋体" w:cs="宋体"/>
          <w:color w:val="auto"/>
          <w:kern w:val="0"/>
          <w:sz w:val="24"/>
          <w:lang w:bidi="ar"/>
        </w:rPr>
        <w:t xml:space="preserve">采购活动，提供的货物全部由符合政策要求的中小企业制造。相关企业（含联合体中的中小企业、签订分包意向协议的中小企业）的具体情况如下： </w:t>
      </w:r>
    </w:p>
    <w:p>
      <w:pPr>
        <w:widowControl/>
        <w:numPr>
          <w:ilvl w:val="0"/>
          <w:numId w:val="6"/>
        </w:numPr>
        <w:spacing w:line="440" w:lineRule="exact"/>
        <w:ind w:firstLine="482" w:firstLineChars="200"/>
        <w:jc w:val="left"/>
        <w:rPr>
          <w:rFonts w:hint="eastAsia" w:ascii="宋体" w:hAnsi="宋体" w:cs="宋体"/>
          <w:color w:val="auto"/>
          <w:kern w:val="0"/>
          <w:sz w:val="24"/>
          <w:lang w:bidi="ar"/>
        </w:rPr>
      </w:pPr>
      <w:r>
        <w:rPr>
          <w:rFonts w:hint="eastAsia" w:ascii="宋体" w:hAnsi="宋体" w:cs="宋体"/>
          <w:color w:val="auto"/>
          <w:kern w:val="0"/>
          <w:sz w:val="24"/>
          <w:u w:val="single"/>
          <w:lang w:bidi="ar"/>
        </w:rPr>
        <w:t xml:space="preserve"> （标的名称）  </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 xml:space="preserve">  （采购文件中明确的所属行业） </w:t>
      </w:r>
      <w:r>
        <w:rPr>
          <w:rFonts w:hint="eastAsia" w:ascii="宋体" w:hAnsi="宋体" w:cs="宋体"/>
          <w:color w:val="auto"/>
          <w:kern w:val="0"/>
          <w:sz w:val="24"/>
          <w:lang w:bidi="ar"/>
        </w:rPr>
        <w:t>行业；制造商为</w:t>
      </w:r>
      <w:r>
        <w:rPr>
          <w:rFonts w:hint="eastAsia" w:ascii="宋体" w:hAnsi="宋体" w:cs="宋体"/>
          <w:color w:val="auto"/>
          <w:kern w:val="0"/>
          <w:sz w:val="24"/>
          <w:u w:val="single"/>
          <w:lang w:bidi="ar"/>
        </w:rPr>
        <w:t xml:space="preserve">  （企业名称）  </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w:t>
      </w:r>
      <w:r>
        <w:rPr>
          <w:rFonts w:hint="eastAsia" w:ascii="宋体" w:hAnsi="宋体" w:cs="宋体"/>
          <w:color w:val="auto"/>
          <w:kern w:val="0"/>
          <w:sz w:val="24"/>
          <w:vertAlign w:val="superscript"/>
          <w:lang w:bidi="ar"/>
        </w:rPr>
        <w:t>1</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（中型企业、小型企业、微型企业）</w:t>
      </w:r>
      <w:r>
        <w:rPr>
          <w:rFonts w:hint="eastAsia" w:ascii="宋体" w:hAnsi="宋体" w:cs="宋体"/>
          <w:color w:val="auto"/>
          <w:kern w:val="0"/>
          <w:sz w:val="24"/>
          <w:lang w:bidi="ar"/>
        </w:rPr>
        <w:t xml:space="preserve">； </w:t>
      </w:r>
    </w:p>
    <w:p>
      <w:pPr>
        <w:widowControl/>
        <w:numPr>
          <w:ilvl w:val="0"/>
          <w:numId w:val="6"/>
        </w:numPr>
        <w:spacing w:line="440" w:lineRule="exact"/>
        <w:ind w:firstLine="482" w:firstLineChars="200"/>
        <w:jc w:val="left"/>
        <w:rPr>
          <w:rFonts w:hint="eastAsia" w:ascii="宋体" w:hAnsi="宋体" w:cs="宋体"/>
          <w:color w:val="auto"/>
          <w:kern w:val="0"/>
          <w:sz w:val="24"/>
          <w:lang w:bidi="ar"/>
        </w:rPr>
      </w:pPr>
      <w:r>
        <w:rPr>
          <w:rFonts w:hint="eastAsia" w:ascii="宋体" w:hAnsi="宋体" w:cs="宋体"/>
          <w:color w:val="auto"/>
          <w:kern w:val="0"/>
          <w:sz w:val="24"/>
          <w:u w:val="single"/>
          <w:lang w:bidi="ar"/>
        </w:rPr>
        <w:t xml:space="preserve"> （标的名称）  </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 xml:space="preserve">  （采购文件中明确的所属行业） </w:t>
      </w:r>
      <w:r>
        <w:rPr>
          <w:rFonts w:hint="eastAsia" w:ascii="宋体" w:hAnsi="宋体" w:cs="宋体"/>
          <w:color w:val="auto"/>
          <w:kern w:val="0"/>
          <w:sz w:val="24"/>
          <w:lang w:bidi="ar"/>
        </w:rPr>
        <w:t>行业；制造商为</w:t>
      </w:r>
      <w:r>
        <w:rPr>
          <w:rFonts w:hint="eastAsia" w:ascii="宋体" w:hAnsi="宋体" w:cs="宋体"/>
          <w:color w:val="auto"/>
          <w:kern w:val="0"/>
          <w:sz w:val="24"/>
          <w:u w:val="single"/>
          <w:lang w:bidi="ar"/>
        </w:rPr>
        <w:t xml:space="preserve">  （企业名称）  </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w:t>
      </w:r>
      <w:r>
        <w:rPr>
          <w:rFonts w:hint="eastAsia" w:ascii="宋体" w:hAnsi="宋体" w:cs="宋体"/>
          <w:color w:val="auto"/>
          <w:kern w:val="0"/>
          <w:sz w:val="24"/>
          <w:vertAlign w:val="superscript"/>
          <w:lang w:bidi="ar"/>
        </w:rPr>
        <w:t>1</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（中型企业、小型企业、微型企业）</w:t>
      </w:r>
      <w:r>
        <w:rPr>
          <w:rFonts w:hint="eastAsia" w:ascii="宋体" w:hAnsi="宋体" w:cs="宋体"/>
          <w:color w:val="auto"/>
          <w:kern w:val="0"/>
          <w:sz w:val="24"/>
          <w:lang w:bidi="ar"/>
        </w:rPr>
        <w:t>；</w:t>
      </w:r>
    </w:p>
    <w:p>
      <w:pPr>
        <w:widowControl/>
        <w:spacing w:line="440" w:lineRule="exact"/>
        <w:ind w:left="422" w:leftChars="200"/>
        <w:jc w:val="left"/>
        <w:rPr>
          <w:rFonts w:hint="eastAsia" w:ascii="宋体" w:hAnsi="宋体" w:cs="宋体"/>
          <w:color w:val="auto"/>
          <w:kern w:val="0"/>
          <w:sz w:val="24"/>
          <w:lang w:bidi="ar"/>
        </w:rPr>
      </w:pPr>
    </w:p>
    <w:p>
      <w:pPr>
        <w:widowControl/>
        <w:spacing w:line="440" w:lineRule="exact"/>
        <w:ind w:firstLine="482" w:firstLineChars="200"/>
        <w:jc w:val="left"/>
        <w:rPr>
          <w:rFonts w:hint="eastAsia" w:ascii="宋体" w:hAnsi="宋体" w:cs="宋体"/>
          <w:color w:val="auto"/>
          <w:sz w:val="24"/>
        </w:rPr>
      </w:pPr>
      <w:r>
        <w:rPr>
          <w:rFonts w:hint="eastAsia" w:ascii="宋体" w:hAnsi="宋体" w:cs="宋体"/>
          <w:color w:val="auto"/>
          <w:kern w:val="0"/>
          <w:sz w:val="24"/>
          <w:lang w:bidi="ar"/>
        </w:rPr>
        <w:t>以上企业，不属于大企业的分支机构，不存在控股股东为大企业的情形，也不存在与大企业的负责人为同一人的情形。</w:t>
      </w:r>
    </w:p>
    <w:p>
      <w:pPr>
        <w:widowControl/>
        <w:spacing w:line="440" w:lineRule="exact"/>
        <w:ind w:firstLine="482" w:firstLineChars="200"/>
        <w:jc w:val="left"/>
        <w:rPr>
          <w:rFonts w:hint="eastAsia" w:ascii="宋体" w:hAnsi="宋体" w:cs="宋体"/>
          <w:color w:val="auto"/>
          <w:sz w:val="24"/>
        </w:rPr>
      </w:pPr>
      <w:r>
        <w:rPr>
          <w:rFonts w:hint="eastAsia" w:ascii="宋体" w:hAnsi="宋体" w:cs="宋体"/>
          <w:color w:val="auto"/>
          <w:kern w:val="0"/>
          <w:sz w:val="24"/>
          <w:lang w:bidi="ar"/>
        </w:rPr>
        <w:t xml:space="preserve">本企业对上述声明内容的真实性负责。如有虚假，将依法承担相应责任。 </w:t>
      </w:r>
    </w:p>
    <w:p>
      <w:pPr>
        <w:widowControl/>
        <w:spacing w:line="440" w:lineRule="exact"/>
        <w:jc w:val="left"/>
        <w:rPr>
          <w:rFonts w:hint="eastAsia" w:ascii="宋体" w:hAnsi="宋体" w:cs="宋体"/>
          <w:color w:val="auto"/>
          <w:kern w:val="0"/>
          <w:sz w:val="24"/>
          <w:lang w:bidi="ar"/>
        </w:rPr>
      </w:pPr>
    </w:p>
    <w:p>
      <w:pPr>
        <w:widowControl/>
        <w:spacing w:line="440" w:lineRule="exact"/>
        <w:jc w:val="left"/>
        <w:rPr>
          <w:rFonts w:hint="eastAsia" w:ascii="宋体" w:hAnsi="宋体" w:cs="宋体"/>
          <w:color w:val="auto"/>
          <w:kern w:val="0"/>
          <w:sz w:val="24"/>
          <w:lang w:bidi="ar"/>
        </w:rPr>
      </w:pPr>
    </w:p>
    <w:p>
      <w:pPr>
        <w:widowControl/>
        <w:spacing w:line="440" w:lineRule="exact"/>
        <w:jc w:val="left"/>
        <w:rPr>
          <w:rFonts w:hint="eastAsia" w:ascii="宋体" w:hAnsi="宋体" w:cs="宋体"/>
          <w:color w:val="auto"/>
          <w:kern w:val="0"/>
          <w:sz w:val="24"/>
          <w:lang w:bidi="ar"/>
        </w:rPr>
      </w:pPr>
    </w:p>
    <w:p>
      <w:pPr>
        <w:widowControl/>
        <w:spacing w:line="440" w:lineRule="exact"/>
        <w:ind w:firstLine="4820" w:firstLineChars="2000"/>
        <w:jc w:val="left"/>
        <w:rPr>
          <w:rFonts w:hint="eastAsia" w:ascii="宋体" w:hAnsi="宋体" w:cs="宋体"/>
          <w:color w:val="auto"/>
          <w:sz w:val="24"/>
        </w:rPr>
      </w:pPr>
      <w:r>
        <w:rPr>
          <w:rFonts w:hint="eastAsia" w:ascii="宋体" w:hAnsi="宋体" w:cs="宋体"/>
          <w:color w:val="auto"/>
          <w:kern w:val="0"/>
          <w:sz w:val="24"/>
          <w:lang w:bidi="ar"/>
        </w:rPr>
        <w:t xml:space="preserve">企业名称（盖章）： </w:t>
      </w:r>
    </w:p>
    <w:p>
      <w:pPr>
        <w:widowControl/>
        <w:spacing w:line="440" w:lineRule="exact"/>
        <w:jc w:val="left"/>
        <w:rPr>
          <w:rFonts w:hint="eastAsia" w:ascii="宋体" w:hAnsi="宋体" w:cs="宋体"/>
          <w:color w:val="auto"/>
          <w:kern w:val="0"/>
          <w:sz w:val="24"/>
          <w:lang w:bidi="ar"/>
        </w:rPr>
      </w:pPr>
    </w:p>
    <w:p>
      <w:pPr>
        <w:widowControl/>
        <w:spacing w:line="440" w:lineRule="exact"/>
        <w:ind w:firstLine="4820" w:firstLineChars="2000"/>
        <w:jc w:val="left"/>
        <w:rPr>
          <w:rFonts w:hint="eastAsia" w:ascii="宋体" w:hAnsi="宋体" w:cs="宋体"/>
          <w:color w:val="auto"/>
          <w:sz w:val="24"/>
        </w:rPr>
      </w:pPr>
      <w:r>
        <w:rPr>
          <w:rFonts w:hint="eastAsia" w:ascii="宋体" w:hAnsi="宋体" w:cs="宋体"/>
          <w:color w:val="auto"/>
          <w:kern w:val="0"/>
          <w:sz w:val="24"/>
          <w:lang w:bidi="ar"/>
        </w:rPr>
        <w:t xml:space="preserve">日 期： </w:t>
      </w:r>
    </w:p>
    <w:p>
      <w:pPr>
        <w:rPr>
          <w:rFonts w:hint="eastAsia" w:ascii="宋体" w:hAnsi="宋体" w:eastAsia="宋体" w:cs="宋体"/>
          <w:color w:val="auto"/>
        </w:rPr>
      </w:pPr>
    </w:p>
    <w:p>
      <w:pPr>
        <w:tabs>
          <w:tab w:val="left" w:pos="5805"/>
        </w:tabs>
        <w:spacing w:line="450" w:lineRule="atLeast"/>
        <w:ind w:left="500" w:hanging="422" w:hangingChars="200"/>
        <w:rPr>
          <w:rFonts w:hint="eastAsia" w:ascii="宋体" w:hAnsi="宋体" w:eastAsia="宋体" w:cs="宋体"/>
          <w:i w:val="0"/>
          <w:iCs w:val="0"/>
          <w:color w:val="auto"/>
          <w:szCs w:val="21"/>
          <w:highlight w:val="none"/>
        </w:rPr>
      </w:pPr>
    </w:p>
    <w:p>
      <w:pPr>
        <w:pStyle w:val="2"/>
        <w:rPr>
          <w:rFonts w:hint="eastAsia" w:ascii="宋体" w:hAnsi="宋体" w:cs="宋体"/>
          <w:color w:val="auto"/>
          <w:sz w:val="24"/>
          <w:highlight w:val="none"/>
        </w:rPr>
      </w:pPr>
    </w:p>
    <w:p>
      <w:pPr>
        <w:pStyle w:val="2"/>
        <w:rPr>
          <w:rFonts w:hint="eastAsia"/>
          <w:color w:val="auto"/>
        </w:rPr>
      </w:pPr>
    </w:p>
    <w:p>
      <w:pPr>
        <w:rPr>
          <w:color w:val="auto"/>
        </w:rPr>
      </w:pPr>
    </w:p>
    <w:sectPr>
      <w:pgSz w:w="11849" w:h="16781"/>
      <w:pgMar w:top="1440" w:right="1080" w:bottom="1440" w:left="1080" w:header="851" w:footer="850" w:gutter="0"/>
      <w:cols w:space="720" w:num="1"/>
      <w:formProt w:val="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27</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1"/>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1"/>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CBEAC"/>
    <w:multiLevelType w:val="singleLevel"/>
    <w:tmpl w:val="E17CBEAC"/>
    <w:lvl w:ilvl="0" w:tentative="0">
      <w:start w:val="1"/>
      <w:numFmt w:val="decimal"/>
      <w:suff w:val="space"/>
      <w:lvlText w:val="%1."/>
      <w:lvlJc w:val="left"/>
    </w:lvl>
  </w:abstractNum>
  <w:abstractNum w:abstractNumId="1">
    <w:nsid w:val="ED7C9321"/>
    <w:multiLevelType w:val="singleLevel"/>
    <w:tmpl w:val="ED7C9321"/>
    <w:lvl w:ilvl="0" w:tentative="0">
      <w:start w:val="4"/>
      <w:numFmt w:val="chineseCounting"/>
      <w:suff w:val="space"/>
      <w:lvlText w:val="第%1章"/>
      <w:lvlJc w:val="left"/>
      <w:rPr>
        <w:rFonts w:hint="eastAsia"/>
      </w:rPr>
    </w:lvl>
  </w:abstractNum>
  <w:abstractNum w:abstractNumId="2">
    <w:nsid w:val="0000000D"/>
    <w:multiLevelType w:val="multilevel"/>
    <w:tmpl w:val="0000000D"/>
    <w:lvl w:ilvl="0" w:tentative="0">
      <w:start w:val="1"/>
      <w:numFmt w:val="decimal"/>
      <w:lvlText w:val="%1."/>
      <w:lvlJc w:val="left"/>
      <w:pPr>
        <w:tabs>
          <w:tab w:val="left" w:pos="300"/>
        </w:tabs>
        <w:ind w:left="300" w:hanging="300"/>
      </w:pPr>
      <w:rPr>
        <w:rFonts w:hint="eastAsia"/>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decimal"/>
      <w:isLgl/>
      <w:lvlText w:val="%1.%2.%4.%5.%6.%7.%8.%9."/>
      <w:lvlJc w:val="left"/>
      <w:pPr>
        <w:tabs>
          <w:tab w:val="left" w:pos="5280"/>
        </w:tabs>
        <w:ind w:left="5280" w:hanging="2880"/>
      </w:pPr>
      <w:rPr>
        <w:rFonts w:hint="eastAsia"/>
      </w:rPr>
    </w:lvl>
  </w:abstractNum>
  <w:abstractNum w:abstractNumId="3">
    <w:nsid w:val="00000013"/>
    <w:multiLevelType w:val="multilevel"/>
    <w:tmpl w:val="00000013"/>
    <w:lvl w:ilvl="0" w:tentative="0">
      <w:start w:val="8"/>
      <w:numFmt w:val="decimal"/>
      <w:lvlText w:val=""/>
      <w:lvlJc w:val="left"/>
      <w:pPr>
        <w:tabs>
          <w:tab w:val="left" w:pos="360"/>
        </w:tabs>
        <w:ind w:left="360" w:hanging="360"/>
      </w:pPr>
      <w:rPr>
        <w:rFonts w:hint="default" w:ascii="Times New Roman"/>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isLgl/>
      <w:lvlText w:val="%1.%2.%4.%5.%6.%7.%8.%9."/>
      <w:lvlJc w:val="left"/>
      <w:pPr>
        <w:tabs>
          <w:tab w:val="left" w:pos="5280"/>
        </w:tabs>
        <w:ind w:left="5280" w:hanging="2880"/>
      </w:pPr>
      <w:rPr>
        <w:rFonts w:hint="eastAsia"/>
      </w:rPr>
    </w:lvl>
  </w:abstractNum>
  <w:abstractNum w:abstractNumId="4">
    <w:nsid w:val="00E8B9D2"/>
    <w:multiLevelType w:val="singleLevel"/>
    <w:tmpl w:val="00E8B9D2"/>
    <w:lvl w:ilvl="0" w:tentative="0">
      <w:start w:val="1"/>
      <w:numFmt w:val="chineseCounting"/>
      <w:suff w:val="space"/>
      <w:lvlText w:val="第%1章"/>
      <w:lvlJc w:val="left"/>
      <w:rPr>
        <w:rFonts w:hint="eastAsia"/>
      </w:rPr>
    </w:lvl>
  </w:abstractNum>
  <w:abstractNum w:abstractNumId="5">
    <w:nsid w:val="59E084C5"/>
    <w:multiLevelType w:val="singleLevel"/>
    <w:tmpl w:val="59E084C5"/>
    <w:lvl w:ilvl="0" w:tentative="0">
      <w:start w:val="1"/>
      <w:numFmt w:val="decimal"/>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TH19Czyi1/Y4Nts053cqinu0Vy4=" w:salt="SNFNC7U3waq8lNGD2UAHU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YThlNjNlMzI2MjFlNjkzZWUzZjZiNjc0YTQzZmMifQ=="/>
  </w:docVars>
  <w:rsids>
    <w:rsidRoot w:val="00FB322F"/>
    <w:rsid w:val="00784C33"/>
    <w:rsid w:val="00FB322F"/>
    <w:rsid w:val="024806E1"/>
    <w:rsid w:val="03192A63"/>
    <w:rsid w:val="033E5722"/>
    <w:rsid w:val="03883B1E"/>
    <w:rsid w:val="0555553E"/>
    <w:rsid w:val="05DD246D"/>
    <w:rsid w:val="06B72BC7"/>
    <w:rsid w:val="076F5977"/>
    <w:rsid w:val="08D9091A"/>
    <w:rsid w:val="0B9D61FB"/>
    <w:rsid w:val="0CF84031"/>
    <w:rsid w:val="0D521FD5"/>
    <w:rsid w:val="0D7A124C"/>
    <w:rsid w:val="0E1B7FD7"/>
    <w:rsid w:val="0F292DE5"/>
    <w:rsid w:val="0FD32136"/>
    <w:rsid w:val="111700D2"/>
    <w:rsid w:val="116F149C"/>
    <w:rsid w:val="11A007F3"/>
    <w:rsid w:val="13070B2A"/>
    <w:rsid w:val="1361172E"/>
    <w:rsid w:val="14201051"/>
    <w:rsid w:val="14FC7061"/>
    <w:rsid w:val="16C16F59"/>
    <w:rsid w:val="175239DD"/>
    <w:rsid w:val="176D73C9"/>
    <w:rsid w:val="1791130A"/>
    <w:rsid w:val="19570026"/>
    <w:rsid w:val="1981642E"/>
    <w:rsid w:val="1A9F5AEC"/>
    <w:rsid w:val="1BA02D05"/>
    <w:rsid w:val="1C0A168B"/>
    <w:rsid w:val="1E030097"/>
    <w:rsid w:val="1EC02562"/>
    <w:rsid w:val="208732AA"/>
    <w:rsid w:val="22D8603F"/>
    <w:rsid w:val="24857B00"/>
    <w:rsid w:val="25A94B3C"/>
    <w:rsid w:val="26284BE7"/>
    <w:rsid w:val="262F241A"/>
    <w:rsid w:val="263E265D"/>
    <w:rsid w:val="26E06425"/>
    <w:rsid w:val="272C0820"/>
    <w:rsid w:val="27DA63B5"/>
    <w:rsid w:val="28FE4325"/>
    <w:rsid w:val="2A122468"/>
    <w:rsid w:val="2A3C3357"/>
    <w:rsid w:val="2AE82B97"/>
    <w:rsid w:val="2BB673E4"/>
    <w:rsid w:val="2BBE50F8"/>
    <w:rsid w:val="2C846A0A"/>
    <w:rsid w:val="2D1E1B59"/>
    <w:rsid w:val="2DB17BB8"/>
    <w:rsid w:val="301B428D"/>
    <w:rsid w:val="303D5733"/>
    <w:rsid w:val="30823A8E"/>
    <w:rsid w:val="308C2216"/>
    <w:rsid w:val="311A1F18"/>
    <w:rsid w:val="31BE6EAD"/>
    <w:rsid w:val="324E00CB"/>
    <w:rsid w:val="33F23FC7"/>
    <w:rsid w:val="35373099"/>
    <w:rsid w:val="36D9298C"/>
    <w:rsid w:val="388303A3"/>
    <w:rsid w:val="39932868"/>
    <w:rsid w:val="3A6F6608"/>
    <w:rsid w:val="3AC9498B"/>
    <w:rsid w:val="3B8B1A48"/>
    <w:rsid w:val="3BC27434"/>
    <w:rsid w:val="3C340332"/>
    <w:rsid w:val="3C812571"/>
    <w:rsid w:val="3D4A148F"/>
    <w:rsid w:val="3D7B789B"/>
    <w:rsid w:val="3E1F291C"/>
    <w:rsid w:val="3E8A6ADE"/>
    <w:rsid w:val="3E9E1A93"/>
    <w:rsid w:val="3E9E3004"/>
    <w:rsid w:val="3F205AEF"/>
    <w:rsid w:val="3F355C70"/>
    <w:rsid w:val="3F441B11"/>
    <w:rsid w:val="3FB94892"/>
    <w:rsid w:val="41006A35"/>
    <w:rsid w:val="41850217"/>
    <w:rsid w:val="41C70146"/>
    <w:rsid w:val="4323451C"/>
    <w:rsid w:val="433B2D12"/>
    <w:rsid w:val="43A22025"/>
    <w:rsid w:val="43AD49E6"/>
    <w:rsid w:val="44A92F3F"/>
    <w:rsid w:val="44BD69EB"/>
    <w:rsid w:val="45EE7D8D"/>
    <w:rsid w:val="45EF3078"/>
    <w:rsid w:val="46AE0CE1"/>
    <w:rsid w:val="49431385"/>
    <w:rsid w:val="4B4E4661"/>
    <w:rsid w:val="4B87123F"/>
    <w:rsid w:val="4B9A7A86"/>
    <w:rsid w:val="4B9E7576"/>
    <w:rsid w:val="4BD034A7"/>
    <w:rsid w:val="4C883D82"/>
    <w:rsid w:val="4CF51418"/>
    <w:rsid w:val="4EC56BC8"/>
    <w:rsid w:val="4F3B477B"/>
    <w:rsid w:val="510D2AA8"/>
    <w:rsid w:val="510F337D"/>
    <w:rsid w:val="51323E6D"/>
    <w:rsid w:val="5307072E"/>
    <w:rsid w:val="55FC5C1D"/>
    <w:rsid w:val="564E64E5"/>
    <w:rsid w:val="574D00A2"/>
    <w:rsid w:val="57AE0B41"/>
    <w:rsid w:val="58E80082"/>
    <w:rsid w:val="58FA1B64"/>
    <w:rsid w:val="5963340F"/>
    <w:rsid w:val="59E56370"/>
    <w:rsid w:val="5A861016"/>
    <w:rsid w:val="5B0B62AA"/>
    <w:rsid w:val="5B353327"/>
    <w:rsid w:val="5B3C62A7"/>
    <w:rsid w:val="5D550132"/>
    <w:rsid w:val="5D7032E7"/>
    <w:rsid w:val="5F857F66"/>
    <w:rsid w:val="5FEA0B84"/>
    <w:rsid w:val="6024237A"/>
    <w:rsid w:val="610F7815"/>
    <w:rsid w:val="61436338"/>
    <w:rsid w:val="625D4F42"/>
    <w:rsid w:val="63043D0B"/>
    <w:rsid w:val="634467FD"/>
    <w:rsid w:val="64D7268D"/>
    <w:rsid w:val="67256946"/>
    <w:rsid w:val="6796339F"/>
    <w:rsid w:val="69006D22"/>
    <w:rsid w:val="69034A64"/>
    <w:rsid w:val="690E58E3"/>
    <w:rsid w:val="6A521800"/>
    <w:rsid w:val="6A902328"/>
    <w:rsid w:val="6AF44665"/>
    <w:rsid w:val="6C692E30"/>
    <w:rsid w:val="6D1945D1"/>
    <w:rsid w:val="6DB85E1E"/>
    <w:rsid w:val="6E8B52E0"/>
    <w:rsid w:val="6EC151A6"/>
    <w:rsid w:val="6F280172"/>
    <w:rsid w:val="6FBA4DCE"/>
    <w:rsid w:val="70D073B4"/>
    <w:rsid w:val="70F52EE5"/>
    <w:rsid w:val="71D95A2A"/>
    <w:rsid w:val="722A12B4"/>
    <w:rsid w:val="7258372B"/>
    <w:rsid w:val="72CE7E91"/>
    <w:rsid w:val="731358A4"/>
    <w:rsid w:val="737A3B75"/>
    <w:rsid w:val="73EB05CF"/>
    <w:rsid w:val="74220495"/>
    <w:rsid w:val="745032CB"/>
    <w:rsid w:val="7480205F"/>
    <w:rsid w:val="74DD220C"/>
    <w:rsid w:val="780879A1"/>
    <w:rsid w:val="78664144"/>
    <w:rsid w:val="78CD4747"/>
    <w:rsid w:val="7A7255A6"/>
    <w:rsid w:val="7B7B66DC"/>
    <w:rsid w:val="7C280612"/>
    <w:rsid w:val="7C38637B"/>
    <w:rsid w:val="7D034BDB"/>
    <w:rsid w:val="7FA70D21"/>
    <w:rsid w:val="7FFA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黑体"/>
      <w:sz w:val="36"/>
    </w:rPr>
  </w:style>
  <w:style w:type="paragraph" w:styleId="6">
    <w:name w:val="table of authorities"/>
    <w:basedOn w:val="1"/>
    <w:next w:val="1"/>
    <w:qFormat/>
    <w:uiPriority w:val="0"/>
    <w:pPr>
      <w:ind w:left="420" w:leftChars="200"/>
    </w:pPr>
    <w:rPr>
      <w:sz w:val="28"/>
      <w:szCs w:val="20"/>
    </w:rPr>
  </w:style>
  <w:style w:type="paragraph" w:styleId="7">
    <w:name w:val="Normal Indent"/>
    <w:basedOn w:val="1"/>
    <w:next w:val="8"/>
    <w:qFormat/>
    <w:uiPriority w:val="0"/>
    <w:pPr>
      <w:spacing w:before="100" w:beforeLines="0" w:beforeAutospacing="1" w:after="100" w:afterLines="0" w:afterAutospacing="1" w:line="360" w:lineRule="auto"/>
      <w:ind w:firstLine="482"/>
    </w:pPr>
    <w:rPr>
      <w:rFonts w:ascii="Arial" w:hAnsi="Arial"/>
      <w:sz w:val="24"/>
      <w:szCs w:val="20"/>
    </w:rPr>
  </w:style>
  <w:style w:type="paragraph" w:styleId="8">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9">
    <w:name w:val="toc 3"/>
    <w:basedOn w:val="1"/>
    <w:next w:val="1"/>
    <w:qFormat/>
    <w:uiPriority w:val="0"/>
    <w:pPr>
      <w:ind w:left="840" w:leftChars="400"/>
    </w:pPr>
  </w:style>
  <w:style w:type="paragraph" w:styleId="10">
    <w:name w:val="Plain Text"/>
    <w:basedOn w:val="1"/>
    <w:next w:val="11"/>
    <w:qFormat/>
    <w:uiPriority w:val="0"/>
    <w:rPr>
      <w:rFonts w:ascii="宋体" w:hAnsi="Courier New" w:eastAsia="宋体"/>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6"/>
    <w:qFormat/>
    <w:uiPriority w:val="0"/>
  </w:style>
  <w:style w:type="paragraph" w:styleId="14">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15">
    <w:name w:val="footnote text"/>
    <w:basedOn w:val="1"/>
    <w:unhideWhenUsed/>
    <w:qFormat/>
    <w:uiPriority w:val="99"/>
    <w:pPr>
      <w:snapToGrid w:val="0"/>
      <w:jc w:val="left"/>
    </w:pPr>
    <w:rPr>
      <w:sz w:val="18"/>
    </w:rPr>
  </w:style>
  <w:style w:type="paragraph" w:styleId="16">
    <w:name w:val="Normal (Web)"/>
    <w:basedOn w:val="1"/>
    <w:next w:val="12"/>
    <w:qFormat/>
    <w:uiPriority w:val="0"/>
    <w:pPr>
      <w:widowControl/>
      <w:spacing w:before="100" w:beforeAutospacing="1" w:after="100" w:afterAutospacing="1"/>
      <w:jc w:val="left"/>
    </w:pPr>
    <w:rPr>
      <w:rFonts w:ascii="宋体" w:hAnsi="宋体"/>
      <w:color w:val="000000"/>
      <w:kern w:val="0"/>
      <w:sz w:val="24"/>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paragraph" w:customStyle="1" w:styleId="22">
    <w:name w:val="样式 标题 3 + (中文) 黑体 小四 非加粗 段前: 7.8 磅 段后: 0 磅 行距: 固定值 20 磅"/>
    <w:basedOn w:val="5"/>
    <w:qFormat/>
    <w:uiPriority w:val="0"/>
    <w:pPr>
      <w:spacing w:before="120" w:after="120" w:line="400" w:lineRule="exact"/>
    </w:pPr>
    <w:rPr>
      <w:rFonts w:ascii="Times New Roman" w:hAnsi="Times New Roman" w:eastAsia="宋体"/>
      <w:b w:val="0"/>
      <w:bCs w:val="0"/>
      <w:sz w:val="24"/>
      <w:szCs w:val="20"/>
    </w:rPr>
  </w:style>
  <w:style w:type="paragraph" w:customStyle="1" w:styleId="23">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4">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5">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8">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9">
    <w:name w:val="Table Paragraph"/>
    <w:basedOn w:val="30"/>
    <w:next w:val="30"/>
    <w:qFormat/>
    <w:uiPriority w:val="1"/>
    <w:rPr>
      <w:rFonts w:ascii="宋体" w:hAnsi="宋体" w:eastAsia="宋体" w:cs="宋体"/>
    </w:rPr>
  </w:style>
  <w:style w:type="paragraph" w:customStyle="1" w:styleId="30">
    <w:name w:val="正文_1"/>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脚注文本_1"/>
    <w:basedOn w:val="30"/>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32">
    <w:name w:val="正文空2格  1."/>
    <w:basedOn w:val="1"/>
    <w:qFormat/>
    <w:uiPriority w:val="0"/>
    <w:pPr>
      <w:ind w:firstLine="480" w:firstLineChars="200"/>
    </w:pPr>
    <w:rPr>
      <w:rFonts w:cs="宋体"/>
      <w:szCs w:val="20"/>
    </w:rPr>
  </w:style>
  <w:style w:type="character" w:customStyle="1" w:styleId="33">
    <w:name w:val="font4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28437</Words>
  <Characters>31762</Characters>
  <Lines>0</Lines>
  <Paragraphs>0</Paragraphs>
  <TotalTime>34</TotalTime>
  <ScaleCrop>false</ScaleCrop>
  <LinksUpToDate>false</LinksUpToDate>
  <CharactersWithSpaces>33881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2023-02-01T10:03:00Z</dcterms:created>
  <dc:creator> 十二</dc:creator>
  <cp:lastModifiedBy> 十二</cp:lastModifiedBy>
  <dcterms:modified xsi:type="dcterms:W3CDTF">2023-11-16T08:48:38Z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159F2B2A199C42B9AB2F2876AA91185D</vt:lpwstr>
  </property>
</Properties>
</file>