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r>
        <w:rPr>
          <w:rFonts w:hint="eastAsia" w:ascii="宋体" w:hAnsi="宋体" w:eastAsia="宋体" w:cs="宋体"/>
          <w:b/>
          <w:bCs/>
          <w:sz w:val="72"/>
          <w:szCs w:val="72"/>
          <w:lang w:val="en-US" w:eastAsia="zh-CN"/>
        </w:rPr>
        <w:t>食品安全检验中心食品类检测设备购置</w:t>
      </w:r>
    </w:p>
    <w:p/>
    <w:p>
      <w:pPr>
        <w:rPr>
          <w:rFonts w:ascii="宋体" w:hAnsi="宋体" w:cs="宋体"/>
          <w:b/>
          <w:sz w:val="32"/>
          <w:szCs w:val="32"/>
        </w:rPr>
      </w:pPr>
    </w:p>
    <w:p>
      <w:pPr>
        <w:pStyle w:val="4"/>
      </w:pPr>
    </w:p>
    <w:p/>
    <w:p/>
    <w:p>
      <w:pPr>
        <w:pStyle w:val="7"/>
      </w:pPr>
    </w:p>
    <w:p/>
    <w:p>
      <w:pPr>
        <w:rPr>
          <w:rFonts w:ascii="宋体" w:hAnsi="宋体" w:cs="宋体"/>
          <w:b/>
          <w:sz w:val="32"/>
          <w:szCs w:val="32"/>
        </w:rPr>
      </w:pPr>
    </w:p>
    <w:p>
      <w:pPr>
        <w:pStyle w:val="7"/>
      </w:pPr>
    </w:p>
    <w:p>
      <w:pPr>
        <w:pStyle w:val="12"/>
        <w:tabs>
          <w:tab w:val="right" w:leader="dot" w:pos="9004"/>
          <w:tab w:val="clear" w:pos="1050"/>
          <w:tab w:val="clear" w:pos="8269"/>
        </w:tabs>
        <w:jc w:val="center"/>
        <w:rPr>
          <w:rFonts w:ascii="宋体" w:hAnsi="宋体" w:cs="宋体"/>
          <w:b/>
          <w:sz w:val="56"/>
          <w:szCs w:val="56"/>
        </w:rPr>
      </w:pPr>
      <w:r>
        <w:rPr>
          <w:rFonts w:hint="eastAsia" w:ascii="宋体" w:hAnsi="宋体" w:cs="宋体"/>
          <w:b/>
          <w:sz w:val="56"/>
          <w:szCs w:val="56"/>
        </w:rPr>
        <w:t>竞争性磋商文件</w:t>
      </w:r>
    </w:p>
    <w:p>
      <w:pPr>
        <w:jc w:val="center"/>
        <w:rPr>
          <w:rFonts w:ascii="宋体" w:hAnsi="宋体" w:cs="宋体"/>
          <w:sz w:val="16"/>
          <w:szCs w:val="20"/>
        </w:rPr>
      </w:pPr>
    </w:p>
    <w:p>
      <w:pPr>
        <w:rPr>
          <w:rFonts w:ascii="宋体" w:hAnsi="宋体" w:cs="宋体"/>
        </w:rPr>
      </w:pPr>
    </w:p>
    <w:p>
      <w:pPr>
        <w:rPr>
          <w:rFonts w:ascii="宋体" w:hAnsi="宋体" w:cs="宋体"/>
        </w:rPr>
      </w:pPr>
    </w:p>
    <w:p>
      <w:pPr>
        <w:pStyle w:val="12"/>
        <w:tabs>
          <w:tab w:val="right" w:leader="dot" w:pos="9004"/>
          <w:tab w:val="clear" w:pos="1050"/>
          <w:tab w:val="clear" w:pos="8269"/>
        </w:tabs>
        <w:rPr>
          <w:rFonts w:ascii="宋体" w:hAnsi="宋体" w:cs="宋体"/>
          <w:b/>
          <w:sz w:val="32"/>
          <w:szCs w:val="32"/>
        </w:rPr>
      </w:pPr>
    </w:p>
    <w:p>
      <w:pPr>
        <w:rPr>
          <w:rFonts w:ascii="宋体" w:hAnsi="宋体" w:cs="宋体"/>
          <w:b/>
          <w:sz w:val="32"/>
          <w:szCs w:val="32"/>
        </w:rPr>
      </w:pPr>
    </w:p>
    <w:p>
      <w:pPr>
        <w:pStyle w:val="7"/>
        <w:rPr>
          <w:rFonts w:ascii="宋体" w:hAnsi="宋体" w:cs="宋体"/>
          <w:b/>
          <w:sz w:val="32"/>
          <w:szCs w:val="32"/>
        </w:rPr>
      </w:pPr>
    </w:p>
    <w:p>
      <w:pPr>
        <w:rPr>
          <w:rFonts w:ascii="宋体" w:hAnsi="宋体" w:cs="宋体"/>
          <w:b/>
          <w:sz w:val="32"/>
          <w:szCs w:val="32"/>
        </w:rPr>
      </w:pPr>
    </w:p>
    <w:p>
      <w:pPr>
        <w:pStyle w:val="7"/>
        <w:rPr>
          <w:rFonts w:ascii="宋体" w:hAnsi="宋体" w:cs="宋体"/>
          <w:b/>
          <w:sz w:val="32"/>
          <w:szCs w:val="32"/>
        </w:rPr>
      </w:pPr>
    </w:p>
    <w:p>
      <w:pPr>
        <w:rPr>
          <w:rFonts w:ascii="宋体" w:hAnsi="宋体" w:cs="宋体"/>
          <w:b/>
          <w:sz w:val="32"/>
          <w:szCs w:val="32"/>
        </w:rPr>
      </w:pPr>
    </w:p>
    <w:p>
      <w:pPr>
        <w:pStyle w:val="7"/>
      </w:pPr>
    </w:p>
    <w:p>
      <w:pPr>
        <w:pStyle w:val="12"/>
        <w:tabs>
          <w:tab w:val="right" w:leader="dot" w:pos="9004"/>
          <w:tab w:val="clear" w:pos="1050"/>
          <w:tab w:val="clear" w:pos="8269"/>
        </w:tabs>
        <w:rPr>
          <w:rFonts w:ascii="宋体" w:hAnsi="宋体" w:cs="宋体"/>
          <w:b/>
          <w:sz w:val="32"/>
          <w:szCs w:val="32"/>
        </w:rPr>
      </w:pPr>
    </w:p>
    <w:p>
      <w:pPr>
        <w:pStyle w:val="12"/>
        <w:tabs>
          <w:tab w:val="right" w:leader="dot" w:pos="9004"/>
          <w:tab w:val="clear" w:pos="1050"/>
          <w:tab w:val="clear" w:pos="8269"/>
        </w:tabs>
        <w:rPr>
          <w:rFonts w:ascii="宋体" w:hAnsi="宋体" w:cs="宋体"/>
          <w:b/>
          <w:sz w:val="32"/>
          <w:szCs w:val="32"/>
        </w:rPr>
      </w:pPr>
    </w:p>
    <w:p>
      <w:pPr>
        <w:pStyle w:val="12"/>
        <w:tabs>
          <w:tab w:val="right" w:leader="dot" w:pos="9004"/>
          <w:tab w:val="clear" w:pos="1050"/>
          <w:tab w:val="clear" w:pos="8269"/>
        </w:tabs>
        <w:rPr>
          <w:rFonts w:ascii="宋体" w:hAnsi="宋体" w:cs="宋体"/>
          <w:b/>
          <w:sz w:val="32"/>
          <w:szCs w:val="32"/>
        </w:rPr>
      </w:pPr>
    </w:p>
    <w:p>
      <w:pPr>
        <w:spacing w:line="360" w:lineRule="auto"/>
        <w:ind w:firstLine="643" w:firstLineChars="200"/>
        <w:rPr>
          <w:rFonts w:hint="default" w:ascii="黑体" w:hAnsi="黑体" w:eastAsia="黑体" w:cs="黑体"/>
          <w:sz w:val="28"/>
          <w:szCs w:val="28"/>
          <w:lang w:val="en-US" w:eastAsia="zh-CN"/>
        </w:rPr>
      </w:pPr>
      <w:r>
        <w:rPr>
          <w:rFonts w:hint="eastAsia" w:ascii="宋体" w:hAnsi="宋体" w:cs="宋体"/>
          <w:b/>
          <w:sz w:val="32"/>
          <w:szCs w:val="32"/>
        </w:rPr>
        <w:t xml:space="preserve">   </w:t>
      </w:r>
      <w:r>
        <w:rPr>
          <w:rFonts w:hint="eastAsia" w:ascii="黑体" w:hAnsi="黑体" w:eastAsia="黑体" w:cs="黑体"/>
          <w:sz w:val="28"/>
          <w:szCs w:val="28"/>
        </w:rPr>
        <w:t xml:space="preserve">项目编号: </w:t>
      </w:r>
      <w:r>
        <w:rPr>
          <w:rFonts w:hint="eastAsia" w:ascii="黑体" w:hAnsi="黑体" w:eastAsia="黑体" w:cs="黑体"/>
          <w:color w:val="auto"/>
          <w:sz w:val="28"/>
          <w:szCs w:val="28"/>
          <w:highlight w:val="none"/>
          <w:lang w:eastAsia="zh-CN"/>
        </w:rPr>
        <w:t>分</w:t>
      </w:r>
      <w:r>
        <w:rPr>
          <w:rFonts w:hint="eastAsia" w:ascii="黑体" w:hAnsi="黑体" w:eastAsia="黑体" w:cs="黑体"/>
          <w:color w:val="auto"/>
          <w:sz w:val="28"/>
          <w:szCs w:val="28"/>
          <w:highlight w:val="none"/>
          <w:lang w:val="en-US" w:eastAsia="zh-CN"/>
        </w:rPr>
        <w:t>2022</w:t>
      </w:r>
      <w:r>
        <w:rPr>
          <w:rFonts w:hint="eastAsia" w:ascii="黑体" w:hAnsi="黑体" w:eastAsia="黑体" w:cs="黑体"/>
          <w:sz w:val="28"/>
          <w:szCs w:val="28"/>
        </w:rPr>
        <w:t>-01-</w:t>
      </w:r>
      <w:r>
        <w:rPr>
          <w:rFonts w:hint="eastAsia" w:ascii="黑体" w:hAnsi="黑体" w:eastAsia="黑体" w:cs="黑体"/>
          <w:sz w:val="28"/>
          <w:szCs w:val="28"/>
          <w:lang w:val="en-US" w:eastAsia="zh-CN"/>
        </w:rPr>
        <w:t>141-2</w:t>
      </w:r>
    </w:p>
    <w:p>
      <w:pPr>
        <w:pStyle w:val="12"/>
        <w:tabs>
          <w:tab w:val="right" w:leader="dot" w:pos="9004"/>
          <w:tab w:val="clear" w:pos="1050"/>
          <w:tab w:val="clear" w:pos="8269"/>
        </w:tabs>
        <w:spacing w:line="700" w:lineRule="exact"/>
        <w:ind w:firstLine="1106" w:firstLineChars="395"/>
        <w:rPr>
          <w:rFonts w:hint="eastAsia" w:ascii="黑体" w:hAnsi="黑体" w:eastAsia="黑体" w:cs="黑体"/>
          <w:sz w:val="28"/>
          <w:szCs w:val="28"/>
          <w:lang w:eastAsia="zh-CN"/>
        </w:rPr>
      </w:pPr>
      <w:r>
        <w:rPr>
          <w:rFonts w:hint="eastAsia" w:ascii="黑体" w:hAnsi="黑体" w:eastAsia="黑体" w:cs="黑体"/>
          <w:sz w:val="28"/>
          <w:szCs w:val="28"/>
        </w:rPr>
        <w:t>采 购 人：</w:t>
      </w:r>
      <w:r>
        <w:rPr>
          <w:rFonts w:hint="eastAsia" w:ascii="黑体" w:hAnsi="黑体" w:eastAsia="黑体" w:cs="黑体"/>
          <w:sz w:val="28"/>
          <w:szCs w:val="28"/>
          <w:lang w:val="en-US" w:eastAsia="zh-CN"/>
        </w:rPr>
        <w:t>阿克苏地区检验检测中心</w:t>
      </w:r>
    </w:p>
    <w:p>
      <w:pPr>
        <w:pStyle w:val="12"/>
        <w:tabs>
          <w:tab w:val="right" w:leader="dot" w:pos="9004"/>
          <w:tab w:val="clear" w:pos="1050"/>
          <w:tab w:val="clear" w:pos="8269"/>
        </w:tabs>
        <w:spacing w:line="700" w:lineRule="exact"/>
        <w:ind w:firstLine="1106" w:firstLineChars="395"/>
        <w:rPr>
          <w:rFonts w:ascii="宋体" w:hAnsi="宋体" w:cs="宋体"/>
          <w:b/>
          <w:sz w:val="32"/>
          <w:szCs w:val="32"/>
        </w:rPr>
      </w:pPr>
      <w:r>
        <w:rPr>
          <w:rFonts w:hint="eastAsia" w:ascii="黑体" w:hAnsi="黑体" w:eastAsia="黑体" w:cs="黑体"/>
          <w:sz w:val="28"/>
          <w:szCs w:val="28"/>
        </w:rPr>
        <w:t>招标机构：</w:t>
      </w:r>
      <w:r>
        <w:rPr>
          <w:rFonts w:hint="eastAsia" w:ascii="黑体" w:hAnsi="黑体" w:eastAsia="黑体" w:cs="黑体"/>
          <w:sz w:val="28"/>
          <w:szCs w:val="28"/>
          <w:lang w:val="en-US" w:eastAsia="zh-CN"/>
        </w:rPr>
        <w:t>众赢国际咨询有限责任公司</w:t>
      </w:r>
    </w:p>
    <w:p>
      <w:pPr>
        <w:pStyle w:val="12"/>
        <w:tabs>
          <w:tab w:val="right" w:leader="dot" w:pos="9004"/>
          <w:tab w:val="clear" w:pos="1050"/>
          <w:tab w:val="clear" w:pos="8269"/>
        </w:tabs>
        <w:spacing w:line="700" w:lineRule="exact"/>
        <w:ind w:firstLine="1269" w:firstLineChars="395"/>
        <w:rPr>
          <w:rFonts w:ascii="黑体" w:hAnsi="黑体" w:eastAsia="黑体" w:cs="黑体"/>
          <w:sz w:val="28"/>
          <w:szCs w:val="28"/>
        </w:rPr>
      </w:pPr>
      <w:r>
        <w:rPr>
          <w:rFonts w:hint="eastAsia" w:ascii="宋体" w:hAnsi="宋体" w:cs="宋体"/>
          <w:b/>
          <w:sz w:val="32"/>
          <w:szCs w:val="32"/>
        </w:rPr>
        <w:t xml:space="preserve">        </w:t>
      </w:r>
      <w:r>
        <w:rPr>
          <w:rFonts w:hint="eastAsia" w:ascii="黑体" w:hAnsi="黑体" w:eastAsia="黑体" w:cs="黑体"/>
          <w:sz w:val="28"/>
          <w:szCs w:val="28"/>
        </w:rPr>
        <w:t xml:space="preserve">    </w:t>
      </w:r>
    </w:p>
    <w:p/>
    <w:p>
      <w:pPr>
        <w:tabs>
          <w:tab w:val="left" w:pos="216"/>
          <w:tab w:val="center" w:pos="4824"/>
        </w:tabs>
        <w:spacing w:line="360" w:lineRule="auto"/>
        <w:jc w:val="left"/>
        <w:rPr>
          <w:rFonts w:ascii="宋体" w:hAnsi="宋体"/>
          <w:b/>
          <w:bCs/>
          <w:sz w:val="44"/>
          <w:szCs w:val="44"/>
        </w:rPr>
      </w:pPr>
      <w:r>
        <w:rPr>
          <w:rFonts w:hint="eastAsia" w:ascii="宋体" w:hAnsi="宋体"/>
          <w:b/>
          <w:bCs/>
          <w:sz w:val="44"/>
          <w:szCs w:val="44"/>
        </w:rPr>
        <w:tab/>
      </w:r>
      <w:r>
        <w:rPr>
          <w:rFonts w:hint="eastAsia" w:ascii="宋体" w:hAnsi="宋体"/>
          <w:b/>
          <w:bCs/>
          <w:sz w:val="44"/>
          <w:szCs w:val="44"/>
        </w:rPr>
        <w:tab/>
      </w:r>
      <w:r>
        <w:rPr>
          <w:rFonts w:hint="eastAsia" w:ascii="宋体" w:hAnsi="宋体"/>
          <w:b/>
          <w:bCs/>
          <w:sz w:val="44"/>
          <w:szCs w:val="44"/>
        </w:rPr>
        <w:t>目    录</w:t>
      </w:r>
    </w:p>
    <w:p>
      <w:pPr>
        <w:pStyle w:val="12"/>
        <w:tabs>
          <w:tab w:val="right" w:leader="dot" w:pos="9525"/>
          <w:tab w:val="clear" w:pos="1050"/>
          <w:tab w:val="clear" w:pos="8269"/>
        </w:tabs>
        <w:spacing w:line="360" w:lineRule="auto"/>
      </w:pPr>
      <w:bookmarkStart w:id="0" w:name="_Toc373314691"/>
      <w:r>
        <w:rPr>
          <w:rFonts w:ascii="宋体" w:hAnsi="宋体"/>
          <w:sz w:val="24"/>
        </w:rPr>
        <w:fldChar w:fldCharType="begin"/>
      </w:r>
      <w:r>
        <w:rPr>
          <w:rFonts w:ascii="宋体" w:hAnsi="宋体"/>
          <w:sz w:val="24"/>
        </w:rPr>
        <w:instrText xml:space="preserve"> TOC \o "1-2" \h \z \u </w:instrText>
      </w:r>
      <w:r>
        <w:rPr>
          <w:rFonts w:ascii="宋体" w:hAnsi="宋体"/>
          <w:sz w:val="24"/>
        </w:rPr>
        <w:fldChar w:fldCharType="separate"/>
      </w:r>
      <w:r>
        <w:fldChar w:fldCharType="begin"/>
      </w:r>
      <w:r>
        <w:instrText xml:space="preserve"> HYPERLINK \l "_Toc30206" </w:instrText>
      </w:r>
      <w:r>
        <w:fldChar w:fldCharType="separate"/>
      </w:r>
      <w:r>
        <w:rPr>
          <w:rFonts w:hint="eastAsia"/>
        </w:rPr>
        <w:t xml:space="preserve">第一章  </w:t>
      </w:r>
      <w:r>
        <w:rPr>
          <w:rFonts w:hint="eastAsia"/>
          <w:szCs w:val="30"/>
        </w:rPr>
        <w:t>磋商公告</w:t>
      </w:r>
      <w:r>
        <w:tab/>
      </w:r>
      <w:r>
        <w:fldChar w:fldCharType="begin"/>
      </w:r>
      <w:r>
        <w:instrText xml:space="preserve"> PAGEREF _Toc30206 \h </w:instrText>
      </w:r>
      <w:r>
        <w:fldChar w:fldCharType="separate"/>
      </w:r>
      <w:r>
        <w:t>1</w:t>
      </w:r>
      <w:r>
        <w:fldChar w:fldCharType="end"/>
      </w:r>
      <w:r>
        <w:fldChar w:fldCharType="end"/>
      </w:r>
    </w:p>
    <w:p>
      <w:pPr>
        <w:pStyle w:val="12"/>
        <w:tabs>
          <w:tab w:val="right" w:leader="dot" w:pos="9525"/>
          <w:tab w:val="clear" w:pos="1050"/>
          <w:tab w:val="clear" w:pos="8269"/>
        </w:tabs>
        <w:spacing w:line="360" w:lineRule="auto"/>
      </w:pPr>
      <w:r>
        <w:fldChar w:fldCharType="begin"/>
      </w:r>
      <w:r>
        <w:instrText xml:space="preserve"> HYPERLINK \l "_Toc19030" </w:instrText>
      </w:r>
      <w:r>
        <w:fldChar w:fldCharType="separate"/>
      </w:r>
      <w:r>
        <w:rPr>
          <w:rFonts w:hint="eastAsia"/>
          <w:szCs w:val="30"/>
        </w:rPr>
        <w:t>第二章  供应商须知及前附表</w:t>
      </w:r>
      <w:r>
        <w:tab/>
      </w:r>
      <w:r>
        <w:fldChar w:fldCharType="begin"/>
      </w:r>
      <w:r>
        <w:instrText xml:space="preserve"> PAGEREF _Toc19030 \h </w:instrText>
      </w:r>
      <w:r>
        <w:fldChar w:fldCharType="separate"/>
      </w:r>
      <w:r>
        <w:t>5</w:t>
      </w:r>
      <w:r>
        <w:fldChar w:fldCharType="end"/>
      </w:r>
      <w:r>
        <w:fldChar w:fldCharType="end"/>
      </w:r>
    </w:p>
    <w:p>
      <w:pPr>
        <w:pStyle w:val="12"/>
        <w:tabs>
          <w:tab w:val="right" w:leader="dot" w:pos="9525"/>
          <w:tab w:val="clear" w:pos="1050"/>
          <w:tab w:val="clear" w:pos="8269"/>
        </w:tabs>
        <w:spacing w:line="360" w:lineRule="auto"/>
      </w:pPr>
      <w:r>
        <w:fldChar w:fldCharType="begin"/>
      </w:r>
      <w:r>
        <w:instrText xml:space="preserve"> HYPERLINK \l "_Toc2086" </w:instrText>
      </w:r>
      <w:r>
        <w:fldChar w:fldCharType="separate"/>
      </w:r>
      <w:r>
        <w:rPr>
          <w:rFonts w:hint="eastAsia"/>
        </w:rPr>
        <w:t>第三章  评标办法</w:t>
      </w:r>
      <w:r>
        <w:tab/>
      </w:r>
      <w:r>
        <w:fldChar w:fldCharType="begin"/>
      </w:r>
      <w:r>
        <w:instrText xml:space="preserve"> PAGEREF _Toc2086 \h </w:instrText>
      </w:r>
      <w:r>
        <w:fldChar w:fldCharType="separate"/>
      </w:r>
      <w:r>
        <w:t>28</w:t>
      </w:r>
      <w:r>
        <w:fldChar w:fldCharType="end"/>
      </w:r>
      <w:r>
        <w:fldChar w:fldCharType="end"/>
      </w:r>
    </w:p>
    <w:p>
      <w:pPr>
        <w:pStyle w:val="12"/>
        <w:tabs>
          <w:tab w:val="right" w:leader="dot" w:pos="9525"/>
          <w:tab w:val="clear" w:pos="1050"/>
          <w:tab w:val="clear" w:pos="8269"/>
        </w:tabs>
        <w:spacing w:line="360" w:lineRule="auto"/>
      </w:pPr>
      <w:r>
        <w:fldChar w:fldCharType="begin"/>
      </w:r>
      <w:r>
        <w:instrText xml:space="preserve"> HYPERLINK \l "_Toc24503" </w:instrText>
      </w:r>
      <w:r>
        <w:fldChar w:fldCharType="separate"/>
      </w:r>
      <w:r>
        <w:rPr>
          <w:rFonts w:hint="eastAsia"/>
        </w:rPr>
        <w:t>第四章  招标内容及需求</w:t>
      </w:r>
      <w:r>
        <w:tab/>
      </w:r>
      <w:r>
        <w:fldChar w:fldCharType="begin"/>
      </w:r>
      <w:r>
        <w:instrText xml:space="preserve"> PAGEREF _Toc24503 \h </w:instrText>
      </w:r>
      <w:r>
        <w:fldChar w:fldCharType="separate"/>
      </w:r>
      <w:r>
        <w:t>38</w:t>
      </w:r>
      <w:r>
        <w:fldChar w:fldCharType="end"/>
      </w:r>
      <w:r>
        <w:fldChar w:fldCharType="end"/>
      </w:r>
    </w:p>
    <w:p>
      <w:pPr>
        <w:pStyle w:val="12"/>
        <w:tabs>
          <w:tab w:val="right" w:leader="dot" w:pos="9525"/>
          <w:tab w:val="clear" w:pos="1050"/>
          <w:tab w:val="clear" w:pos="8269"/>
        </w:tabs>
        <w:spacing w:line="360" w:lineRule="auto"/>
      </w:pPr>
      <w:r>
        <w:fldChar w:fldCharType="begin"/>
      </w:r>
      <w:r>
        <w:instrText xml:space="preserve"> HYPERLINK \l "_Toc27056" </w:instrText>
      </w:r>
      <w:r>
        <w:fldChar w:fldCharType="separate"/>
      </w:r>
      <w:r>
        <w:rPr>
          <w:rFonts w:hint="eastAsia"/>
        </w:rPr>
        <w:t>第五章 磋商响应文件格式</w:t>
      </w:r>
      <w:r>
        <w:tab/>
      </w:r>
      <w:r>
        <w:fldChar w:fldCharType="begin"/>
      </w:r>
      <w:r>
        <w:instrText xml:space="preserve"> PAGEREF _Toc27056 \h </w:instrText>
      </w:r>
      <w:r>
        <w:fldChar w:fldCharType="separate"/>
      </w:r>
      <w:r>
        <w:t>41</w:t>
      </w:r>
      <w:r>
        <w:fldChar w:fldCharType="end"/>
      </w:r>
      <w:r>
        <w:fldChar w:fldCharType="end"/>
      </w:r>
    </w:p>
    <w:p>
      <w:pPr>
        <w:pStyle w:val="12"/>
        <w:tabs>
          <w:tab w:val="right" w:leader="dot" w:pos="9525"/>
          <w:tab w:val="clear" w:pos="1050"/>
          <w:tab w:val="clear" w:pos="8269"/>
        </w:tabs>
        <w:spacing w:line="360" w:lineRule="auto"/>
      </w:pPr>
      <w:r>
        <w:fldChar w:fldCharType="begin"/>
      </w:r>
      <w:r>
        <w:instrText xml:space="preserve"> HYPERLINK \l "_Toc11072" </w:instrText>
      </w:r>
      <w:r>
        <w:fldChar w:fldCharType="separate"/>
      </w:r>
      <w:r>
        <w:rPr>
          <w:rFonts w:hint="eastAsia"/>
        </w:rPr>
        <w:t>第六章  合同条款及合同格式</w:t>
      </w:r>
      <w:r>
        <w:tab/>
      </w:r>
      <w:r>
        <w:fldChar w:fldCharType="begin"/>
      </w:r>
      <w:r>
        <w:instrText xml:space="preserve"> PAGEREF _Toc11072 \h </w:instrText>
      </w:r>
      <w:r>
        <w:fldChar w:fldCharType="separate"/>
      </w:r>
      <w:r>
        <w:t>62</w:t>
      </w:r>
      <w:r>
        <w:fldChar w:fldCharType="end"/>
      </w:r>
      <w:r>
        <w:fldChar w:fldCharType="end"/>
      </w:r>
    </w:p>
    <w:p>
      <w:pPr>
        <w:pStyle w:val="28"/>
        <w:snapToGrid w:val="0"/>
        <w:jc w:val="center"/>
        <w:rPr>
          <w:rFonts w:ascii="宋体" w:hAnsi="宋体"/>
          <w:szCs w:val="24"/>
        </w:rPr>
      </w:pPr>
      <w:r>
        <w:rPr>
          <w:rFonts w:ascii="宋体" w:hAnsi="宋体"/>
          <w:szCs w:val="24"/>
        </w:rPr>
        <w:fldChar w:fldCharType="end"/>
      </w:r>
      <w:bookmarkStart w:id="1" w:name="_Toc30206"/>
      <w:bookmarkStart w:id="2" w:name="_Hlk484387257"/>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center"/>
        <w:rPr>
          <w:rFonts w:ascii="宋体" w:hAnsi="宋体"/>
          <w:szCs w:val="24"/>
        </w:rPr>
      </w:pPr>
    </w:p>
    <w:p>
      <w:pPr>
        <w:pStyle w:val="28"/>
        <w:snapToGrid w:val="0"/>
        <w:jc w:val="both"/>
        <w:rPr>
          <w:rFonts w:ascii="宋体" w:hAnsi="宋体"/>
          <w:szCs w:val="24"/>
        </w:rPr>
      </w:pPr>
    </w:p>
    <w:p>
      <w:pPr>
        <w:pStyle w:val="28"/>
        <w:snapToGrid w:val="0"/>
        <w:jc w:val="both"/>
        <w:rPr>
          <w:rFonts w:ascii="宋体" w:hAnsi="宋体"/>
          <w:szCs w:val="24"/>
        </w:rPr>
      </w:pPr>
    </w:p>
    <w:p>
      <w:pPr>
        <w:pStyle w:val="28"/>
        <w:snapToGrid w:val="0"/>
        <w:jc w:val="center"/>
        <w:rPr>
          <w:rFonts w:hint="eastAsia" w:eastAsia="宋体"/>
          <w:b/>
          <w:bCs/>
          <w:sz w:val="44"/>
          <w:szCs w:val="44"/>
          <w:lang w:eastAsia="zh-CN"/>
        </w:rPr>
      </w:pPr>
      <w:r>
        <w:rPr>
          <w:rFonts w:hint="eastAsia"/>
          <w:b/>
          <w:bCs/>
          <w:sz w:val="44"/>
          <w:szCs w:val="44"/>
          <w:lang w:eastAsia="zh-CN"/>
        </w:rPr>
        <w:t>竞争性磋商文件</w:t>
      </w:r>
    </w:p>
    <w:p>
      <w:pPr>
        <w:pStyle w:val="1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25" w:lineRule="atLeast"/>
        <w:ind w:right="0" w:rightChars="0"/>
        <w:jc w:val="left"/>
        <w:rPr>
          <w:rFonts w:hint="eastAsia" w:ascii="宋体" w:hAnsi="宋体" w:eastAsia="宋体" w:cs="宋体"/>
          <w:color w:val="000000"/>
          <w:w w:val="80"/>
          <w:kern w:val="0"/>
          <w:sz w:val="30"/>
          <w:szCs w:val="30"/>
          <w:lang w:val="en-US" w:eastAsia="zh-CN" w:bidi="ar-SA"/>
        </w:rPr>
      </w:pPr>
    </w:p>
    <w:p>
      <w:pPr>
        <w:pStyle w:val="1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25" w:lineRule="atLeast"/>
        <w:ind w:right="0" w:rightChars="0" w:firstLine="720" w:firstLineChars="300"/>
        <w:jc w:val="left"/>
        <w:rPr>
          <w:rFonts w:hint="eastAsia" w:ascii="宋体" w:hAnsi="宋体" w:eastAsia="宋体" w:cs="宋体"/>
          <w:color w:val="000000"/>
          <w:w w:val="80"/>
          <w:kern w:val="0"/>
          <w:sz w:val="30"/>
          <w:szCs w:val="30"/>
          <w:lang w:val="en-US" w:eastAsia="zh-CN" w:bidi="ar-SA"/>
        </w:rPr>
      </w:pPr>
    </w:p>
    <w:p>
      <w:pPr>
        <w:spacing w:line="600" w:lineRule="exact"/>
        <w:ind w:firstLine="720" w:firstLineChars="300"/>
        <w:rPr>
          <w:rFonts w:hint="eastAsia" w:ascii="宋体" w:hAnsi="宋体" w:eastAsia="宋体" w:cs="宋体"/>
          <w:color w:val="000000"/>
          <w:w w:val="80"/>
          <w:kern w:val="0"/>
          <w:sz w:val="30"/>
          <w:szCs w:val="30"/>
          <w:lang w:val="en-US" w:eastAsia="zh-CN" w:bidi="ar-SA"/>
        </w:rPr>
      </w:pPr>
      <w:r>
        <w:rPr>
          <w:rFonts w:hint="eastAsia" w:ascii="宋体" w:hAnsi="宋体" w:eastAsia="宋体" w:cs="宋体"/>
          <w:color w:val="000000"/>
          <w:w w:val="80"/>
          <w:kern w:val="0"/>
          <w:sz w:val="30"/>
          <w:szCs w:val="30"/>
          <w:lang w:val="en-US" w:eastAsia="zh-CN" w:bidi="ar-SA"/>
        </w:rPr>
        <w:t>项目名称：</w:t>
      </w:r>
      <w:r>
        <w:rPr>
          <w:rFonts w:hint="eastAsia" w:ascii="宋体" w:hAnsi="宋体" w:eastAsia="宋体" w:cs="宋体"/>
          <w:kern w:val="1"/>
          <w:sz w:val="28"/>
          <w:szCs w:val="28"/>
          <w:lang w:val="en-US" w:eastAsia="zh-CN" w:bidi="ar-SA"/>
        </w:rPr>
        <w:t>食品安全检验中心食品类检测设备购置</w:t>
      </w:r>
    </w:p>
    <w:p>
      <w:pPr>
        <w:spacing w:line="600" w:lineRule="exact"/>
        <w:ind w:firstLine="720" w:firstLineChars="300"/>
        <w:rPr>
          <w:rFonts w:hint="eastAsia" w:ascii="宋体" w:hAnsi="宋体" w:cs="宋体"/>
          <w:w w:val="80"/>
          <w:sz w:val="30"/>
          <w:szCs w:val="30"/>
          <w:lang w:val="en-US" w:eastAsia="zh-CN"/>
        </w:rPr>
      </w:pPr>
      <w:r>
        <w:rPr>
          <w:rFonts w:hint="eastAsia" w:ascii="宋体" w:hAnsi="宋体" w:cs="宋体"/>
          <w:w w:val="80"/>
          <w:sz w:val="30"/>
          <w:szCs w:val="30"/>
        </w:rPr>
        <w:t>招  标 人：</w:t>
      </w:r>
      <w:r>
        <w:rPr>
          <w:rFonts w:hint="eastAsia" w:ascii="宋体" w:hAnsi="宋体" w:eastAsia="宋体" w:cs="宋体"/>
          <w:sz w:val="28"/>
          <w:szCs w:val="28"/>
          <w:lang w:val="en-US" w:eastAsia="zh-CN"/>
        </w:rPr>
        <w:t>阿克苏地区检验检测中心</w:t>
      </w:r>
      <w:r>
        <w:rPr>
          <w:rFonts w:hint="eastAsia" w:ascii="宋体" w:hAnsi="宋体" w:cs="宋体"/>
          <w:w w:val="80"/>
          <w:sz w:val="30"/>
          <w:szCs w:val="30"/>
          <w:lang w:val="en-US" w:eastAsia="zh-CN"/>
        </w:rPr>
        <w:t xml:space="preserve"> </w:t>
      </w:r>
    </w:p>
    <w:p>
      <w:pPr>
        <w:spacing w:line="600" w:lineRule="exact"/>
        <w:ind w:firstLine="720" w:firstLineChars="300"/>
        <w:rPr>
          <w:rFonts w:hint="eastAsia" w:ascii="宋体" w:hAnsi="宋体" w:cs="宋体"/>
          <w:color w:val="000000"/>
          <w:w w:val="80"/>
          <w:kern w:val="0"/>
          <w:sz w:val="30"/>
          <w:szCs w:val="30"/>
        </w:rPr>
      </w:pPr>
      <w:r>
        <w:rPr>
          <w:rFonts w:hint="eastAsia" w:ascii="宋体" w:hAnsi="宋体" w:cs="宋体"/>
          <w:color w:val="000000"/>
          <w:w w:val="80"/>
          <w:kern w:val="0"/>
          <w:sz w:val="30"/>
          <w:szCs w:val="30"/>
        </w:rPr>
        <w:t>法定代表人（签章）：</w:t>
      </w:r>
    </w:p>
    <w:p>
      <w:pPr>
        <w:spacing w:line="600" w:lineRule="exact"/>
        <w:ind w:firstLine="720" w:firstLineChars="300"/>
        <w:rPr>
          <w:rFonts w:hint="eastAsia" w:ascii="宋体" w:hAnsi="宋体" w:eastAsia="宋体" w:cs="宋体"/>
          <w:color w:val="000000"/>
          <w:w w:val="80"/>
          <w:kern w:val="0"/>
          <w:sz w:val="30"/>
          <w:szCs w:val="30"/>
          <w:lang w:val="en-US" w:eastAsia="zh-CN"/>
        </w:rPr>
      </w:pPr>
      <w:r>
        <w:rPr>
          <w:rFonts w:hint="eastAsia" w:ascii="宋体" w:hAnsi="宋体" w:cs="宋体"/>
          <w:color w:val="000000"/>
          <w:w w:val="80"/>
          <w:kern w:val="0"/>
          <w:sz w:val="30"/>
          <w:szCs w:val="30"/>
        </w:rPr>
        <w:t>联 系 人：</w:t>
      </w:r>
      <w:r>
        <w:rPr>
          <w:rFonts w:hint="eastAsia" w:ascii="宋体" w:hAnsi="宋体" w:cs="宋体"/>
          <w:color w:val="000000"/>
          <w:w w:val="80"/>
          <w:kern w:val="0"/>
          <w:sz w:val="30"/>
          <w:szCs w:val="30"/>
          <w:lang w:eastAsia="zh-CN"/>
        </w:rPr>
        <w:t>甘莉莉</w:t>
      </w:r>
    </w:p>
    <w:p>
      <w:pPr>
        <w:ind w:firstLine="720" w:firstLineChars="300"/>
        <w:rPr>
          <w:rFonts w:hint="default" w:ascii="宋体" w:hAnsi="宋体" w:cs="宋体"/>
          <w:color w:val="000000"/>
          <w:w w:val="80"/>
          <w:kern w:val="0"/>
          <w:sz w:val="30"/>
          <w:szCs w:val="30"/>
          <w:lang w:val="en-US"/>
        </w:rPr>
      </w:pPr>
      <w:r>
        <w:rPr>
          <w:rFonts w:hint="eastAsia" w:ascii="宋体" w:hAnsi="宋体" w:cs="宋体"/>
          <w:color w:val="000000"/>
          <w:w w:val="80"/>
          <w:kern w:val="0"/>
          <w:sz w:val="30"/>
          <w:szCs w:val="30"/>
        </w:rPr>
        <w:t>联系电话</w:t>
      </w:r>
      <w:r>
        <w:rPr>
          <w:rFonts w:hint="eastAsia" w:ascii="宋体" w:hAnsi="宋体" w:cs="宋体"/>
          <w:color w:val="000000"/>
          <w:w w:val="80"/>
          <w:kern w:val="0"/>
          <w:sz w:val="30"/>
          <w:szCs w:val="30"/>
          <w:lang w:eastAsia="zh-CN"/>
        </w:rPr>
        <w:t>：</w:t>
      </w:r>
      <w:r>
        <w:rPr>
          <w:rFonts w:hint="eastAsia" w:ascii="宋体" w:hAnsi="宋体" w:cs="宋体"/>
          <w:color w:val="000000"/>
          <w:w w:val="80"/>
          <w:kern w:val="0"/>
          <w:sz w:val="30"/>
          <w:szCs w:val="30"/>
          <w:lang w:val="en-US" w:eastAsia="zh-CN"/>
        </w:rPr>
        <w:t>0997-2873137</w:t>
      </w:r>
    </w:p>
    <w:p>
      <w:pPr>
        <w:rPr>
          <w:rFonts w:hint="eastAsia" w:ascii="宋体" w:hAnsi="宋体" w:cs="宋体"/>
          <w:color w:val="000000"/>
          <w:w w:val="80"/>
          <w:kern w:val="0"/>
          <w:sz w:val="30"/>
          <w:szCs w:val="30"/>
        </w:rPr>
      </w:pPr>
    </w:p>
    <w:p>
      <w:pPr>
        <w:rPr>
          <w:rFonts w:hint="eastAsia" w:ascii="宋体" w:hAnsi="宋体" w:cs="宋体"/>
          <w:color w:val="000000"/>
          <w:w w:val="80"/>
          <w:kern w:val="0"/>
          <w:sz w:val="30"/>
          <w:szCs w:val="30"/>
        </w:rPr>
      </w:pPr>
    </w:p>
    <w:p>
      <w:pPr>
        <w:rPr>
          <w:rFonts w:hint="eastAsia" w:ascii="宋体" w:hAnsi="宋体" w:cs="宋体"/>
          <w:color w:val="000000"/>
          <w:w w:val="80"/>
          <w:kern w:val="0"/>
          <w:sz w:val="30"/>
          <w:szCs w:val="30"/>
        </w:rPr>
      </w:pPr>
    </w:p>
    <w:p>
      <w:pPr>
        <w:pStyle w:val="28"/>
        <w:snapToGrid w:val="0"/>
        <w:spacing w:line="600" w:lineRule="exact"/>
        <w:ind w:firstLine="720" w:firstLineChars="300"/>
        <w:jc w:val="both"/>
        <w:rPr>
          <w:rFonts w:hint="eastAsia" w:ascii="宋体" w:hAnsi="宋体" w:cs="宋体"/>
          <w:w w:val="80"/>
          <w:sz w:val="30"/>
          <w:szCs w:val="30"/>
          <w:lang w:eastAsia="zh-CN"/>
        </w:rPr>
      </w:pPr>
      <w:r>
        <w:rPr>
          <w:rFonts w:hint="eastAsia" w:ascii="宋体" w:hAnsi="宋体" w:cs="宋体"/>
          <w:w w:val="80"/>
          <w:sz w:val="30"/>
          <w:szCs w:val="30"/>
        </w:rPr>
        <w:t>招标代理机构：</w:t>
      </w:r>
      <w:r>
        <w:rPr>
          <w:rFonts w:hint="eastAsia" w:ascii="宋体" w:hAnsi="宋体" w:eastAsia="宋体" w:cs="宋体"/>
          <w:sz w:val="28"/>
          <w:szCs w:val="28"/>
          <w:lang w:val="en-US" w:eastAsia="zh-CN"/>
        </w:rPr>
        <w:t>众赢国际咨询有限责任公司</w:t>
      </w:r>
    </w:p>
    <w:p>
      <w:pPr>
        <w:pStyle w:val="28"/>
        <w:snapToGrid w:val="0"/>
        <w:spacing w:line="600" w:lineRule="exact"/>
        <w:ind w:firstLine="720" w:firstLineChars="300"/>
        <w:jc w:val="both"/>
        <w:rPr>
          <w:rFonts w:hint="eastAsia" w:eastAsia="宋体"/>
          <w:sz w:val="30"/>
          <w:szCs w:val="30"/>
          <w:lang w:eastAsia="zh-CN"/>
        </w:rPr>
      </w:pPr>
      <w:r>
        <w:rPr>
          <w:rFonts w:hint="eastAsia" w:ascii="宋体" w:hAnsi="宋体" w:cs="宋体"/>
          <w:w w:val="80"/>
          <w:sz w:val="30"/>
          <w:szCs w:val="30"/>
        </w:rPr>
        <w:t>法定代表人（签章）</w:t>
      </w:r>
      <w:r>
        <w:rPr>
          <w:rFonts w:hint="eastAsia" w:ascii="宋体" w:hAnsi="宋体" w:cs="宋体"/>
          <w:w w:val="80"/>
          <w:sz w:val="30"/>
          <w:szCs w:val="30"/>
          <w:lang w:eastAsia="zh-CN"/>
        </w:rPr>
        <w:t>：</w:t>
      </w:r>
    </w:p>
    <w:p>
      <w:pPr>
        <w:widowControl/>
        <w:wordWrap w:val="0"/>
        <w:spacing w:line="600" w:lineRule="exact"/>
        <w:ind w:firstLine="720" w:firstLineChars="300"/>
        <w:rPr>
          <w:rFonts w:hint="eastAsia" w:ascii="宋体" w:hAnsi="宋体" w:cs="宋体"/>
          <w:sz w:val="28"/>
          <w:szCs w:val="28"/>
          <w:lang w:val="en-US" w:eastAsia="zh-CN"/>
        </w:rPr>
      </w:pPr>
      <w:r>
        <w:rPr>
          <w:rFonts w:hint="eastAsia" w:ascii="宋体" w:hAnsi="宋体" w:cs="宋体"/>
          <w:w w:val="80"/>
          <w:sz w:val="30"/>
          <w:szCs w:val="30"/>
        </w:rPr>
        <w:t>联 系 人：</w:t>
      </w:r>
      <w:r>
        <w:rPr>
          <w:rFonts w:hint="eastAsia" w:ascii="宋体" w:hAnsi="宋体" w:cs="宋体"/>
          <w:sz w:val="28"/>
          <w:szCs w:val="28"/>
          <w:lang w:val="en-US" w:eastAsia="zh-CN"/>
        </w:rPr>
        <w:t>刘亚飞</w:t>
      </w:r>
    </w:p>
    <w:p>
      <w:pPr>
        <w:widowControl/>
        <w:wordWrap w:val="0"/>
        <w:spacing w:line="600" w:lineRule="exact"/>
        <w:ind w:firstLine="720" w:firstLineChars="300"/>
        <w:rPr>
          <w:rFonts w:hint="default" w:ascii="宋体" w:hAnsi="宋体" w:cs="宋体"/>
          <w:color w:val="000000"/>
          <w:w w:val="80"/>
          <w:kern w:val="0"/>
          <w:sz w:val="30"/>
          <w:szCs w:val="30"/>
          <w:lang w:val="en-US" w:eastAsia="zh-CN"/>
        </w:rPr>
      </w:pPr>
      <w:r>
        <w:rPr>
          <w:rFonts w:hint="eastAsia" w:ascii="宋体" w:hAnsi="宋体" w:cs="宋体"/>
          <w:w w:val="80"/>
          <w:sz w:val="30"/>
          <w:szCs w:val="30"/>
          <w:lang w:eastAsia="zh-CN"/>
        </w:rPr>
        <w:t>联系电话</w:t>
      </w:r>
      <w:r>
        <w:rPr>
          <w:rFonts w:hint="eastAsia" w:ascii="宋体" w:hAnsi="宋体" w:cs="宋体"/>
          <w:w w:val="80"/>
          <w:sz w:val="30"/>
          <w:szCs w:val="30"/>
        </w:rPr>
        <w:t>：</w:t>
      </w:r>
      <w:r>
        <w:rPr>
          <w:rFonts w:hint="eastAsia" w:ascii="宋体" w:hAnsi="宋体" w:cs="宋体"/>
          <w:color w:val="000000"/>
          <w:w w:val="80"/>
          <w:kern w:val="0"/>
          <w:sz w:val="30"/>
          <w:szCs w:val="30"/>
          <w:lang w:val="en-US" w:eastAsia="zh-CN"/>
        </w:rPr>
        <w:t>182 9078 5599</w:t>
      </w:r>
    </w:p>
    <w:p>
      <w:pPr>
        <w:pStyle w:val="7"/>
        <w:rPr>
          <w:rFonts w:hint="eastAsia" w:ascii="宋体" w:hAnsi="宋体" w:cs="宋体"/>
          <w:color w:val="000000"/>
          <w:w w:val="80"/>
          <w:kern w:val="0"/>
          <w:sz w:val="30"/>
          <w:szCs w:val="30"/>
          <w:lang w:val="en-US" w:eastAsia="zh-CN"/>
        </w:rPr>
      </w:pPr>
    </w:p>
    <w:p>
      <w:pPr>
        <w:pStyle w:val="5"/>
        <w:numPr>
          <w:ilvl w:val="0"/>
          <w:numId w:val="0"/>
        </w:numPr>
        <w:rPr>
          <w:rFonts w:hint="eastAsia"/>
          <w:lang w:val="en-US" w:eastAsia="zh-CN"/>
        </w:rPr>
      </w:pPr>
    </w:p>
    <w:p>
      <w:pPr>
        <w:numPr>
          <w:ilvl w:val="0"/>
          <w:numId w:val="0"/>
        </w:numPr>
        <w:tabs>
          <w:tab w:val="left" w:pos="0"/>
        </w:tabs>
        <w:autoSpaceDE w:val="0"/>
        <w:autoSpaceDN w:val="0"/>
        <w:adjustRightInd w:val="0"/>
        <w:spacing w:before="0" w:after="0" w:line="360" w:lineRule="auto"/>
        <w:ind w:leftChars="0"/>
        <w:jc w:val="both"/>
        <w:outlineLvl w:val="9"/>
        <w:rPr>
          <w:rFonts w:hint="eastAsia" w:ascii="宋体" w:hAnsi="宋体" w:cs="宋体"/>
          <w:color w:val="000000"/>
          <w:w w:val="80"/>
          <w:kern w:val="0"/>
          <w:sz w:val="28"/>
          <w:szCs w:val="28"/>
          <w:lang w:val="en-US" w:eastAsia="zh-CN"/>
        </w:rPr>
      </w:pPr>
    </w:p>
    <w:p>
      <w:pPr>
        <w:numPr>
          <w:ilvl w:val="0"/>
          <w:numId w:val="0"/>
        </w:numPr>
        <w:tabs>
          <w:tab w:val="left" w:pos="0"/>
        </w:tabs>
        <w:autoSpaceDE w:val="0"/>
        <w:autoSpaceDN w:val="0"/>
        <w:adjustRightInd w:val="0"/>
        <w:spacing w:before="0" w:after="0" w:line="360" w:lineRule="auto"/>
        <w:ind w:leftChars="0"/>
        <w:jc w:val="center"/>
        <w:outlineLvl w:val="9"/>
        <w:rPr>
          <w:rFonts w:hint="eastAsia" w:ascii="宋体" w:hAnsi="宋体" w:cs="宋体"/>
          <w:color w:val="000000"/>
          <w:w w:val="80"/>
          <w:kern w:val="0"/>
          <w:sz w:val="28"/>
          <w:szCs w:val="28"/>
          <w:lang w:val="en-US" w:eastAsia="zh-CN"/>
        </w:rPr>
      </w:pPr>
      <w:r>
        <w:rPr>
          <w:rFonts w:hint="eastAsia" w:ascii="宋体" w:hAnsi="宋体" w:cs="宋体"/>
          <w:color w:val="000000"/>
          <w:w w:val="80"/>
          <w:kern w:val="0"/>
          <w:sz w:val="28"/>
          <w:szCs w:val="28"/>
          <w:lang w:val="en-US" w:eastAsia="zh-CN"/>
        </w:rPr>
        <w:t>2022年7月</w:t>
      </w:r>
    </w:p>
    <w:p>
      <w:pPr>
        <w:numPr>
          <w:ilvl w:val="0"/>
          <w:numId w:val="0"/>
        </w:numPr>
        <w:tabs>
          <w:tab w:val="left" w:pos="0"/>
        </w:tabs>
        <w:autoSpaceDE w:val="0"/>
        <w:autoSpaceDN w:val="0"/>
        <w:adjustRightInd w:val="0"/>
        <w:spacing w:before="0" w:after="0" w:line="360" w:lineRule="auto"/>
        <w:ind w:leftChars="0"/>
        <w:jc w:val="center"/>
        <w:outlineLvl w:val="9"/>
        <w:rPr>
          <w:rFonts w:hint="eastAsia" w:ascii="宋体" w:hAnsi="宋体" w:cs="宋体"/>
          <w:color w:val="000000"/>
          <w:w w:val="80"/>
          <w:kern w:val="0"/>
          <w:sz w:val="28"/>
          <w:szCs w:val="28"/>
          <w:lang w:val="en-US" w:eastAsia="zh-CN"/>
        </w:rPr>
      </w:pPr>
    </w:p>
    <w:p>
      <w:pPr>
        <w:numPr>
          <w:ilvl w:val="0"/>
          <w:numId w:val="0"/>
        </w:numPr>
        <w:tabs>
          <w:tab w:val="left" w:pos="0"/>
        </w:tabs>
        <w:autoSpaceDE w:val="0"/>
        <w:autoSpaceDN w:val="0"/>
        <w:adjustRightInd w:val="0"/>
        <w:spacing w:before="0" w:after="0" w:line="360" w:lineRule="auto"/>
        <w:ind w:leftChars="0"/>
        <w:jc w:val="center"/>
        <w:outlineLvl w:val="9"/>
        <w:rPr>
          <w:rFonts w:hint="eastAsia" w:ascii="宋体" w:hAnsi="宋体" w:cs="宋体"/>
          <w:color w:val="000000"/>
          <w:w w:val="80"/>
          <w:kern w:val="0"/>
          <w:sz w:val="28"/>
          <w:szCs w:val="28"/>
          <w:lang w:val="en-US" w:eastAsia="zh-CN"/>
        </w:rPr>
      </w:pPr>
    </w:p>
    <w:p>
      <w:pPr>
        <w:numPr>
          <w:ilvl w:val="0"/>
          <w:numId w:val="0"/>
        </w:numPr>
        <w:tabs>
          <w:tab w:val="left" w:pos="0"/>
        </w:tabs>
        <w:autoSpaceDE w:val="0"/>
        <w:autoSpaceDN w:val="0"/>
        <w:adjustRightInd w:val="0"/>
        <w:spacing w:before="0" w:after="0" w:line="360" w:lineRule="auto"/>
        <w:ind w:leftChars="0"/>
        <w:jc w:val="center"/>
        <w:outlineLvl w:val="9"/>
        <w:rPr>
          <w:rFonts w:hint="eastAsia" w:ascii="宋体" w:hAnsi="宋体" w:cs="宋体"/>
          <w:color w:val="000000"/>
          <w:w w:val="80"/>
          <w:kern w:val="0"/>
          <w:sz w:val="28"/>
          <w:szCs w:val="28"/>
          <w:lang w:val="en-US" w:eastAsia="zh-CN"/>
        </w:rPr>
      </w:pPr>
    </w:p>
    <w:p>
      <w:pPr>
        <w:pStyle w:val="2"/>
        <w:rPr>
          <w:rFonts w:hint="eastAsia" w:ascii="宋体" w:hAnsi="宋体" w:cs="宋体"/>
          <w:color w:val="000000"/>
          <w:w w:val="80"/>
          <w:kern w:val="0"/>
          <w:sz w:val="28"/>
          <w:szCs w:val="28"/>
          <w:lang w:val="en-US" w:eastAsia="zh-CN"/>
        </w:rPr>
      </w:pPr>
    </w:p>
    <w:p>
      <w:pPr>
        <w:pStyle w:val="2"/>
        <w:rPr>
          <w:rFonts w:hint="eastAsia" w:ascii="宋体" w:hAnsi="宋体" w:cs="宋体"/>
          <w:color w:val="000000"/>
          <w:w w:val="80"/>
          <w:kern w:val="0"/>
          <w:sz w:val="28"/>
          <w:szCs w:val="28"/>
          <w:lang w:val="en-US" w:eastAsia="zh-CN"/>
        </w:rPr>
      </w:pPr>
    </w:p>
    <w:p>
      <w:pPr>
        <w:numPr>
          <w:ilvl w:val="0"/>
          <w:numId w:val="0"/>
        </w:numPr>
        <w:tabs>
          <w:tab w:val="left" w:pos="0"/>
        </w:tabs>
        <w:autoSpaceDE w:val="0"/>
        <w:autoSpaceDN w:val="0"/>
        <w:adjustRightInd w:val="0"/>
        <w:spacing w:before="0" w:after="0" w:line="360" w:lineRule="auto"/>
        <w:ind w:leftChars="0"/>
        <w:jc w:val="center"/>
        <w:outlineLvl w:val="9"/>
        <w:rPr>
          <w:b/>
          <w:bCs/>
          <w:sz w:val="36"/>
          <w:szCs w:val="36"/>
        </w:rPr>
      </w:pPr>
      <w:r>
        <w:rPr>
          <w:rFonts w:hint="eastAsia"/>
          <w:b/>
          <w:bCs/>
          <w:sz w:val="36"/>
          <w:szCs w:val="36"/>
        </w:rPr>
        <w:t>第一章  磋商公告</w:t>
      </w:r>
      <w:bookmarkEnd w:id="1"/>
    </w:p>
    <w:bookmarkEnd w:id="0"/>
    <w:bookmarkEnd w:id="2"/>
    <w:p>
      <w:pPr>
        <w:pStyle w:val="3"/>
        <w:tabs>
          <w:tab w:val="left" w:pos="0"/>
          <w:tab w:val="left" w:pos="420"/>
          <w:tab w:val="center" w:pos="4153"/>
        </w:tabs>
        <w:autoSpaceDE w:val="0"/>
        <w:autoSpaceDN w:val="0"/>
        <w:adjustRightInd w:val="0"/>
        <w:spacing w:before="0" w:beforeLines="-2147483648" w:after="0" w:afterLines="-2147483648" w:line="360" w:lineRule="auto"/>
        <w:ind w:firstLine="0" w:firstLineChars="0"/>
        <w:jc w:val="center"/>
        <w:textAlignment w:val="auto"/>
        <w:rPr>
          <w:rFonts w:hint="eastAsia" w:ascii="仿宋" w:hAnsi="仿宋" w:eastAsia="仿宋"/>
          <w:color w:val="auto"/>
          <w:sz w:val="32"/>
          <w:lang w:eastAsia="zh-CN"/>
        </w:rPr>
      </w:pPr>
      <w:bookmarkStart w:id="3" w:name="_Toc373314696"/>
      <w:r>
        <w:rPr>
          <w:rFonts w:hint="eastAsia" w:ascii="宋体" w:hAnsi="宋体" w:cs="宋体"/>
          <w:kern w:val="1"/>
          <w:sz w:val="28"/>
          <w:szCs w:val="28"/>
          <w:lang w:val="en-US" w:eastAsia="zh-CN" w:bidi="ar-SA"/>
        </w:rPr>
        <w:t>食品安全检验中心食品类检测设备购置</w:t>
      </w:r>
      <w:r>
        <w:rPr>
          <w:rFonts w:hint="eastAsia" w:ascii="华文中宋" w:hAnsi="华文中宋" w:eastAsia="华文中宋" w:cs="Times New Roman"/>
          <w:b/>
          <w:lang w:val="en-US" w:eastAsia="zh-CN"/>
        </w:rPr>
        <w:t>竞争性磋商公告</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50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项目概况</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食品安全检验中心食品类检测设备购置的潜在投标人应在新疆政府采购网（政采云平台）获取招标文件，并于2022年08月09日 10:30（北京时间）前递交投标文件。</w:t>
      </w:r>
    </w:p>
    <w:p>
      <w:pPr>
        <w:pStyle w:val="15"/>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1"/>
          <w:rFonts w:ascii="黑体" w:hAnsi="宋体" w:eastAsia="黑体" w:cs="黑体"/>
          <w:sz w:val="27"/>
          <w:szCs w:val="27"/>
        </w:rPr>
        <w:t>一、项目基本情况</w:t>
      </w:r>
    </w:p>
    <w:p>
      <w:pPr>
        <w:pStyle w:val="1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项目编号：分2022-01-141-2</w:t>
      </w:r>
    </w:p>
    <w:p>
      <w:pPr>
        <w:pStyle w:val="1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项目名称：</w:t>
      </w:r>
      <w:r>
        <w:rPr>
          <w:rFonts w:hint="eastAsia" w:ascii="仿宋" w:hAnsi="仿宋" w:eastAsia="仿宋" w:cs="仿宋"/>
          <w:color w:val="auto"/>
          <w:sz w:val="28"/>
          <w:szCs w:val="28"/>
          <w:lang w:val="en-US" w:eastAsia="zh-CN"/>
        </w:rPr>
        <w:t>食品安全检验中心食品类检测设备购置</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采购方式：竞争性磋商</w:t>
      </w:r>
    </w:p>
    <w:p>
      <w:pPr>
        <w:pStyle w:val="1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预算金额（元）：1781000.00</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最高限价（元）：1781000.00</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采购需求：详见采购清单</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标项名称： </w:t>
      </w:r>
      <w:r>
        <w:rPr>
          <w:rFonts w:hint="eastAsia" w:ascii="仿宋" w:hAnsi="仿宋" w:eastAsia="仿宋" w:cs="仿宋"/>
          <w:color w:val="auto"/>
          <w:sz w:val="28"/>
          <w:szCs w:val="28"/>
          <w:lang w:val="en-US" w:eastAsia="zh-CN"/>
        </w:rPr>
        <w:t>食品安全检验中心食品类检测设备购置</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数量：1     </w:t>
      </w:r>
    </w:p>
    <w:p>
      <w:pPr>
        <w:pStyle w:val="1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预算金额（元）：1781000.00</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单位：批 </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简要规格描述：详见采购清单 </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备注： </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合同履约期限：标项 1，甲乙双方签订合同时约定  </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 本项目（否）接受联合体投标。 </w:t>
      </w:r>
    </w:p>
    <w:p>
      <w:pPr>
        <w:pStyle w:val="15"/>
        <w:keepNext w:val="0"/>
        <w:keepLines w:val="0"/>
        <w:widowControl/>
        <w:suppressLineNumbers w:val="0"/>
        <w:spacing w:before="75" w:beforeAutospacing="0" w:after="75" w:afterAutospacing="0" w:line="300" w:lineRule="atLeast"/>
        <w:ind w:left="0" w:right="0"/>
      </w:pPr>
      <w:r>
        <w:rPr>
          <w:rStyle w:val="21"/>
          <w:rFonts w:ascii="黑体" w:hAnsi="宋体" w:eastAsia="黑体" w:cs="黑体"/>
          <w:sz w:val="27"/>
          <w:szCs w:val="27"/>
        </w:rPr>
        <w:t>二、申请人的资格要求：</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1.满足《中华人民共和国政府采购法》第二十二条规定；</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2.落实政府采购政策需满足的资格要求：供应商为中小企业/小微企业,供应商为中小微企业（其中监狱企业、残疾人福利企业等同于中小微企业）；</w:t>
      </w:r>
    </w:p>
    <w:p>
      <w:pPr>
        <w:pStyle w:val="1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3.本项目的特定资格要求：无</w:t>
      </w:r>
    </w:p>
    <w:p>
      <w:pPr>
        <w:pStyle w:val="15"/>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1"/>
          <w:rFonts w:ascii="黑体" w:hAnsi="宋体" w:eastAsia="黑体" w:cs="黑体"/>
          <w:sz w:val="27"/>
          <w:szCs w:val="27"/>
        </w:rPr>
        <w:t>三、获取</w:t>
      </w:r>
      <w:r>
        <w:rPr>
          <w:rStyle w:val="21"/>
          <w:rFonts w:hint="eastAsia" w:ascii="黑体" w:hAnsi="宋体" w:eastAsia="黑体" w:cs="黑体"/>
          <w:sz w:val="27"/>
          <w:szCs w:val="27"/>
          <w:lang w:val="en-US" w:eastAsia="zh-CN"/>
        </w:rPr>
        <w:t>采购</w:t>
      </w:r>
      <w:r>
        <w:rPr>
          <w:rStyle w:val="21"/>
          <w:rFonts w:ascii="黑体" w:hAnsi="宋体" w:eastAsia="黑体" w:cs="黑体"/>
          <w:sz w:val="27"/>
          <w:szCs w:val="27"/>
        </w:rPr>
        <w:t>文件</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时间：2022年07月29日至2022年08月04日，每天上午10:00至14:00，下午16:00至20:00（北京时间，法定节假日除外）</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地点：新疆政府采购网（政采云平台）</w:t>
      </w:r>
    </w:p>
    <w:p>
      <w:pPr>
        <w:pStyle w:val="1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方式：供应商登录政采云平台https://www.zcygov.cn/在线申请获取采购文件（进入“项目采购”应用，在获取采购文件菜单中选择项目，申请获取采购文件） </w:t>
      </w:r>
    </w:p>
    <w:p>
      <w:pPr>
        <w:pStyle w:val="15"/>
        <w:keepNext w:val="0"/>
        <w:keepLines w:val="0"/>
        <w:widowControl/>
        <w:suppressLineNumbers w:val="0"/>
        <w:spacing w:before="255" w:beforeAutospacing="0" w:after="255" w:afterAutospacing="0" w:line="300" w:lineRule="atLeast"/>
        <w:ind w:left="0" w:right="0"/>
        <w:jc w:val="both"/>
        <w:rPr>
          <w:rFonts w:ascii="黑体" w:hAnsi="宋体" w:eastAsia="黑体" w:cs="黑体"/>
          <w:sz w:val="27"/>
          <w:szCs w:val="27"/>
        </w:rPr>
      </w:pPr>
      <w:r>
        <w:rPr>
          <w:rStyle w:val="21"/>
          <w:rFonts w:ascii="黑体" w:hAnsi="宋体" w:eastAsia="黑体" w:cs="黑体"/>
          <w:sz w:val="27"/>
          <w:szCs w:val="27"/>
        </w:rPr>
        <w:t>四、响应文件提交 </w:t>
      </w:r>
    </w:p>
    <w:p>
      <w:pPr>
        <w:pStyle w:val="15"/>
        <w:keepNext w:val="0"/>
        <w:keepLines w:val="0"/>
        <w:widowControl/>
        <w:suppressLineNumbers w:val="0"/>
        <w:spacing w:before="75" w:beforeAutospacing="0" w:after="75" w:afterAutospacing="0" w:line="300" w:lineRule="atLeast"/>
        <w:ind w:left="0" w:right="0"/>
      </w:pPr>
      <w:r>
        <w:rPr>
          <w:rFonts w:ascii="仿宋" w:hAnsi="仿宋" w:eastAsia="仿宋" w:cs="仿宋"/>
          <w:i w:val="0"/>
          <w:caps w:val="0"/>
          <w:color w:val="000000"/>
          <w:spacing w:val="0"/>
          <w:sz w:val="27"/>
          <w:szCs w:val="27"/>
        </w:rPr>
        <w:t>    截止时间：</w:t>
      </w:r>
      <w:r>
        <w:rPr>
          <w:rFonts w:hint="eastAsia" w:ascii="仿宋" w:hAnsi="仿宋" w:eastAsia="仿宋" w:cs="仿宋"/>
          <w:i w:val="0"/>
          <w:caps w:val="0"/>
          <w:color w:val="000000"/>
          <w:spacing w:val="0"/>
          <w:sz w:val="27"/>
          <w:szCs w:val="27"/>
        </w:rPr>
        <w:t>2022年0</w:t>
      </w:r>
      <w:r>
        <w:rPr>
          <w:rFonts w:hint="eastAsia" w:ascii="仿宋" w:hAnsi="仿宋" w:eastAsia="仿宋" w:cs="仿宋"/>
          <w:i w:val="0"/>
          <w:caps w:val="0"/>
          <w:color w:val="000000"/>
          <w:spacing w:val="0"/>
          <w:sz w:val="27"/>
          <w:szCs w:val="27"/>
          <w:lang w:val="en-US" w:eastAsia="zh-CN"/>
        </w:rPr>
        <w:t>8</w:t>
      </w:r>
      <w:r>
        <w:rPr>
          <w:rFonts w:hint="eastAsia" w:ascii="仿宋" w:hAnsi="仿宋" w:eastAsia="仿宋" w:cs="仿宋"/>
          <w:i w:val="0"/>
          <w:caps w:val="0"/>
          <w:color w:val="000000"/>
          <w:spacing w:val="0"/>
          <w:sz w:val="27"/>
          <w:szCs w:val="27"/>
        </w:rPr>
        <w:t>月</w:t>
      </w:r>
      <w:r>
        <w:rPr>
          <w:rFonts w:hint="eastAsia" w:ascii="仿宋" w:hAnsi="仿宋" w:eastAsia="仿宋" w:cs="仿宋"/>
          <w:i w:val="0"/>
          <w:caps w:val="0"/>
          <w:color w:val="000000"/>
          <w:spacing w:val="0"/>
          <w:sz w:val="27"/>
          <w:szCs w:val="27"/>
          <w:lang w:val="en-US" w:eastAsia="zh-CN"/>
        </w:rPr>
        <w:t>09</w:t>
      </w:r>
      <w:r>
        <w:rPr>
          <w:rFonts w:hint="eastAsia" w:ascii="仿宋" w:hAnsi="仿宋" w:eastAsia="仿宋" w:cs="仿宋"/>
          <w:i w:val="0"/>
          <w:caps w:val="0"/>
          <w:color w:val="000000"/>
          <w:spacing w:val="0"/>
          <w:sz w:val="27"/>
          <w:szCs w:val="27"/>
        </w:rPr>
        <w:t xml:space="preserve">日 </w:t>
      </w:r>
      <w:r>
        <w:rPr>
          <w:rFonts w:hint="eastAsia" w:ascii="仿宋" w:hAnsi="仿宋" w:eastAsia="仿宋" w:cs="仿宋"/>
          <w:i w:val="0"/>
          <w:caps w:val="0"/>
          <w:color w:val="000000"/>
          <w:spacing w:val="0"/>
          <w:sz w:val="27"/>
          <w:szCs w:val="27"/>
          <w:lang w:val="en-US" w:eastAsia="zh-CN"/>
        </w:rPr>
        <w:t>10:30</w:t>
      </w:r>
      <w:r>
        <w:rPr>
          <w:rFonts w:hint="eastAsia" w:ascii="仿宋" w:hAnsi="仿宋" w:eastAsia="仿宋" w:cs="仿宋"/>
          <w:i w:val="0"/>
          <w:caps w:val="0"/>
          <w:color w:val="000000"/>
          <w:spacing w:val="0"/>
          <w:sz w:val="27"/>
          <w:szCs w:val="27"/>
        </w:rPr>
        <w:t>（北京时间）</w:t>
      </w:r>
    </w:p>
    <w:p>
      <w:pPr>
        <w:pStyle w:val="15"/>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caps w:val="0"/>
          <w:color w:val="000000"/>
          <w:spacing w:val="0"/>
          <w:sz w:val="27"/>
          <w:szCs w:val="27"/>
        </w:rPr>
        <w:t>    地点：政采云一站式政府采购云平台 </w:t>
      </w:r>
    </w:p>
    <w:p>
      <w:pPr>
        <w:pStyle w:val="15"/>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caps w:val="0"/>
          <w:color w:val="000000"/>
          <w:spacing w:val="0"/>
          <w:sz w:val="27"/>
          <w:szCs w:val="27"/>
        </w:rPr>
      </w:pPr>
      <w:r>
        <w:rPr>
          <w:rStyle w:val="21"/>
          <w:rFonts w:ascii="黑体" w:hAnsi="宋体" w:eastAsia="黑体" w:cs="黑体"/>
          <w:i w:val="0"/>
          <w:caps w:val="0"/>
          <w:color w:val="000000"/>
          <w:spacing w:val="0"/>
          <w:sz w:val="27"/>
          <w:szCs w:val="27"/>
        </w:rPr>
        <w:t>五、响应文件开启</w:t>
      </w:r>
      <w:r>
        <w:rPr>
          <w:rFonts w:ascii="黑体" w:hAnsi="宋体" w:eastAsia="黑体" w:cs="黑体"/>
          <w:i w:val="0"/>
          <w:caps w:val="0"/>
          <w:color w:val="000000"/>
          <w:spacing w:val="0"/>
          <w:sz w:val="27"/>
          <w:szCs w:val="27"/>
        </w:rPr>
        <w:t> </w:t>
      </w:r>
    </w:p>
    <w:p>
      <w:pPr>
        <w:pStyle w:val="15"/>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caps w:val="0"/>
          <w:color w:val="000000"/>
          <w:spacing w:val="0"/>
          <w:sz w:val="27"/>
          <w:szCs w:val="27"/>
        </w:rPr>
        <w:t>    开启时间：2022年0</w:t>
      </w:r>
      <w:r>
        <w:rPr>
          <w:rFonts w:hint="eastAsia" w:ascii="仿宋" w:hAnsi="仿宋" w:eastAsia="仿宋" w:cs="仿宋"/>
          <w:i w:val="0"/>
          <w:caps w:val="0"/>
          <w:color w:val="000000"/>
          <w:spacing w:val="0"/>
          <w:sz w:val="27"/>
          <w:szCs w:val="27"/>
          <w:lang w:val="en-US" w:eastAsia="zh-CN"/>
        </w:rPr>
        <w:t>8</w:t>
      </w:r>
      <w:r>
        <w:rPr>
          <w:rFonts w:hint="eastAsia" w:ascii="仿宋" w:hAnsi="仿宋" w:eastAsia="仿宋" w:cs="仿宋"/>
          <w:i w:val="0"/>
          <w:caps w:val="0"/>
          <w:color w:val="000000"/>
          <w:spacing w:val="0"/>
          <w:sz w:val="27"/>
          <w:szCs w:val="27"/>
        </w:rPr>
        <w:t>月</w:t>
      </w:r>
      <w:r>
        <w:rPr>
          <w:rFonts w:hint="eastAsia" w:ascii="仿宋" w:hAnsi="仿宋" w:eastAsia="仿宋" w:cs="仿宋"/>
          <w:i w:val="0"/>
          <w:caps w:val="0"/>
          <w:color w:val="000000"/>
          <w:spacing w:val="0"/>
          <w:sz w:val="27"/>
          <w:szCs w:val="27"/>
          <w:lang w:val="en-US" w:eastAsia="zh-CN"/>
        </w:rPr>
        <w:t>09</w:t>
      </w:r>
      <w:r>
        <w:rPr>
          <w:rFonts w:hint="eastAsia" w:ascii="仿宋" w:hAnsi="仿宋" w:eastAsia="仿宋" w:cs="仿宋"/>
          <w:i w:val="0"/>
          <w:caps w:val="0"/>
          <w:color w:val="000000"/>
          <w:spacing w:val="0"/>
          <w:sz w:val="27"/>
          <w:szCs w:val="27"/>
        </w:rPr>
        <w:t xml:space="preserve">日 </w:t>
      </w:r>
      <w:r>
        <w:rPr>
          <w:rFonts w:hint="eastAsia" w:ascii="仿宋" w:hAnsi="仿宋" w:eastAsia="仿宋" w:cs="仿宋"/>
          <w:i w:val="0"/>
          <w:caps w:val="0"/>
          <w:color w:val="000000"/>
          <w:spacing w:val="0"/>
          <w:sz w:val="27"/>
          <w:szCs w:val="27"/>
          <w:lang w:val="en-US" w:eastAsia="zh-CN"/>
        </w:rPr>
        <w:t>10:30</w:t>
      </w:r>
      <w:r>
        <w:rPr>
          <w:rFonts w:hint="eastAsia" w:ascii="仿宋" w:hAnsi="仿宋" w:eastAsia="仿宋" w:cs="仿宋"/>
          <w:i w:val="0"/>
          <w:caps w:val="0"/>
          <w:color w:val="000000"/>
          <w:spacing w:val="0"/>
          <w:sz w:val="27"/>
          <w:szCs w:val="27"/>
        </w:rPr>
        <w:t> （北京时间）</w:t>
      </w:r>
    </w:p>
    <w:p>
      <w:pPr>
        <w:pStyle w:val="15"/>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caps w:val="0"/>
          <w:color w:val="000000"/>
          <w:spacing w:val="0"/>
          <w:sz w:val="27"/>
          <w:szCs w:val="27"/>
        </w:rPr>
        <w:t>    地点：政采云一站式政府采购云平台 </w:t>
      </w:r>
    </w:p>
    <w:p>
      <w:pPr>
        <w:pStyle w:val="15"/>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caps w:val="0"/>
          <w:color w:val="000000"/>
          <w:spacing w:val="0"/>
          <w:sz w:val="31"/>
          <w:szCs w:val="31"/>
        </w:rPr>
      </w:pPr>
      <w:r>
        <w:rPr>
          <w:rStyle w:val="21"/>
          <w:rFonts w:ascii="黑体" w:hAnsi="宋体" w:eastAsia="黑体" w:cs="黑体"/>
          <w:i w:val="0"/>
          <w:caps w:val="0"/>
          <w:color w:val="000000"/>
          <w:spacing w:val="0"/>
          <w:sz w:val="27"/>
          <w:szCs w:val="27"/>
        </w:rPr>
        <w:t>六、公告期限</w:t>
      </w:r>
    </w:p>
    <w:p>
      <w:pPr>
        <w:pStyle w:val="15"/>
        <w:keepNext w:val="0"/>
        <w:keepLines w:val="0"/>
        <w:widowControl/>
        <w:suppressLineNumbers w:val="0"/>
        <w:spacing w:before="75" w:beforeAutospacing="0" w:after="75" w:afterAutospacing="0"/>
        <w:ind w:left="0" w:right="0" w:firstLine="0"/>
        <w:rPr>
          <w:rFonts w:ascii="sans-serif" w:hAnsi="sans-serif" w:eastAsia="sans-serif" w:cs="sans-serif"/>
          <w:i w:val="0"/>
          <w:caps w:val="0"/>
          <w:color w:val="000000"/>
          <w:spacing w:val="0"/>
          <w:sz w:val="24"/>
          <w:szCs w:val="24"/>
        </w:rPr>
      </w:pPr>
      <w:r>
        <w:rPr>
          <w:rFonts w:hint="eastAsia" w:ascii="仿宋" w:hAnsi="仿宋" w:eastAsia="仿宋" w:cs="仿宋"/>
          <w:i w:val="0"/>
          <w:caps w:val="0"/>
          <w:color w:val="000000"/>
          <w:spacing w:val="0"/>
          <w:sz w:val="27"/>
          <w:szCs w:val="27"/>
        </w:rPr>
        <w:t>    自本公告发布之日起3个工作日。</w:t>
      </w:r>
    </w:p>
    <w:p>
      <w:pPr>
        <w:pStyle w:val="15"/>
        <w:keepNext w:val="0"/>
        <w:keepLines w:val="0"/>
        <w:widowControl/>
        <w:suppressLineNumbers w:val="0"/>
        <w:spacing w:before="255" w:beforeAutospacing="0" w:after="255" w:afterAutospacing="0" w:line="450" w:lineRule="atLeast"/>
        <w:ind w:left="0" w:right="0" w:firstLine="0"/>
        <w:jc w:val="both"/>
        <w:rPr>
          <w:rFonts w:hint="default" w:ascii="黑体" w:hAnsi="宋体" w:eastAsia="黑体" w:cs="黑体"/>
          <w:i w:val="0"/>
          <w:caps w:val="0"/>
          <w:color w:val="000000"/>
          <w:spacing w:val="0"/>
          <w:sz w:val="27"/>
          <w:szCs w:val="27"/>
        </w:rPr>
      </w:pPr>
      <w:r>
        <w:rPr>
          <w:rStyle w:val="21"/>
          <w:rFonts w:hint="default" w:ascii="黑体" w:hAnsi="宋体" w:eastAsia="黑体" w:cs="黑体"/>
          <w:i w:val="0"/>
          <w:caps w:val="0"/>
          <w:color w:val="000000"/>
          <w:spacing w:val="0"/>
          <w:sz w:val="27"/>
          <w:szCs w:val="27"/>
        </w:rPr>
        <w:t>七、其他补充事宜</w:t>
      </w:r>
      <w:r>
        <w:rPr>
          <w:rFonts w:hint="default" w:ascii="黑体" w:hAnsi="宋体" w:eastAsia="黑体" w:cs="黑体"/>
          <w:i w:val="0"/>
          <w:caps w:val="0"/>
          <w:color w:val="000000"/>
          <w:spacing w:val="0"/>
          <w:sz w:val="27"/>
          <w:szCs w:val="27"/>
        </w:rPr>
        <w:t> </w:t>
      </w:r>
    </w:p>
    <w:p>
      <w:pPr>
        <w:pStyle w:val="15"/>
        <w:keepNext w:val="0"/>
        <w:keepLines w:val="0"/>
        <w:widowControl/>
        <w:suppressLineNumbers w:val="0"/>
        <w:spacing w:before="75" w:beforeAutospacing="0" w:after="75" w:afterAutospacing="0" w:line="315" w:lineRule="atLeast"/>
        <w:ind w:left="0" w:right="0" w:firstLine="0"/>
        <w:rPr>
          <w:rFonts w:hint="eastAsia" w:ascii="仿宋" w:hAnsi="仿宋" w:eastAsia="仿宋" w:cs="仿宋"/>
          <w:i w:val="0"/>
          <w:caps w:val="0"/>
          <w:color w:val="000000"/>
          <w:spacing w:val="0"/>
          <w:sz w:val="27"/>
          <w:szCs w:val="27"/>
          <w:lang w:eastAsia="zh-CN"/>
        </w:rPr>
      </w:pPr>
      <w:r>
        <w:rPr>
          <w:rFonts w:hint="eastAsia" w:ascii="仿宋" w:hAnsi="仿宋" w:eastAsia="仿宋" w:cs="仿宋"/>
          <w:i w:val="0"/>
          <w:caps w:val="0"/>
          <w:color w:val="000000"/>
          <w:spacing w:val="0"/>
          <w:sz w:val="27"/>
          <w:szCs w:val="27"/>
        </w:rPr>
        <w:t> 1、本项目实行电子招投标，供应商须登录政采云平台申请获取采购文件，并需要使用CA锁，登录政采云电子投标客户端制作响应文件，若供应商参与投标,自行承担与投标有关的一切费用。</w:t>
      </w:r>
    </w:p>
    <w:p>
      <w:pPr>
        <w:pStyle w:val="15"/>
        <w:keepNext w:val="0"/>
        <w:keepLines w:val="0"/>
        <w:widowControl/>
        <w:suppressLineNumbers w:val="0"/>
        <w:spacing w:before="75" w:beforeAutospacing="0" w:after="75" w:afterAutospacing="0" w:line="315" w:lineRule="atLeast"/>
        <w:ind w:left="0" w:right="0" w:firstLine="0"/>
        <w:rPr>
          <w:rFonts w:hint="eastAsia" w:ascii="仿宋" w:hAnsi="仿宋" w:eastAsia="仿宋" w:cs="仿宋"/>
          <w:i w:val="0"/>
          <w:caps w:val="0"/>
          <w:color w:val="000000"/>
          <w:spacing w:val="0"/>
          <w:sz w:val="27"/>
          <w:szCs w:val="27"/>
          <w:lang w:eastAsia="zh-CN"/>
        </w:rPr>
      </w:pPr>
      <w:r>
        <w:rPr>
          <w:rFonts w:hint="eastAsia" w:ascii="仿宋" w:hAnsi="仿宋" w:eastAsia="仿宋" w:cs="仿宋"/>
          <w:i w:val="0"/>
          <w:caps w:val="0"/>
          <w:color w:val="000000"/>
          <w:spacing w:val="0"/>
          <w:sz w:val="27"/>
          <w:szCs w:val="27"/>
        </w:rPr>
        <w:t>2、各供应商应在开标前确保是新疆维吾尔自治区政府采购网正式注册入库的供应商，并完成CA数字证书申领。因未注册入库、未办理CA数字证书等原因造成无法投标或投标失败等后果的由供应商自行承担。</w:t>
      </w:r>
    </w:p>
    <w:p>
      <w:pPr>
        <w:pStyle w:val="15"/>
        <w:keepNext w:val="0"/>
        <w:keepLines w:val="0"/>
        <w:widowControl/>
        <w:suppressLineNumbers w:val="0"/>
        <w:spacing w:before="75" w:beforeAutospacing="0" w:after="75" w:afterAutospacing="0" w:line="315" w:lineRule="atLeast"/>
        <w:ind w:left="0" w:right="0" w:firstLine="0"/>
        <w:rPr>
          <w:rFonts w:hint="eastAsia" w:ascii="仿宋" w:hAnsi="仿宋" w:eastAsia="仿宋" w:cs="仿宋"/>
          <w:i w:val="0"/>
          <w:caps w:val="0"/>
          <w:color w:val="000000"/>
          <w:spacing w:val="0"/>
          <w:sz w:val="27"/>
          <w:szCs w:val="27"/>
          <w:lang w:eastAsia="zh-CN"/>
        </w:rPr>
      </w:pPr>
      <w:r>
        <w:rPr>
          <w:rFonts w:hint="eastAsia" w:ascii="仿宋" w:hAnsi="仿宋" w:eastAsia="仿宋" w:cs="仿宋"/>
          <w:i w:val="0"/>
          <w:caps w:val="0"/>
          <w:color w:val="000000"/>
          <w:spacing w:val="0"/>
          <w:sz w:val="27"/>
          <w:szCs w:val="27"/>
        </w:rPr>
        <w:t>3、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pPr>
        <w:pStyle w:val="15"/>
        <w:keepNext w:val="0"/>
        <w:keepLines w:val="0"/>
        <w:widowControl/>
        <w:suppressLineNumbers w:val="0"/>
        <w:spacing w:before="75" w:beforeAutospacing="0" w:after="75" w:afterAutospacing="0" w:line="315" w:lineRule="atLeast"/>
        <w:ind w:left="0" w:right="0" w:firstLine="0"/>
        <w:rPr>
          <w:rFonts w:hint="eastAsia" w:ascii="仿宋" w:hAnsi="仿宋" w:eastAsia="仿宋" w:cs="仿宋"/>
          <w:i w:val="0"/>
          <w:caps w:val="0"/>
          <w:color w:val="000000"/>
          <w:spacing w:val="0"/>
          <w:sz w:val="27"/>
          <w:szCs w:val="27"/>
          <w:lang w:eastAsia="zh-CN"/>
        </w:rPr>
      </w:pPr>
      <w:r>
        <w:rPr>
          <w:rFonts w:hint="eastAsia" w:ascii="仿宋" w:hAnsi="仿宋" w:eastAsia="仿宋" w:cs="仿宋"/>
          <w:i w:val="0"/>
          <w:caps w:val="0"/>
          <w:color w:val="000000"/>
          <w:spacing w:val="0"/>
          <w:sz w:val="27"/>
          <w:szCs w:val="27"/>
        </w:rPr>
        <w:t>4.供应商在开标时须携带制作加密电子响应文件所使用的CA锁，电脑须提前配置好浏览器（建议使用360浏览器或谷歌浏览器），以便开标时在线解密。</w:t>
      </w:r>
    </w:p>
    <w:p>
      <w:pPr>
        <w:pStyle w:val="15"/>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i w:val="0"/>
          <w:caps w:val="0"/>
          <w:color w:val="000000"/>
          <w:spacing w:val="0"/>
          <w:sz w:val="24"/>
          <w:szCs w:val="24"/>
        </w:rPr>
      </w:pPr>
      <w:r>
        <w:rPr>
          <w:rFonts w:hint="eastAsia" w:ascii="仿宋" w:hAnsi="仿宋" w:eastAsia="仿宋" w:cs="仿宋"/>
          <w:i w:val="0"/>
          <w:caps w:val="0"/>
          <w:color w:val="000000"/>
          <w:spacing w:val="0"/>
          <w:sz w:val="27"/>
          <w:szCs w:val="27"/>
        </w:rPr>
        <w:t>5.投标供应商应当在投标截止时间前，将生成的“电子加密响应文件”上传递交至“政府采购云平台”，投标截止时间以后上传递交的响应文件将被“政府采购云平台”拒收。</w:t>
      </w:r>
    </w:p>
    <w:p>
      <w:pPr>
        <w:pStyle w:val="15"/>
        <w:keepNext w:val="0"/>
        <w:keepLines w:val="0"/>
        <w:widowControl/>
        <w:suppressLineNumbers w:val="0"/>
        <w:spacing w:before="75" w:beforeAutospacing="0" w:after="75" w:afterAutospacing="0"/>
        <w:ind w:left="0" w:right="0" w:firstLine="0"/>
        <w:rPr>
          <w:rFonts w:hint="eastAsia" w:ascii="黑体" w:hAnsi="黑体" w:eastAsia="黑体" w:cs="黑体"/>
          <w:i w:val="0"/>
          <w:caps w:val="0"/>
          <w:color w:val="000000"/>
          <w:spacing w:val="0"/>
          <w:sz w:val="24"/>
          <w:szCs w:val="24"/>
        </w:rPr>
      </w:pPr>
      <w:r>
        <w:rPr>
          <w:rFonts w:hint="eastAsia" w:ascii="黑体" w:hAnsi="黑体" w:eastAsia="黑体" w:cs="黑体"/>
          <w:i w:val="0"/>
          <w:caps w:val="0"/>
          <w:color w:val="000000"/>
          <w:spacing w:val="0"/>
          <w:sz w:val="24"/>
          <w:szCs w:val="24"/>
        </w:rPr>
        <w:t>特别提示：</w:t>
      </w:r>
    </w:p>
    <w:p>
      <w:pPr>
        <w:pStyle w:val="15"/>
        <w:keepNext w:val="0"/>
        <w:keepLines w:val="0"/>
        <w:widowControl/>
        <w:suppressLineNumbers w:val="0"/>
        <w:spacing w:before="75" w:beforeAutospacing="0" w:after="75" w:afterAutospacing="0"/>
        <w:ind w:left="0" w:right="0" w:firstLine="0"/>
        <w:rPr>
          <w:rFonts w:hint="eastAsia" w:ascii="黑体" w:hAnsi="黑体" w:eastAsia="黑体" w:cs="黑体"/>
          <w:i w:val="0"/>
          <w:caps w:val="0"/>
          <w:color w:val="000000"/>
          <w:spacing w:val="0"/>
          <w:sz w:val="24"/>
          <w:szCs w:val="24"/>
        </w:rPr>
      </w:pPr>
      <w:r>
        <w:rPr>
          <w:rFonts w:hint="eastAsia" w:ascii="黑体" w:hAnsi="黑体" w:eastAsia="黑体" w:cs="黑体"/>
          <w:i w:val="0"/>
          <w:caps w:val="0"/>
          <w:color w:val="000000"/>
          <w:spacing w:val="0"/>
          <w:sz w:val="24"/>
          <w:szCs w:val="24"/>
        </w:rPr>
        <w:t>1、超过200万元的货物和服务采购项目、超过400万元的工程采购项目中适宜由中小企业提供的，预留该部分采购项目预算总额的40%以上专门面向中小企业采购，其中预留给小微企业的比例不低于60%。</w:t>
      </w:r>
    </w:p>
    <w:p>
      <w:pPr>
        <w:pStyle w:val="15"/>
        <w:keepNext w:val="0"/>
        <w:keepLines w:val="0"/>
        <w:widowControl/>
        <w:suppressLineNumbers w:val="0"/>
        <w:spacing w:before="75" w:beforeAutospacing="0" w:after="75" w:afterAutospacing="0"/>
        <w:ind w:left="0" w:right="0" w:firstLine="0"/>
        <w:rPr>
          <w:rFonts w:hint="eastAsia" w:ascii="黑体" w:hAnsi="黑体" w:eastAsia="黑体" w:cs="黑体"/>
          <w:i w:val="0"/>
          <w:caps w:val="0"/>
          <w:color w:val="000000"/>
          <w:spacing w:val="0"/>
          <w:sz w:val="24"/>
          <w:szCs w:val="24"/>
        </w:rPr>
      </w:pPr>
      <w:r>
        <w:rPr>
          <w:rFonts w:hint="eastAsia" w:ascii="黑体" w:hAnsi="黑体" w:eastAsia="黑体" w:cs="黑体"/>
          <w:i w:val="0"/>
          <w:caps w:val="0"/>
          <w:color w:val="000000"/>
          <w:spacing w:val="0"/>
          <w:sz w:val="24"/>
          <w:szCs w:val="24"/>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pPr>
        <w:pStyle w:val="15"/>
        <w:keepNext w:val="0"/>
        <w:keepLines w:val="0"/>
        <w:widowControl/>
        <w:suppressLineNumbers w:val="0"/>
        <w:spacing w:before="75" w:beforeAutospacing="0" w:after="75" w:afterAutospacing="0"/>
        <w:ind w:left="0" w:right="0" w:firstLine="0"/>
        <w:rPr>
          <w:rFonts w:hint="eastAsia" w:ascii="黑体" w:hAnsi="黑体" w:eastAsia="黑体" w:cs="黑体"/>
          <w:i w:val="0"/>
          <w:caps w:val="0"/>
          <w:color w:val="000000"/>
          <w:spacing w:val="0"/>
          <w:sz w:val="24"/>
          <w:szCs w:val="24"/>
        </w:rPr>
      </w:pPr>
      <w:r>
        <w:rPr>
          <w:rFonts w:hint="eastAsia" w:ascii="黑体" w:hAnsi="黑体" w:eastAsia="黑体" w:cs="黑体"/>
          <w:i w:val="0"/>
          <w:caps w:val="0"/>
          <w:color w:val="000000"/>
          <w:spacing w:val="0"/>
          <w:sz w:val="24"/>
          <w:szCs w:val="24"/>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pPr>
        <w:pStyle w:val="15"/>
        <w:keepNext w:val="0"/>
        <w:keepLines w:val="0"/>
        <w:widowControl/>
        <w:suppressLineNumbers w:val="0"/>
        <w:spacing w:before="255" w:beforeAutospacing="0" w:after="255" w:afterAutospacing="0" w:line="480" w:lineRule="atLeast"/>
        <w:ind w:left="0" w:right="0" w:firstLine="0"/>
        <w:jc w:val="both"/>
        <w:rPr>
          <w:rFonts w:ascii="黑体" w:hAnsi="宋体" w:eastAsia="黑体" w:cs="黑体"/>
          <w:sz w:val="31"/>
          <w:szCs w:val="31"/>
        </w:rPr>
      </w:pPr>
      <w:r>
        <w:rPr>
          <w:rStyle w:val="21"/>
          <w:rFonts w:hint="default" w:ascii="黑体" w:hAnsi="宋体" w:eastAsia="黑体" w:cs="黑体"/>
          <w:i w:val="0"/>
          <w:caps w:val="0"/>
          <w:color w:val="000000"/>
          <w:spacing w:val="0"/>
          <w:sz w:val="27"/>
          <w:szCs w:val="27"/>
        </w:rPr>
        <w:t>八、凡对本次招标提出询问，请按以下方式联系</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1.采购人信息</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名 称：阿克苏地区检验检测中心</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地 址：阿克苏纺织城（开发区）浙江路20号</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联系人：甘莉莉</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2.采购代理机构信息</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名 称：众赢国际咨询有限责任公司</w:t>
      </w:r>
    </w:p>
    <w:p>
      <w:pPr>
        <w:pStyle w:val="18"/>
        <w:numPr>
          <w:ilvl w:val="0"/>
          <w:numId w:val="0"/>
        </w:numPr>
        <w:ind w:right="0" w:rightChars="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地 址：阿克苏地区英阿瓦提路32号阿克苏地区水利局17栋2单元101室</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3.项目联系方式</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项目联系人：刘亚飞</w:t>
      </w:r>
    </w:p>
    <w:p>
      <w:pPr>
        <w:pStyle w:val="1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电 话：18290785599</w:t>
      </w:r>
    </w:p>
    <w:p>
      <w:pPr>
        <w:pStyle w:val="15"/>
        <w:keepNext w:val="0"/>
        <w:keepLines w:val="0"/>
        <w:widowControl/>
        <w:suppressLineNumbers w:val="0"/>
        <w:spacing w:before="75" w:beforeAutospacing="0" w:after="75" w:afterAutospacing="0"/>
        <w:ind w:left="0" w:right="0"/>
      </w:pPr>
    </w:p>
    <w:p/>
    <w:p>
      <w:pPr>
        <w:ind w:firstLine="400" w:firstLineChars="200"/>
        <w:rPr>
          <w:sz w:val="20"/>
          <w:szCs w:val="22"/>
        </w:rPr>
      </w:pPr>
    </w:p>
    <w:p/>
    <w:p>
      <w:pPr>
        <w:pStyle w:val="16"/>
        <w:spacing w:before="4800" w:beforeLines="2000" w:after="0"/>
        <w:jc w:val="center"/>
        <w:rPr>
          <w:szCs w:val="30"/>
        </w:rPr>
      </w:pPr>
      <w:bookmarkStart w:id="4" w:name="_Toc19030"/>
      <w:r>
        <w:rPr>
          <w:rFonts w:hint="eastAsia"/>
          <w:szCs w:val="30"/>
        </w:rPr>
        <w:t>第二章  供应商须知及前附表</w:t>
      </w:r>
      <w:bookmarkEnd w:id="3"/>
      <w:bookmarkEnd w:id="4"/>
    </w:p>
    <w:p>
      <w:pPr>
        <w:pStyle w:val="3"/>
        <w:spacing w:before="0" w:after="0" w:line="360" w:lineRule="auto"/>
      </w:pPr>
      <w:bookmarkStart w:id="5" w:name="_Toc18384"/>
      <w:bookmarkStart w:id="6" w:name="_Toc3571"/>
      <w:r>
        <w:rPr>
          <w:rFonts w:hint="eastAsia"/>
        </w:rPr>
        <w:t>（一）供应商须知前附表</w:t>
      </w:r>
      <w:bookmarkEnd w:id="5"/>
      <w:bookmarkEnd w:id="6"/>
    </w:p>
    <w:tbl>
      <w:tblPr>
        <w:tblStyle w:val="19"/>
        <w:tblW w:w="9503" w:type="dxa"/>
        <w:jc w:val="center"/>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721"/>
        <w:gridCol w:w="8782"/>
      </w:tblGrid>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rPr>
                <w:rFonts w:ascii="宋体" w:hAnsi="宋体"/>
                <w:b/>
                <w:sz w:val="24"/>
              </w:rPr>
            </w:pPr>
            <w:bookmarkStart w:id="7" w:name="_Toc373309552"/>
            <w:bookmarkStart w:id="8" w:name="_Toc373314697"/>
            <w:r>
              <w:rPr>
                <w:rFonts w:hint="eastAsia" w:ascii="宋体" w:hAnsi="宋体"/>
                <w:b/>
                <w:sz w:val="24"/>
              </w:rPr>
              <w:t>序号</w:t>
            </w:r>
          </w:p>
        </w:tc>
        <w:tc>
          <w:tcPr>
            <w:tcW w:w="8782" w:type="dxa"/>
            <w:vAlign w:val="center"/>
          </w:tcPr>
          <w:p>
            <w:pPr>
              <w:spacing w:line="276" w:lineRule="auto"/>
              <w:ind w:firstLine="482" w:firstLineChars="200"/>
              <w:jc w:val="center"/>
              <w:rPr>
                <w:rFonts w:ascii="宋体" w:hAnsi="宋体"/>
                <w:b/>
                <w:sz w:val="24"/>
              </w:rPr>
            </w:pPr>
            <w:r>
              <w:rPr>
                <w:rFonts w:hint="eastAsia" w:ascii="宋体" w:hAnsi="宋体"/>
                <w:b/>
                <w:sz w:val="24"/>
              </w:rPr>
              <w:t>内   容   规   定</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1</w:t>
            </w:r>
          </w:p>
        </w:tc>
        <w:tc>
          <w:tcPr>
            <w:tcW w:w="8782" w:type="dxa"/>
            <w:vAlign w:val="center"/>
          </w:tcPr>
          <w:p>
            <w:pPr>
              <w:spacing w:line="276" w:lineRule="auto"/>
              <w:ind w:left="1205" w:hanging="1205" w:hangingChars="500"/>
              <w:rPr>
                <w:rFonts w:hint="eastAsia" w:ascii="宋体" w:hAnsi="宋体" w:eastAsia="宋体"/>
                <w:sz w:val="24"/>
                <w:lang w:eastAsia="zh-CN"/>
              </w:rPr>
            </w:pPr>
            <w:r>
              <w:rPr>
                <w:rFonts w:hint="eastAsia" w:ascii="宋体" w:hAnsi="宋体"/>
                <w:b/>
                <w:sz w:val="24"/>
              </w:rPr>
              <w:t>项目名称：</w:t>
            </w:r>
            <w:r>
              <w:rPr>
                <w:rFonts w:hint="eastAsia" w:ascii="宋体" w:hAnsi="宋体"/>
                <w:b w:val="0"/>
                <w:bCs/>
                <w:sz w:val="24"/>
                <w:lang w:val="en-US" w:eastAsia="zh-CN"/>
              </w:rPr>
              <w:t>食品安全检验中心食品类检测设备购置</w:t>
            </w:r>
          </w:p>
          <w:p>
            <w:pPr>
              <w:pStyle w:val="23"/>
              <w:spacing w:line="276" w:lineRule="auto"/>
              <w:ind w:firstLine="0" w:firstLineChars="0"/>
              <w:jc w:val="left"/>
              <w:rPr>
                <w:rFonts w:hint="default" w:ascii="宋体" w:hAnsi="宋体" w:eastAsia="宋体"/>
                <w:sz w:val="24"/>
                <w:lang w:val="en-US" w:eastAsia="zh-CN"/>
              </w:rPr>
            </w:pPr>
            <w:r>
              <w:rPr>
                <w:rFonts w:hint="eastAsia" w:ascii="宋体" w:hAnsi="宋体"/>
                <w:b/>
                <w:sz w:val="24"/>
              </w:rPr>
              <w:t>项目编号</w:t>
            </w:r>
            <w:r>
              <w:rPr>
                <w:rFonts w:hint="eastAsia" w:ascii="宋体" w:hAnsi="宋体"/>
                <w:b/>
                <w:color w:val="auto"/>
                <w:sz w:val="24"/>
                <w:highlight w:val="none"/>
              </w:rPr>
              <w:t>：</w:t>
            </w:r>
            <w:r>
              <w:rPr>
                <w:rFonts w:hint="eastAsia" w:ascii="宋体" w:hAnsi="宋体"/>
                <w:color w:val="auto"/>
                <w:sz w:val="24"/>
                <w:highlight w:val="none"/>
              </w:rPr>
              <w:t>分202</w:t>
            </w:r>
            <w:r>
              <w:rPr>
                <w:rFonts w:hint="eastAsia" w:ascii="宋体" w:hAnsi="宋体"/>
                <w:color w:val="auto"/>
                <w:sz w:val="24"/>
                <w:highlight w:val="none"/>
                <w:lang w:val="en-US" w:eastAsia="zh-CN"/>
              </w:rPr>
              <w:t>2</w:t>
            </w:r>
            <w:r>
              <w:rPr>
                <w:rFonts w:hint="eastAsia" w:ascii="宋体" w:hAnsi="宋体"/>
                <w:color w:val="auto"/>
                <w:sz w:val="24"/>
                <w:highlight w:val="none"/>
              </w:rPr>
              <w:t>-01-</w:t>
            </w:r>
            <w:r>
              <w:rPr>
                <w:rFonts w:hint="eastAsia" w:ascii="宋体" w:hAnsi="宋体"/>
                <w:color w:val="auto"/>
                <w:sz w:val="24"/>
                <w:highlight w:val="none"/>
                <w:lang w:val="en-US" w:eastAsia="zh-CN"/>
              </w:rPr>
              <w:t>141-2</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w:t>
            </w:r>
          </w:p>
        </w:tc>
        <w:tc>
          <w:tcPr>
            <w:tcW w:w="8782" w:type="dxa"/>
            <w:vAlign w:val="center"/>
          </w:tcPr>
          <w:p>
            <w:pPr>
              <w:spacing w:line="276" w:lineRule="auto"/>
              <w:rPr>
                <w:rFonts w:hint="eastAsia" w:ascii="宋体" w:hAnsi="宋体" w:eastAsia="宋体"/>
                <w:sz w:val="24"/>
                <w:lang w:eastAsia="zh-CN"/>
              </w:rPr>
            </w:pPr>
            <w:r>
              <w:rPr>
                <w:rFonts w:hint="eastAsia" w:ascii="宋体" w:hAnsi="宋体"/>
                <w:b/>
                <w:sz w:val="24"/>
              </w:rPr>
              <w:t>采购人：</w:t>
            </w:r>
            <w:r>
              <w:rPr>
                <w:rFonts w:hint="eastAsia" w:ascii="宋体" w:hAnsi="宋体"/>
                <w:sz w:val="24"/>
                <w:lang w:eastAsia="zh-CN"/>
              </w:rPr>
              <w:t>阿克苏地区检验检测中心</w:t>
            </w:r>
          </w:p>
          <w:p>
            <w:pPr>
              <w:spacing w:line="276" w:lineRule="auto"/>
              <w:rPr>
                <w:rFonts w:hint="eastAsia" w:ascii="宋体" w:hAnsi="宋体" w:eastAsia="宋体"/>
                <w:sz w:val="24"/>
                <w:lang w:eastAsia="zh-CN"/>
              </w:rPr>
            </w:pPr>
            <w:r>
              <w:rPr>
                <w:rFonts w:hint="eastAsia" w:ascii="宋体" w:hAnsi="宋体"/>
                <w:b/>
                <w:sz w:val="24"/>
                <w:lang w:eastAsia="zh-CN"/>
              </w:rPr>
              <w:t>地址</w:t>
            </w:r>
            <w:r>
              <w:rPr>
                <w:rFonts w:hint="eastAsia" w:ascii="宋体" w:hAnsi="宋体"/>
                <w:sz w:val="24"/>
              </w:rPr>
              <w:t>：阿克苏纺织城（开发区）浙江路20号</w:t>
            </w:r>
          </w:p>
          <w:p>
            <w:pPr>
              <w:spacing w:line="276" w:lineRule="auto"/>
              <w:rPr>
                <w:rFonts w:ascii="宋体" w:hAnsi="宋体"/>
                <w:sz w:val="24"/>
              </w:rPr>
            </w:pPr>
            <w:r>
              <w:rPr>
                <w:rFonts w:hint="eastAsia" w:ascii="宋体" w:hAnsi="宋体"/>
                <w:b/>
                <w:sz w:val="24"/>
                <w:lang w:eastAsia="zh-CN"/>
              </w:rPr>
              <w:t>联系人</w:t>
            </w:r>
            <w:r>
              <w:rPr>
                <w:rFonts w:hint="eastAsia" w:ascii="宋体" w:hAnsi="宋体"/>
                <w:b/>
                <w:sz w:val="24"/>
              </w:rPr>
              <w:t>：</w:t>
            </w:r>
            <w:r>
              <w:rPr>
                <w:rFonts w:hint="eastAsia" w:ascii="宋体" w:hAnsi="宋体"/>
                <w:b w:val="0"/>
                <w:bCs/>
                <w:sz w:val="24"/>
                <w:lang w:val="en-US" w:eastAsia="zh-CN"/>
              </w:rPr>
              <w:t>甘莉莉</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3</w:t>
            </w:r>
          </w:p>
        </w:tc>
        <w:tc>
          <w:tcPr>
            <w:tcW w:w="8782" w:type="dxa"/>
            <w:vAlign w:val="center"/>
          </w:tcPr>
          <w:p>
            <w:pPr>
              <w:spacing w:line="276" w:lineRule="auto"/>
              <w:textAlignment w:val="baseline"/>
              <w:rPr>
                <w:rFonts w:hint="eastAsia" w:ascii="宋体" w:hAnsi="宋体" w:eastAsia="宋体"/>
                <w:sz w:val="24"/>
                <w:lang w:eastAsia="zh-CN"/>
              </w:rPr>
            </w:pPr>
            <w:r>
              <w:rPr>
                <w:rFonts w:hint="eastAsia" w:ascii="宋体" w:hAnsi="宋体"/>
                <w:b/>
                <w:sz w:val="24"/>
              </w:rPr>
              <w:t>招标代理机构：</w:t>
            </w:r>
            <w:r>
              <w:rPr>
                <w:rFonts w:hint="eastAsia" w:ascii="宋体" w:hAnsi="宋体"/>
                <w:sz w:val="24"/>
                <w:lang w:eastAsia="zh-CN"/>
              </w:rPr>
              <w:t>众赢国际咨询有限责任公司</w:t>
            </w:r>
          </w:p>
          <w:p>
            <w:pPr>
              <w:spacing w:line="276" w:lineRule="auto"/>
              <w:textAlignment w:val="baseline"/>
              <w:rPr>
                <w:rFonts w:hint="eastAsia" w:ascii="仿宋" w:hAnsi="仿宋" w:eastAsia="仿宋" w:cs="仿宋"/>
                <w:color w:val="auto"/>
                <w:kern w:val="2"/>
                <w:sz w:val="24"/>
                <w:szCs w:val="24"/>
                <w:lang w:val="en-US" w:eastAsia="zh-CN" w:bidi="ar-SA"/>
              </w:rPr>
            </w:pPr>
            <w:r>
              <w:rPr>
                <w:rFonts w:hint="eastAsia" w:ascii="宋体" w:hAnsi="宋体"/>
                <w:b/>
                <w:sz w:val="24"/>
              </w:rPr>
              <w:t>地  址：</w:t>
            </w:r>
            <w:r>
              <w:rPr>
                <w:rFonts w:hint="eastAsia" w:asciiTheme="minorEastAsia" w:hAnsiTheme="minorEastAsia" w:eastAsiaTheme="minorEastAsia" w:cstheme="minorEastAsia"/>
                <w:color w:val="auto"/>
                <w:kern w:val="2"/>
                <w:sz w:val="24"/>
                <w:szCs w:val="24"/>
                <w:lang w:val="en-US" w:eastAsia="zh-CN" w:bidi="ar-SA"/>
              </w:rPr>
              <w:t>阿克苏地区英阿瓦提路32号阿克苏地区水利局17栋2单元101室</w:t>
            </w:r>
          </w:p>
          <w:p>
            <w:pPr>
              <w:spacing w:line="276" w:lineRule="auto"/>
              <w:textAlignment w:val="baseline"/>
              <w:rPr>
                <w:rFonts w:hint="eastAsia" w:ascii="宋体" w:hAnsi="宋体" w:eastAsia="宋体"/>
                <w:sz w:val="24"/>
                <w:lang w:eastAsia="zh-CN"/>
              </w:rPr>
            </w:pPr>
            <w:r>
              <w:rPr>
                <w:rFonts w:hint="eastAsia" w:ascii="宋体" w:hAnsi="宋体"/>
                <w:b/>
                <w:sz w:val="24"/>
              </w:rPr>
              <w:t>联系人：</w:t>
            </w:r>
            <w:r>
              <w:rPr>
                <w:rFonts w:hint="eastAsia" w:ascii="宋体" w:hAnsi="宋体"/>
                <w:sz w:val="24"/>
                <w:lang w:eastAsia="zh-CN"/>
              </w:rPr>
              <w:t>刘亚飞</w:t>
            </w:r>
          </w:p>
          <w:p>
            <w:pPr>
              <w:spacing w:line="276" w:lineRule="auto"/>
              <w:textAlignment w:val="baseline"/>
              <w:rPr>
                <w:rFonts w:hint="eastAsia" w:ascii="宋体" w:hAnsi="宋体" w:eastAsia="宋体"/>
                <w:sz w:val="24"/>
                <w:lang w:eastAsia="zh-CN"/>
              </w:rPr>
            </w:pPr>
            <w:r>
              <w:rPr>
                <w:rFonts w:hint="eastAsia" w:ascii="宋体" w:hAnsi="宋体"/>
                <w:b/>
                <w:sz w:val="24"/>
              </w:rPr>
              <w:t>联系电话：</w:t>
            </w:r>
            <w:r>
              <w:rPr>
                <w:rFonts w:hint="eastAsia" w:ascii="宋体" w:hAnsi="宋体"/>
                <w:sz w:val="24"/>
                <w:lang w:eastAsia="zh-CN"/>
              </w:rPr>
              <w:t>18290785599</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4</w:t>
            </w:r>
          </w:p>
        </w:tc>
        <w:tc>
          <w:tcPr>
            <w:tcW w:w="8782" w:type="dxa"/>
            <w:vAlign w:val="center"/>
          </w:tcPr>
          <w:p>
            <w:pPr>
              <w:spacing w:line="276" w:lineRule="auto"/>
              <w:textAlignment w:val="baseline"/>
              <w:rPr>
                <w:rFonts w:ascii="宋体" w:hAnsi="宋体"/>
                <w:sz w:val="24"/>
              </w:rPr>
            </w:pPr>
            <w:r>
              <w:rPr>
                <w:rFonts w:hint="eastAsia" w:ascii="宋体" w:hAnsi="宋体"/>
                <w:b/>
                <w:sz w:val="24"/>
              </w:rPr>
              <w:t>招标内容与范围：</w:t>
            </w:r>
            <w:r>
              <w:rPr>
                <w:rFonts w:hint="eastAsia" w:ascii="宋体" w:hAnsi="宋体"/>
                <w:sz w:val="24"/>
              </w:rPr>
              <w:t>详见采购清单。</w:t>
            </w:r>
          </w:p>
          <w:p>
            <w:pPr>
              <w:spacing w:line="276" w:lineRule="auto"/>
              <w:textAlignment w:val="baseline"/>
              <w:rPr>
                <w:rFonts w:ascii="宋体" w:hAnsi="宋体"/>
                <w:b/>
                <w:color w:val="000000" w:themeColor="text1"/>
                <w:sz w:val="24"/>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供货</w:t>
            </w:r>
            <w:r>
              <w:rPr>
                <w:rFonts w:hint="eastAsia" w:ascii="宋体" w:hAnsi="宋体" w:eastAsia="宋体"/>
                <w:bCs/>
                <w:color w:val="000000" w:themeColor="text1"/>
                <w:sz w:val="24"/>
                <w:lang w:val="en-US" w:eastAsia="zh-CN"/>
                <w14:textFill>
                  <w14:solidFill>
                    <w14:schemeClr w14:val="tx1"/>
                  </w14:solidFill>
                </w14:textFill>
              </w:rPr>
              <w:t>期</w:t>
            </w:r>
            <w:r>
              <w:rPr>
                <w:rFonts w:hint="eastAsia" w:ascii="宋体" w:hAnsi="宋体" w:eastAsia="宋体"/>
                <w:bCs/>
                <w:color w:val="000000" w:themeColor="text1"/>
                <w:sz w:val="24"/>
                <w14:textFill>
                  <w14:solidFill>
                    <w14:schemeClr w14:val="tx1"/>
                  </w14:solidFill>
                </w14:textFill>
              </w:rPr>
              <w:t>：合同签订后</w:t>
            </w:r>
            <w:r>
              <w:rPr>
                <w:rFonts w:hint="eastAsia" w:ascii="宋体" w:hAnsi="宋体" w:eastAsia="宋体"/>
                <w:bCs/>
                <w:color w:val="000000" w:themeColor="text1"/>
                <w:sz w:val="24"/>
                <w:lang w:val="en-US" w:eastAsia="zh-CN"/>
                <w14:textFill>
                  <w14:solidFill>
                    <w14:schemeClr w14:val="tx1"/>
                  </w14:solidFill>
                </w14:textFill>
              </w:rPr>
              <w:t>90</w:t>
            </w:r>
            <w:r>
              <w:rPr>
                <w:rFonts w:hint="eastAsia" w:ascii="宋体" w:hAnsi="宋体" w:eastAsia="宋体"/>
                <w:bCs/>
                <w:color w:val="000000" w:themeColor="text1"/>
                <w:sz w:val="24"/>
                <w14:textFill>
                  <w14:solidFill>
                    <w14:schemeClr w14:val="tx1"/>
                  </w14:solidFill>
                </w14:textFill>
              </w:rPr>
              <w:t xml:space="preserve">个日历天。 </w:t>
            </w:r>
            <w:r>
              <w:rPr>
                <w:rFonts w:hint="eastAsia" w:ascii="宋体" w:hAnsi="宋体"/>
                <w:bCs/>
                <w:color w:val="000000" w:themeColor="text1"/>
                <w:sz w:val="24"/>
                <w14:textFill>
                  <w14:solidFill>
                    <w14:schemeClr w14:val="tx1"/>
                  </w14:solidFill>
                </w14:textFill>
              </w:rPr>
              <w:t xml:space="preserve">   </w:t>
            </w:r>
          </w:p>
          <w:p>
            <w:r>
              <w:rPr>
                <w:rFonts w:hint="eastAsia" w:ascii="宋体" w:hAnsi="宋体"/>
                <w:b/>
                <w:color w:val="000000" w:themeColor="text1"/>
                <w:sz w:val="24"/>
                <w14:textFill>
                  <w14:solidFill>
                    <w14:schemeClr w14:val="tx1"/>
                  </w14:solidFill>
                </w14:textFill>
              </w:rPr>
              <w:t>质 量：</w:t>
            </w:r>
            <w:r>
              <w:rPr>
                <w:rFonts w:hint="eastAsia" w:ascii="宋体" w:hAnsi="宋体"/>
                <w:bCs/>
                <w:color w:val="000000" w:themeColor="text1"/>
                <w:sz w:val="24"/>
                <w14:textFill>
                  <w14:solidFill>
                    <w14:schemeClr w14:val="tx1"/>
                  </w14:solidFill>
                </w14:textFill>
              </w:rPr>
              <w:t>满足国家及地方规范要求，并能通过当地主管部门及委托方审查验收。</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5</w:t>
            </w:r>
          </w:p>
        </w:tc>
        <w:tc>
          <w:tcPr>
            <w:tcW w:w="8782" w:type="dxa"/>
            <w:vAlign w:val="center"/>
          </w:tcPr>
          <w:p>
            <w:pPr>
              <w:adjustRightInd w:val="0"/>
              <w:snapToGrid w:val="0"/>
              <w:spacing w:line="276" w:lineRule="auto"/>
              <w:jc w:val="left"/>
              <w:textAlignment w:val="baseline"/>
              <w:rPr>
                <w:rFonts w:ascii="宋体" w:hAnsi="宋体" w:cs="仿宋_GB2312"/>
                <w:bCs/>
                <w:kern w:val="0"/>
                <w:sz w:val="24"/>
              </w:rPr>
            </w:pPr>
            <w:r>
              <w:rPr>
                <w:rFonts w:hint="eastAsia" w:ascii="宋体" w:hAnsi="宋体"/>
                <w:b/>
                <w:sz w:val="24"/>
              </w:rPr>
              <w:t>本项目最</w:t>
            </w:r>
            <w:r>
              <w:rPr>
                <w:rFonts w:hint="eastAsia" w:ascii="宋体" w:hAnsi="宋体"/>
                <w:b/>
                <w:color w:val="auto"/>
                <w:sz w:val="24"/>
                <w:highlight w:val="none"/>
              </w:rPr>
              <w:t>高限价：</w:t>
            </w:r>
            <w:r>
              <w:rPr>
                <w:rFonts w:hint="eastAsia" w:ascii="宋体" w:hAnsi="宋体"/>
                <w:b/>
                <w:color w:val="auto"/>
                <w:sz w:val="24"/>
                <w:highlight w:val="none"/>
                <w:lang w:val="en-US" w:eastAsia="zh-CN"/>
              </w:rPr>
              <w:t>1781000</w:t>
            </w:r>
            <w:r>
              <w:rPr>
                <w:rFonts w:hint="eastAsia" w:ascii="宋体" w:hAnsi="宋体"/>
                <w:b/>
                <w:color w:val="auto"/>
                <w:sz w:val="24"/>
                <w:highlight w:val="none"/>
              </w:rPr>
              <w:t>元。投标报价</w:t>
            </w:r>
            <w:r>
              <w:rPr>
                <w:rFonts w:hint="eastAsia" w:ascii="宋体" w:hAnsi="宋体"/>
                <w:b/>
                <w:sz w:val="24"/>
              </w:rPr>
              <w:t>不得高于最高限价，否则视为无效投标。</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6</w:t>
            </w:r>
          </w:p>
        </w:tc>
        <w:tc>
          <w:tcPr>
            <w:tcW w:w="8782" w:type="dxa"/>
            <w:vAlign w:val="center"/>
          </w:tcPr>
          <w:p>
            <w:pPr>
              <w:spacing w:line="276" w:lineRule="auto"/>
              <w:textAlignment w:val="baseline"/>
              <w:rPr>
                <w:rFonts w:ascii="宋体" w:hAnsi="宋体"/>
                <w:b/>
                <w:sz w:val="24"/>
              </w:rPr>
            </w:pPr>
            <w:r>
              <w:rPr>
                <w:rFonts w:hint="eastAsia" w:ascii="宋体" w:hAnsi="宋体"/>
                <w:b/>
                <w:sz w:val="24"/>
              </w:rPr>
              <w:t>供应商资格</w:t>
            </w:r>
            <w:r>
              <w:rPr>
                <w:rFonts w:hint="eastAsia" w:ascii="宋体" w:hAnsi="宋体"/>
                <w:b/>
                <w:kern w:val="0"/>
                <w:sz w:val="24"/>
              </w:rPr>
              <w:t>、能力、信誉及其它</w:t>
            </w:r>
            <w:r>
              <w:rPr>
                <w:rFonts w:hint="eastAsia" w:ascii="宋体" w:hAnsi="宋体"/>
                <w:b/>
                <w:sz w:val="24"/>
              </w:rPr>
              <w:t>要求：</w:t>
            </w:r>
          </w:p>
          <w:p>
            <w:pPr>
              <w:spacing w:line="276" w:lineRule="auto"/>
              <w:textAlignment w:val="baseline"/>
              <w:rPr>
                <w:rFonts w:ascii="宋体" w:hAnsi="宋体"/>
                <w:bCs/>
                <w:sz w:val="24"/>
              </w:rPr>
            </w:pPr>
            <w:r>
              <w:rPr>
                <w:rFonts w:hint="eastAsia" w:ascii="宋体" w:hAnsi="宋体"/>
                <w:bCs/>
                <w:sz w:val="24"/>
              </w:rPr>
              <w:t>1.满足《中华人民共和国政府采购法》第二十二条规定；</w:t>
            </w:r>
          </w:p>
          <w:p>
            <w:pPr>
              <w:spacing w:line="276" w:lineRule="auto"/>
              <w:textAlignment w:val="baseline"/>
              <w:rPr>
                <w:rFonts w:ascii="宋体" w:hAnsi="宋体"/>
                <w:bCs/>
                <w:sz w:val="24"/>
              </w:rPr>
            </w:pPr>
            <w:r>
              <w:rPr>
                <w:rFonts w:hint="eastAsia" w:ascii="宋体" w:hAnsi="宋体"/>
                <w:bCs/>
                <w:sz w:val="24"/>
              </w:rPr>
              <w:t>（1）具有独立承担民事责任的能力；</w:t>
            </w:r>
          </w:p>
          <w:p>
            <w:pPr>
              <w:spacing w:line="276" w:lineRule="auto"/>
              <w:textAlignment w:val="baseline"/>
              <w:rPr>
                <w:rFonts w:ascii="宋体" w:hAnsi="宋体"/>
                <w:bCs/>
                <w:sz w:val="24"/>
              </w:rPr>
            </w:pPr>
            <w:r>
              <w:rPr>
                <w:rFonts w:hint="eastAsia" w:ascii="宋体" w:hAnsi="宋体"/>
                <w:bCs/>
                <w:sz w:val="24"/>
              </w:rPr>
              <w:t>（2）具有良好的商业信誉和健全的财务会计制度；</w:t>
            </w:r>
          </w:p>
          <w:p>
            <w:pPr>
              <w:spacing w:line="276" w:lineRule="auto"/>
              <w:textAlignment w:val="baseline"/>
              <w:rPr>
                <w:rFonts w:ascii="宋体" w:hAnsi="宋体"/>
                <w:bCs/>
                <w:sz w:val="24"/>
              </w:rPr>
            </w:pPr>
            <w:r>
              <w:rPr>
                <w:rFonts w:hint="eastAsia" w:ascii="宋体" w:hAnsi="宋体"/>
                <w:bCs/>
                <w:sz w:val="24"/>
              </w:rPr>
              <w:t>（3）具有履行合同所必需的设备和专业技术能力；</w:t>
            </w:r>
          </w:p>
          <w:p>
            <w:pPr>
              <w:spacing w:line="276" w:lineRule="auto"/>
              <w:textAlignment w:val="baseline"/>
              <w:rPr>
                <w:rFonts w:ascii="宋体" w:hAnsi="宋体"/>
                <w:bCs/>
                <w:sz w:val="24"/>
              </w:rPr>
            </w:pPr>
            <w:r>
              <w:rPr>
                <w:rFonts w:hint="eastAsia" w:ascii="宋体" w:hAnsi="宋体"/>
                <w:bCs/>
                <w:sz w:val="24"/>
              </w:rPr>
              <w:t>（4）有依法缴纳税收和社会保障资金的良好记录；</w:t>
            </w:r>
          </w:p>
          <w:p>
            <w:pPr>
              <w:spacing w:line="276" w:lineRule="auto"/>
              <w:textAlignment w:val="baseline"/>
              <w:rPr>
                <w:rFonts w:ascii="宋体" w:hAnsi="宋体"/>
                <w:bCs/>
                <w:sz w:val="24"/>
              </w:rPr>
            </w:pPr>
            <w:r>
              <w:rPr>
                <w:rFonts w:hint="eastAsia" w:ascii="宋体" w:hAnsi="宋体"/>
                <w:bCs/>
                <w:sz w:val="24"/>
              </w:rPr>
              <w:t>（5）参加政府采购活动前三年内，在经营活动中没有重大违法记录（自行承诺，提供承诺函原件）；</w:t>
            </w:r>
          </w:p>
          <w:p>
            <w:pPr>
              <w:spacing w:line="276" w:lineRule="auto"/>
              <w:textAlignment w:val="baseline"/>
              <w:rPr>
                <w:rFonts w:hint="eastAsia" w:ascii="宋体" w:hAnsi="宋体"/>
                <w:bCs/>
                <w:sz w:val="24"/>
              </w:rPr>
            </w:pPr>
            <w:r>
              <w:rPr>
                <w:rFonts w:hint="eastAsia" w:ascii="宋体" w:hAnsi="宋体"/>
                <w:bCs/>
                <w:sz w:val="24"/>
              </w:rPr>
              <w:t>（6）法律、行政法规规定的其他条件。</w:t>
            </w:r>
          </w:p>
          <w:p>
            <w:pPr>
              <w:pStyle w:val="5"/>
              <w:rPr>
                <w:rFonts w:hint="eastAsia"/>
                <w:lang w:val="en-US" w:eastAsia="zh-CN"/>
              </w:rPr>
            </w:pPr>
            <w:r>
              <w:rPr>
                <w:rFonts w:hint="eastAsia"/>
                <w:lang w:val="en-US" w:eastAsia="zh-CN"/>
              </w:rPr>
              <w:t>对应提交材料：</w:t>
            </w:r>
          </w:p>
          <w:p>
            <w:pPr>
              <w:spacing w:line="276" w:lineRule="auto"/>
              <w:textAlignment w:val="baseline"/>
              <w:rPr>
                <w:rFonts w:hint="eastAsia" w:ascii="宋体" w:hAnsi="宋体" w:eastAsia="宋体"/>
                <w:bCs/>
                <w:sz w:val="24"/>
              </w:rPr>
            </w:pPr>
            <w:r>
              <w:rPr>
                <w:rFonts w:hint="eastAsia" w:ascii="宋体" w:hAnsi="宋体" w:eastAsia="宋体"/>
                <w:bCs/>
                <w:sz w:val="24"/>
              </w:rPr>
              <w:t>（1）具有有效经年检的三证合一营业执照；</w:t>
            </w:r>
          </w:p>
          <w:p>
            <w:pPr>
              <w:spacing w:line="276" w:lineRule="auto"/>
              <w:textAlignment w:val="baseline"/>
              <w:rPr>
                <w:rFonts w:hint="eastAsia" w:ascii="宋体" w:hAnsi="宋体" w:eastAsia="宋体"/>
                <w:bCs/>
                <w:sz w:val="24"/>
              </w:rPr>
            </w:pPr>
            <w:r>
              <w:rPr>
                <w:rFonts w:hint="eastAsia" w:ascii="宋体" w:hAnsi="宋体" w:eastAsia="宋体"/>
                <w:bCs/>
                <w:sz w:val="24"/>
              </w:rPr>
              <w:t>（</w:t>
            </w:r>
            <w:r>
              <w:rPr>
                <w:rFonts w:hint="eastAsia" w:ascii="宋体" w:hAnsi="宋体" w:eastAsia="宋体"/>
                <w:bCs/>
                <w:sz w:val="24"/>
                <w:lang w:val="en-US" w:eastAsia="zh-CN"/>
              </w:rPr>
              <w:t>2</w:t>
            </w:r>
            <w:r>
              <w:rPr>
                <w:rFonts w:hint="eastAsia" w:ascii="宋体" w:hAnsi="宋体" w:eastAsia="宋体"/>
                <w:bCs/>
                <w:sz w:val="24"/>
              </w:rPr>
              <w:t>）具有近三年的财务审计报告或公司成立不足一年提供财务报表；</w:t>
            </w:r>
          </w:p>
          <w:p>
            <w:pPr>
              <w:spacing w:line="276" w:lineRule="auto"/>
              <w:textAlignment w:val="baseline"/>
              <w:rPr>
                <w:rFonts w:hint="eastAsia" w:ascii="宋体" w:hAnsi="宋体" w:eastAsia="宋体"/>
                <w:bCs/>
                <w:sz w:val="24"/>
                <w:lang w:val="en-US" w:eastAsia="zh-CN"/>
              </w:rPr>
            </w:pPr>
            <w:r>
              <w:rPr>
                <w:rFonts w:hint="eastAsia" w:ascii="宋体" w:hAnsi="宋体" w:eastAsia="宋体"/>
                <w:bCs/>
                <w:sz w:val="24"/>
                <w:lang w:val="en-US" w:eastAsia="zh-CN"/>
              </w:rPr>
              <w:t>（3）具有履行合同所必需的设备和专业技术能力的承诺书；</w:t>
            </w:r>
          </w:p>
          <w:p>
            <w:pPr>
              <w:spacing w:line="276" w:lineRule="auto"/>
              <w:textAlignment w:val="baseline"/>
              <w:rPr>
                <w:rFonts w:hint="eastAsia" w:ascii="宋体" w:hAnsi="宋体" w:eastAsia="宋体"/>
                <w:bCs/>
                <w:sz w:val="24"/>
              </w:rPr>
            </w:pPr>
            <w:r>
              <w:rPr>
                <w:rFonts w:hint="eastAsia" w:ascii="宋体" w:hAnsi="宋体" w:eastAsia="宋体"/>
                <w:bCs/>
                <w:sz w:val="24"/>
              </w:rPr>
              <w:t>（</w:t>
            </w:r>
            <w:r>
              <w:rPr>
                <w:rFonts w:hint="eastAsia" w:ascii="宋体" w:hAnsi="宋体" w:eastAsia="宋体"/>
                <w:bCs/>
                <w:sz w:val="24"/>
                <w:lang w:val="en-US" w:eastAsia="zh-CN"/>
              </w:rPr>
              <w:t>4</w:t>
            </w:r>
            <w:r>
              <w:rPr>
                <w:rFonts w:hint="eastAsia" w:ascii="宋体" w:hAnsi="宋体" w:eastAsia="宋体"/>
                <w:bCs/>
                <w:sz w:val="24"/>
              </w:rPr>
              <w:t>）提供</w:t>
            </w:r>
            <w:r>
              <w:rPr>
                <w:rFonts w:hint="eastAsia" w:ascii="宋体" w:hAnsi="宋体" w:eastAsia="宋体"/>
                <w:bCs/>
                <w:sz w:val="24"/>
                <w:lang w:val="en-US" w:eastAsia="zh-CN"/>
              </w:rPr>
              <w:t>企业</w:t>
            </w:r>
            <w:r>
              <w:rPr>
                <w:rFonts w:hint="eastAsia" w:ascii="宋体" w:hAnsi="宋体" w:eastAsia="宋体"/>
                <w:bCs/>
                <w:sz w:val="24"/>
              </w:rPr>
              <w:t>完税证明和盖有社保局公章的社保缴纳证明（含</w:t>
            </w:r>
            <w:r>
              <w:rPr>
                <w:rFonts w:hint="eastAsia" w:ascii="宋体" w:hAnsi="宋体" w:eastAsia="宋体"/>
                <w:bCs/>
                <w:sz w:val="24"/>
                <w:lang w:val="en-US" w:eastAsia="zh-CN"/>
              </w:rPr>
              <w:t>本项目投入</w:t>
            </w:r>
            <w:r>
              <w:rPr>
                <w:rFonts w:hint="eastAsia" w:ascii="宋体" w:hAnsi="宋体" w:eastAsia="宋体"/>
                <w:bCs/>
                <w:sz w:val="24"/>
              </w:rPr>
              <w:t>人</w:t>
            </w:r>
            <w:r>
              <w:rPr>
                <w:rFonts w:hint="eastAsia" w:ascii="宋体" w:hAnsi="宋体" w:eastAsia="宋体"/>
                <w:bCs/>
                <w:sz w:val="24"/>
                <w:lang w:val="en-US" w:eastAsia="zh-CN"/>
              </w:rPr>
              <w:t>员</w:t>
            </w:r>
            <w:r>
              <w:rPr>
                <w:rFonts w:hint="eastAsia" w:ascii="宋体" w:hAnsi="宋体" w:eastAsia="宋体"/>
                <w:bCs/>
                <w:sz w:val="24"/>
              </w:rPr>
              <w:t>的社保明细）；</w:t>
            </w:r>
          </w:p>
          <w:p>
            <w:pPr>
              <w:spacing w:line="276" w:lineRule="auto"/>
              <w:textAlignment w:val="baseline"/>
              <w:rPr>
                <w:rFonts w:hint="eastAsia" w:ascii="宋体" w:hAnsi="宋体" w:eastAsia="宋体"/>
                <w:bCs/>
                <w:sz w:val="24"/>
                <w:lang w:val="en-US" w:eastAsia="zh-CN"/>
              </w:rPr>
            </w:pPr>
            <w:r>
              <w:rPr>
                <w:rFonts w:hint="eastAsia" w:ascii="宋体" w:hAnsi="宋体" w:eastAsia="宋体"/>
                <w:bCs/>
                <w:sz w:val="24"/>
                <w:lang w:val="en-US" w:eastAsia="zh-CN"/>
              </w:rPr>
              <w:t>（5）参加政府采购活动前三年内，在经营活动中没有重大违法记录（自行承诺，提供承诺函原件）</w:t>
            </w:r>
          </w:p>
          <w:p>
            <w:pPr>
              <w:spacing w:line="276" w:lineRule="auto"/>
              <w:textAlignment w:val="baseline"/>
              <w:rPr>
                <w:rFonts w:hint="eastAsia" w:ascii="宋体" w:hAnsi="宋体" w:eastAsia="宋体"/>
                <w:bCs/>
                <w:sz w:val="24"/>
              </w:rPr>
            </w:pPr>
            <w:r>
              <w:rPr>
                <w:rFonts w:hint="eastAsia" w:ascii="宋体" w:hAnsi="宋体" w:eastAsia="宋体"/>
                <w:bCs/>
                <w:sz w:val="24"/>
              </w:rPr>
              <w:t>（</w:t>
            </w:r>
            <w:r>
              <w:rPr>
                <w:rFonts w:hint="eastAsia" w:ascii="宋体" w:hAnsi="宋体" w:eastAsia="宋体"/>
                <w:bCs/>
                <w:sz w:val="24"/>
                <w:lang w:val="en-US" w:eastAsia="zh-CN"/>
              </w:rPr>
              <w:t>6</w:t>
            </w:r>
            <w:r>
              <w:rPr>
                <w:rFonts w:hint="eastAsia" w:ascii="宋体" w:hAnsi="宋体" w:eastAsia="宋体"/>
                <w:bCs/>
                <w:sz w:val="24"/>
              </w:rPr>
              <w:t>）法定代表人需提供法定代表人身份证明及身份证</w:t>
            </w:r>
            <w:r>
              <w:rPr>
                <w:rFonts w:hint="eastAsia" w:ascii="宋体" w:hAnsi="宋体" w:eastAsia="宋体"/>
                <w:bCs/>
                <w:sz w:val="24"/>
                <w:lang w:val="en-US" w:eastAsia="zh-CN"/>
              </w:rPr>
              <w:t>复印件</w:t>
            </w:r>
            <w:r>
              <w:rPr>
                <w:rFonts w:hint="eastAsia" w:ascii="宋体" w:hAnsi="宋体" w:eastAsia="宋体"/>
                <w:bCs/>
                <w:sz w:val="24"/>
              </w:rPr>
              <w:t>，授权委托人的需提供附有法定代表人身份证明的授权委托书及被委托人身份证</w:t>
            </w:r>
            <w:r>
              <w:rPr>
                <w:rFonts w:hint="eastAsia" w:ascii="宋体" w:hAnsi="宋体" w:eastAsia="宋体"/>
                <w:bCs/>
                <w:sz w:val="24"/>
                <w:lang w:val="en-US" w:eastAsia="zh-CN"/>
              </w:rPr>
              <w:t>复印件</w:t>
            </w:r>
            <w:r>
              <w:rPr>
                <w:rFonts w:hint="eastAsia" w:ascii="宋体" w:hAnsi="宋体" w:eastAsia="宋体"/>
                <w:bCs/>
                <w:sz w:val="24"/>
              </w:rPr>
              <w:t>；</w:t>
            </w:r>
          </w:p>
          <w:p>
            <w:pPr>
              <w:spacing w:line="276" w:lineRule="auto"/>
              <w:textAlignment w:val="baseline"/>
              <w:rPr>
                <w:rFonts w:hint="eastAsia" w:ascii="宋体" w:hAnsi="宋体" w:eastAsia="宋体"/>
                <w:bCs/>
                <w:sz w:val="24"/>
              </w:rPr>
            </w:pPr>
            <w:r>
              <w:rPr>
                <w:rFonts w:hint="eastAsia" w:ascii="宋体" w:hAnsi="宋体" w:eastAsia="宋体"/>
                <w:bCs/>
                <w:sz w:val="24"/>
              </w:rPr>
              <w:t>（</w:t>
            </w:r>
            <w:r>
              <w:rPr>
                <w:rFonts w:hint="eastAsia" w:ascii="宋体" w:hAnsi="宋体" w:eastAsia="宋体"/>
                <w:bCs/>
                <w:sz w:val="24"/>
                <w:lang w:val="en-US" w:eastAsia="zh-CN"/>
              </w:rPr>
              <w:t>7</w:t>
            </w:r>
            <w:r>
              <w:rPr>
                <w:rFonts w:hint="eastAsia" w:ascii="宋体" w:hAnsi="宋体" w:eastAsia="宋体"/>
                <w:bCs/>
                <w:sz w:val="24"/>
              </w:rPr>
              <w:t>）未被“信用中国”（www.creditchina.gov.cn）、中国政府采购网（www.ccgp.gov.cn）列入失信被执行人、重大税收违法案件当事人名单、政府采购严重违法失信行为记录名单的﹙</w:t>
            </w:r>
            <w:r>
              <w:rPr>
                <w:rFonts w:hint="eastAsia" w:ascii="宋体" w:hAnsi="宋体" w:eastAsia="宋体"/>
                <w:bCs/>
                <w:sz w:val="24"/>
                <w:lang w:val="en-US" w:eastAsia="zh-CN"/>
              </w:rPr>
              <w:t>将拒绝参与本项目</w:t>
            </w:r>
            <w:r>
              <w:rPr>
                <w:rFonts w:hint="eastAsia" w:ascii="宋体" w:hAnsi="宋体" w:eastAsia="宋体"/>
                <w:bCs/>
                <w:sz w:val="24"/>
              </w:rPr>
              <w:t>﹚；</w:t>
            </w:r>
          </w:p>
          <w:p>
            <w:pPr>
              <w:pStyle w:val="5"/>
              <w:rPr>
                <w:rFonts w:hint="eastAsia"/>
                <w:lang w:val="en-US" w:eastAsia="zh-CN"/>
              </w:rPr>
            </w:pPr>
            <w:r>
              <w:rPr>
                <w:rFonts w:hint="eastAsia" w:ascii="宋体" w:hAnsi="宋体"/>
                <w:b/>
                <w:sz w:val="24"/>
                <w:szCs w:val="21"/>
              </w:rPr>
              <w:t>注：供应商提交的所有证明文件及材料必须清晰、准确、真实。</w:t>
            </w:r>
          </w:p>
          <w:p>
            <w:pPr>
              <w:spacing w:line="276" w:lineRule="auto"/>
              <w:textAlignment w:val="baseline"/>
              <w:rPr>
                <w:rFonts w:ascii="宋体" w:hAnsi="宋体"/>
                <w:bCs/>
                <w:color w:val="FF0000"/>
                <w:sz w:val="24"/>
              </w:rPr>
            </w:pPr>
            <w:r>
              <w:rPr>
                <w:rFonts w:hint="eastAsia" w:ascii="宋体" w:hAnsi="宋体"/>
                <w:bCs/>
                <w:color w:val="FF0000"/>
                <w:sz w:val="24"/>
              </w:rPr>
              <w:t>2.落实政府采购政策需满足的资格要求：本项目</w:t>
            </w:r>
            <w:r>
              <w:rPr>
                <w:rFonts w:hint="eastAsia" w:ascii="宋体" w:hAnsi="宋体"/>
                <w:bCs/>
                <w:color w:val="FF0000"/>
                <w:sz w:val="24"/>
                <w:lang w:val="en-US" w:eastAsia="zh-CN"/>
              </w:rPr>
              <w:t>专门</w:t>
            </w:r>
            <w:r>
              <w:rPr>
                <w:rFonts w:hint="eastAsia" w:ascii="宋体" w:hAnsi="宋体"/>
                <w:bCs/>
                <w:color w:val="FF0000"/>
                <w:sz w:val="24"/>
              </w:rPr>
              <w:t>面向中小微企业。</w:t>
            </w:r>
          </w:p>
          <w:p>
            <w:pPr>
              <w:spacing w:line="276" w:lineRule="auto"/>
              <w:textAlignment w:val="baseline"/>
              <w:rPr>
                <w:rFonts w:ascii="宋体" w:hAnsi="宋体"/>
                <w:bCs/>
                <w:sz w:val="24"/>
              </w:rPr>
            </w:pPr>
            <w:r>
              <w:rPr>
                <w:rFonts w:hint="eastAsia" w:ascii="宋体" w:hAnsi="宋体"/>
                <w:bCs/>
                <w:sz w:val="24"/>
              </w:rPr>
              <w:t>（1）《政府采购促进中小企业发展管理办法》（财库〔2020〕46号）</w:t>
            </w:r>
            <w:r>
              <w:rPr>
                <w:rFonts w:hint="eastAsia" w:ascii="宋体" w:hAnsi="宋体"/>
                <w:bCs/>
                <w:sz w:val="24"/>
                <w:lang w:val="en-US" w:eastAsia="zh-CN"/>
              </w:rPr>
              <w:t>及《关于进一步加大政府采购支持中小企业力度的通知》（财库〔2022〕19号）</w:t>
            </w:r>
            <w:r>
              <w:rPr>
                <w:rFonts w:hint="eastAsia" w:ascii="宋体" w:hAnsi="宋体"/>
                <w:bCs/>
                <w:sz w:val="24"/>
              </w:rPr>
              <w:t>；</w:t>
            </w:r>
          </w:p>
          <w:p>
            <w:pPr>
              <w:spacing w:line="276" w:lineRule="auto"/>
              <w:textAlignment w:val="baseline"/>
              <w:rPr>
                <w:rFonts w:ascii="宋体" w:hAnsi="宋体"/>
                <w:bCs/>
                <w:sz w:val="24"/>
              </w:rPr>
            </w:pPr>
            <w:r>
              <w:rPr>
                <w:rFonts w:hint="eastAsia" w:ascii="宋体" w:hAnsi="宋体"/>
                <w:bCs/>
                <w:sz w:val="24"/>
              </w:rPr>
              <w:t>（2）《财政部、司法部关于政府采购支持监狱企业发展有关问题的通知》（财库〔2014〕68号）；</w:t>
            </w:r>
          </w:p>
          <w:p>
            <w:pPr>
              <w:spacing w:line="276" w:lineRule="auto"/>
              <w:textAlignment w:val="baseline"/>
              <w:rPr>
                <w:rFonts w:ascii="宋体" w:hAnsi="宋体"/>
                <w:bCs/>
                <w:sz w:val="24"/>
              </w:rPr>
            </w:pPr>
            <w:r>
              <w:rPr>
                <w:rFonts w:hint="eastAsia" w:ascii="宋体" w:hAnsi="宋体"/>
                <w:bCs/>
                <w:sz w:val="24"/>
              </w:rPr>
              <w:t>（3）《国务院办公厅关于建立政府强制采购节能产品制度的通知》（国办发〔2007〕51号）；</w:t>
            </w:r>
          </w:p>
          <w:p>
            <w:pPr>
              <w:spacing w:line="276" w:lineRule="auto"/>
              <w:textAlignment w:val="baseline"/>
              <w:rPr>
                <w:rFonts w:ascii="宋体" w:hAnsi="宋体"/>
                <w:bCs/>
                <w:sz w:val="24"/>
              </w:rPr>
            </w:pPr>
            <w:r>
              <w:rPr>
                <w:rFonts w:hint="eastAsia" w:ascii="宋体" w:hAnsi="宋体"/>
                <w:bCs/>
                <w:sz w:val="24"/>
              </w:rPr>
              <w:t>（4）《财政部 民政部 中国残疾人联合会关于促进残疾人就业政府采购政策的通知》财库〔2017〕141号。</w:t>
            </w:r>
          </w:p>
          <w:p>
            <w:pPr>
              <w:spacing w:line="276" w:lineRule="auto"/>
              <w:textAlignment w:val="baseline"/>
              <w:rPr>
                <w:rFonts w:ascii="宋体" w:hAnsi="宋体"/>
                <w:bCs/>
                <w:color w:val="auto"/>
                <w:sz w:val="24"/>
                <w:highlight w:val="none"/>
              </w:rPr>
            </w:pPr>
            <w:r>
              <w:rPr>
                <w:rFonts w:hint="eastAsia" w:ascii="宋体" w:hAnsi="宋体"/>
                <w:bCs/>
                <w:sz w:val="24"/>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 </w:t>
            </w:r>
          </w:p>
          <w:p>
            <w:pPr>
              <w:spacing w:line="276" w:lineRule="auto"/>
              <w:textAlignment w:val="baseline"/>
              <w:rPr>
                <w:rFonts w:ascii="宋体" w:hAnsi="宋体"/>
                <w:b/>
                <w:sz w:val="24"/>
              </w:rPr>
            </w:pPr>
            <w:r>
              <w:rPr>
                <w:rFonts w:hint="eastAsia" w:ascii="宋体" w:hAnsi="宋体"/>
                <w:bCs/>
                <w:color w:val="auto"/>
                <w:sz w:val="24"/>
                <w:highlight w:val="none"/>
              </w:rPr>
              <w:t xml:space="preserve">3.本项目不接受联合体参加。  </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7</w:t>
            </w:r>
          </w:p>
        </w:tc>
        <w:tc>
          <w:tcPr>
            <w:tcW w:w="8782" w:type="dxa"/>
            <w:vAlign w:val="center"/>
          </w:tcPr>
          <w:p>
            <w:pPr>
              <w:spacing w:line="276" w:lineRule="auto"/>
              <w:jc w:val="both"/>
              <w:rPr>
                <w:rFonts w:ascii="宋体" w:hAnsi="宋体"/>
                <w:sz w:val="24"/>
              </w:rPr>
            </w:pPr>
            <w:r>
              <w:rPr>
                <w:rFonts w:hint="eastAsia" w:ascii="宋体" w:hAnsi="宋体"/>
                <w:b/>
                <w:bCs/>
                <w:sz w:val="24"/>
              </w:rPr>
              <w:t>资格审查方式：</w:t>
            </w:r>
            <w:r>
              <w:rPr>
                <w:rFonts w:hint="eastAsia" w:ascii="宋体" w:hAnsi="宋体"/>
                <w:sz w:val="24"/>
              </w:rPr>
              <w:t>资格后审</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8</w:t>
            </w:r>
          </w:p>
        </w:tc>
        <w:tc>
          <w:tcPr>
            <w:tcW w:w="8782" w:type="dxa"/>
            <w:vAlign w:val="center"/>
          </w:tcPr>
          <w:p>
            <w:pPr>
              <w:spacing w:line="276" w:lineRule="auto"/>
              <w:jc w:val="both"/>
              <w:rPr>
                <w:rFonts w:ascii="宋体" w:hAnsi="宋体"/>
                <w:sz w:val="24"/>
              </w:rPr>
            </w:pPr>
            <w:r>
              <w:rPr>
                <w:rFonts w:hint="eastAsia" w:ascii="宋体" w:hAnsi="宋体"/>
                <w:b/>
                <w:sz w:val="24"/>
              </w:rPr>
              <w:t>投标语言：</w:t>
            </w:r>
            <w:r>
              <w:rPr>
                <w:rFonts w:hint="eastAsia" w:ascii="宋体" w:hAnsi="宋体"/>
                <w:sz w:val="24"/>
              </w:rPr>
              <w:t>中文</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9</w:t>
            </w:r>
          </w:p>
        </w:tc>
        <w:tc>
          <w:tcPr>
            <w:tcW w:w="8782" w:type="dxa"/>
            <w:vAlign w:val="center"/>
          </w:tcPr>
          <w:p>
            <w:pPr>
              <w:spacing w:line="276" w:lineRule="auto"/>
              <w:jc w:val="both"/>
              <w:textAlignment w:val="baseline"/>
              <w:rPr>
                <w:rFonts w:ascii="宋体" w:hAnsi="宋体"/>
                <w:b/>
                <w:sz w:val="24"/>
              </w:rPr>
            </w:pPr>
            <w:r>
              <w:rPr>
                <w:rFonts w:hint="eastAsia" w:ascii="宋体" w:hAnsi="宋体"/>
                <w:b/>
                <w:sz w:val="24"/>
              </w:rPr>
              <w:t>投标有效期：</w:t>
            </w:r>
            <w:r>
              <w:rPr>
                <w:rFonts w:hint="eastAsia" w:ascii="宋体" w:hAnsi="宋体"/>
                <w:bCs/>
                <w:sz w:val="24"/>
              </w:rPr>
              <w:t>90</w:t>
            </w:r>
            <w:r>
              <w:rPr>
                <w:rFonts w:hint="eastAsia" w:ascii="宋体" w:hAnsi="宋体"/>
                <w:sz w:val="24"/>
              </w:rPr>
              <w:t>日历天；（从投标截止之日算起）</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10</w:t>
            </w:r>
          </w:p>
        </w:tc>
        <w:tc>
          <w:tcPr>
            <w:tcW w:w="8782" w:type="dxa"/>
            <w:vAlign w:val="center"/>
          </w:tcPr>
          <w:p>
            <w:pPr>
              <w:tabs>
                <w:tab w:val="left" w:pos="7665"/>
              </w:tabs>
              <w:spacing w:line="276" w:lineRule="auto"/>
              <w:jc w:val="both"/>
              <w:rPr>
                <w:rFonts w:ascii="宋体" w:hAnsi="宋体"/>
                <w:b/>
                <w:kern w:val="0"/>
                <w:sz w:val="24"/>
              </w:rPr>
            </w:pPr>
            <w:r>
              <w:rPr>
                <w:rFonts w:hint="eastAsia" w:ascii="宋体" w:hAnsi="宋体"/>
                <w:b/>
                <w:kern w:val="0"/>
                <w:sz w:val="24"/>
              </w:rPr>
              <w:t>采购方式：</w:t>
            </w:r>
            <w:r>
              <w:rPr>
                <w:rFonts w:hint="eastAsia" w:ascii="宋体" w:hAnsi="宋体"/>
                <w:sz w:val="24"/>
              </w:rPr>
              <w:t>竞争性磋商</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11</w:t>
            </w:r>
          </w:p>
        </w:tc>
        <w:tc>
          <w:tcPr>
            <w:tcW w:w="8782" w:type="dxa"/>
            <w:vAlign w:val="center"/>
          </w:tcPr>
          <w:p>
            <w:pPr>
              <w:tabs>
                <w:tab w:val="left" w:pos="7665"/>
              </w:tabs>
              <w:spacing w:line="276" w:lineRule="auto"/>
              <w:jc w:val="both"/>
              <w:rPr>
                <w:rFonts w:ascii="宋体" w:hAnsi="宋体"/>
                <w:b/>
                <w:sz w:val="24"/>
              </w:rPr>
            </w:pPr>
            <w:r>
              <w:rPr>
                <w:rFonts w:hint="eastAsia" w:ascii="宋体" w:hAnsi="宋体"/>
                <w:b/>
                <w:kern w:val="0"/>
                <w:sz w:val="24"/>
              </w:rPr>
              <w:t>评标办法：</w:t>
            </w:r>
            <w:r>
              <w:rPr>
                <w:rFonts w:hint="eastAsia" w:ascii="宋体" w:hAnsi="宋体"/>
                <w:sz w:val="24"/>
              </w:rPr>
              <w:t>综合评分法</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12</w:t>
            </w:r>
          </w:p>
        </w:tc>
        <w:tc>
          <w:tcPr>
            <w:tcW w:w="8782" w:type="dxa"/>
            <w:vAlign w:val="bottom"/>
          </w:tcPr>
          <w:p>
            <w:pPr>
              <w:spacing w:line="276" w:lineRule="auto"/>
              <w:ind w:left="2125" w:hanging="2125" w:hangingChars="882"/>
              <w:textAlignment w:val="baseline"/>
              <w:rPr>
                <w:rFonts w:ascii="宋体" w:hAnsi="宋体"/>
                <w:b/>
                <w:kern w:val="0"/>
                <w:sz w:val="24"/>
              </w:rPr>
            </w:pPr>
            <w:r>
              <w:rPr>
                <w:rFonts w:hint="eastAsia" w:ascii="宋体" w:hAnsi="宋体"/>
                <w:b/>
                <w:kern w:val="0"/>
                <w:sz w:val="24"/>
              </w:rPr>
              <w:t>磋商小组的组建：</w:t>
            </w:r>
          </w:p>
          <w:p>
            <w:pPr>
              <w:spacing w:line="276" w:lineRule="auto"/>
              <w:ind w:left="2125" w:hanging="2125" w:hangingChars="882"/>
              <w:textAlignment w:val="baseline"/>
              <w:rPr>
                <w:rFonts w:ascii="宋体" w:hAnsi="宋体"/>
                <w:kern w:val="0"/>
                <w:sz w:val="24"/>
              </w:rPr>
            </w:pPr>
            <w:r>
              <w:rPr>
                <w:rFonts w:hint="eastAsia" w:ascii="宋体" w:hAnsi="宋体"/>
                <w:b/>
                <w:kern w:val="0"/>
                <w:sz w:val="24"/>
              </w:rPr>
              <w:t>磋商小组构成：</w:t>
            </w:r>
            <w:r>
              <w:rPr>
                <w:rFonts w:hint="eastAsia" w:ascii="宋体" w:hAnsi="宋体"/>
                <w:kern w:val="0"/>
                <w:sz w:val="24"/>
              </w:rPr>
              <w:t>由采购人和有关技术、经济等方面的专家组成，共</w:t>
            </w:r>
            <w:r>
              <w:rPr>
                <w:rFonts w:hint="eastAsia" w:ascii="宋体" w:hAnsi="宋体"/>
                <w:kern w:val="0"/>
                <w:sz w:val="24"/>
                <w:lang w:val="en-US" w:eastAsia="zh-CN"/>
              </w:rPr>
              <w:t>5</w:t>
            </w:r>
            <w:r>
              <w:rPr>
                <w:rFonts w:hint="eastAsia" w:ascii="宋体" w:hAnsi="宋体"/>
                <w:kern w:val="0"/>
                <w:sz w:val="24"/>
              </w:rPr>
              <w:t>人以上单数。</w:t>
            </w:r>
          </w:p>
          <w:p>
            <w:pPr>
              <w:spacing w:line="276" w:lineRule="auto"/>
              <w:ind w:left="2125" w:hanging="2125" w:hangingChars="882"/>
              <w:textAlignment w:val="baseline"/>
              <w:rPr>
                <w:rFonts w:ascii="宋体" w:hAnsi="宋体"/>
                <w:b/>
                <w:kern w:val="0"/>
                <w:sz w:val="24"/>
              </w:rPr>
            </w:pPr>
            <w:r>
              <w:rPr>
                <w:rFonts w:hint="eastAsia" w:ascii="宋体" w:hAnsi="宋体"/>
                <w:b/>
                <w:kern w:val="0"/>
                <w:sz w:val="24"/>
              </w:rPr>
              <w:t>评标专家确定方式：</w:t>
            </w:r>
            <w:r>
              <w:rPr>
                <w:rFonts w:hint="eastAsia" w:ascii="宋体" w:hAnsi="宋体"/>
                <w:kern w:val="0"/>
                <w:sz w:val="24"/>
              </w:rPr>
              <w:t>政采云</w:t>
            </w:r>
            <w:r>
              <w:rPr>
                <w:rFonts w:ascii="宋体" w:hAnsi="宋体"/>
                <w:kern w:val="0"/>
                <w:sz w:val="24"/>
              </w:rPr>
              <w:t>专家库中随机抽取</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13</w:t>
            </w:r>
          </w:p>
        </w:tc>
        <w:tc>
          <w:tcPr>
            <w:tcW w:w="8782" w:type="dxa"/>
            <w:vAlign w:val="bottom"/>
          </w:tcPr>
          <w:p>
            <w:pPr>
              <w:spacing w:line="276" w:lineRule="auto"/>
              <w:ind w:left="2125" w:hanging="2125" w:hangingChars="882"/>
              <w:textAlignment w:val="baseline"/>
              <w:rPr>
                <w:rFonts w:ascii="宋体" w:hAnsi="宋体"/>
                <w:kern w:val="0"/>
                <w:sz w:val="24"/>
              </w:rPr>
            </w:pPr>
            <w:r>
              <w:rPr>
                <w:rFonts w:hint="eastAsia" w:ascii="宋体" w:hAnsi="宋体"/>
                <w:b/>
                <w:kern w:val="0"/>
                <w:sz w:val="24"/>
              </w:rPr>
              <w:t>是否授权磋商小组确定中标供应商：</w:t>
            </w:r>
            <w:r>
              <w:rPr>
                <w:rFonts w:hint="eastAsia" w:ascii="宋体" w:hAnsi="宋体"/>
                <w:kern w:val="0"/>
                <w:sz w:val="24"/>
              </w:rPr>
              <w:t xml:space="preserve"> </w:t>
            </w:r>
            <w:r>
              <w:rPr>
                <w:rFonts w:hint="eastAsia" w:ascii="宋体" w:hAnsi="宋体"/>
                <w:kern w:val="0"/>
                <w:sz w:val="24"/>
              </w:rPr>
              <w:fldChar w:fldCharType="begin"/>
            </w:r>
            <w:r>
              <w:rPr>
                <w:rFonts w:hint="eastAsia" w:ascii="宋体" w:hAnsi="宋体"/>
                <w:kern w:val="0"/>
                <w:sz w:val="24"/>
              </w:rPr>
              <w:instrText xml:space="preserve"> eq \o\ac(□)</w:instrText>
            </w:r>
            <w:r>
              <w:rPr>
                <w:rFonts w:hint="eastAsia" w:ascii="宋体" w:hAnsi="宋体"/>
                <w:kern w:val="0"/>
                <w:sz w:val="24"/>
              </w:rPr>
              <w:fldChar w:fldCharType="end"/>
            </w:r>
            <w:r>
              <w:rPr>
                <w:rFonts w:hint="eastAsia" w:ascii="宋体" w:hAnsi="宋体"/>
                <w:kern w:val="0"/>
                <w:sz w:val="24"/>
              </w:rPr>
              <w:t>是</w:t>
            </w:r>
          </w:p>
          <w:p>
            <w:pPr>
              <w:spacing w:line="276" w:lineRule="auto"/>
              <w:ind w:left="2153" w:leftChars="1025" w:firstLine="1735" w:firstLineChars="723"/>
              <w:textAlignment w:val="baseline"/>
              <w:rPr>
                <w:rFonts w:ascii="宋体" w:hAnsi="宋体"/>
                <w:b/>
                <w:sz w:val="24"/>
              </w:rPr>
            </w:pPr>
            <w:r>
              <w:rPr>
                <w:rFonts w:hint="eastAsia" w:ascii="宋体" w:hAnsi="宋体"/>
                <w:kern w:val="0"/>
                <w:sz w:val="24"/>
              </w:rPr>
              <w:t>☑否，推荐的成交候选人数：</w:t>
            </w:r>
            <w:r>
              <w:rPr>
                <w:rFonts w:hint="eastAsia" w:ascii="宋体" w:hAnsi="宋体"/>
                <w:kern w:val="0"/>
                <w:sz w:val="24"/>
                <w:lang w:val="en-US" w:eastAsia="zh-CN"/>
              </w:rPr>
              <w:t>1</w:t>
            </w:r>
            <w:r>
              <w:rPr>
                <w:rFonts w:hint="eastAsia" w:ascii="宋体" w:hAnsi="宋体"/>
                <w:kern w:val="0"/>
                <w:sz w:val="24"/>
              </w:rPr>
              <w:t>人</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14</w:t>
            </w:r>
          </w:p>
        </w:tc>
        <w:tc>
          <w:tcPr>
            <w:tcW w:w="8782" w:type="dxa"/>
            <w:vAlign w:val="center"/>
          </w:tcPr>
          <w:p>
            <w:pPr>
              <w:tabs>
                <w:tab w:val="left" w:pos="7665"/>
              </w:tabs>
              <w:spacing w:line="276" w:lineRule="auto"/>
              <w:jc w:val="both"/>
              <w:rPr>
                <w:rFonts w:ascii="宋体" w:hAnsi="宋体"/>
                <w:b/>
                <w:kern w:val="0"/>
                <w:sz w:val="24"/>
              </w:rPr>
            </w:pPr>
            <w:r>
              <w:rPr>
                <w:rFonts w:ascii="宋体" w:hAnsi="宋体"/>
                <w:b/>
                <w:sz w:val="24"/>
                <w:lang w:val="zh-CN"/>
              </w:rPr>
              <w:t>考察现场、标前答疑会</w:t>
            </w:r>
            <w:r>
              <w:rPr>
                <w:rFonts w:hint="eastAsia" w:ascii="宋体" w:hAnsi="宋体"/>
                <w:b/>
                <w:kern w:val="0"/>
                <w:sz w:val="24"/>
              </w:rPr>
              <w:t>：</w:t>
            </w:r>
            <w:r>
              <w:rPr>
                <w:rFonts w:ascii="宋体" w:hAnsi="宋体"/>
                <w:sz w:val="24"/>
                <w:lang w:val="zh-CN"/>
              </w:rPr>
              <w:t>招标采购单位认为有必要，另行通知。</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15</w:t>
            </w:r>
          </w:p>
        </w:tc>
        <w:tc>
          <w:tcPr>
            <w:tcW w:w="8782" w:type="dxa"/>
            <w:vAlign w:val="center"/>
          </w:tcPr>
          <w:p>
            <w:pPr>
              <w:tabs>
                <w:tab w:val="left" w:pos="7665"/>
              </w:tabs>
              <w:spacing w:line="276" w:lineRule="auto"/>
              <w:jc w:val="both"/>
              <w:rPr>
                <w:rFonts w:ascii="宋体" w:hAnsi="宋体"/>
                <w:b/>
                <w:kern w:val="0"/>
                <w:sz w:val="24"/>
              </w:rPr>
            </w:pPr>
            <w:r>
              <w:rPr>
                <w:rFonts w:ascii="宋体" w:hAnsi="宋体"/>
                <w:b/>
                <w:sz w:val="24"/>
                <w:lang w:val="zh-CN"/>
              </w:rPr>
              <w:t>投标供应商对</w:t>
            </w:r>
            <w:r>
              <w:rPr>
                <w:rFonts w:hint="eastAsia" w:ascii="宋体" w:hAnsi="宋体"/>
                <w:b/>
                <w:sz w:val="24"/>
                <w:lang w:val="zh-CN"/>
              </w:rPr>
              <w:t>磋商文件</w:t>
            </w:r>
            <w:r>
              <w:rPr>
                <w:rFonts w:ascii="宋体" w:hAnsi="宋体"/>
                <w:b/>
                <w:sz w:val="24"/>
                <w:lang w:val="zh-CN"/>
              </w:rPr>
              <w:t>提出质疑的时间</w:t>
            </w:r>
            <w:r>
              <w:rPr>
                <w:rFonts w:hint="eastAsia" w:ascii="宋体" w:hAnsi="宋体"/>
                <w:b/>
                <w:sz w:val="24"/>
                <w:lang w:val="zh-CN"/>
              </w:rPr>
              <w:t>：</w:t>
            </w:r>
            <w:r>
              <w:rPr>
                <w:rFonts w:ascii="宋体" w:hAnsi="宋体"/>
                <w:sz w:val="24"/>
                <w:lang w:val="zh-CN"/>
              </w:rPr>
              <w:t>投标截止时间</w:t>
            </w:r>
            <w:r>
              <w:rPr>
                <w:rFonts w:hint="eastAsia" w:ascii="宋体" w:hAnsi="宋体"/>
                <w:sz w:val="24"/>
                <w:lang w:val="en-US" w:eastAsia="zh-CN"/>
              </w:rPr>
              <w:t>5</w:t>
            </w:r>
            <w:r>
              <w:rPr>
                <w:rFonts w:ascii="宋体" w:hAnsi="宋体"/>
                <w:sz w:val="24"/>
                <w:lang w:val="zh-CN"/>
              </w:rPr>
              <w:t>日前</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16</w:t>
            </w:r>
          </w:p>
        </w:tc>
        <w:tc>
          <w:tcPr>
            <w:tcW w:w="8782" w:type="dxa"/>
            <w:vAlign w:val="center"/>
          </w:tcPr>
          <w:p>
            <w:pPr>
              <w:tabs>
                <w:tab w:val="left" w:pos="7665"/>
              </w:tabs>
              <w:spacing w:line="276" w:lineRule="auto"/>
              <w:ind w:left="3542" w:hanging="3542" w:hangingChars="1470"/>
              <w:rPr>
                <w:rFonts w:ascii="宋体" w:hAnsi="宋体"/>
                <w:b/>
                <w:sz w:val="24"/>
              </w:rPr>
            </w:pPr>
            <w:r>
              <w:rPr>
                <w:rFonts w:ascii="宋体" w:hAnsi="宋体"/>
                <w:b/>
                <w:sz w:val="24"/>
                <w:lang w:val="zh-CN"/>
              </w:rPr>
              <w:t>构成</w:t>
            </w:r>
            <w:r>
              <w:rPr>
                <w:rFonts w:hint="eastAsia" w:ascii="宋体" w:hAnsi="宋体"/>
                <w:b/>
                <w:sz w:val="24"/>
                <w:lang w:val="zh-CN"/>
              </w:rPr>
              <w:t>磋商文件</w:t>
            </w:r>
            <w:r>
              <w:rPr>
                <w:rFonts w:ascii="宋体" w:hAnsi="宋体"/>
                <w:b/>
                <w:sz w:val="24"/>
                <w:lang w:val="zh-CN"/>
              </w:rPr>
              <w:t>的其他文件</w:t>
            </w:r>
            <w:r>
              <w:rPr>
                <w:rFonts w:hint="eastAsia" w:ascii="宋体" w:hAnsi="宋体"/>
                <w:b/>
                <w:sz w:val="24"/>
              </w:rPr>
              <w:t>：</w:t>
            </w:r>
          </w:p>
          <w:p>
            <w:pPr>
              <w:tabs>
                <w:tab w:val="left" w:pos="7665"/>
              </w:tabs>
              <w:spacing w:line="276" w:lineRule="auto"/>
              <w:ind w:left="3517" w:leftChars="228" w:hanging="3038" w:hangingChars="1266"/>
              <w:rPr>
                <w:rFonts w:ascii="宋体" w:hAnsi="宋体"/>
                <w:b/>
                <w:kern w:val="0"/>
                <w:sz w:val="24"/>
              </w:rPr>
            </w:pPr>
            <w:r>
              <w:rPr>
                <w:rFonts w:hint="eastAsia" w:ascii="宋体" w:hAnsi="宋体"/>
                <w:sz w:val="24"/>
                <w:lang w:val="zh-CN"/>
              </w:rPr>
              <w:t>磋商文件</w:t>
            </w:r>
            <w:r>
              <w:rPr>
                <w:rFonts w:ascii="宋体" w:hAnsi="宋体"/>
                <w:sz w:val="24"/>
                <w:lang w:val="zh-CN"/>
              </w:rPr>
              <w:t>的澄清</w:t>
            </w:r>
            <w:r>
              <w:rPr>
                <w:rFonts w:ascii="宋体" w:hAnsi="宋体"/>
                <w:sz w:val="24"/>
              </w:rPr>
              <w:t>、修改书及有关补充通知为</w:t>
            </w:r>
            <w:r>
              <w:rPr>
                <w:rFonts w:hint="eastAsia" w:ascii="宋体" w:hAnsi="宋体"/>
                <w:sz w:val="24"/>
                <w:lang w:val="zh-CN"/>
              </w:rPr>
              <w:t>磋商文件</w:t>
            </w:r>
            <w:r>
              <w:rPr>
                <w:rFonts w:ascii="宋体" w:hAnsi="宋体"/>
                <w:sz w:val="24"/>
              </w:rPr>
              <w:t>的有效组成部分。</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17</w:t>
            </w:r>
          </w:p>
        </w:tc>
        <w:tc>
          <w:tcPr>
            <w:tcW w:w="8782" w:type="dxa"/>
            <w:vAlign w:val="bottom"/>
          </w:tcPr>
          <w:p>
            <w:pPr>
              <w:adjustRightInd w:val="0"/>
              <w:snapToGrid w:val="0"/>
              <w:spacing w:line="276" w:lineRule="auto"/>
              <w:rPr>
                <w:rFonts w:ascii="宋体" w:hAnsi="宋体"/>
                <w:b/>
                <w:sz w:val="24"/>
              </w:rPr>
            </w:pPr>
            <w:r>
              <w:rPr>
                <w:rFonts w:hint="eastAsia" w:ascii="宋体" w:hAnsi="宋体" w:cs="仿宋_GB2312"/>
                <w:b/>
                <w:sz w:val="24"/>
              </w:rPr>
              <w:t>报名要求</w:t>
            </w:r>
            <w:r>
              <w:rPr>
                <w:rFonts w:hint="eastAsia" w:ascii="宋体" w:hAnsi="宋体"/>
                <w:b/>
                <w:sz w:val="24"/>
              </w:rPr>
              <w:t>：</w:t>
            </w:r>
            <w:r>
              <w:rPr>
                <w:rFonts w:hint="eastAsia" w:ascii="宋体" w:hAnsi="宋体"/>
                <w:sz w:val="24"/>
              </w:rPr>
              <w:t>见公告内容。</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18</w:t>
            </w:r>
          </w:p>
        </w:tc>
        <w:tc>
          <w:tcPr>
            <w:tcW w:w="8782" w:type="dxa"/>
            <w:vAlign w:val="bottom"/>
          </w:tcPr>
          <w:p>
            <w:pPr>
              <w:tabs>
                <w:tab w:val="left" w:pos="7665"/>
              </w:tabs>
              <w:spacing w:line="276" w:lineRule="auto"/>
              <w:rPr>
                <w:rFonts w:ascii="宋体" w:hAnsi="宋体"/>
                <w:b/>
                <w:sz w:val="24"/>
              </w:rPr>
            </w:pPr>
            <w:r>
              <w:rPr>
                <w:rFonts w:hint="eastAsia" w:ascii="宋体" w:hAnsi="宋体"/>
                <w:b/>
                <w:sz w:val="24"/>
              </w:rPr>
              <w:t>分包（转让）：</w:t>
            </w:r>
            <w:r>
              <w:rPr>
                <w:rFonts w:hint="eastAsia" w:ascii="宋体" w:hAnsi="宋体"/>
                <w:sz w:val="24"/>
              </w:rPr>
              <w:t>不允许。</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19</w:t>
            </w:r>
          </w:p>
        </w:tc>
        <w:tc>
          <w:tcPr>
            <w:tcW w:w="8782" w:type="dxa"/>
            <w:vAlign w:val="bottom"/>
          </w:tcPr>
          <w:p>
            <w:pPr>
              <w:tabs>
                <w:tab w:val="left" w:pos="7665"/>
              </w:tabs>
              <w:spacing w:line="276" w:lineRule="auto"/>
              <w:rPr>
                <w:rFonts w:ascii="宋体" w:hAnsi="宋体"/>
                <w:b/>
                <w:sz w:val="24"/>
              </w:rPr>
            </w:pPr>
            <w:r>
              <w:rPr>
                <w:rFonts w:hint="eastAsia" w:ascii="宋体" w:hAnsi="宋体"/>
                <w:b/>
                <w:sz w:val="24"/>
              </w:rPr>
              <w:t>联合投标：</w:t>
            </w:r>
            <w:r>
              <w:rPr>
                <w:rFonts w:hint="eastAsia" w:ascii="宋体" w:hAnsi="宋体"/>
                <w:sz w:val="24"/>
              </w:rPr>
              <w:t>本项目不接受联合体投标。</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721" w:type="dxa"/>
            <w:vAlign w:val="center"/>
          </w:tcPr>
          <w:p>
            <w:pPr>
              <w:adjustRightInd w:val="0"/>
              <w:snapToGrid w:val="0"/>
              <w:spacing w:line="276" w:lineRule="auto"/>
              <w:jc w:val="center"/>
              <w:textAlignment w:val="baseline"/>
              <w:rPr>
                <w:rFonts w:ascii="宋体" w:hAnsi="宋体"/>
                <w:sz w:val="24"/>
              </w:rPr>
            </w:pPr>
            <w:r>
              <w:rPr>
                <w:rFonts w:hint="eastAsia" w:ascii="宋体" w:hAnsi="宋体"/>
                <w:sz w:val="24"/>
              </w:rPr>
              <w:t>20</w:t>
            </w:r>
          </w:p>
        </w:tc>
        <w:tc>
          <w:tcPr>
            <w:tcW w:w="8782" w:type="dxa"/>
            <w:vAlign w:val="bottom"/>
          </w:tcPr>
          <w:p>
            <w:pPr>
              <w:adjustRightInd w:val="0"/>
              <w:snapToGrid w:val="0"/>
              <w:spacing w:line="276" w:lineRule="auto"/>
              <w:textAlignment w:val="baseline"/>
              <w:rPr>
                <w:rFonts w:ascii="宋体" w:hAnsi="宋体"/>
                <w:b/>
                <w:sz w:val="24"/>
              </w:rPr>
            </w:pPr>
            <w:r>
              <w:rPr>
                <w:rFonts w:hint="eastAsia" w:ascii="宋体" w:hAnsi="宋体"/>
                <w:b/>
                <w:sz w:val="24"/>
              </w:rPr>
              <w:t>是否退还磋商响应文件：</w:t>
            </w:r>
            <w:r>
              <w:rPr>
                <w:rFonts w:hint="eastAsia" w:ascii="宋体" w:hAnsi="宋体"/>
                <w:sz w:val="24"/>
              </w:rPr>
              <w:t>否</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21</w:t>
            </w:r>
          </w:p>
        </w:tc>
        <w:tc>
          <w:tcPr>
            <w:tcW w:w="8782" w:type="dxa"/>
            <w:vAlign w:val="center"/>
          </w:tcPr>
          <w:p>
            <w:pPr>
              <w:spacing w:line="276" w:lineRule="auto"/>
              <w:rPr>
                <w:rFonts w:ascii="宋体" w:hAnsi="宋体"/>
                <w:b/>
                <w:kern w:val="0"/>
                <w:sz w:val="24"/>
              </w:rPr>
            </w:pPr>
            <w:r>
              <w:rPr>
                <w:rFonts w:hint="eastAsia" w:ascii="宋体" w:hAnsi="宋体"/>
                <w:b/>
                <w:kern w:val="0"/>
                <w:sz w:val="24"/>
              </w:rPr>
              <w:t>磋商响应文件份数：</w:t>
            </w:r>
          </w:p>
          <w:p>
            <w:pPr>
              <w:spacing w:line="276" w:lineRule="auto"/>
              <w:textAlignment w:val="baseline"/>
              <w:rPr>
                <w:rFonts w:hint="eastAsia"/>
                <w:lang w:val="en-US" w:eastAsia="zh-CN"/>
              </w:rPr>
            </w:pPr>
            <w:r>
              <w:rPr>
                <w:rFonts w:hint="eastAsia"/>
                <w:lang w:val="en-US" w:eastAsia="zh-CN"/>
              </w:rPr>
              <w:t>（1）“电子加密磋商响应文件”：在线上传递交，一份。</w:t>
            </w:r>
          </w:p>
          <w:p>
            <w:pPr>
              <w:spacing w:line="276" w:lineRule="auto"/>
              <w:textAlignment w:val="baseline"/>
            </w:pPr>
            <w:r>
              <w:rPr>
                <w:rFonts w:hint="eastAsia"/>
                <w:lang w:val="en-US" w:eastAsia="zh-CN"/>
              </w:rPr>
              <w:t>（2）投标文件须与最终上传电子加密文件一致，“备份磋商响应文件”一份：投标截止时间前发送至代理公司邮箱（923824530@qq.com）；如投标单位标书解密失败又未递交“备份磋商响应文件”将认定其投标无效。</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22</w:t>
            </w:r>
          </w:p>
        </w:tc>
        <w:tc>
          <w:tcPr>
            <w:tcW w:w="8782" w:type="dxa"/>
            <w:vAlign w:val="center"/>
          </w:tcPr>
          <w:p>
            <w:pPr>
              <w:spacing w:line="400" w:lineRule="exact"/>
              <w:rPr>
                <w:b/>
                <w:sz w:val="24"/>
              </w:rPr>
            </w:pPr>
            <w:r>
              <w:rPr>
                <w:rFonts w:hint="eastAsia"/>
                <w:b/>
                <w:sz w:val="24"/>
              </w:rPr>
              <w:t>磋商响应文件的编制：</w:t>
            </w:r>
            <w:r>
              <w:rPr>
                <w:rFonts w:hint="eastAsia"/>
                <w:bCs/>
                <w:sz w:val="24"/>
              </w:rPr>
              <w:t>供应商应先安装“政采云电子交易客户端”，并按照本磋商文件和“政府采购云平台”的要求，通过“政采云电子交易客户端”编制并加密磋商响应文件。</w:t>
            </w:r>
          </w:p>
          <w:p>
            <w:pPr>
              <w:spacing w:line="400" w:lineRule="exact"/>
              <w:rPr>
                <w:rFonts w:ascii="宋体" w:hAnsi="宋体"/>
                <w:sz w:val="24"/>
              </w:rPr>
            </w:pPr>
            <w:r>
              <w:rPr>
                <w:rFonts w:hint="eastAsia"/>
                <w:b/>
                <w:sz w:val="24"/>
              </w:rPr>
              <w:t>磋商响应文件的形式：</w:t>
            </w:r>
            <w:r>
              <w:rPr>
                <w:rFonts w:hint="eastAsia" w:ascii="宋体" w:hAnsi="宋体"/>
                <w:sz w:val="24"/>
              </w:rPr>
              <w:t>电子磋商响应文件（包括“电子加密磋商响应文件”和“备份磋商响应文件”、“纸质版响应文件”，在磋商响应文件编制完成后同时生成）；</w:t>
            </w:r>
          </w:p>
          <w:p>
            <w:pPr>
              <w:spacing w:line="400" w:lineRule="exact"/>
              <w:rPr>
                <w:rFonts w:ascii="宋体" w:hAnsi="宋体"/>
                <w:sz w:val="24"/>
              </w:rPr>
            </w:pPr>
            <w:r>
              <w:rPr>
                <w:rFonts w:hint="eastAsia" w:ascii="宋体" w:hAnsi="宋体"/>
                <w:sz w:val="24"/>
              </w:rPr>
              <w:t>（1）“电子加密磋商响应文件”是指通过“政采云电子交易客户端”完成磋商响应文件编制后生成并加密的数据电文形式的磋商响应文件。</w:t>
            </w:r>
          </w:p>
          <w:p>
            <w:pPr>
              <w:spacing w:line="400" w:lineRule="exact"/>
              <w:rPr>
                <w:rFonts w:ascii="宋体" w:hAnsi="宋体"/>
                <w:b/>
                <w:kern w:val="0"/>
                <w:sz w:val="24"/>
              </w:rPr>
            </w:pPr>
            <w:r>
              <w:rPr>
                <w:rFonts w:hint="eastAsia" w:ascii="宋体" w:hAnsi="宋体"/>
                <w:sz w:val="24"/>
              </w:rPr>
              <w:t>（2）“备份磋商响应文件”是指与“电子加密磋商响应文件”同时生成的数据电文形式的电子文件（备份标书），其他方式编制的备份磋商响应文件视为无效备份磋商响应文件。</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23</w:t>
            </w:r>
          </w:p>
        </w:tc>
        <w:tc>
          <w:tcPr>
            <w:tcW w:w="8782" w:type="dxa"/>
            <w:vAlign w:val="center"/>
          </w:tcPr>
          <w:p>
            <w:pPr>
              <w:adjustRightInd w:val="0"/>
              <w:snapToGrid w:val="0"/>
              <w:spacing w:line="276" w:lineRule="auto"/>
              <w:jc w:val="left"/>
              <w:rPr>
                <w:rFonts w:ascii="宋体" w:hAnsi="宋体"/>
                <w:b/>
                <w:color w:val="auto"/>
                <w:sz w:val="24"/>
              </w:rPr>
            </w:pPr>
            <w:r>
              <w:rPr>
                <w:rFonts w:hint="eastAsia" w:ascii="宋体" w:hAnsi="宋体"/>
                <w:b/>
                <w:sz w:val="24"/>
              </w:rPr>
              <w:t>开标时间</w:t>
            </w:r>
            <w:r>
              <w:rPr>
                <w:rFonts w:hint="eastAsia" w:ascii="宋体" w:hAnsi="宋体"/>
                <w:b/>
                <w:color w:val="auto"/>
                <w:sz w:val="24"/>
              </w:rPr>
              <w:t>及地点：</w:t>
            </w:r>
          </w:p>
          <w:p>
            <w:pPr>
              <w:widowControl/>
              <w:shd w:val="clear" w:color="auto" w:fill="FFFFFF"/>
              <w:spacing w:line="276" w:lineRule="auto"/>
              <w:jc w:val="left"/>
              <w:rPr>
                <w:rFonts w:ascii="宋体" w:hAnsi="宋体"/>
                <w:color w:val="auto"/>
                <w:sz w:val="24"/>
              </w:rPr>
            </w:pPr>
            <w:r>
              <w:rPr>
                <w:rFonts w:hint="eastAsia" w:ascii="宋体" w:hAnsi="宋体"/>
                <w:b/>
                <w:bCs/>
                <w:color w:val="auto"/>
                <w:sz w:val="24"/>
              </w:rPr>
              <w:t>开标时间：202</w:t>
            </w:r>
            <w:r>
              <w:rPr>
                <w:rFonts w:hint="eastAsia" w:ascii="宋体" w:hAnsi="宋体"/>
                <w:b/>
                <w:bCs/>
                <w:color w:val="auto"/>
                <w:sz w:val="24"/>
                <w:lang w:val="en-US" w:eastAsia="zh-CN"/>
              </w:rPr>
              <w:t>2</w:t>
            </w:r>
            <w:r>
              <w:rPr>
                <w:rFonts w:hint="eastAsia" w:ascii="宋体" w:hAnsi="宋体"/>
                <w:b/>
                <w:bCs/>
                <w:color w:val="auto"/>
                <w:sz w:val="24"/>
              </w:rPr>
              <w:t>年</w:t>
            </w:r>
            <w:r>
              <w:rPr>
                <w:rFonts w:hint="eastAsia" w:ascii="宋体" w:hAnsi="宋体"/>
                <w:b/>
                <w:bCs/>
                <w:color w:val="auto"/>
                <w:sz w:val="24"/>
                <w:lang w:val="en-US" w:eastAsia="zh-CN"/>
              </w:rPr>
              <w:t>08</w:t>
            </w:r>
            <w:r>
              <w:rPr>
                <w:rFonts w:hint="eastAsia" w:ascii="宋体" w:hAnsi="宋体"/>
                <w:b/>
                <w:bCs/>
                <w:color w:val="auto"/>
                <w:sz w:val="24"/>
              </w:rPr>
              <w:t>月</w:t>
            </w:r>
            <w:r>
              <w:rPr>
                <w:rFonts w:hint="eastAsia" w:ascii="宋体" w:hAnsi="宋体"/>
                <w:b/>
                <w:bCs/>
                <w:color w:val="auto"/>
                <w:sz w:val="24"/>
                <w:lang w:val="en-US" w:eastAsia="zh-CN"/>
              </w:rPr>
              <w:t>09</w:t>
            </w:r>
            <w:r>
              <w:rPr>
                <w:rFonts w:hint="eastAsia" w:ascii="宋体" w:hAnsi="宋体"/>
                <w:b/>
                <w:bCs/>
                <w:color w:val="auto"/>
                <w:sz w:val="24"/>
              </w:rPr>
              <w:t>日1</w:t>
            </w:r>
            <w:r>
              <w:rPr>
                <w:rFonts w:hint="eastAsia" w:ascii="宋体" w:hAnsi="宋体"/>
                <w:b/>
                <w:bCs/>
                <w:color w:val="auto"/>
                <w:sz w:val="24"/>
                <w:lang w:val="en-US" w:eastAsia="zh-CN"/>
              </w:rPr>
              <w:t>0</w:t>
            </w:r>
            <w:r>
              <w:rPr>
                <w:rFonts w:hint="eastAsia" w:ascii="宋体" w:hAnsi="宋体"/>
                <w:b/>
                <w:bCs/>
                <w:color w:val="auto"/>
                <w:sz w:val="24"/>
              </w:rPr>
              <w:t>点</w:t>
            </w:r>
            <w:r>
              <w:rPr>
                <w:rFonts w:hint="eastAsia" w:ascii="宋体" w:hAnsi="宋体"/>
                <w:b/>
                <w:bCs/>
                <w:color w:val="auto"/>
                <w:sz w:val="24"/>
                <w:lang w:val="en-US" w:eastAsia="zh-CN"/>
              </w:rPr>
              <w:t>3</w:t>
            </w:r>
            <w:r>
              <w:rPr>
                <w:rFonts w:hint="eastAsia" w:ascii="宋体" w:hAnsi="宋体"/>
                <w:b/>
                <w:bCs/>
                <w:color w:val="auto"/>
                <w:sz w:val="24"/>
              </w:rPr>
              <w:t>0分（北京时间）</w:t>
            </w:r>
          </w:p>
          <w:p>
            <w:pPr>
              <w:tabs>
                <w:tab w:val="left" w:pos="400"/>
              </w:tabs>
              <w:spacing w:line="276" w:lineRule="auto"/>
              <w:textAlignment w:val="baseline"/>
              <w:rPr>
                <w:rFonts w:ascii="宋体" w:hAnsi="宋体"/>
                <w:sz w:val="24"/>
              </w:rPr>
            </w:pPr>
            <w:r>
              <w:rPr>
                <w:rFonts w:hint="eastAsia" w:ascii="宋体" w:hAnsi="宋体"/>
                <w:b/>
                <w:sz w:val="24"/>
              </w:rPr>
              <w:t xml:space="preserve">开标地点：政采云一站式政府采购云平台  </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24</w:t>
            </w:r>
          </w:p>
        </w:tc>
        <w:tc>
          <w:tcPr>
            <w:tcW w:w="8782" w:type="dxa"/>
            <w:vAlign w:val="center"/>
          </w:tcPr>
          <w:p>
            <w:pPr>
              <w:spacing w:line="400" w:lineRule="exact"/>
              <w:rPr>
                <w:rFonts w:ascii="宋体" w:hAnsi="宋体"/>
                <w:sz w:val="24"/>
              </w:rPr>
            </w:pPr>
            <w:r>
              <w:rPr>
                <w:rFonts w:hint="eastAsia"/>
                <w:b/>
                <w:sz w:val="24"/>
              </w:rPr>
              <w:t xml:space="preserve">履约保证金： </w:t>
            </w:r>
            <w:r>
              <w:rPr>
                <w:rFonts w:hint="eastAsia" w:ascii="宋体" w:hAnsi="宋体"/>
                <w:sz w:val="24"/>
              </w:rPr>
              <w:t>无</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400" w:lineRule="exact"/>
              <w:rPr>
                <w:rFonts w:ascii="宋体" w:hAnsi="宋体"/>
                <w:sz w:val="24"/>
              </w:rPr>
            </w:pPr>
            <w:r>
              <w:rPr>
                <w:rFonts w:hint="eastAsia" w:ascii="宋体" w:hAnsi="宋体"/>
                <w:sz w:val="24"/>
              </w:rPr>
              <w:t>25</w:t>
            </w:r>
          </w:p>
        </w:tc>
        <w:tc>
          <w:tcPr>
            <w:tcW w:w="8782" w:type="dxa"/>
            <w:vAlign w:val="center"/>
          </w:tcPr>
          <w:p>
            <w:pPr>
              <w:spacing w:line="400" w:lineRule="exact"/>
              <w:rPr>
                <w:rFonts w:ascii="宋体" w:hAnsi="宋体"/>
                <w:sz w:val="24"/>
              </w:rPr>
            </w:pPr>
            <w:r>
              <w:rPr>
                <w:rFonts w:hint="eastAsia" w:ascii="宋体" w:hAnsi="宋体"/>
                <w:b/>
                <w:bCs/>
                <w:sz w:val="24"/>
              </w:rPr>
              <w:t>磋商响应文件的上传和递交</w:t>
            </w:r>
            <w:r>
              <w:rPr>
                <w:rFonts w:hint="eastAsia" w:ascii="宋体" w:hAnsi="宋体"/>
                <w:sz w:val="24"/>
              </w:rPr>
              <w:t>：</w:t>
            </w:r>
          </w:p>
          <w:p>
            <w:pPr>
              <w:spacing w:line="400" w:lineRule="exact"/>
              <w:rPr>
                <w:rFonts w:hint="eastAsia" w:ascii="宋体" w:hAnsi="宋体"/>
                <w:sz w:val="24"/>
                <w:lang w:val="en-US" w:eastAsia="zh-CN"/>
              </w:rPr>
            </w:pPr>
            <w:r>
              <w:rPr>
                <w:rFonts w:hint="eastAsia" w:ascii="宋体" w:hAnsi="宋体"/>
                <w:sz w:val="24"/>
                <w:lang w:val="en-US" w:eastAsia="zh-CN"/>
              </w:rPr>
              <w:t>（1）“电子加密磋商响应文件”的上传、递交：</w:t>
            </w:r>
          </w:p>
          <w:p>
            <w:pPr>
              <w:spacing w:line="400" w:lineRule="exact"/>
              <w:rPr>
                <w:rFonts w:hint="eastAsia" w:ascii="宋体" w:hAnsi="宋体"/>
                <w:sz w:val="24"/>
                <w:lang w:val="en-US" w:eastAsia="zh-CN"/>
              </w:rPr>
            </w:pPr>
            <w:r>
              <w:rPr>
                <w:rFonts w:hint="eastAsia" w:ascii="宋体" w:hAnsi="宋体"/>
                <w:sz w:val="24"/>
                <w:lang w:val="en-US" w:eastAsia="zh-CN"/>
              </w:rPr>
              <w:t>a.投标供应商应在投标截止时间前将“电子加密磋商响应文件”成功上传递交至“政府采购云平台”，否则投标无效。</w:t>
            </w:r>
          </w:p>
          <w:p>
            <w:pPr>
              <w:spacing w:line="400" w:lineRule="exact"/>
              <w:rPr>
                <w:rFonts w:hint="eastAsia" w:ascii="宋体" w:hAnsi="宋体"/>
                <w:sz w:val="24"/>
                <w:lang w:val="en-US" w:eastAsia="zh-CN"/>
              </w:rPr>
            </w:pPr>
            <w:r>
              <w:rPr>
                <w:rFonts w:hint="eastAsia" w:ascii="宋体" w:hAnsi="宋体"/>
                <w:sz w:val="24"/>
                <w:lang w:val="en-US" w:eastAsia="zh-CN"/>
              </w:rPr>
              <w:t>b.“电子加密磋商响应文件”成功上传递交后，供应商可自行打印投标文件接收回执。</w:t>
            </w:r>
          </w:p>
          <w:p>
            <w:pPr>
              <w:spacing w:line="400" w:lineRule="exact"/>
              <w:rPr>
                <w:rFonts w:ascii="宋体" w:hAnsi="宋体"/>
                <w:sz w:val="24"/>
              </w:rPr>
            </w:pPr>
            <w:r>
              <w:rPr>
                <w:rFonts w:hint="eastAsia" w:ascii="宋体" w:hAnsi="宋体"/>
                <w:sz w:val="24"/>
                <w:lang w:val="en-US" w:eastAsia="zh-CN"/>
              </w:rPr>
              <w:t>c.通过“政府采购云平台”成功上传递交的“电子加密磋商响应文件”已按时解密的，“备份磋商响应文件”自动失效。投标截止时间前，投标供应商仅递交了“备份磋商响应文件”而未将“电子加密磋商响应文件”成功上传至“政府采购云平台”的，投标无效。</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26</w:t>
            </w:r>
          </w:p>
        </w:tc>
        <w:tc>
          <w:tcPr>
            <w:tcW w:w="8782" w:type="dxa"/>
            <w:vAlign w:val="center"/>
          </w:tcPr>
          <w:p>
            <w:pPr>
              <w:spacing w:line="400" w:lineRule="exact"/>
              <w:rPr>
                <w:rFonts w:ascii="宋体" w:hAnsi="宋体"/>
                <w:b/>
                <w:sz w:val="24"/>
              </w:rPr>
            </w:pPr>
            <w:r>
              <w:rPr>
                <w:rFonts w:hint="eastAsia" w:ascii="宋体" w:hAnsi="宋体"/>
                <w:b/>
                <w:sz w:val="24"/>
                <w:lang w:val="zh-CN"/>
              </w:rPr>
              <w:t>中标成交结果公告：</w:t>
            </w:r>
            <w:r>
              <w:rPr>
                <w:rFonts w:hint="eastAsia" w:ascii="宋体" w:hAnsi="宋体"/>
                <w:sz w:val="24"/>
              </w:rPr>
              <w:t>成交结果公告在新疆政府采购网予以公告，公告期不少于1个工作日。</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27</w:t>
            </w:r>
          </w:p>
        </w:tc>
        <w:tc>
          <w:tcPr>
            <w:tcW w:w="8782" w:type="dxa"/>
            <w:vAlign w:val="center"/>
          </w:tcPr>
          <w:p>
            <w:pPr>
              <w:spacing w:line="400" w:lineRule="exact"/>
              <w:rPr>
                <w:rFonts w:ascii="宋体" w:hAnsi="宋体"/>
                <w:sz w:val="24"/>
              </w:rPr>
            </w:pPr>
            <w:r>
              <w:rPr>
                <w:rFonts w:hint="eastAsia" w:ascii="宋体" w:hAnsi="宋体"/>
                <w:b/>
                <w:sz w:val="24"/>
                <w:lang w:val="zh-CN"/>
              </w:rPr>
              <w:t>相关费用：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1、代理服务费：本次招标收取招标代理服务费由中标单位支付，费用按国家计委【2002】1980号文件和发改价格【2015】299号文件标准计费；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2、公证费：本次中标单位须按《新价非字【1998】50号文件》向公证处缴纳公证费（具体收费标准可咨询当地公证处）。</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3、场地费：交易中心严格按照新发改服价【2020】578号文收取场地及设施服务费，收费标准为：各地建设工程交易中心向投标企业收取的场地及设施服务费单个招投标项目最高不得超过6000元。投标企业少于6家（含6家）的按每个投标企业每次1000元收取；投标企业超过6家的，按单个招投标项目6000元由投标企业平均分摊。</w:t>
            </w:r>
          </w:p>
          <w:p>
            <w:pPr>
              <w:spacing w:line="400" w:lineRule="exact"/>
              <w:rPr>
                <w:rFonts w:ascii="宋体" w:hAnsi="宋体"/>
                <w:sz w:val="24"/>
              </w:rPr>
            </w:pPr>
            <w:r>
              <w:rPr>
                <w:rFonts w:hint="eastAsia" w:ascii="宋体" w:hAnsi="宋体"/>
                <w:color w:val="auto"/>
                <w:sz w:val="24"/>
                <w:highlight w:val="none"/>
                <w:lang w:val="en-US" w:eastAsia="zh-CN"/>
              </w:rPr>
              <w:t>投标人拒绝支付场地服务费的，将拒绝其投标。不见面开标投标人不需要到场，场地及设施服务费由招标代理公司代收，各投标单位将开票信息在缴纳场地费时发至招标代理公司。</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28</w:t>
            </w:r>
          </w:p>
        </w:tc>
        <w:tc>
          <w:tcPr>
            <w:tcW w:w="8782" w:type="dxa"/>
            <w:vAlign w:val="center"/>
          </w:tcPr>
          <w:p>
            <w:pPr>
              <w:spacing w:line="400" w:lineRule="exact"/>
              <w:rPr>
                <w:rFonts w:ascii="宋体" w:hAnsi="宋体"/>
                <w:b/>
                <w:sz w:val="24"/>
                <w:lang w:val="zh-CN"/>
              </w:rPr>
            </w:pPr>
            <w:r>
              <w:rPr>
                <w:rFonts w:hint="eastAsia" w:ascii="宋体" w:hAnsi="宋体"/>
                <w:b/>
                <w:sz w:val="24"/>
                <w:lang w:val="zh-CN" w:eastAsia="zh-CN"/>
              </w:rPr>
              <w:t>声明：</w:t>
            </w:r>
            <w:r>
              <w:rPr>
                <w:rFonts w:hint="eastAsia" w:ascii="宋体" w:hAnsi="宋体"/>
                <w:b/>
                <w:sz w:val="24"/>
                <w:lang w:val="en-US" w:eastAsia="zh-CN"/>
              </w:rPr>
              <w:t>中标单位响应文件作为合同附件，</w:t>
            </w:r>
            <w:r>
              <w:rPr>
                <w:rFonts w:hint="eastAsia" w:ascii="宋体" w:hAnsi="宋体"/>
                <w:b/>
                <w:sz w:val="24"/>
                <w:lang w:val="zh-CN" w:eastAsia="zh-CN"/>
              </w:rPr>
              <w:t>如发现承诺多兑现少</w:t>
            </w:r>
            <w:r>
              <w:rPr>
                <w:rFonts w:hint="eastAsia" w:ascii="宋体" w:hAnsi="宋体"/>
                <w:b/>
                <w:sz w:val="24"/>
                <w:lang w:val="en-US" w:eastAsia="zh-CN"/>
              </w:rPr>
              <w:t>或未在规定的时间内与业主方签订合同，</w:t>
            </w:r>
            <w:r>
              <w:rPr>
                <w:rFonts w:hint="eastAsia" w:ascii="宋体" w:hAnsi="宋体"/>
                <w:b/>
                <w:sz w:val="24"/>
                <w:lang w:val="zh-CN" w:eastAsia="zh-CN"/>
              </w:rPr>
              <w:t>合同期内不能严格履行合同，将追究其法律，经济责任。</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29</w:t>
            </w:r>
          </w:p>
        </w:tc>
        <w:tc>
          <w:tcPr>
            <w:tcW w:w="8782" w:type="dxa"/>
            <w:vAlign w:val="center"/>
          </w:tcPr>
          <w:p>
            <w:pPr>
              <w:spacing w:line="400" w:lineRule="exact"/>
              <w:rPr>
                <w:rFonts w:ascii="宋体" w:hAnsi="宋体"/>
                <w:sz w:val="24"/>
              </w:rPr>
            </w:pPr>
            <w:r>
              <w:rPr>
                <w:rFonts w:hint="eastAsia" w:ascii="宋体" w:hAnsi="宋体"/>
                <w:sz w:val="24"/>
              </w:rPr>
              <w:t>响应文件应按第五章“响应文件格式”进行编写，如有必要，可以增加附页，作为响应文件的组成部分。</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bookmarkStart w:id="9" w:name="_Toc13424"/>
            <w:bookmarkStart w:id="10" w:name="_Toc16893"/>
            <w:r>
              <w:rPr>
                <w:rFonts w:hint="eastAsia" w:ascii="宋体" w:hAnsi="宋体"/>
                <w:sz w:val="24"/>
              </w:rPr>
              <w:t>30</w:t>
            </w:r>
          </w:p>
        </w:tc>
        <w:tc>
          <w:tcPr>
            <w:tcW w:w="8782" w:type="dxa"/>
            <w:vAlign w:val="center"/>
          </w:tcPr>
          <w:p>
            <w:pPr>
              <w:pStyle w:val="24"/>
              <w:jc w:val="both"/>
              <w:rPr>
                <w:rFonts w:hint="eastAsia" w:ascii="宋体" w:hAnsi="宋体" w:eastAsia="宋体" w:cs="Times New Roman"/>
                <w:b/>
                <w:bCs/>
                <w:kern w:val="2"/>
                <w:sz w:val="24"/>
                <w:szCs w:val="24"/>
                <w:lang w:val="en-US" w:eastAsia="zh-CN" w:bidi="ar-SA"/>
              </w:rPr>
            </w:pPr>
            <w:r>
              <w:rPr>
                <w:rFonts w:hint="eastAsia" w:ascii="宋体" w:hAnsi="宋体" w:eastAsia="宋体" w:cs="Times New Roman"/>
                <w:b/>
                <w:bCs/>
                <w:kern w:val="2"/>
                <w:sz w:val="24"/>
                <w:szCs w:val="24"/>
                <w:lang w:val="en-US" w:eastAsia="zh-CN" w:bidi="ar-SA"/>
              </w:rPr>
              <w:t>低价不正当竞争预防措施（实质性要求）：</w:t>
            </w:r>
          </w:p>
          <w:p>
            <w:pPr>
              <w:numPr>
                <w:ilvl w:val="0"/>
                <w:numId w:val="0"/>
              </w:numPr>
              <w:spacing w:line="360" w:lineRule="auto"/>
              <w:ind w:firstLine="480" w:firstLineChars="200"/>
              <w:rPr>
                <w:rFonts w:hint="eastAsia" w:ascii="宋体" w:hAnsi="宋体" w:eastAsia="宋体" w:cs="Times New Roman"/>
                <w:b w:val="0"/>
                <w:bCs w:val="0"/>
                <w:sz w:val="24"/>
                <w:lang w:val="en-US" w:eastAsia="zh-CN"/>
              </w:rPr>
            </w:pPr>
            <w:r>
              <w:rPr>
                <w:rFonts w:hint="eastAsia" w:ascii="宋体" w:hAnsi="宋体" w:eastAsia="宋体" w:cs="Times New Roman"/>
                <w:b w:val="0"/>
                <w:bCs w:val="0"/>
                <w:sz w:val="24"/>
                <w:lang w:val="en-US" w:eastAsia="zh-CN"/>
              </w:rPr>
              <w:t>根据“财政部 87 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w:t>
            </w:r>
          </w:p>
          <w:p>
            <w:pPr>
              <w:numPr>
                <w:ilvl w:val="0"/>
                <w:numId w:val="0"/>
              </w:numPr>
              <w:spacing w:line="360" w:lineRule="auto"/>
              <w:rPr>
                <w:rFonts w:ascii="宋体" w:hAnsi="宋体"/>
                <w:sz w:val="24"/>
              </w:rPr>
            </w:pPr>
            <w:r>
              <w:rPr>
                <w:rFonts w:hint="eastAsia" w:ascii="宋体" w:hAnsi="宋体" w:eastAsia="宋体" w:cs="Times New Roman"/>
                <w:b/>
                <w:bCs/>
                <w:sz w:val="24"/>
                <w:lang w:val="en-US" w:eastAsia="zh-CN"/>
              </w:rPr>
              <w:t>供应商拒绝或者变相拒绝提供有效书面说明或者书面说明不能证明其报价合理性的或未在规定时间内递交有效书面说明书的，评标委员会应当将其响应文件作为无效处理。</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1" w:type="dxa"/>
            <w:vAlign w:val="center"/>
          </w:tcPr>
          <w:p>
            <w:pPr>
              <w:spacing w:line="276" w:lineRule="auto"/>
              <w:jc w:val="center"/>
              <w:textAlignment w:val="baseline"/>
              <w:rPr>
                <w:rFonts w:ascii="宋体" w:hAnsi="宋体"/>
                <w:sz w:val="24"/>
              </w:rPr>
            </w:pPr>
            <w:r>
              <w:rPr>
                <w:rFonts w:hint="eastAsia" w:ascii="宋体" w:hAnsi="宋体"/>
                <w:sz w:val="24"/>
              </w:rPr>
              <w:t>31</w:t>
            </w:r>
          </w:p>
        </w:tc>
        <w:tc>
          <w:tcPr>
            <w:tcW w:w="8782" w:type="dxa"/>
            <w:vAlign w:val="center"/>
          </w:tcPr>
          <w:p>
            <w:pPr>
              <w:spacing w:line="400" w:lineRule="exact"/>
              <w:rPr>
                <w:rFonts w:ascii="宋体" w:hAnsi="宋体"/>
                <w:sz w:val="24"/>
              </w:rPr>
            </w:pPr>
            <w:r>
              <w:rPr>
                <w:rFonts w:hint="eastAsia" w:ascii="宋体" w:hAnsi="宋体"/>
                <w:b/>
                <w:bCs/>
                <w:sz w:val="24"/>
              </w:rPr>
              <w:t>电子加密磋商响应文件的解密和异常情况处理：</w:t>
            </w:r>
          </w:p>
          <w:p>
            <w:pPr>
              <w:spacing w:line="400" w:lineRule="exact"/>
              <w:rPr>
                <w:rFonts w:ascii="宋体" w:hAnsi="宋体"/>
                <w:sz w:val="24"/>
              </w:rPr>
            </w:pPr>
            <w:r>
              <w:rPr>
                <w:rFonts w:hint="eastAsia" w:ascii="宋体" w:hAnsi="宋体"/>
                <w:sz w:val="24"/>
              </w:rPr>
              <w:t>（1）开标后，采购代理机构将向各磋商供应商发出“电子加密磋商响应文件”的解密通知，各磋商供应商代表应当在接到解密通知后30分钟内自行完成“电子加密磋商响应文件”的在线解密。</w:t>
            </w:r>
          </w:p>
          <w:p>
            <w:pPr>
              <w:spacing w:line="400" w:lineRule="exact"/>
              <w:rPr>
                <w:rFonts w:ascii="宋体" w:hAnsi="宋体"/>
                <w:sz w:val="24"/>
              </w:rPr>
            </w:pPr>
            <w:r>
              <w:rPr>
                <w:rFonts w:hint="eastAsia" w:ascii="宋体" w:hAnsi="宋体"/>
                <w:sz w:val="24"/>
              </w:rPr>
              <w:t>（2）通过“政府采购云平台”成功上传递交的“电子加密磋商响应文件”无法按时解密（磋商供应商已进行解密操作但未完成解密），磋商供应商如按规定递交了“备份磋商响应文件”的，以“备份磋商响应文件”为依据（由采购代理机构按“政府采购云平台”操作规范将“备份磋商响应文件”上传至“政府采购云平台”，上传成功后，“电子加密磋商响应文件”自动失效），否则视为磋商响应文件撤回。</w:t>
            </w:r>
          </w:p>
          <w:p>
            <w:pPr>
              <w:spacing w:line="400" w:lineRule="exact"/>
              <w:rPr>
                <w:rFonts w:ascii="宋体" w:hAnsi="宋体"/>
                <w:sz w:val="24"/>
              </w:rPr>
            </w:pPr>
            <w:r>
              <w:rPr>
                <w:rFonts w:hint="eastAsia" w:ascii="宋体" w:hAnsi="宋体"/>
                <w:sz w:val="24"/>
              </w:rPr>
              <w:t>（3）磋商响应截止时间前，磋商供应商仅递交了“备份磋商响应文件”而未将电子加密磋商响应文件上传至“政府采购云平台”的，磋商响应无效。</w:t>
            </w:r>
          </w:p>
        </w:tc>
      </w:tr>
    </w:tbl>
    <w:p>
      <w:pPr>
        <w:pStyle w:val="4"/>
        <w:adjustRightInd/>
        <w:spacing w:before="120" w:after="120"/>
        <w:textAlignment w:val="auto"/>
      </w:pPr>
      <w:r>
        <w:rPr>
          <w:rFonts w:hint="eastAsia"/>
        </w:rPr>
        <w:t>（二）供应商须知</w:t>
      </w:r>
      <w:bookmarkEnd w:id="7"/>
      <w:bookmarkEnd w:id="8"/>
      <w:bookmarkEnd w:id="9"/>
      <w:bookmarkEnd w:id="10"/>
    </w:p>
    <w:p>
      <w:pPr>
        <w:pStyle w:val="5"/>
        <w:spacing w:before="0"/>
        <w:rPr>
          <w:rFonts w:ascii="宋体" w:hAnsi="宋体"/>
          <w:sz w:val="24"/>
        </w:rPr>
      </w:pPr>
      <w:bookmarkStart w:id="11" w:name="_Toc485912303"/>
      <w:r>
        <w:rPr>
          <w:rFonts w:hint="eastAsia" w:ascii="宋体" w:hAnsi="宋体"/>
          <w:sz w:val="24"/>
        </w:rPr>
        <w:t>1.定义、</w:t>
      </w:r>
      <w:bookmarkEnd w:id="11"/>
      <w:r>
        <w:rPr>
          <w:rFonts w:hint="eastAsia" w:ascii="宋体" w:hAnsi="宋体"/>
          <w:sz w:val="24"/>
        </w:rPr>
        <w:t xml:space="preserve"> </w:t>
      </w:r>
    </w:p>
    <w:p>
      <w:pPr>
        <w:spacing w:line="360" w:lineRule="auto"/>
        <w:ind w:firstLine="480" w:firstLineChars="200"/>
        <w:rPr>
          <w:rFonts w:ascii="宋体" w:hAnsi="宋体"/>
          <w:bCs/>
          <w:sz w:val="24"/>
        </w:rPr>
      </w:pPr>
      <w:r>
        <w:rPr>
          <w:rFonts w:hint="eastAsia" w:ascii="宋体" w:hAnsi="宋体"/>
          <w:bCs/>
          <w:sz w:val="24"/>
        </w:rPr>
        <w:t>1.1“政府采购当事人”系指在政府采购活动中享有权利和 承担义务的各类主体，包括采购人、供应商和采购代理机构。</w:t>
      </w:r>
    </w:p>
    <w:p>
      <w:pPr>
        <w:spacing w:line="360" w:lineRule="auto"/>
        <w:ind w:firstLine="480" w:firstLineChars="200"/>
        <w:rPr>
          <w:rFonts w:hint="eastAsia" w:ascii="宋体" w:hAnsi="宋体" w:eastAsia="宋体"/>
          <w:bCs/>
          <w:sz w:val="24"/>
          <w:u w:val="single"/>
          <w:lang w:eastAsia="zh-CN"/>
        </w:rPr>
      </w:pPr>
      <w:r>
        <w:rPr>
          <w:rFonts w:hint="eastAsia" w:ascii="宋体" w:hAnsi="宋体"/>
          <w:bCs/>
          <w:sz w:val="24"/>
        </w:rPr>
        <w:t>1.2“采购人”和“甲方”系指</w:t>
      </w:r>
      <w:r>
        <w:rPr>
          <w:rFonts w:hint="eastAsia" w:ascii="宋体" w:hAnsi="宋体"/>
          <w:bCs/>
          <w:sz w:val="24"/>
          <w:u w:val="single"/>
          <w:lang w:eastAsia="zh-CN"/>
        </w:rPr>
        <w:t>阿克苏地区检验检测中心</w:t>
      </w:r>
    </w:p>
    <w:p>
      <w:pPr>
        <w:spacing w:line="360" w:lineRule="auto"/>
        <w:ind w:firstLine="480" w:firstLineChars="200"/>
        <w:rPr>
          <w:rFonts w:ascii="宋体" w:hAnsi="宋体"/>
          <w:bCs/>
          <w:sz w:val="24"/>
          <w:u w:val="single"/>
        </w:rPr>
      </w:pPr>
      <w:r>
        <w:rPr>
          <w:rFonts w:hint="eastAsia" w:ascii="宋体" w:hAnsi="宋体"/>
          <w:bCs/>
          <w:sz w:val="24"/>
        </w:rPr>
        <w:t>。</w:t>
      </w:r>
    </w:p>
    <w:p>
      <w:pPr>
        <w:spacing w:line="360" w:lineRule="auto"/>
        <w:ind w:firstLine="480" w:firstLineChars="200"/>
        <w:rPr>
          <w:rFonts w:ascii="宋体" w:hAnsi="宋体"/>
          <w:bCs/>
          <w:sz w:val="24"/>
        </w:rPr>
      </w:pPr>
      <w:r>
        <w:rPr>
          <w:rFonts w:hint="eastAsia" w:ascii="宋体" w:hAnsi="宋体"/>
          <w:bCs/>
          <w:sz w:val="24"/>
        </w:rPr>
        <w:t>1.3“采购代理机构”系指</w:t>
      </w:r>
      <w:r>
        <w:rPr>
          <w:rFonts w:hint="eastAsia" w:ascii="宋体" w:hAnsi="宋体"/>
          <w:bCs/>
          <w:sz w:val="24"/>
          <w:u w:val="single"/>
          <w:lang w:eastAsia="zh-CN"/>
        </w:rPr>
        <w:t>众赢国际咨询有限责任公司</w:t>
      </w:r>
      <w:r>
        <w:rPr>
          <w:rFonts w:hint="eastAsia" w:ascii="宋体" w:hAnsi="宋体"/>
          <w:bCs/>
          <w:sz w:val="24"/>
        </w:rPr>
        <w:t>。</w:t>
      </w:r>
    </w:p>
    <w:p>
      <w:pPr>
        <w:spacing w:line="360" w:lineRule="auto"/>
        <w:ind w:firstLine="480" w:firstLineChars="200"/>
        <w:rPr>
          <w:rFonts w:ascii="宋体" w:hAnsi="宋体"/>
          <w:bCs/>
          <w:sz w:val="24"/>
        </w:rPr>
      </w:pPr>
      <w:r>
        <w:rPr>
          <w:rFonts w:hint="eastAsia" w:ascii="宋体" w:hAnsi="宋体"/>
          <w:bCs/>
          <w:sz w:val="24"/>
        </w:rPr>
        <w:t>1.4“供应商”系指</w:t>
      </w:r>
      <w:r>
        <w:rPr>
          <w:rFonts w:hint="eastAsia" w:ascii="宋体" w:hAnsi="宋体"/>
          <w:sz w:val="24"/>
        </w:rPr>
        <w:t>向指获取了采购文件拟参加投标和向采购人提供工程、货物及相应服务的供应商</w:t>
      </w:r>
      <w:r>
        <w:rPr>
          <w:rFonts w:hint="eastAsia" w:ascii="宋体" w:hAnsi="宋体"/>
          <w:bCs/>
          <w:sz w:val="24"/>
        </w:rPr>
        <w:t>。</w:t>
      </w:r>
    </w:p>
    <w:p>
      <w:pPr>
        <w:spacing w:line="360" w:lineRule="auto"/>
        <w:ind w:firstLine="480" w:firstLineChars="200"/>
        <w:rPr>
          <w:rFonts w:ascii="宋体" w:hAnsi="宋体"/>
          <w:bCs/>
          <w:sz w:val="24"/>
        </w:rPr>
      </w:pPr>
      <w:r>
        <w:rPr>
          <w:rFonts w:hint="eastAsia" w:ascii="宋体" w:hAnsi="宋体"/>
          <w:bCs/>
          <w:sz w:val="24"/>
        </w:rPr>
        <w:t xml:space="preserve">1.5“磋商文件或采购文件”系指由采购人发出的文本、文件，包括全部章节和附件及答疑会议纪要。 </w:t>
      </w:r>
    </w:p>
    <w:p>
      <w:pPr>
        <w:spacing w:line="360" w:lineRule="auto"/>
        <w:ind w:firstLine="480" w:firstLineChars="200"/>
        <w:rPr>
          <w:rFonts w:ascii="宋体" w:hAnsi="宋体"/>
          <w:bCs/>
          <w:sz w:val="24"/>
        </w:rPr>
      </w:pPr>
      <w:r>
        <w:rPr>
          <w:rFonts w:hint="eastAsia" w:ascii="宋体" w:hAnsi="宋体"/>
          <w:bCs/>
          <w:sz w:val="24"/>
        </w:rPr>
        <w:t>1.6“磋商响应文件”系指供应商根据本磋商文件向采购人提交的全部文件。</w:t>
      </w:r>
    </w:p>
    <w:p>
      <w:pPr>
        <w:spacing w:line="360" w:lineRule="auto"/>
        <w:ind w:firstLine="480" w:firstLineChars="200"/>
        <w:rPr>
          <w:rFonts w:ascii="宋体" w:hAnsi="宋体"/>
          <w:bCs/>
          <w:sz w:val="24"/>
        </w:rPr>
      </w:pPr>
      <w:r>
        <w:rPr>
          <w:rFonts w:hint="eastAsia" w:ascii="宋体" w:hAnsi="宋体"/>
          <w:bCs/>
          <w:sz w:val="24"/>
        </w:rPr>
        <w:t>1.7“采购文件”系指包括采购活动的记录、采购预算、磋商文件、磋商响应文件、评标标准、评标报告、定标文件、合同文本、验收证明、质疑答复、投诉处理决定及其他有关文件、资料。</w:t>
      </w:r>
    </w:p>
    <w:p>
      <w:pPr>
        <w:spacing w:line="360" w:lineRule="auto"/>
        <w:ind w:firstLine="480" w:firstLineChars="200"/>
        <w:rPr>
          <w:rFonts w:ascii="宋体" w:hAnsi="宋体"/>
          <w:bCs/>
          <w:sz w:val="24"/>
        </w:rPr>
      </w:pPr>
      <w:r>
        <w:rPr>
          <w:rFonts w:hint="eastAsia" w:ascii="宋体" w:hAnsi="宋体"/>
          <w:bCs/>
          <w:sz w:val="24"/>
        </w:rPr>
        <w:t>1.8“书面形式”系指任</w:t>
      </w:r>
      <w:bookmarkStart w:id="12" w:name="_Toc91029993"/>
      <w:bookmarkStart w:id="13" w:name="_Toc91477243"/>
      <w:bookmarkStart w:id="14" w:name="_Toc274816705"/>
      <w:bookmarkStart w:id="15" w:name="_Toc229198016"/>
      <w:bookmarkStart w:id="16" w:name="_Toc89586883"/>
      <w:bookmarkStart w:id="17" w:name="_Toc89058522"/>
      <w:bookmarkStart w:id="18" w:name="_Toc139343527"/>
      <w:bookmarkStart w:id="19" w:name="_Toc469850042"/>
      <w:r>
        <w:rPr>
          <w:rFonts w:hint="eastAsia" w:ascii="宋体" w:hAnsi="宋体"/>
          <w:bCs/>
          <w:sz w:val="24"/>
        </w:rPr>
        <w:t>何手写、打印或印刷的各种函件，不包括电传、电报、传真、电子邮件。</w:t>
      </w:r>
    </w:p>
    <w:p>
      <w:pPr>
        <w:adjustRightInd w:val="0"/>
        <w:snapToGrid w:val="0"/>
        <w:spacing w:line="360" w:lineRule="auto"/>
        <w:ind w:firstLine="480" w:firstLineChars="200"/>
        <w:rPr>
          <w:rFonts w:ascii="宋体" w:hAnsi="宋体"/>
          <w:bCs/>
          <w:sz w:val="24"/>
        </w:rPr>
      </w:pPr>
      <w:r>
        <w:rPr>
          <w:rFonts w:hint="eastAsia" w:ascii="宋体" w:hAnsi="宋体"/>
          <w:bCs/>
          <w:sz w:val="24"/>
        </w:rPr>
        <w:t>1.9“货物”系指各种形态和种类的物品，包括原材料、燃料、设备、产品等，详见《政府采购品目分类目录》(财库[2013]189号)。</w:t>
      </w:r>
    </w:p>
    <w:p>
      <w:pPr>
        <w:adjustRightInd w:val="0"/>
        <w:snapToGrid w:val="0"/>
        <w:spacing w:line="360" w:lineRule="auto"/>
        <w:ind w:firstLine="480" w:firstLineChars="200"/>
        <w:rPr>
          <w:rFonts w:ascii="宋体" w:hAnsi="宋体"/>
          <w:bCs/>
          <w:sz w:val="24"/>
        </w:rPr>
      </w:pPr>
      <w:r>
        <w:rPr>
          <w:rFonts w:hint="eastAsia" w:ascii="宋体" w:hAnsi="宋体"/>
          <w:bCs/>
          <w:sz w:val="24"/>
        </w:rPr>
        <w:t>1.10“服务”系指供应商中标后根据《磋商文件》和合同的规定承担与供货、安装有关的服务，包括运输、仓储、保险以及其它的伴随服务，如售后、维修、更换和应承担的其它义务,</w:t>
      </w:r>
      <w:r>
        <w:rPr>
          <w:rFonts w:hint="eastAsia"/>
        </w:rPr>
        <w:t xml:space="preserve"> </w:t>
      </w:r>
      <w:r>
        <w:rPr>
          <w:rFonts w:hint="eastAsia" w:ascii="宋体" w:hAnsi="宋体"/>
          <w:bCs/>
          <w:sz w:val="24"/>
        </w:rPr>
        <w:t>详见《政府采购品目分类目录》(财库[2013]189号)。</w:t>
      </w:r>
    </w:p>
    <w:p>
      <w:pPr>
        <w:adjustRightInd w:val="0"/>
        <w:snapToGrid w:val="0"/>
        <w:spacing w:line="360" w:lineRule="auto"/>
        <w:ind w:firstLine="480" w:firstLineChars="200"/>
        <w:rPr>
          <w:rFonts w:ascii="宋体" w:hAnsi="宋体"/>
          <w:bCs/>
          <w:sz w:val="24"/>
        </w:rPr>
      </w:pPr>
      <w:r>
        <w:rPr>
          <w:rFonts w:hint="eastAsia" w:ascii="宋体" w:hAnsi="宋体"/>
          <w:bCs/>
          <w:sz w:val="24"/>
        </w:rPr>
        <w:t>1.11“节能产品”是指列入财政部、发展改革委发布的《节能产品政府采购清单》（以下简称节能清单）内所列型号的产品。</w:t>
      </w:r>
    </w:p>
    <w:p>
      <w:pPr>
        <w:adjustRightInd w:val="0"/>
        <w:snapToGrid w:val="0"/>
        <w:spacing w:line="360" w:lineRule="auto"/>
        <w:ind w:firstLine="480" w:firstLineChars="200"/>
        <w:rPr>
          <w:rFonts w:ascii="宋体" w:hAnsi="宋体"/>
          <w:bCs/>
          <w:sz w:val="24"/>
        </w:rPr>
      </w:pPr>
      <w:r>
        <w:rPr>
          <w:rFonts w:hint="eastAsia" w:ascii="宋体" w:hAnsi="宋体"/>
          <w:bCs/>
          <w:sz w:val="24"/>
        </w:rPr>
        <w:t>1.12“环境标志产品”是指列入财政部、国家环境保护总局公布的《环境标志产品政府采购清单》（以下简称环保清单）内所列型号的产品。</w:t>
      </w:r>
    </w:p>
    <w:p>
      <w:pPr>
        <w:adjustRightInd w:val="0"/>
        <w:snapToGrid w:val="0"/>
        <w:spacing w:line="360" w:lineRule="auto"/>
        <w:ind w:firstLine="480" w:firstLineChars="200"/>
        <w:rPr>
          <w:rFonts w:ascii="宋体" w:hAnsi="宋体"/>
          <w:bCs/>
          <w:sz w:val="24"/>
        </w:rPr>
      </w:pPr>
      <w:r>
        <w:rPr>
          <w:rFonts w:hint="eastAsia" w:ascii="宋体" w:hAnsi="宋体"/>
          <w:bCs/>
          <w:sz w:val="24"/>
        </w:rPr>
        <w:t>1.13“进口产品”是指通过中国海关报关验放进入中国境内且产自关境外的产品，详见《关于政府采购进口产品管理有关问题的通知》(财库[2007]119号)。</w:t>
      </w:r>
    </w:p>
    <w:p>
      <w:pPr>
        <w:adjustRightInd w:val="0"/>
        <w:snapToGrid w:val="0"/>
        <w:spacing w:line="360" w:lineRule="auto"/>
        <w:ind w:firstLine="480" w:firstLineChars="200"/>
      </w:pPr>
      <w:r>
        <w:rPr>
          <w:rFonts w:hint="eastAsia" w:ascii="宋体" w:hAnsi="宋体"/>
          <w:bCs/>
          <w:sz w:val="24"/>
        </w:rPr>
        <w:t>1.14实质性条款：除法律、法规和规章规定外，招标文件中用“拒绝”、“不接受”、“无效”、“不得”、“未响应”、“废标”等文字规定或标注“★”符号的条款为实质性要求条款，对其中任何一条的偏离，在评审时将其视为无效投标（但技术规格参数涉及到评分的情形除外）。未用上述文字规定或符号标注的条款为非实质性要求条款(即一般条款)。</w:t>
      </w:r>
    </w:p>
    <w:bookmarkEnd w:id="12"/>
    <w:bookmarkEnd w:id="13"/>
    <w:bookmarkEnd w:id="14"/>
    <w:bookmarkEnd w:id="15"/>
    <w:bookmarkEnd w:id="16"/>
    <w:bookmarkEnd w:id="17"/>
    <w:bookmarkEnd w:id="18"/>
    <w:bookmarkEnd w:id="19"/>
    <w:p>
      <w:pPr>
        <w:pStyle w:val="5"/>
        <w:spacing w:before="0"/>
        <w:rPr>
          <w:rFonts w:ascii="宋体" w:hAnsi="宋体"/>
          <w:sz w:val="24"/>
        </w:rPr>
      </w:pPr>
      <w:bookmarkStart w:id="20" w:name="_Toc485912304"/>
      <w:bookmarkStart w:id="21" w:name="_Toc91029994"/>
      <w:bookmarkStart w:id="22" w:name="_Toc91477244"/>
      <w:bookmarkStart w:id="23" w:name="_Toc229198017"/>
      <w:bookmarkStart w:id="24" w:name="_Toc89586884"/>
      <w:bookmarkStart w:id="25" w:name="_Toc89058523"/>
      <w:bookmarkStart w:id="26" w:name="_Toc469850043"/>
      <w:bookmarkStart w:id="27" w:name="_Toc139343528"/>
      <w:bookmarkStart w:id="28" w:name="_Toc274816706"/>
      <w:r>
        <w:rPr>
          <w:rFonts w:hint="eastAsia" w:ascii="宋体" w:hAnsi="宋体"/>
          <w:bCs/>
          <w:sz w:val="24"/>
        </w:rPr>
        <w:t>★</w:t>
      </w:r>
      <w:r>
        <w:rPr>
          <w:rFonts w:hint="eastAsia" w:ascii="宋体" w:hAnsi="宋体"/>
          <w:sz w:val="24"/>
        </w:rPr>
        <w:t>2.综合说明</w:t>
      </w:r>
      <w:bookmarkEnd w:id="20"/>
    </w:p>
    <w:p>
      <w:pPr>
        <w:spacing w:line="360" w:lineRule="auto"/>
        <w:ind w:firstLine="480" w:firstLineChars="200"/>
        <w:jc w:val="left"/>
        <w:rPr>
          <w:rFonts w:ascii="宋体" w:hAnsi="宋体"/>
          <w:bCs/>
          <w:sz w:val="24"/>
        </w:rPr>
      </w:pPr>
      <w:r>
        <w:rPr>
          <w:rFonts w:hint="eastAsia" w:ascii="宋体" w:hAnsi="宋体"/>
          <w:bCs/>
          <w:sz w:val="24"/>
        </w:rPr>
        <w:t>本项目按照《中华人民共和国政府采购法》及相关法规，已办理招标申请，并得到招标管理机构批准，现通过招标来择优选定设备服务的供货商。</w:t>
      </w:r>
      <w:bookmarkStart w:id="29" w:name="_Toc128372733"/>
      <w:bookmarkStart w:id="30" w:name="_Toc139965329"/>
      <w:bookmarkStart w:id="31" w:name="_Toc128372055"/>
      <w:r>
        <w:rPr>
          <w:rFonts w:hint="eastAsia" w:ascii="宋体" w:hAnsi="宋体"/>
          <w:bCs/>
          <w:sz w:val="24"/>
        </w:rPr>
        <w:t>本磋商文件包括本文所列内容及按本须知发出的全部和补充资料。供应商应认真阅读本磋商文件中所有的事项、格式、条款、技术规范等实质性的条件和要求。供应商被视为充分熟悉本招标项目的全部内容及与履行合同有关的全部内容，熟悉磋商文件的格式、条件和范围。供应商没有按照磋商文件的要求提交相关资料，或者供应商没有对磋商文件相关内容都做出实质性响应是供应商的风险，并可能导致其投标无效。</w:t>
      </w:r>
    </w:p>
    <w:bookmarkEnd w:id="29"/>
    <w:bookmarkEnd w:id="30"/>
    <w:bookmarkEnd w:id="31"/>
    <w:p>
      <w:pPr>
        <w:pStyle w:val="5"/>
        <w:spacing w:before="0"/>
        <w:rPr>
          <w:rFonts w:ascii="宋体" w:hAnsi="宋体"/>
          <w:color w:val="000000" w:themeColor="text1"/>
          <w:sz w:val="24"/>
          <w:highlight w:val="none"/>
          <w14:textFill>
            <w14:solidFill>
              <w14:schemeClr w14:val="tx1"/>
            </w14:solidFill>
          </w14:textFill>
        </w:rPr>
      </w:pPr>
      <w:bookmarkStart w:id="32" w:name="_Toc485912305"/>
      <w:r>
        <w:rPr>
          <w:rFonts w:ascii="宋体" w:hAnsi="宋体"/>
          <w:sz w:val="24"/>
        </w:rPr>
        <w:t>3</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政府采购政策支持</w:t>
      </w:r>
      <w:bookmarkEnd w:id="32"/>
    </w:p>
    <w:p>
      <w:pPr>
        <w:spacing w:line="360" w:lineRule="auto"/>
        <w:ind w:firstLine="482" w:firstLineChars="200"/>
        <w:jc w:val="left"/>
        <w:rPr>
          <w:rFonts w:hint="eastAsia" w:ascii="宋体" w:hAnsi="宋体" w:eastAsia="宋体"/>
          <w:b/>
          <w:bCs w:val="0"/>
          <w:sz w:val="24"/>
        </w:rPr>
      </w:pPr>
      <w:r>
        <w:rPr>
          <w:rFonts w:hint="eastAsia" w:ascii="宋体" w:hAnsi="宋体" w:eastAsia="宋体"/>
          <w:b/>
          <w:bCs w:val="0"/>
          <w:sz w:val="24"/>
        </w:rPr>
        <w:t>3.1根据财库【2020】46号文件规定，</w:t>
      </w:r>
      <w:r>
        <w:rPr>
          <w:rFonts w:hint="eastAsia" w:ascii="宋体" w:hAnsi="宋体" w:eastAsia="宋体"/>
          <w:b/>
          <w:bCs w:val="0"/>
          <w:sz w:val="24"/>
          <w:lang w:eastAsia="zh-CN"/>
        </w:rPr>
        <w:t>本项目专门</w:t>
      </w:r>
      <w:r>
        <w:rPr>
          <w:rFonts w:hint="eastAsia" w:ascii="宋体" w:hAnsi="宋体" w:eastAsia="宋体"/>
          <w:b/>
          <w:bCs w:val="0"/>
          <w:sz w:val="24"/>
        </w:rPr>
        <w:t>面向</w:t>
      </w:r>
      <w:r>
        <w:rPr>
          <w:rFonts w:hint="eastAsia" w:ascii="宋体" w:hAnsi="宋体" w:eastAsia="宋体"/>
          <w:b/>
          <w:bCs w:val="0"/>
          <w:sz w:val="24"/>
          <w:lang w:eastAsia="zh-CN"/>
        </w:rPr>
        <w:t>中小微</w:t>
      </w:r>
      <w:r>
        <w:rPr>
          <w:rFonts w:hint="eastAsia" w:ascii="宋体" w:hAnsi="宋体" w:eastAsia="宋体"/>
          <w:b/>
          <w:bCs w:val="0"/>
          <w:sz w:val="24"/>
        </w:rPr>
        <w:t>型企业的采购项目。参加政府采购活动的中小企业应当提供《中小企业声明函》</w:t>
      </w:r>
      <w:r>
        <w:rPr>
          <w:rFonts w:hint="eastAsia" w:ascii="宋体" w:hAnsi="宋体" w:eastAsia="宋体"/>
          <w:b/>
          <w:bCs w:val="0"/>
          <w:sz w:val="24"/>
          <w:lang w:val="en-US" w:eastAsia="zh-CN"/>
        </w:rPr>
        <w:t>（其中监狱企业、残疾人福利企业视为中小微企业享受扶持政策）</w:t>
      </w:r>
      <w:r>
        <w:rPr>
          <w:rFonts w:hint="eastAsia" w:ascii="宋体" w:hAnsi="宋体" w:eastAsia="宋体"/>
          <w:b/>
          <w:bCs w:val="0"/>
          <w:sz w:val="24"/>
        </w:rPr>
        <w:t>。</w:t>
      </w:r>
    </w:p>
    <w:p>
      <w:pPr>
        <w:pStyle w:val="5"/>
        <w:spacing w:before="0"/>
        <w:rPr>
          <w:rFonts w:ascii="宋体" w:hAnsi="宋体"/>
          <w:sz w:val="24"/>
        </w:rPr>
      </w:pPr>
      <w:bookmarkStart w:id="33" w:name="_Toc485912306"/>
      <w:r>
        <w:rPr>
          <w:rFonts w:ascii="宋体" w:hAnsi="宋体"/>
          <w:sz w:val="24"/>
        </w:rPr>
        <w:t>4</w:t>
      </w:r>
      <w:r>
        <w:rPr>
          <w:rFonts w:hint="eastAsia" w:ascii="宋体" w:hAnsi="宋体"/>
          <w:sz w:val="24"/>
        </w:rPr>
        <w:t>.合格的供应商</w:t>
      </w:r>
      <w:bookmarkEnd w:id="21"/>
      <w:bookmarkEnd w:id="22"/>
      <w:bookmarkEnd w:id="23"/>
      <w:bookmarkEnd w:id="24"/>
      <w:bookmarkEnd w:id="25"/>
      <w:bookmarkEnd w:id="26"/>
      <w:bookmarkEnd w:id="27"/>
      <w:bookmarkEnd w:id="28"/>
      <w:bookmarkEnd w:id="33"/>
    </w:p>
    <w:p>
      <w:pPr>
        <w:tabs>
          <w:tab w:val="left" w:pos="1276"/>
        </w:tabs>
        <w:adjustRightInd w:val="0"/>
        <w:snapToGrid w:val="0"/>
        <w:spacing w:line="360" w:lineRule="auto"/>
        <w:ind w:firstLine="480" w:firstLineChars="200"/>
        <w:rPr>
          <w:rFonts w:ascii="宋体" w:hAnsi="宋体"/>
          <w:sz w:val="24"/>
        </w:rPr>
      </w:pPr>
      <w:bookmarkStart w:id="34" w:name="_Toc89058525"/>
      <w:bookmarkStart w:id="35" w:name="_Toc91029996"/>
      <w:bookmarkStart w:id="36" w:name="_Toc229198019"/>
      <w:bookmarkStart w:id="37" w:name="_Toc89586886"/>
      <w:bookmarkStart w:id="38" w:name="_Toc469850045"/>
      <w:bookmarkStart w:id="39" w:name="_Toc91477246"/>
      <w:bookmarkStart w:id="40" w:name="_Toc274816708"/>
      <w:bookmarkStart w:id="41" w:name="_Toc139343530"/>
      <w:r>
        <w:rPr>
          <w:rFonts w:ascii="宋体" w:hAnsi="宋体"/>
          <w:sz w:val="24"/>
        </w:rPr>
        <w:t>4</w:t>
      </w:r>
      <w:r>
        <w:rPr>
          <w:rFonts w:hint="eastAsia" w:ascii="宋体" w:hAnsi="宋体"/>
          <w:sz w:val="24"/>
        </w:rPr>
        <w:t>.1具备“供应商须知前附表”的基本条件；</w:t>
      </w:r>
    </w:p>
    <w:p>
      <w:pPr>
        <w:tabs>
          <w:tab w:val="left" w:pos="1276"/>
        </w:tabs>
        <w:adjustRightInd w:val="0"/>
        <w:snapToGrid w:val="0"/>
        <w:spacing w:line="360" w:lineRule="auto"/>
        <w:ind w:firstLine="480" w:firstLineChars="200"/>
        <w:rPr>
          <w:rFonts w:ascii="宋体" w:hAnsi="宋体"/>
          <w:sz w:val="24"/>
        </w:rPr>
      </w:pPr>
      <w:r>
        <w:rPr>
          <w:rFonts w:ascii="宋体" w:hAnsi="宋体"/>
          <w:sz w:val="24"/>
        </w:rPr>
        <w:t>4</w:t>
      </w:r>
      <w:r>
        <w:rPr>
          <w:rFonts w:hint="eastAsia" w:ascii="宋体" w:hAnsi="宋体"/>
          <w:sz w:val="24"/>
        </w:rPr>
        <w:t>.2</w:t>
      </w:r>
      <w:r>
        <w:rPr>
          <w:rFonts w:ascii="宋体" w:hAnsi="宋体"/>
          <w:sz w:val="24"/>
        </w:rPr>
        <w:t>凡是符合国家工商行政管理部门登记审核，具有相应生产经营许可的，有</w:t>
      </w:r>
      <w:r>
        <w:rPr>
          <w:rFonts w:hint="eastAsia" w:ascii="宋体" w:hAnsi="宋体"/>
          <w:sz w:val="24"/>
        </w:rPr>
        <w:t>一定</w:t>
      </w:r>
      <w:r>
        <w:rPr>
          <w:rFonts w:ascii="宋体" w:hAnsi="宋体"/>
          <w:sz w:val="24"/>
        </w:rPr>
        <w:t>技术实力和规模，并有能力提供招标</w:t>
      </w:r>
      <w:r>
        <w:rPr>
          <w:rFonts w:hint="eastAsia" w:ascii="宋体" w:hAnsi="宋体"/>
          <w:sz w:val="24"/>
        </w:rPr>
        <w:t>服务</w:t>
      </w:r>
      <w:r>
        <w:rPr>
          <w:rFonts w:ascii="宋体" w:hAnsi="宋体"/>
          <w:sz w:val="24"/>
        </w:rPr>
        <w:t>的</w:t>
      </w:r>
      <w:r>
        <w:rPr>
          <w:rFonts w:hint="eastAsia" w:ascii="宋体" w:hAnsi="宋体"/>
          <w:sz w:val="24"/>
        </w:rPr>
        <w:t>供应</w:t>
      </w:r>
      <w:r>
        <w:rPr>
          <w:rFonts w:ascii="宋体" w:hAnsi="宋体"/>
          <w:sz w:val="24"/>
        </w:rPr>
        <w:t>商</w:t>
      </w:r>
      <w:r>
        <w:rPr>
          <w:rFonts w:hint="eastAsia" w:ascii="宋体" w:hAnsi="宋体"/>
          <w:sz w:val="24"/>
        </w:rPr>
        <w:t>；</w:t>
      </w:r>
    </w:p>
    <w:p>
      <w:pPr>
        <w:tabs>
          <w:tab w:val="left" w:pos="1276"/>
        </w:tabs>
        <w:adjustRightInd w:val="0"/>
        <w:snapToGrid w:val="0"/>
        <w:spacing w:line="360" w:lineRule="auto"/>
        <w:ind w:firstLine="480" w:firstLineChars="200"/>
        <w:rPr>
          <w:rFonts w:ascii="宋体" w:hAnsi="宋体"/>
          <w:sz w:val="24"/>
        </w:rPr>
      </w:pPr>
      <w:r>
        <w:rPr>
          <w:rFonts w:ascii="宋体" w:hAnsi="宋体"/>
          <w:sz w:val="24"/>
        </w:rPr>
        <w:t>4</w:t>
      </w:r>
      <w:r>
        <w:rPr>
          <w:rFonts w:hint="eastAsia" w:ascii="宋体" w:hAnsi="宋体"/>
          <w:sz w:val="24"/>
        </w:rPr>
        <w:t>.3</w:t>
      </w:r>
      <w:r>
        <w:rPr>
          <w:rFonts w:ascii="宋体" w:hAnsi="宋体"/>
          <w:sz w:val="24"/>
        </w:rPr>
        <w:t>供应商不得直接或间接地与本次招标的货物进行设计、编制规范和其他文件所委托的咨询公司或其附属机构有任何关联</w:t>
      </w:r>
      <w:r>
        <w:rPr>
          <w:rFonts w:hint="eastAsia" w:ascii="宋体" w:hAnsi="宋体"/>
          <w:sz w:val="24"/>
        </w:rPr>
        <w:t>；</w:t>
      </w:r>
    </w:p>
    <w:p>
      <w:pPr>
        <w:tabs>
          <w:tab w:val="left" w:pos="1276"/>
        </w:tabs>
        <w:adjustRightInd w:val="0"/>
        <w:snapToGrid w:val="0"/>
        <w:spacing w:line="360" w:lineRule="auto"/>
        <w:ind w:firstLine="480" w:firstLineChars="200"/>
        <w:rPr>
          <w:rFonts w:ascii="宋体" w:hAnsi="宋体"/>
          <w:sz w:val="24"/>
        </w:rPr>
      </w:pPr>
      <w:r>
        <w:rPr>
          <w:rFonts w:ascii="宋体" w:hAnsi="宋体"/>
          <w:sz w:val="24"/>
        </w:rPr>
        <w:t>4</w:t>
      </w:r>
      <w:r>
        <w:rPr>
          <w:rFonts w:hint="eastAsia" w:ascii="宋体" w:hAnsi="宋体"/>
          <w:sz w:val="24"/>
        </w:rPr>
        <w:t>.4</w:t>
      </w:r>
      <w:r>
        <w:rPr>
          <w:rFonts w:ascii="宋体" w:hAnsi="宋体"/>
          <w:sz w:val="24"/>
        </w:rPr>
        <w:t>供应商与</w:t>
      </w:r>
      <w:r>
        <w:rPr>
          <w:rFonts w:hint="eastAsia" w:ascii="宋体" w:hAnsi="宋体"/>
          <w:sz w:val="24"/>
        </w:rPr>
        <w:t>采购</w:t>
      </w:r>
      <w:r>
        <w:rPr>
          <w:rFonts w:ascii="宋体" w:hAnsi="宋体"/>
          <w:sz w:val="24"/>
        </w:rPr>
        <w:t>人存在利害关系可能影响招标公正性的法人、其他组织或个人，不得参加投标。单位负责人为同一人或者存在控股、管理关系的不同单位，不得参加同一标段投标或者未划分标段的同一招标项目投标</w:t>
      </w:r>
      <w:r>
        <w:rPr>
          <w:rFonts w:hint="eastAsia" w:ascii="宋体" w:hAnsi="宋体"/>
          <w:sz w:val="24"/>
        </w:rPr>
        <w:t>；</w:t>
      </w:r>
    </w:p>
    <w:p>
      <w:pPr>
        <w:tabs>
          <w:tab w:val="left" w:pos="1276"/>
        </w:tabs>
        <w:adjustRightInd w:val="0"/>
        <w:snapToGrid w:val="0"/>
        <w:spacing w:line="360" w:lineRule="auto"/>
        <w:ind w:firstLine="480" w:firstLineChars="200"/>
        <w:rPr>
          <w:rFonts w:ascii="宋体" w:hAnsi="宋体"/>
          <w:sz w:val="24"/>
        </w:rPr>
      </w:pPr>
      <w:r>
        <w:rPr>
          <w:rFonts w:ascii="宋体" w:hAnsi="宋体"/>
          <w:sz w:val="24"/>
        </w:rPr>
        <w:t>4</w:t>
      </w:r>
      <w:r>
        <w:rPr>
          <w:rFonts w:hint="eastAsia" w:ascii="宋体" w:hAnsi="宋体"/>
          <w:sz w:val="24"/>
        </w:rPr>
        <w:t>.5供应商</w:t>
      </w:r>
      <w:r>
        <w:rPr>
          <w:rFonts w:ascii="宋体" w:hAnsi="宋体"/>
          <w:sz w:val="24"/>
        </w:rPr>
        <w:t>未向招标代理机构</w:t>
      </w:r>
      <w:r>
        <w:rPr>
          <w:rFonts w:hint="eastAsia" w:ascii="宋体" w:hAnsi="宋体"/>
          <w:sz w:val="24"/>
        </w:rPr>
        <w:t>获取《磋商文件》</w:t>
      </w:r>
      <w:r>
        <w:rPr>
          <w:rFonts w:ascii="宋体" w:hAnsi="宋体"/>
          <w:sz w:val="24"/>
        </w:rPr>
        <w:t>并登记备案的潜在供应商均无资格参加投标</w:t>
      </w:r>
      <w:r>
        <w:rPr>
          <w:rFonts w:hint="eastAsia" w:ascii="宋体" w:hAnsi="宋体"/>
          <w:sz w:val="24"/>
        </w:rPr>
        <w:t>；</w:t>
      </w:r>
    </w:p>
    <w:p>
      <w:pPr>
        <w:tabs>
          <w:tab w:val="left" w:pos="525"/>
        </w:tabs>
        <w:spacing w:line="360" w:lineRule="auto"/>
        <w:ind w:firstLine="480" w:firstLineChars="200"/>
        <w:rPr>
          <w:rFonts w:ascii="宋体" w:hAnsi="宋体"/>
          <w:sz w:val="24"/>
        </w:rPr>
      </w:pPr>
      <w:r>
        <w:rPr>
          <w:rFonts w:ascii="宋体" w:hAnsi="宋体"/>
          <w:sz w:val="24"/>
        </w:rPr>
        <w:t>4</w:t>
      </w:r>
      <w:r>
        <w:rPr>
          <w:rFonts w:hint="eastAsia" w:ascii="宋体" w:hAnsi="宋体"/>
          <w:sz w:val="24"/>
        </w:rPr>
        <w:t>.6遵守国家有关的法律、法规和条例及《磋商文件》的规定。</w:t>
      </w:r>
    </w:p>
    <w:bookmarkEnd w:id="34"/>
    <w:bookmarkEnd w:id="35"/>
    <w:bookmarkEnd w:id="36"/>
    <w:bookmarkEnd w:id="37"/>
    <w:bookmarkEnd w:id="38"/>
    <w:bookmarkEnd w:id="39"/>
    <w:bookmarkEnd w:id="40"/>
    <w:bookmarkEnd w:id="41"/>
    <w:p>
      <w:pPr>
        <w:pStyle w:val="5"/>
        <w:spacing w:before="0"/>
        <w:rPr>
          <w:rFonts w:ascii="宋体" w:hAnsi="宋体"/>
          <w:sz w:val="24"/>
        </w:rPr>
      </w:pPr>
      <w:bookmarkStart w:id="42" w:name="_Toc485912307"/>
      <w:bookmarkStart w:id="43" w:name="_Toc484102378"/>
      <w:bookmarkStart w:id="44" w:name="_Toc469524740"/>
      <w:r>
        <w:rPr>
          <w:rFonts w:ascii="宋体" w:hAnsi="宋体"/>
          <w:sz w:val="24"/>
        </w:rPr>
        <w:t>5</w:t>
      </w:r>
      <w:r>
        <w:rPr>
          <w:rFonts w:hint="eastAsia" w:ascii="宋体" w:hAnsi="宋体"/>
          <w:sz w:val="24"/>
        </w:rPr>
        <w:t>.伴随服务</w:t>
      </w:r>
      <w:bookmarkEnd w:id="42"/>
      <w:bookmarkEnd w:id="43"/>
      <w:bookmarkEnd w:id="44"/>
    </w:p>
    <w:p>
      <w:pPr>
        <w:spacing w:line="360" w:lineRule="auto"/>
        <w:ind w:firstLine="480" w:firstLineChars="200"/>
        <w:rPr>
          <w:rFonts w:ascii="宋体" w:hAnsi="宋体"/>
          <w:sz w:val="24"/>
        </w:rPr>
      </w:pPr>
      <w:r>
        <w:rPr>
          <w:rFonts w:hint="eastAsia" w:ascii="宋体" w:hAnsi="宋体"/>
          <w:sz w:val="24"/>
        </w:rPr>
        <w:t>供应商按照磋商文件要求提供服务，以上服务的费用应包含在报价中，不再单独进行支付。</w:t>
      </w:r>
    </w:p>
    <w:p>
      <w:pPr>
        <w:pStyle w:val="5"/>
        <w:spacing w:before="0"/>
        <w:rPr>
          <w:rFonts w:ascii="宋体" w:hAnsi="宋体"/>
          <w:sz w:val="24"/>
        </w:rPr>
      </w:pPr>
      <w:bookmarkStart w:id="45" w:name="_Toc469524744"/>
      <w:bookmarkStart w:id="46" w:name="_Toc485912311"/>
      <w:bookmarkStart w:id="47" w:name="_Toc484102382"/>
      <w:r>
        <w:rPr>
          <w:rFonts w:hint="eastAsia" w:ascii="宋体" w:hAnsi="宋体"/>
          <w:sz w:val="24"/>
        </w:rPr>
        <w:t>6.投标费用</w:t>
      </w:r>
      <w:bookmarkEnd w:id="45"/>
      <w:bookmarkEnd w:id="46"/>
      <w:bookmarkEnd w:id="47"/>
    </w:p>
    <w:p>
      <w:pPr>
        <w:tabs>
          <w:tab w:val="left" w:pos="525"/>
        </w:tabs>
        <w:spacing w:line="360" w:lineRule="auto"/>
        <w:ind w:firstLine="480" w:firstLineChars="200"/>
        <w:rPr>
          <w:rFonts w:ascii="宋体" w:hAnsi="宋体"/>
          <w:sz w:val="24"/>
        </w:rPr>
      </w:pPr>
      <w:r>
        <w:rPr>
          <w:rFonts w:hint="eastAsia" w:ascii="宋体" w:hAnsi="宋体"/>
          <w:sz w:val="24"/>
        </w:rPr>
        <w:t>供应商应承担与采购活动有关的一切费用。不论采购的结果如何，采购代理机构和采购人在任何情况下均无义务和责任承担这些费用。</w:t>
      </w:r>
    </w:p>
    <w:p>
      <w:pPr>
        <w:pStyle w:val="5"/>
        <w:spacing w:before="0"/>
        <w:rPr>
          <w:rFonts w:ascii="宋体" w:hAnsi="宋体"/>
          <w:sz w:val="24"/>
        </w:rPr>
      </w:pPr>
      <w:bookmarkStart w:id="48" w:name="_Toc469524745"/>
      <w:bookmarkStart w:id="49" w:name="_Toc484102383"/>
      <w:bookmarkStart w:id="50" w:name="_Toc485912312"/>
      <w:r>
        <w:rPr>
          <w:rFonts w:hint="eastAsia" w:ascii="宋体" w:hAnsi="宋体"/>
          <w:sz w:val="24"/>
        </w:rPr>
        <w:t>7.招标代理机构相关费用</w:t>
      </w:r>
      <w:bookmarkEnd w:id="48"/>
      <w:bookmarkEnd w:id="49"/>
      <w:bookmarkEnd w:id="50"/>
    </w:p>
    <w:p>
      <w:pPr>
        <w:adjustRightInd w:val="0"/>
        <w:snapToGrid w:val="0"/>
        <w:spacing w:line="360" w:lineRule="auto"/>
        <w:ind w:firstLine="480" w:firstLineChars="200"/>
        <w:rPr>
          <w:rFonts w:ascii="宋体" w:hAnsi="宋体"/>
          <w:sz w:val="24"/>
        </w:rPr>
      </w:pPr>
      <w:r>
        <w:rPr>
          <w:rFonts w:hint="eastAsia" w:ascii="宋体" w:hAnsi="宋体"/>
          <w:sz w:val="24"/>
        </w:rPr>
        <w:t>7.1</w:t>
      </w:r>
      <w:r>
        <w:rPr>
          <w:rFonts w:hint="eastAsia" w:ascii="宋体" w:hAnsi="宋体"/>
          <w:b/>
          <w:bCs/>
          <w:sz w:val="24"/>
        </w:rPr>
        <w:t>参照财政部、国家计委、国家物价局（2002）1980号文件，国家发改委(2003)857号文件、（2015）299号文件规定和采购人与招标代理机构签署的委托招标代理合同相关条款约定收取，由中标供应商领取中标通知书前向代理机构支付</w:t>
      </w:r>
      <w:r>
        <w:rPr>
          <w:rFonts w:hint="eastAsia" w:ascii="宋体" w:hAnsi="宋体"/>
          <w:sz w:val="24"/>
        </w:rPr>
        <w:t>。</w:t>
      </w:r>
    </w:p>
    <w:p>
      <w:pPr>
        <w:adjustRightInd w:val="0"/>
        <w:snapToGrid w:val="0"/>
        <w:spacing w:line="360" w:lineRule="auto"/>
        <w:ind w:firstLine="480" w:firstLineChars="200"/>
        <w:rPr>
          <w:rFonts w:ascii="宋体" w:hAnsi="宋体"/>
          <w:sz w:val="24"/>
        </w:rPr>
      </w:pPr>
      <w:r>
        <w:rPr>
          <w:rFonts w:hint="eastAsia" w:ascii="宋体" w:hAnsi="宋体"/>
          <w:sz w:val="24"/>
        </w:rPr>
        <w:t>7.2本项目招标代理服务费由中标供应商支付给招标代理机构。</w:t>
      </w:r>
    </w:p>
    <w:p>
      <w:pPr>
        <w:adjustRightInd w:val="0"/>
        <w:snapToGrid w:val="0"/>
        <w:spacing w:line="360" w:lineRule="auto"/>
        <w:ind w:firstLine="480" w:firstLineChars="200"/>
        <w:rPr>
          <w:rFonts w:ascii="宋体" w:hAnsi="宋体"/>
          <w:sz w:val="24"/>
        </w:rPr>
      </w:pPr>
      <w:r>
        <w:rPr>
          <w:rFonts w:hint="eastAsia" w:ascii="宋体" w:hAnsi="宋体"/>
          <w:sz w:val="24"/>
        </w:rPr>
        <w:t>7.3费用缴纳可采用电汇、转支（公户）的方式支付，在发放《中标通知书》前一次性支付给招标代理机构。</w:t>
      </w:r>
    </w:p>
    <w:p>
      <w:pPr>
        <w:adjustRightInd w:val="0"/>
        <w:snapToGrid w:val="0"/>
        <w:spacing w:line="360" w:lineRule="auto"/>
        <w:ind w:firstLine="480" w:firstLineChars="200"/>
        <w:rPr>
          <w:rFonts w:ascii="宋体" w:hAnsi="宋体"/>
          <w:sz w:val="24"/>
        </w:rPr>
      </w:pPr>
      <w:r>
        <w:rPr>
          <w:rFonts w:ascii="宋体" w:hAnsi="宋体"/>
          <w:sz w:val="24"/>
        </w:rPr>
        <w:t>10</w:t>
      </w:r>
      <w:r>
        <w:rPr>
          <w:rFonts w:hint="eastAsia" w:ascii="宋体" w:hAnsi="宋体"/>
          <w:sz w:val="24"/>
        </w:rPr>
        <w:t>.4不支付以上费用，招标代理机构将不予发放《中标通知书》。</w:t>
      </w:r>
    </w:p>
    <w:p>
      <w:pPr>
        <w:pStyle w:val="5"/>
        <w:spacing w:before="0"/>
        <w:rPr>
          <w:rFonts w:ascii="宋体" w:hAnsi="宋体"/>
          <w:sz w:val="24"/>
        </w:rPr>
      </w:pPr>
      <w:bookmarkStart w:id="51" w:name="_Toc485912313"/>
      <w:bookmarkStart w:id="52" w:name="_Toc484102384"/>
      <w:bookmarkStart w:id="53" w:name="_Toc469524746"/>
      <w:r>
        <w:rPr>
          <w:rFonts w:hint="eastAsia" w:ascii="宋体" w:hAnsi="宋体"/>
          <w:sz w:val="24"/>
        </w:rPr>
        <w:t>8.保密</w:t>
      </w:r>
      <w:bookmarkEnd w:id="51"/>
      <w:bookmarkEnd w:id="52"/>
      <w:bookmarkEnd w:id="53"/>
    </w:p>
    <w:p>
      <w:pPr>
        <w:adjustRightInd w:val="0"/>
        <w:snapToGrid w:val="0"/>
        <w:spacing w:line="360" w:lineRule="auto"/>
        <w:ind w:firstLine="480" w:firstLineChars="200"/>
        <w:rPr>
          <w:rFonts w:ascii="宋体" w:hAnsi="宋体" w:cs="宋体"/>
          <w:sz w:val="24"/>
        </w:rPr>
      </w:pPr>
      <w:r>
        <w:rPr>
          <w:rFonts w:hint="eastAsia" w:ascii="宋体" w:hAnsi="宋体" w:cs="宋体"/>
          <w:sz w:val="24"/>
        </w:rPr>
        <w:t>参与招标投标活动的各方应对磋商文件和磋商响应文件中的商业和技术等秘密保密，违者应对由此造成的后果承担法律责任。</w:t>
      </w:r>
    </w:p>
    <w:p>
      <w:pPr>
        <w:pStyle w:val="5"/>
        <w:spacing w:before="0"/>
        <w:rPr>
          <w:rFonts w:ascii="宋体" w:hAnsi="宋体"/>
          <w:sz w:val="24"/>
        </w:rPr>
      </w:pPr>
      <w:bookmarkStart w:id="54" w:name="_Toc485912314"/>
      <w:bookmarkStart w:id="55" w:name="_Toc484102385"/>
      <w:bookmarkStart w:id="56" w:name="_Toc469524747"/>
      <w:r>
        <w:rPr>
          <w:rFonts w:hint="eastAsia" w:ascii="宋体" w:hAnsi="宋体"/>
          <w:sz w:val="24"/>
        </w:rPr>
        <w:t>9</w:t>
      </w:r>
      <w:r>
        <w:rPr>
          <w:rFonts w:ascii="宋体" w:hAnsi="宋体"/>
          <w:sz w:val="24"/>
        </w:rPr>
        <w:t>.适用法律</w:t>
      </w:r>
      <w:bookmarkEnd w:id="54"/>
      <w:bookmarkEnd w:id="55"/>
      <w:bookmarkEnd w:id="56"/>
    </w:p>
    <w:p>
      <w:pPr>
        <w:tabs>
          <w:tab w:val="left" w:pos="7665"/>
        </w:tabs>
        <w:adjustRightInd w:val="0"/>
        <w:snapToGrid w:val="0"/>
        <w:spacing w:line="360" w:lineRule="auto"/>
        <w:ind w:firstLine="480" w:firstLineChars="200"/>
        <w:rPr>
          <w:rFonts w:ascii="宋体" w:hAnsi="宋体"/>
          <w:sz w:val="24"/>
        </w:rPr>
      </w:pPr>
      <w:r>
        <w:rPr>
          <w:rFonts w:hint="eastAsia" w:ascii="宋体" w:hAnsi="宋体"/>
          <w:sz w:val="24"/>
        </w:rPr>
        <w:t>本次招标属服务类政府采购，招标采购单位、供应商、磋商小组的相关行为均受《中华人民共和国政府采购法》、《中华人民共和国政府采购法实施条例》、《政府采购货物和服务招标投标管理办法》、《政府采购非招标采购方式管理办法》、《财政部关于印发〈政府采购品目分类目录〉的通知》（财库［2019］69号）、本项目采购人本级和上级财政部门政府采购有关规定的约束，其权利受到上述法律法规的保护。</w:t>
      </w:r>
    </w:p>
    <w:p>
      <w:pPr>
        <w:pStyle w:val="4"/>
        <w:spacing w:before="0"/>
        <w:rPr>
          <w:rFonts w:ascii="宋体" w:hAnsi="宋体" w:eastAsia="宋体"/>
          <w:sz w:val="24"/>
        </w:rPr>
      </w:pPr>
      <w:bookmarkStart w:id="57" w:name="_Toc10603"/>
      <w:bookmarkStart w:id="58" w:name="_Toc476758947"/>
      <w:bookmarkStart w:id="59" w:name="_Toc1198"/>
      <w:r>
        <w:rPr>
          <w:rFonts w:hint="eastAsia" w:ascii="宋体" w:hAnsi="宋体" w:eastAsia="宋体"/>
        </w:rPr>
        <w:t>（三）《磋商文件》</w:t>
      </w:r>
      <w:bookmarkEnd w:id="57"/>
      <w:bookmarkEnd w:id="58"/>
      <w:bookmarkEnd w:id="59"/>
    </w:p>
    <w:p>
      <w:pPr>
        <w:pStyle w:val="5"/>
        <w:spacing w:before="0" w:after="0" w:line="360" w:lineRule="auto"/>
        <w:rPr>
          <w:rFonts w:ascii="宋体" w:hAnsi="宋体"/>
          <w:sz w:val="24"/>
        </w:rPr>
      </w:pPr>
      <w:bookmarkStart w:id="60" w:name="_Toc89586888"/>
      <w:bookmarkStart w:id="61" w:name="_Toc469850047"/>
      <w:bookmarkStart w:id="62" w:name="_Toc91029998"/>
      <w:bookmarkStart w:id="63" w:name="_Toc91477248"/>
      <w:bookmarkStart w:id="64" w:name="_Toc89058527"/>
      <w:bookmarkStart w:id="65" w:name="_Toc139343532"/>
      <w:bookmarkStart w:id="66" w:name="_Toc274816710"/>
      <w:bookmarkStart w:id="67" w:name="_Toc229198021"/>
      <w:bookmarkStart w:id="68" w:name="_Toc485912316"/>
      <w:r>
        <w:rPr>
          <w:rFonts w:hint="eastAsia" w:ascii="宋体" w:hAnsi="宋体"/>
          <w:sz w:val="24"/>
        </w:rPr>
        <w:t>1.</w:t>
      </w:r>
      <w:bookmarkEnd w:id="60"/>
      <w:bookmarkEnd w:id="61"/>
      <w:bookmarkEnd w:id="62"/>
      <w:bookmarkEnd w:id="63"/>
      <w:bookmarkEnd w:id="64"/>
      <w:bookmarkEnd w:id="65"/>
      <w:bookmarkEnd w:id="66"/>
      <w:bookmarkEnd w:id="67"/>
      <w:r>
        <w:rPr>
          <w:rFonts w:hint="eastAsia" w:ascii="宋体" w:hAnsi="宋体"/>
          <w:sz w:val="24"/>
        </w:rPr>
        <w:t>《磋商文件》的组成</w:t>
      </w:r>
      <w:bookmarkEnd w:id="68"/>
    </w:p>
    <w:p>
      <w:pPr>
        <w:tabs>
          <w:tab w:val="left" w:pos="7665"/>
        </w:tabs>
        <w:spacing w:line="360" w:lineRule="auto"/>
        <w:ind w:firstLine="480" w:firstLineChars="200"/>
        <w:rPr>
          <w:rFonts w:ascii="宋体" w:hAnsi="宋体"/>
          <w:sz w:val="24"/>
        </w:rPr>
      </w:pPr>
      <w:r>
        <w:rPr>
          <w:rFonts w:hint="eastAsia" w:ascii="宋体" w:hAnsi="宋体"/>
          <w:sz w:val="24"/>
        </w:rPr>
        <w:t>磋商文件用以阐明招标项目所需的资质、技术、服务及报价等要求、招标投标程序、有关规定和注意事项以及合同主要条款等。本磋商文件包括以下内容,但不限于这些内容：</w:t>
      </w:r>
    </w:p>
    <w:p>
      <w:pPr>
        <w:tabs>
          <w:tab w:val="left" w:pos="3645"/>
        </w:tabs>
        <w:spacing w:line="360" w:lineRule="auto"/>
        <w:ind w:firstLine="480" w:firstLineChars="200"/>
        <w:rPr>
          <w:rFonts w:ascii="宋体" w:hAnsi="宋体"/>
          <w:sz w:val="24"/>
        </w:rPr>
      </w:pPr>
      <w:r>
        <w:rPr>
          <w:rFonts w:hint="eastAsia" w:ascii="宋体" w:hAnsi="宋体"/>
          <w:sz w:val="24"/>
        </w:rPr>
        <w:t>（1）磋商公告</w:t>
      </w:r>
    </w:p>
    <w:p>
      <w:pPr>
        <w:spacing w:line="360" w:lineRule="auto"/>
        <w:ind w:firstLine="480" w:firstLineChars="200"/>
        <w:rPr>
          <w:rFonts w:ascii="宋体" w:hAnsi="宋体"/>
          <w:sz w:val="24"/>
        </w:rPr>
      </w:pPr>
      <w:r>
        <w:rPr>
          <w:rFonts w:hint="eastAsia" w:ascii="宋体" w:hAnsi="宋体"/>
          <w:sz w:val="24"/>
        </w:rPr>
        <w:t>（2）供应商须知及前附表</w:t>
      </w:r>
    </w:p>
    <w:p>
      <w:pPr>
        <w:spacing w:line="360" w:lineRule="auto"/>
        <w:ind w:firstLine="480" w:firstLineChars="200"/>
        <w:rPr>
          <w:rFonts w:ascii="宋体" w:hAnsi="宋体"/>
          <w:sz w:val="24"/>
        </w:rPr>
      </w:pPr>
      <w:r>
        <w:rPr>
          <w:rFonts w:hint="eastAsia" w:ascii="宋体" w:hAnsi="宋体"/>
          <w:sz w:val="24"/>
        </w:rPr>
        <w:t>（3）评标办法</w:t>
      </w:r>
    </w:p>
    <w:p>
      <w:pPr>
        <w:spacing w:line="360" w:lineRule="auto"/>
        <w:ind w:firstLine="480" w:firstLineChars="200"/>
        <w:rPr>
          <w:rFonts w:ascii="宋体" w:hAnsi="宋体"/>
          <w:sz w:val="24"/>
        </w:rPr>
      </w:pPr>
      <w:r>
        <w:rPr>
          <w:rFonts w:hint="eastAsia" w:ascii="宋体" w:hAnsi="宋体"/>
          <w:sz w:val="24"/>
        </w:rPr>
        <w:t>（4）招标内容</w:t>
      </w:r>
    </w:p>
    <w:p>
      <w:pPr>
        <w:spacing w:line="360" w:lineRule="auto"/>
        <w:ind w:firstLine="480" w:firstLineChars="200"/>
        <w:rPr>
          <w:rFonts w:ascii="宋体" w:hAnsi="宋体"/>
          <w:sz w:val="24"/>
        </w:rPr>
      </w:pPr>
      <w:r>
        <w:rPr>
          <w:rFonts w:hint="eastAsia" w:ascii="宋体" w:hAnsi="宋体"/>
          <w:sz w:val="24"/>
        </w:rPr>
        <w:t>（5）《磋商响应文件》格式</w:t>
      </w:r>
    </w:p>
    <w:p>
      <w:pPr>
        <w:spacing w:line="360" w:lineRule="auto"/>
        <w:ind w:firstLine="480" w:firstLineChars="200"/>
        <w:rPr>
          <w:rFonts w:ascii="宋体" w:hAnsi="宋体"/>
          <w:sz w:val="24"/>
        </w:rPr>
      </w:pPr>
      <w:r>
        <w:rPr>
          <w:rFonts w:hint="eastAsia" w:ascii="宋体" w:hAnsi="宋体"/>
          <w:sz w:val="24"/>
        </w:rPr>
        <w:t>（6）合同条款及合同格式</w:t>
      </w:r>
    </w:p>
    <w:p>
      <w:pPr>
        <w:pStyle w:val="5"/>
        <w:spacing w:before="0" w:after="0" w:line="360" w:lineRule="auto"/>
        <w:rPr>
          <w:rFonts w:ascii="宋体" w:hAnsi="宋体"/>
          <w:sz w:val="24"/>
        </w:rPr>
      </w:pPr>
      <w:bookmarkStart w:id="69" w:name="_Toc392272740"/>
      <w:bookmarkStart w:id="70" w:name="_Toc440006301"/>
      <w:bookmarkStart w:id="71" w:name="_Toc440010887"/>
      <w:bookmarkStart w:id="72" w:name="_Toc139343533"/>
      <w:bookmarkStart w:id="73" w:name="_Toc469850048"/>
      <w:bookmarkStart w:id="74" w:name="_Toc458096894"/>
      <w:bookmarkStart w:id="75" w:name="_Toc229198022"/>
      <w:bookmarkStart w:id="76" w:name="_Toc457219450"/>
      <w:bookmarkStart w:id="77" w:name="_Toc91029999"/>
      <w:bookmarkStart w:id="78" w:name="_Toc443313392"/>
      <w:bookmarkStart w:id="79" w:name="_Toc469524750"/>
      <w:bookmarkStart w:id="80" w:name="_Toc485912317"/>
      <w:bookmarkStart w:id="81" w:name="_Toc440062292"/>
      <w:bookmarkStart w:id="82" w:name="_Toc389731524"/>
      <w:bookmarkStart w:id="83" w:name="_Toc484102387"/>
      <w:bookmarkStart w:id="84" w:name="_Toc390084852"/>
      <w:bookmarkStart w:id="85" w:name="_Toc390084916"/>
      <w:bookmarkStart w:id="86" w:name="_Toc91477249"/>
      <w:bookmarkStart w:id="87" w:name="_Toc274816711"/>
      <w:bookmarkStart w:id="88" w:name="_Toc390084376"/>
      <w:bookmarkStart w:id="89" w:name="_Toc443313543"/>
      <w:bookmarkStart w:id="90" w:name="_Toc390078410"/>
      <w:bookmarkStart w:id="91" w:name="_Toc89586889"/>
      <w:bookmarkStart w:id="92" w:name="_Toc89058528"/>
      <w:bookmarkStart w:id="93" w:name="_Toc440006348"/>
      <w:bookmarkStart w:id="94" w:name="_Toc440618804"/>
      <w:bookmarkStart w:id="95" w:name="_Toc91477250"/>
      <w:bookmarkStart w:id="96" w:name="_Toc274816712"/>
      <w:bookmarkStart w:id="97" w:name="_Toc229198023"/>
      <w:bookmarkStart w:id="98" w:name="_Toc91030000"/>
      <w:bookmarkStart w:id="99" w:name="_Toc89058529"/>
      <w:bookmarkStart w:id="100" w:name="_Toc139343534"/>
      <w:bookmarkStart w:id="101" w:name="_Toc89586890"/>
      <w:bookmarkStart w:id="102" w:name="_Toc469850049"/>
      <w:bookmarkStart w:id="103" w:name="_Toc89586892"/>
      <w:bookmarkStart w:id="104" w:name="_Toc91477252"/>
      <w:bookmarkStart w:id="105" w:name="_Toc469850051"/>
      <w:bookmarkStart w:id="106" w:name="_Toc229198025"/>
      <w:bookmarkStart w:id="107" w:name="_Toc139343536"/>
      <w:bookmarkStart w:id="108" w:name="_Toc274816714"/>
      <w:bookmarkStart w:id="109" w:name="_Toc89058531"/>
      <w:bookmarkStart w:id="110" w:name="_Toc91030002"/>
      <w:r>
        <w:rPr>
          <w:rFonts w:hint="eastAsia" w:ascii="宋体" w:hAnsi="宋体"/>
          <w:sz w:val="24"/>
        </w:rPr>
        <w:t>2.</w:t>
      </w:r>
      <w:bookmarkEnd w:id="69"/>
      <w:r>
        <w:rPr>
          <w:rFonts w:hint="eastAsia" w:ascii="宋体" w:hAnsi="宋体"/>
          <w:sz w:val="24"/>
        </w:rPr>
        <w:t>《磋商文件》的澄清</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pPr>
        <w:tabs>
          <w:tab w:val="left" w:pos="525"/>
        </w:tabs>
        <w:adjustRightInd w:val="0"/>
        <w:snapToGrid w:val="0"/>
        <w:spacing w:line="360" w:lineRule="auto"/>
        <w:ind w:firstLine="480" w:firstLineChars="200"/>
        <w:rPr>
          <w:rFonts w:ascii="宋体" w:hAnsi="宋体"/>
          <w:sz w:val="24"/>
        </w:rPr>
      </w:pPr>
      <w:r>
        <w:rPr>
          <w:rFonts w:hint="eastAsia" w:ascii="宋体" w:hAnsi="宋体"/>
          <w:sz w:val="24"/>
        </w:rPr>
        <w:t>供应商若对《磋商文件》有任何疑问，根据 《中华人民共和国财政部令第94号》第十二条条规定，供应商应于投标截止日期前3日以书面形式向招标代理机构提出澄清要求，送至招标代理机构。如认为有必要，招标代理机构将以书面形式予以澄清，同时将书面澄清文件向所有供应商发送。供应商在收到该澄清文件后，应于1日内以书面形式（加盖公章）向招标代理机构予以确认，该答复作为《磋商文件》的组成部分，具有同《磋商文件》同样的约束作用。未确认情况应当视为对磋商文件修改的知晓，也将视为对修改内容接受的默认。对于未在磋商响应文件中对修改内容做实质性响应的，对其产生的不利因素由未确认者自行承担。</w:t>
      </w:r>
    </w:p>
    <w:bookmarkEnd w:id="95"/>
    <w:bookmarkEnd w:id="96"/>
    <w:bookmarkEnd w:id="97"/>
    <w:bookmarkEnd w:id="98"/>
    <w:bookmarkEnd w:id="99"/>
    <w:bookmarkEnd w:id="100"/>
    <w:bookmarkEnd w:id="101"/>
    <w:bookmarkEnd w:id="102"/>
    <w:p>
      <w:pPr>
        <w:pStyle w:val="5"/>
        <w:spacing w:before="0" w:after="0" w:line="360" w:lineRule="auto"/>
        <w:rPr>
          <w:rFonts w:ascii="宋体" w:hAnsi="宋体"/>
          <w:sz w:val="24"/>
        </w:rPr>
      </w:pPr>
      <w:bookmarkStart w:id="111" w:name="_Toc390078411"/>
      <w:bookmarkStart w:id="112" w:name="_Toc458096895"/>
      <w:bookmarkStart w:id="113" w:name="_Toc440006349"/>
      <w:bookmarkStart w:id="114" w:name="_Toc443313544"/>
      <w:bookmarkStart w:id="115" w:name="_Toc440010888"/>
      <w:bookmarkStart w:id="116" w:name="_Toc390084377"/>
      <w:bookmarkStart w:id="117" w:name="_Toc485912318"/>
      <w:bookmarkStart w:id="118" w:name="_Toc443313393"/>
      <w:bookmarkStart w:id="119" w:name="_Toc440062293"/>
      <w:bookmarkStart w:id="120" w:name="_Toc389731525"/>
      <w:bookmarkStart w:id="121" w:name="_Toc484102388"/>
      <w:bookmarkStart w:id="122" w:name="_Toc457219451"/>
      <w:bookmarkStart w:id="123" w:name="_Toc440618805"/>
      <w:bookmarkStart w:id="124" w:name="_Toc469524751"/>
      <w:bookmarkStart w:id="125" w:name="_Toc390084917"/>
      <w:bookmarkStart w:id="126" w:name="_Toc440006302"/>
      <w:bookmarkStart w:id="127" w:name="_Toc390084853"/>
      <w:r>
        <w:rPr>
          <w:rFonts w:hint="eastAsia" w:ascii="宋体" w:hAnsi="宋体"/>
          <w:sz w:val="24"/>
        </w:rPr>
        <w:t>3.《磋商文件》的修改</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pPr>
        <w:tabs>
          <w:tab w:val="left" w:pos="-900"/>
        </w:tabs>
        <w:adjustRightInd w:val="0"/>
        <w:snapToGrid w:val="0"/>
        <w:spacing w:line="360" w:lineRule="auto"/>
        <w:ind w:firstLine="480" w:firstLineChars="200"/>
        <w:rPr>
          <w:rFonts w:ascii="宋体" w:hAnsi="宋体"/>
          <w:sz w:val="24"/>
        </w:rPr>
      </w:pPr>
      <w:r>
        <w:rPr>
          <w:rFonts w:hint="eastAsia" w:ascii="宋体" w:hAnsi="宋体"/>
          <w:sz w:val="24"/>
        </w:rPr>
        <w:t>3.1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通知所有获取磋商文件的供应商；不足5日的，采购人、采购代理机构应当顺延提交首次响应文件截止时间，。</w:t>
      </w:r>
    </w:p>
    <w:p>
      <w:pPr>
        <w:tabs>
          <w:tab w:val="left" w:pos="-900"/>
        </w:tabs>
        <w:adjustRightInd w:val="0"/>
        <w:snapToGrid w:val="0"/>
        <w:spacing w:line="360" w:lineRule="auto"/>
        <w:ind w:firstLine="480" w:firstLineChars="200"/>
        <w:rPr>
          <w:rFonts w:hint="eastAsia" w:ascii="宋体" w:hAnsi="宋体"/>
          <w:sz w:val="24"/>
        </w:rPr>
      </w:pPr>
      <w:r>
        <w:rPr>
          <w:rFonts w:hint="eastAsia" w:ascii="宋体" w:hAnsi="宋体"/>
          <w:sz w:val="24"/>
        </w:rPr>
        <w:t>3.2《磋商文件》的修改将以书面形式通知所有获取《磋商文件》的投标单位，并对其具有约束力。</w:t>
      </w:r>
    </w:p>
    <w:p>
      <w:pPr>
        <w:tabs>
          <w:tab w:val="left" w:pos="-900"/>
        </w:tabs>
        <w:adjustRightInd w:val="0"/>
        <w:snapToGrid w:val="0"/>
        <w:spacing w:line="360" w:lineRule="auto"/>
        <w:ind w:firstLine="480" w:firstLineChars="200"/>
        <w:rPr>
          <w:rFonts w:ascii="宋体" w:hAnsi="宋体"/>
          <w:sz w:val="24"/>
        </w:rPr>
      </w:pPr>
      <w:r>
        <w:rPr>
          <w:rFonts w:hint="eastAsia" w:ascii="宋体" w:hAnsi="宋体"/>
          <w:sz w:val="24"/>
        </w:rPr>
        <w:t>3.3为使供应商在编制《磋商响应文件》时有充分时间对《磋商文件》的修改部分进行研究，招标代理机构可自行决定是否延长投标截止日期和推迟开标时间，并通知全部供应商。</w:t>
      </w:r>
    </w:p>
    <w:p>
      <w:pPr>
        <w:pStyle w:val="13"/>
        <w:spacing w:line="360" w:lineRule="auto"/>
        <w:outlineLvl w:val="2"/>
      </w:pPr>
      <w:bookmarkStart w:id="128" w:name="_Toc19932"/>
      <w:bookmarkStart w:id="129" w:name="_Toc476758948"/>
      <w:bookmarkStart w:id="130" w:name="_Toc5849"/>
      <w:r>
        <w:rPr>
          <w:rFonts w:hint="eastAsia" w:ascii="宋体" w:hAnsi="宋体"/>
          <w:sz w:val="28"/>
          <w:szCs w:val="28"/>
        </w:rPr>
        <w:t>（四）《磋商响应文件》的编制</w:t>
      </w:r>
      <w:bookmarkEnd w:id="128"/>
      <w:bookmarkEnd w:id="129"/>
      <w:bookmarkEnd w:id="130"/>
    </w:p>
    <w:bookmarkEnd w:id="103"/>
    <w:bookmarkEnd w:id="104"/>
    <w:bookmarkEnd w:id="105"/>
    <w:bookmarkEnd w:id="106"/>
    <w:bookmarkEnd w:id="107"/>
    <w:bookmarkEnd w:id="108"/>
    <w:bookmarkEnd w:id="109"/>
    <w:bookmarkEnd w:id="110"/>
    <w:p>
      <w:pPr>
        <w:pStyle w:val="5"/>
        <w:spacing w:before="0" w:after="0" w:line="360" w:lineRule="auto"/>
        <w:rPr>
          <w:rFonts w:ascii="宋体" w:hAnsi="宋体"/>
          <w:sz w:val="24"/>
        </w:rPr>
      </w:pPr>
      <w:bookmarkStart w:id="131" w:name="_Toc484102390"/>
      <w:bookmarkStart w:id="132" w:name="_Toc469524753"/>
      <w:bookmarkStart w:id="133" w:name="_Toc440010890"/>
      <w:bookmarkStart w:id="134" w:name="_Toc443313395"/>
      <w:bookmarkStart w:id="135" w:name="_Toc440062295"/>
      <w:bookmarkStart w:id="136" w:name="_Toc457219453"/>
      <w:bookmarkStart w:id="137" w:name="_Toc485912320"/>
      <w:bookmarkStart w:id="138" w:name="_Toc443313546"/>
      <w:bookmarkStart w:id="139" w:name="_Toc440006351"/>
      <w:bookmarkStart w:id="140" w:name="_Toc458096897"/>
      <w:bookmarkStart w:id="141" w:name="_Toc440618807"/>
      <w:bookmarkStart w:id="142" w:name="_Toc395785342"/>
      <w:bookmarkStart w:id="143" w:name="_Toc389731527"/>
      <w:bookmarkStart w:id="144" w:name="_Toc390078413"/>
      <w:bookmarkStart w:id="145" w:name="_Toc390084919"/>
      <w:bookmarkStart w:id="146" w:name="_Toc390084379"/>
      <w:bookmarkStart w:id="147" w:name="_Toc390084855"/>
      <w:bookmarkStart w:id="148" w:name="_Toc91030004"/>
      <w:bookmarkStart w:id="149" w:name="_Toc91477254"/>
      <w:bookmarkStart w:id="150" w:name="_Toc469850052"/>
      <w:bookmarkStart w:id="151" w:name="_Toc229198027"/>
      <w:bookmarkStart w:id="152" w:name="_Toc274816716"/>
      <w:bookmarkStart w:id="153" w:name="_Toc139343538"/>
      <w:bookmarkStart w:id="154" w:name="_Toc89058533"/>
      <w:bookmarkStart w:id="155" w:name="_Toc89586894"/>
      <w:r>
        <w:rPr>
          <w:rFonts w:hint="eastAsia" w:ascii="宋体" w:hAnsi="宋体"/>
          <w:bCs/>
          <w:sz w:val="24"/>
        </w:rPr>
        <w:t>★</w:t>
      </w:r>
      <w:r>
        <w:rPr>
          <w:rFonts w:hint="eastAsia" w:ascii="宋体" w:hAnsi="宋体"/>
          <w:sz w:val="24"/>
        </w:rPr>
        <w:t>1. 《磋商响应文件》编制要求</w:t>
      </w:r>
      <w:bookmarkEnd w:id="131"/>
      <w:bookmarkEnd w:id="132"/>
      <w:bookmarkEnd w:id="133"/>
      <w:bookmarkEnd w:id="134"/>
      <w:bookmarkEnd w:id="135"/>
      <w:bookmarkEnd w:id="136"/>
      <w:bookmarkEnd w:id="137"/>
      <w:bookmarkEnd w:id="138"/>
      <w:bookmarkEnd w:id="139"/>
      <w:bookmarkEnd w:id="140"/>
      <w:bookmarkEnd w:id="141"/>
      <w:bookmarkEnd w:id="142"/>
    </w:p>
    <w:p>
      <w:pPr>
        <w:tabs>
          <w:tab w:val="left" w:pos="1276"/>
        </w:tabs>
        <w:adjustRightInd w:val="0"/>
        <w:snapToGrid w:val="0"/>
        <w:spacing w:line="360" w:lineRule="auto"/>
        <w:ind w:firstLine="480" w:firstLineChars="200"/>
        <w:rPr>
          <w:rFonts w:ascii="宋体" w:hAnsi="宋体"/>
          <w:sz w:val="24"/>
        </w:rPr>
      </w:pPr>
      <w:r>
        <w:rPr>
          <w:rFonts w:hint="eastAsia" w:ascii="宋体" w:hAnsi="宋体"/>
          <w:sz w:val="24"/>
        </w:rPr>
        <w:t>1）供应商应仔细阅读和充分理解《磋商文件》中所有的事项、格式、条款等要求，并按照《磋商文件》的“磋商响应文件格式”规定及要求内容的格式提交完整的《磋商响应文件》。</w:t>
      </w:r>
      <w:r>
        <w:rPr>
          <w:rFonts w:hint="eastAsia" w:ascii="宋体" w:hAnsi="宋体"/>
          <w:b/>
          <w:bCs/>
          <w:sz w:val="24"/>
        </w:rPr>
        <w:t>磋商响应文件应使用中文、编排有序，并按要求编制文件目录和页码，编页码从正文目录后一页开始自编页码，准确标明文件内容所在位置。</w:t>
      </w:r>
      <w:r>
        <w:rPr>
          <w:rFonts w:hint="eastAsia" w:ascii="宋体" w:hAnsi="宋体"/>
          <w:sz w:val="24"/>
        </w:rPr>
        <w:t>供应商没有对磋商文件全面做出实质性响应是供应商的风险。没有按照磋商文件要求作出实质性响应的磋商响应文件将被拒绝。</w:t>
      </w:r>
    </w:p>
    <w:p>
      <w:pPr>
        <w:spacing w:line="360" w:lineRule="auto"/>
        <w:rPr>
          <w:rFonts w:ascii="宋体" w:hAnsi="宋体"/>
          <w:sz w:val="24"/>
        </w:rPr>
      </w:pPr>
      <w:r>
        <w:rPr>
          <w:rFonts w:hint="eastAsia" w:ascii="宋体" w:hAnsi="宋体"/>
          <w:sz w:val="24"/>
        </w:rPr>
        <w:t xml:space="preserve">    2）磋商响应文件应字迹清楚，内容齐全，不得涂改和增删。如有修改错漏处，必须由供应商法定代表人或其授权代表签字。资格证明材料的复印件应是清晰可辨并加盖供应商鲜章。</w:t>
      </w:r>
    </w:p>
    <w:p>
      <w:pPr>
        <w:numPr>
          <w:ilvl w:val="0"/>
          <w:numId w:val="3"/>
        </w:numPr>
        <w:spacing w:line="360" w:lineRule="auto"/>
        <w:ind w:firstLine="480" w:firstLineChars="200"/>
        <w:rPr>
          <w:rFonts w:ascii="宋体" w:hAnsi="宋体"/>
          <w:sz w:val="24"/>
        </w:rPr>
      </w:pPr>
      <w:r>
        <w:rPr>
          <w:rFonts w:hint="eastAsia" w:ascii="宋体" w:hAnsi="宋体"/>
          <w:sz w:val="24"/>
        </w:rPr>
        <w:t>磋商响应文件所提供的全部资料必须真实可靠。若磋商响应文件填报的内容资料不详，或提供了虚假资料，其磋商响应文件为无效磋商响应文件。</w:t>
      </w:r>
    </w:p>
    <w:p>
      <w:pPr>
        <w:numPr>
          <w:ilvl w:val="0"/>
          <w:numId w:val="3"/>
        </w:numPr>
        <w:spacing w:line="360" w:lineRule="auto"/>
        <w:ind w:firstLine="480" w:firstLineChars="200"/>
        <w:rPr>
          <w:rFonts w:ascii="宋体" w:hAnsi="宋体"/>
          <w:sz w:val="24"/>
        </w:rPr>
      </w:pPr>
      <w:r>
        <w:rPr>
          <w:rFonts w:hint="eastAsia" w:ascii="宋体" w:hAnsi="宋体"/>
          <w:sz w:val="24"/>
        </w:rPr>
        <w:t>磋商响应文件应严格按照磋商文件格式的要求提交，并按规定的统一格式逐项填写，不准有空项；无相应内容可填的项应填写“无”、“未测试”、“没有相应指标”等明确的回答文字。</w:t>
      </w:r>
      <w:bookmarkEnd w:id="143"/>
      <w:bookmarkEnd w:id="144"/>
      <w:bookmarkEnd w:id="145"/>
      <w:bookmarkEnd w:id="146"/>
      <w:bookmarkEnd w:id="147"/>
    </w:p>
    <w:p>
      <w:pPr>
        <w:numPr>
          <w:ilvl w:val="0"/>
          <w:numId w:val="3"/>
        </w:numPr>
        <w:spacing w:line="360" w:lineRule="auto"/>
        <w:ind w:firstLine="480" w:firstLineChars="200"/>
        <w:rPr>
          <w:rFonts w:ascii="宋体" w:hAnsi="宋体"/>
          <w:sz w:val="24"/>
        </w:rPr>
      </w:pPr>
      <w:r>
        <w:rPr>
          <w:rFonts w:hint="eastAsia" w:ascii="宋体" w:hAnsi="宋体"/>
          <w:bCs/>
          <w:sz w:val="24"/>
        </w:rPr>
        <w:t>投标语言：</w:t>
      </w:r>
      <w:r>
        <w:rPr>
          <w:rFonts w:hint="eastAsia" w:ascii="宋体" w:hAnsi="宋体" w:cs="仿宋_GB2312"/>
          <w:sz w:val="24"/>
        </w:rPr>
        <w:t>除专用术语外，与招标投标有关的</w:t>
      </w:r>
      <w:r>
        <w:rPr>
          <w:rFonts w:hint="eastAsia" w:ascii="宋体" w:hAnsi="宋体"/>
          <w:sz w:val="24"/>
        </w:rPr>
        <w:t>磋商响应文件、投标交换的文件和往来信件应</w:t>
      </w:r>
      <w:r>
        <w:rPr>
          <w:rFonts w:hint="eastAsia" w:ascii="宋体" w:hAnsi="宋体" w:cs="仿宋_GB2312"/>
          <w:sz w:val="24"/>
        </w:rPr>
        <w:t>均使用中文。必要时专用术语应附有中文注释。</w:t>
      </w:r>
    </w:p>
    <w:p>
      <w:pPr>
        <w:numPr>
          <w:ilvl w:val="0"/>
          <w:numId w:val="3"/>
        </w:numPr>
        <w:spacing w:line="360" w:lineRule="auto"/>
        <w:ind w:firstLine="480" w:firstLineChars="200"/>
        <w:rPr>
          <w:rFonts w:ascii="宋体" w:hAnsi="宋体"/>
          <w:sz w:val="24"/>
        </w:rPr>
      </w:pPr>
      <w:r>
        <w:rPr>
          <w:rFonts w:hint="eastAsia" w:ascii="宋体" w:hAnsi="宋体"/>
          <w:bCs/>
          <w:sz w:val="24"/>
        </w:rPr>
        <w:t>计量单位：</w:t>
      </w:r>
      <w:r>
        <w:rPr>
          <w:rFonts w:hint="eastAsia" w:ascii="宋体" w:hAnsi="宋体"/>
          <w:sz w:val="24"/>
        </w:rPr>
        <w:t>除法律规范中另有规定外，磋商响应文件使用的度量衡单位，均应使用中华人民共和国法定计量单位。</w:t>
      </w:r>
    </w:p>
    <w:p>
      <w:pPr>
        <w:numPr>
          <w:ilvl w:val="0"/>
          <w:numId w:val="3"/>
        </w:numPr>
        <w:spacing w:line="360" w:lineRule="auto"/>
        <w:ind w:firstLine="482" w:firstLineChars="200"/>
        <w:rPr>
          <w:rFonts w:ascii="宋体" w:hAnsi="宋体"/>
          <w:sz w:val="24"/>
        </w:rPr>
      </w:pPr>
      <w:r>
        <w:rPr>
          <w:rFonts w:hint="eastAsia" w:ascii="宋体" w:hAnsi="宋体" w:cs="宋体"/>
          <w:b/>
          <w:sz w:val="24"/>
        </w:rPr>
        <w:t>投标货币：</w:t>
      </w:r>
      <w:r>
        <w:rPr>
          <w:rFonts w:hint="eastAsia" w:ascii="宋体" w:hAnsi="宋体"/>
          <w:b/>
          <w:sz w:val="24"/>
        </w:rPr>
        <w:t>本次招标项目的投标均以人民币报价</w:t>
      </w:r>
      <w:r>
        <w:rPr>
          <w:rFonts w:hint="eastAsia" w:ascii="宋体" w:hAnsi="宋体"/>
          <w:sz w:val="24"/>
        </w:rPr>
        <w:t>。</w:t>
      </w:r>
    </w:p>
    <w:p>
      <w:pPr>
        <w:numPr>
          <w:ilvl w:val="0"/>
          <w:numId w:val="3"/>
        </w:numPr>
        <w:spacing w:line="360" w:lineRule="auto"/>
        <w:ind w:firstLine="480" w:firstLineChars="200"/>
        <w:rPr>
          <w:rFonts w:ascii="宋体" w:hAnsi="宋体"/>
          <w:sz w:val="24"/>
        </w:rPr>
      </w:pPr>
      <w:r>
        <w:rPr>
          <w:rFonts w:hint="eastAsia" w:ascii="宋体" w:hAnsi="宋体" w:cs="宋体"/>
          <w:bCs/>
          <w:sz w:val="24"/>
        </w:rPr>
        <w:t>联合投标：</w:t>
      </w:r>
      <w:r>
        <w:rPr>
          <w:rFonts w:hint="eastAsia" w:ascii="宋体" w:hAnsi="宋体"/>
          <w:sz w:val="24"/>
        </w:rPr>
        <w:t>本项目不接受联合体投标。</w:t>
      </w:r>
    </w:p>
    <w:p>
      <w:pPr>
        <w:pStyle w:val="5"/>
        <w:spacing w:before="0" w:after="0" w:line="360" w:lineRule="auto"/>
        <w:rPr>
          <w:rFonts w:ascii="宋体" w:hAnsi="宋体"/>
          <w:sz w:val="24"/>
        </w:rPr>
      </w:pPr>
      <w:bookmarkStart w:id="156" w:name="_Toc469524754"/>
      <w:bookmarkStart w:id="157" w:name="_Toc485912321"/>
      <w:bookmarkStart w:id="158" w:name="_Toc484102391"/>
      <w:bookmarkStart w:id="159" w:name="_Toc458096898"/>
      <w:r>
        <w:rPr>
          <w:rFonts w:hint="eastAsia" w:ascii="宋体" w:hAnsi="宋体"/>
          <w:sz w:val="24"/>
        </w:rPr>
        <w:t>2.《磋商响应文件》的组成</w:t>
      </w:r>
      <w:bookmarkEnd w:id="156"/>
      <w:bookmarkEnd w:id="157"/>
      <w:bookmarkEnd w:id="158"/>
      <w:bookmarkEnd w:id="159"/>
    </w:p>
    <w:p>
      <w:pPr>
        <w:spacing w:line="360" w:lineRule="auto"/>
        <w:ind w:firstLine="480" w:firstLineChars="200"/>
        <w:rPr>
          <w:rFonts w:ascii="宋体" w:hAnsi="宋体"/>
          <w:sz w:val="24"/>
        </w:rPr>
      </w:pPr>
      <w:r>
        <w:rPr>
          <w:rFonts w:hint="eastAsia" w:ascii="宋体" w:hAnsi="宋体"/>
          <w:sz w:val="24"/>
        </w:rPr>
        <w:t>《磋商响应文件》应由商务文件部分（包括资格证明文件）、技术文件部分（包括技术响应、实施方案等）及其他部分组成，所有复印件须加盖公章。按如下顺序编制：</w:t>
      </w:r>
    </w:p>
    <w:bookmarkEnd w:id="148"/>
    <w:bookmarkEnd w:id="149"/>
    <w:bookmarkEnd w:id="150"/>
    <w:bookmarkEnd w:id="151"/>
    <w:bookmarkEnd w:id="152"/>
    <w:bookmarkEnd w:id="153"/>
    <w:bookmarkEnd w:id="154"/>
    <w:bookmarkEnd w:id="155"/>
    <w:p>
      <w:pPr>
        <w:spacing w:line="360" w:lineRule="auto"/>
        <w:ind w:firstLine="472" w:firstLineChars="196"/>
        <w:rPr>
          <w:rFonts w:ascii="宋体" w:hAnsi="宋体"/>
          <w:b/>
          <w:sz w:val="24"/>
        </w:rPr>
      </w:pPr>
      <w:bookmarkStart w:id="160" w:name="_Toc139343547"/>
      <w:bookmarkStart w:id="161" w:name="_Toc89058542"/>
      <w:bookmarkStart w:id="162" w:name="_Toc89586903"/>
      <w:bookmarkStart w:id="163" w:name="_Toc91477263"/>
      <w:bookmarkStart w:id="164" w:name="_Toc91030013"/>
      <w:bookmarkStart w:id="165" w:name="_Toc274816723"/>
      <w:bookmarkStart w:id="166" w:name="_Toc229198036"/>
      <w:bookmarkStart w:id="167" w:name="_Toc469850062"/>
      <w:r>
        <w:rPr>
          <w:rFonts w:hint="eastAsia" w:ascii="宋体" w:hAnsi="宋体"/>
          <w:b/>
          <w:sz w:val="24"/>
        </w:rPr>
        <w:t>2.1商务文件部分、投标报价部分应包括：</w:t>
      </w:r>
    </w:p>
    <w:p>
      <w:pPr>
        <w:spacing w:line="360" w:lineRule="auto"/>
        <w:ind w:firstLine="470" w:firstLineChars="196"/>
        <w:rPr>
          <w:rFonts w:ascii="宋体" w:hAnsi="宋体"/>
          <w:b/>
          <w:sz w:val="24"/>
        </w:rPr>
      </w:pPr>
      <w:r>
        <w:rPr>
          <w:rFonts w:hint="eastAsia" w:ascii="宋体" w:hAnsi="宋体"/>
          <w:sz w:val="24"/>
        </w:rPr>
        <w:t>目录（编制连续页码）</w:t>
      </w:r>
    </w:p>
    <w:p>
      <w:pPr>
        <w:numPr>
          <w:ilvl w:val="0"/>
          <w:numId w:val="4"/>
        </w:numPr>
        <w:spacing w:line="360" w:lineRule="auto"/>
        <w:jc w:val="left"/>
        <w:rPr>
          <w:rFonts w:ascii="宋体" w:hAnsi="宋体"/>
          <w:sz w:val="24"/>
        </w:rPr>
      </w:pPr>
      <w:r>
        <w:rPr>
          <w:rFonts w:hint="eastAsia" w:ascii="宋体" w:hAnsi="宋体"/>
          <w:sz w:val="24"/>
        </w:rPr>
        <w:t>投标函；</w:t>
      </w:r>
    </w:p>
    <w:p>
      <w:pPr>
        <w:numPr>
          <w:ilvl w:val="0"/>
          <w:numId w:val="4"/>
        </w:numPr>
        <w:spacing w:line="360" w:lineRule="auto"/>
        <w:jc w:val="left"/>
        <w:rPr>
          <w:rFonts w:ascii="宋体" w:hAnsi="宋体"/>
          <w:b/>
          <w:bCs/>
          <w:sz w:val="24"/>
        </w:rPr>
      </w:pPr>
      <w:r>
        <w:rPr>
          <w:rFonts w:hint="eastAsia" w:ascii="宋体" w:hAnsi="宋体"/>
          <w:sz w:val="24"/>
        </w:rPr>
        <w:t>开标一览表；</w:t>
      </w:r>
    </w:p>
    <w:p>
      <w:pPr>
        <w:pStyle w:val="9"/>
        <w:numPr>
          <w:ilvl w:val="0"/>
          <w:numId w:val="4"/>
        </w:numPr>
        <w:spacing w:line="360" w:lineRule="auto"/>
        <w:jc w:val="left"/>
        <w:rPr>
          <w:rFonts w:hAnsi="宋体"/>
          <w:sz w:val="24"/>
        </w:rPr>
      </w:pPr>
      <w:r>
        <w:rPr>
          <w:rFonts w:hint="eastAsia" w:hAnsi="宋体"/>
          <w:sz w:val="24"/>
        </w:rPr>
        <w:t>报价明细表；</w:t>
      </w:r>
    </w:p>
    <w:p>
      <w:pPr>
        <w:pStyle w:val="9"/>
        <w:numPr>
          <w:ilvl w:val="0"/>
          <w:numId w:val="4"/>
        </w:numPr>
        <w:spacing w:line="360" w:lineRule="auto"/>
        <w:jc w:val="left"/>
        <w:rPr>
          <w:rFonts w:hAnsi="宋体"/>
          <w:sz w:val="24"/>
        </w:rPr>
      </w:pPr>
      <w:r>
        <w:rPr>
          <w:rFonts w:hint="eastAsia" w:hAnsi="宋体"/>
          <w:sz w:val="24"/>
        </w:rPr>
        <w:t>投标保证金汇款凭证</w:t>
      </w:r>
      <w:r>
        <w:rPr>
          <w:rFonts w:hint="eastAsia" w:hAnsi="宋体"/>
          <w:sz w:val="24"/>
          <w:lang w:eastAsia="zh-CN"/>
        </w:rPr>
        <w:t>（</w:t>
      </w:r>
      <w:r>
        <w:rPr>
          <w:rFonts w:hint="eastAsia" w:hAnsi="宋体"/>
          <w:sz w:val="24"/>
          <w:lang w:val="en-US" w:eastAsia="zh-CN"/>
        </w:rPr>
        <w:t>本项目不需要</w:t>
      </w:r>
      <w:r>
        <w:rPr>
          <w:rFonts w:hint="eastAsia" w:hAnsi="宋体"/>
          <w:sz w:val="24"/>
          <w:lang w:eastAsia="zh-CN"/>
        </w:rPr>
        <w:t>）</w:t>
      </w:r>
      <w:r>
        <w:rPr>
          <w:rFonts w:hint="eastAsia" w:hAnsi="宋体"/>
          <w:sz w:val="24"/>
        </w:rPr>
        <w:t>；</w:t>
      </w:r>
    </w:p>
    <w:p>
      <w:pPr>
        <w:pStyle w:val="9"/>
        <w:numPr>
          <w:ilvl w:val="0"/>
          <w:numId w:val="4"/>
        </w:numPr>
        <w:spacing w:line="360" w:lineRule="auto"/>
        <w:jc w:val="left"/>
        <w:rPr>
          <w:rFonts w:hAnsi="宋体"/>
          <w:sz w:val="24"/>
        </w:rPr>
      </w:pPr>
      <w:r>
        <w:rPr>
          <w:rFonts w:hint="eastAsia" w:hAnsi="宋体"/>
          <w:sz w:val="24"/>
        </w:rPr>
        <w:t>法定代表人身份证明（附法定代表人身份证复印件）；</w:t>
      </w:r>
    </w:p>
    <w:p>
      <w:pPr>
        <w:pStyle w:val="9"/>
        <w:numPr>
          <w:ilvl w:val="0"/>
          <w:numId w:val="4"/>
        </w:numPr>
        <w:spacing w:line="360" w:lineRule="auto"/>
        <w:jc w:val="left"/>
        <w:rPr>
          <w:rFonts w:hAnsi="宋体"/>
          <w:sz w:val="24"/>
        </w:rPr>
      </w:pPr>
      <w:r>
        <w:rPr>
          <w:rFonts w:hint="eastAsia" w:hAnsi="宋体"/>
          <w:sz w:val="24"/>
        </w:rPr>
        <w:t>法定代表人授权委托书（附委托代理人身份证复印件）；</w:t>
      </w:r>
    </w:p>
    <w:p>
      <w:pPr>
        <w:pStyle w:val="9"/>
        <w:numPr>
          <w:ilvl w:val="0"/>
          <w:numId w:val="4"/>
        </w:numPr>
        <w:spacing w:line="360" w:lineRule="auto"/>
        <w:jc w:val="left"/>
        <w:rPr>
          <w:rFonts w:hAnsi="宋体"/>
          <w:sz w:val="24"/>
        </w:rPr>
      </w:pPr>
      <w:r>
        <w:rPr>
          <w:rFonts w:hint="eastAsia" w:hAnsi="宋体"/>
          <w:sz w:val="24"/>
        </w:rPr>
        <w:t>供应商资格（填写供应商基本情况表，表后附以下证明资料）：</w:t>
      </w:r>
    </w:p>
    <w:p>
      <w:pPr>
        <w:pStyle w:val="9"/>
        <w:spacing w:line="360" w:lineRule="auto"/>
        <w:ind w:firstLine="720" w:firstLineChars="300"/>
        <w:jc w:val="left"/>
        <w:rPr>
          <w:rFonts w:hAnsi="宋体"/>
          <w:sz w:val="24"/>
        </w:rPr>
      </w:pPr>
      <w:r>
        <w:rPr>
          <w:rFonts w:hint="eastAsia" w:hAnsi="宋体"/>
          <w:sz w:val="24"/>
        </w:rPr>
        <w:t>1）包括企业简介、经营范围、职工人数、技术人员状况等；</w:t>
      </w:r>
    </w:p>
    <w:p>
      <w:pPr>
        <w:pStyle w:val="9"/>
        <w:spacing w:line="360" w:lineRule="auto"/>
        <w:ind w:left="420" w:leftChars="200" w:firstLine="240" w:firstLineChars="100"/>
        <w:jc w:val="left"/>
        <w:rPr>
          <w:rFonts w:hAnsi="宋体"/>
          <w:sz w:val="24"/>
        </w:rPr>
      </w:pPr>
      <w:r>
        <w:rPr>
          <w:rFonts w:hint="eastAsia" w:hAnsi="宋体"/>
          <w:sz w:val="24"/>
        </w:rPr>
        <w:t>2）供应商资格、能力、信誉及其它要求的证明材料</w:t>
      </w:r>
      <w:r>
        <w:rPr>
          <w:rFonts w:hint="eastAsia" w:hAnsi="宋体"/>
          <w:kern w:val="0"/>
          <w:sz w:val="24"/>
        </w:rPr>
        <w:t>；</w:t>
      </w:r>
    </w:p>
    <w:p>
      <w:pPr>
        <w:pStyle w:val="9"/>
        <w:spacing w:line="360" w:lineRule="auto"/>
        <w:ind w:left="710"/>
        <w:jc w:val="left"/>
        <w:rPr>
          <w:rFonts w:hAnsi="宋体"/>
          <w:kern w:val="0"/>
          <w:sz w:val="24"/>
        </w:rPr>
      </w:pPr>
      <w:r>
        <w:rPr>
          <w:rFonts w:hint="eastAsia" w:hAnsi="宋体"/>
          <w:kern w:val="0"/>
          <w:sz w:val="24"/>
        </w:rPr>
        <w:t>3）其它商务部分（</w:t>
      </w:r>
      <w:r>
        <w:rPr>
          <w:rFonts w:hint="eastAsia" w:hAnsi="宋体"/>
          <w:sz w:val="24"/>
        </w:rPr>
        <w:t>格式自行设计</w:t>
      </w:r>
      <w:r>
        <w:rPr>
          <w:rFonts w:hint="eastAsia" w:hAnsi="宋体"/>
          <w:kern w:val="0"/>
          <w:sz w:val="24"/>
        </w:rPr>
        <w:t>），按资格性、符合性、综合评分表要求提供。</w:t>
      </w:r>
    </w:p>
    <w:p>
      <w:pPr>
        <w:pStyle w:val="9"/>
        <w:adjustRightInd w:val="0"/>
        <w:snapToGrid w:val="0"/>
        <w:spacing w:line="360" w:lineRule="auto"/>
        <w:ind w:firstLine="720" w:firstLineChars="300"/>
        <w:rPr>
          <w:rFonts w:hAnsi="宋体"/>
          <w:kern w:val="0"/>
          <w:sz w:val="24"/>
        </w:rPr>
      </w:pPr>
      <w:r>
        <w:rPr>
          <w:rFonts w:hint="eastAsia" w:hAnsi="宋体"/>
          <w:sz w:val="24"/>
        </w:rPr>
        <w:t>4）商务偏离表</w:t>
      </w:r>
    </w:p>
    <w:p>
      <w:pPr>
        <w:pStyle w:val="9"/>
        <w:adjustRightInd w:val="0"/>
        <w:snapToGrid w:val="0"/>
        <w:spacing w:line="360" w:lineRule="auto"/>
        <w:ind w:firstLine="482" w:firstLineChars="200"/>
        <w:rPr>
          <w:rFonts w:hAnsi="宋体"/>
          <w:sz w:val="24"/>
        </w:rPr>
      </w:pPr>
      <w:r>
        <w:rPr>
          <w:rFonts w:hint="eastAsia" w:hAnsi="宋体"/>
          <w:b/>
          <w:sz w:val="24"/>
        </w:rPr>
        <w:t>2.2技术文件部分应包括：</w:t>
      </w:r>
    </w:p>
    <w:p>
      <w:pPr>
        <w:pStyle w:val="9"/>
        <w:spacing w:line="360" w:lineRule="auto"/>
        <w:ind w:firstLine="720" w:firstLineChars="300"/>
        <w:jc w:val="left"/>
        <w:rPr>
          <w:rFonts w:hAnsi="宋体"/>
          <w:sz w:val="24"/>
        </w:rPr>
      </w:pPr>
      <w:r>
        <w:rPr>
          <w:rFonts w:hint="eastAsia" w:hAnsi="宋体"/>
          <w:sz w:val="24"/>
        </w:rPr>
        <w:t>（1）投标保证金有效票据；</w:t>
      </w:r>
    </w:p>
    <w:p>
      <w:pPr>
        <w:pStyle w:val="9"/>
        <w:spacing w:line="360" w:lineRule="auto"/>
        <w:ind w:firstLine="720" w:firstLineChars="300"/>
        <w:jc w:val="left"/>
        <w:rPr>
          <w:rFonts w:hAnsi="宋体"/>
          <w:sz w:val="24"/>
        </w:rPr>
      </w:pPr>
      <w:r>
        <w:rPr>
          <w:rFonts w:hint="eastAsia" w:hAnsi="宋体"/>
          <w:sz w:val="24"/>
        </w:rPr>
        <w:t>（2）投标人资格审查表；</w:t>
      </w:r>
    </w:p>
    <w:p>
      <w:pPr>
        <w:pStyle w:val="9"/>
        <w:spacing w:line="360" w:lineRule="auto"/>
        <w:ind w:firstLine="720" w:firstLineChars="300"/>
        <w:jc w:val="left"/>
        <w:rPr>
          <w:rFonts w:hAnsi="宋体"/>
          <w:sz w:val="24"/>
        </w:rPr>
      </w:pPr>
      <w:r>
        <w:rPr>
          <w:rFonts w:hint="eastAsia" w:hAnsi="宋体"/>
          <w:sz w:val="24"/>
        </w:rPr>
        <w:t>a营业执照副本；</w:t>
      </w:r>
    </w:p>
    <w:p>
      <w:pPr>
        <w:pStyle w:val="9"/>
        <w:spacing w:line="360" w:lineRule="auto"/>
        <w:ind w:firstLine="720" w:firstLineChars="300"/>
        <w:jc w:val="left"/>
        <w:rPr>
          <w:rFonts w:hAnsi="宋体"/>
          <w:sz w:val="24"/>
        </w:rPr>
      </w:pPr>
      <w:r>
        <w:rPr>
          <w:rFonts w:hint="eastAsia" w:hAnsi="宋体"/>
          <w:sz w:val="24"/>
        </w:rPr>
        <w:t>b后服务及现场服务承诺；</w:t>
      </w:r>
    </w:p>
    <w:p>
      <w:pPr>
        <w:pStyle w:val="9"/>
        <w:spacing w:line="360" w:lineRule="auto"/>
        <w:ind w:firstLine="720" w:firstLineChars="300"/>
        <w:jc w:val="left"/>
        <w:rPr>
          <w:rFonts w:hAnsi="宋体"/>
          <w:sz w:val="24"/>
        </w:rPr>
      </w:pPr>
      <w:r>
        <w:rPr>
          <w:rFonts w:hint="eastAsia" w:hAnsi="宋体"/>
          <w:sz w:val="24"/>
        </w:rPr>
        <w:t>c参数偏离表；</w:t>
      </w:r>
    </w:p>
    <w:p>
      <w:pPr>
        <w:pStyle w:val="9"/>
        <w:spacing w:line="360" w:lineRule="auto"/>
        <w:ind w:firstLine="720" w:firstLineChars="300"/>
        <w:jc w:val="left"/>
        <w:rPr>
          <w:rFonts w:hAnsi="宋体"/>
          <w:sz w:val="24"/>
        </w:rPr>
      </w:pPr>
      <w:r>
        <w:rPr>
          <w:rFonts w:hint="eastAsia" w:hAnsi="宋体"/>
          <w:sz w:val="24"/>
        </w:rPr>
        <w:t>d售后服务（质保期、服务承诺、售后服务网点、技术人员）；</w:t>
      </w:r>
    </w:p>
    <w:p>
      <w:pPr>
        <w:pStyle w:val="9"/>
        <w:spacing w:line="360" w:lineRule="auto"/>
        <w:ind w:firstLine="720" w:firstLineChars="300"/>
        <w:jc w:val="left"/>
        <w:rPr>
          <w:rFonts w:hAnsi="宋体"/>
          <w:sz w:val="24"/>
        </w:rPr>
      </w:pPr>
      <w:r>
        <w:rPr>
          <w:rFonts w:hint="eastAsia" w:hAnsi="宋体"/>
          <w:sz w:val="24"/>
        </w:rPr>
        <w:t>e培训计划；</w:t>
      </w:r>
    </w:p>
    <w:p>
      <w:pPr>
        <w:pStyle w:val="9"/>
        <w:spacing w:line="360" w:lineRule="auto"/>
        <w:ind w:firstLine="720" w:firstLineChars="300"/>
        <w:jc w:val="left"/>
        <w:rPr>
          <w:rFonts w:hAnsi="宋体"/>
          <w:sz w:val="24"/>
        </w:rPr>
      </w:pPr>
      <w:r>
        <w:rPr>
          <w:rFonts w:hint="eastAsia" w:hAnsi="宋体"/>
          <w:sz w:val="24"/>
        </w:rPr>
        <w:t>f产品质量体系认证；</w:t>
      </w:r>
    </w:p>
    <w:p>
      <w:pPr>
        <w:pStyle w:val="9"/>
        <w:spacing w:line="360" w:lineRule="auto"/>
        <w:ind w:firstLine="720" w:firstLineChars="300"/>
        <w:jc w:val="left"/>
        <w:rPr>
          <w:rFonts w:hAnsi="宋体"/>
          <w:sz w:val="24"/>
        </w:rPr>
      </w:pPr>
      <w:r>
        <w:rPr>
          <w:rFonts w:hint="eastAsia" w:hAnsi="宋体"/>
          <w:sz w:val="24"/>
        </w:rPr>
        <w:t>g招标公告要求的其它资格证明文件；</w:t>
      </w:r>
    </w:p>
    <w:p>
      <w:pPr>
        <w:pStyle w:val="9"/>
        <w:spacing w:line="360" w:lineRule="auto"/>
        <w:ind w:firstLine="720" w:firstLineChars="300"/>
        <w:jc w:val="left"/>
        <w:rPr>
          <w:rFonts w:hAnsi="宋体"/>
          <w:sz w:val="24"/>
        </w:rPr>
      </w:pPr>
      <w:r>
        <w:rPr>
          <w:rFonts w:hint="eastAsia" w:hAnsi="宋体"/>
          <w:sz w:val="24"/>
        </w:rPr>
        <w:t>h提供近三年会计事务所出据的财务审计报告（注：近三年新成立的企业需提供自成立以来至今的财务报表）。</w:t>
      </w:r>
    </w:p>
    <w:p>
      <w:pPr>
        <w:pStyle w:val="9"/>
        <w:adjustRightInd w:val="0"/>
        <w:snapToGrid w:val="0"/>
        <w:spacing w:line="360" w:lineRule="auto"/>
        <w:ind w:firstLine="482" w:firstLineChars="200"/>
        <w:rPr>
          <w:rFonts w:hAnsi="宋体"/>
          <w:b/>
          <w:sz w:val="24"/>
        </w:rPr>
      </w:pPr>
      <w:r>
        <w:rPr>
          <w:rFonts w:hint="eastAsia" w:hAnsi="宋体"/>
          <w:b/>
          <w:sz w:val="24"/>
        </w:rPr>
        <w:t>2.3证明投标货物或服务符合招标文件规定的文件：</w:t>
      </w:r>
    </w:p>
    <w:p>
      <w:pPr>
        <w:pStyle w:val="9"/>
        <w:spacing w:line="360" w:lineRule="auto"/>
        <w:ind w:firstLine="720" w:firstLineChars="300"/>
        <w:jc w:val="left"/>
        <w:rPr>
          <w:rFonts w:hAnsi="宋体"/>
          <w:sz w:val="24"/>
        </w:rPr>
      </w:pPr>
      <w:r>
        <w:rPr>
          <w:rFonts w:hint="eastAsia" w:hAnsi="宋体"/>
          <w:sz w:val="24"/>
        </w:rPr>
        <w:t>（1）提交所有投标货物或服务和相应服务的合格性、符合性证明文件，该文件可以是文字资料、图表和数据等。</w:t>
      </w:r>
    </w:p>
    <w:p>
      <w:pPr>
        <w:pStyle w:val="9"/>
        <w:spacing w:line="360" w:lineRule="auto"/>
        <w:ind w:firstLine="720" w:firstLineChars="300"/>
        <w:jc w:val="left"/>
        <w:rPr>
          <w:rFonts w:hAnsi="宋体"/>
          <w:sz w:val="24"/>
        </w:rPr>
      </w:pPr>
      <w:r>
        <w:rPr>
          <w:rFonts w:hint="eastAsia" w:hAnsi="宋体"/>
          <w:sz w:val="24"/>
        </w:rPr>
        <w:t>（2）详细描述投标货物或服务的规格、功能、性能、技术参数以及与招标货物或服务的偏离情况等。</w:t>
      </w:r>
    </w:p>
    <w:p>
      <w:pPr>
        <w:pStyle w:val="9"/>
        <w:spacing w:line="360" w:lineRule="auto"/>
        <w:ind w:firstLine="720" w:firstLineChars="300"/>
        <w:jc w:val="left"/>
        <w:rPr>
          <w:rFonts w:hAnsi="宋体"/>
          <w:sz w:val="24"/>
        </w:rPr>
      </w:pPr>
      <w:r>
        <w:rPr>
          <w:rFonts w:hint="eastAsia" w:hAnsi="宋体"/>
          <w:sz w:val="24"/>
        </w:rPr>
        <w:t>（3）投标人认为需要补充的其它资料文件。</w:t>
      </w:r>
    </w:p>
    <w:p>
      <w:pPr>
        <w:pStyle w:val="9"/>
        <w:spacing w:line="360" w:lineRule="auto"/>
        <w:ind w:firstLine="241" w:firstLineChars="100"/>
        <w:outlineLvl w:val="2"/>
        <w:rPr>
          <w:rFonts w:hAnsi="宋体" w:cs="宋体"/>
          <w:sz w:val="24"/>
        </w:rPr>
      </w:pPr>
      <w:bookmarkStart w:id="168" w:name="_Toc484102392"/>
      <w:bookmarkStart w:id="169" w:name="_Toc469524755"/>
      <w:bookmarkStart w:id="170" w:name="_Toc485912322"/>
      <w:bookmarkStart w:id="171" w:name="_Toc458096899"/>
      <w:r>
        <w:rPr>
          <w:rFonts w:hint="eastAsia" w:hAnsi="宋体" w:cs="宋体"/>
          <w:b/>
          <w:bCs/>
          <w:sz w:val="24"/>
        </w:rPr>
        <w:t>3.</w:t>
      </w:r>
      <w:r>
        <w:rPr>
          <w:rFonts w:hint="eastAsia" w:hAnsi="宋体" w:cs="宋体"/>
          <w:b/>
          <w:sz w:val="24"/>
        </w:rPr>
        <w:t>价格</w:t>
      </w:r>
      <w:bookmarkEnd w:id="168"/>
      <w:bookmarkEnd w:id="169"/>
      <w:bookmarkEnd w:id="170"/>
      <w:bookmarkEnd w:id="171"/>
    </w:p>
    <w:p>
      <w:pPr>
        <w:tabs>
          <w:tab w:val="left" w:pos="8640"/>
        </w:tabs>
        <w:spacing w:line="360" w:lineRule="auto"/>
        <w:ind w:firstLine="472" w:firstLineChars="196"/>
        <w:rPr>
          <w:rFonts w:ascii="宋体" w:hAnsi="宋体"/>
          <w:b/>
          <w:sz w:val="24"/>
        </w:rPr>
      </w:pPr>
      <w:r>
        <w:rPr>
          <w:rFonts w:hint="eastAsia" w:ascii="宋体" w:hAnsi="宋体"/>
          <w:b/>
          <w:sz w:val="24"/>
        </w:rPr>
        <w:t>（1）报价方式：</w:t>
      </w:r>
    </w:p>
    <w:p>
      <w:pPr>
        <w:spacing w:line="360" w:lineRule="auto"/>
        <w:ind w:firstLine="600" w:firstLineChars="250"/>
        <w:rPr>
          <w:rFonts w:ascii="宋体" w:hAnsi="宋体"/>
          <w:sz w:val="24"/>
        </w:rPr>
      </w:pPr>
      <w:r>
        <w:rPr>
          <w:rFonts w:hint="eastAsia" w:ascii="宋体" w:hAnsi="宋体"/>
          <w:sz w:val="24"/>
        </w:rPr>
        <w:t>投标人应按磋商文件规定的供货及服务要求、责任范围和合同条件，以人民币进行报价</w:t>
      </w:r>
    </w:p>
    <w:p>
      <w:pPr>
        <w:tabs>
          <w:tab w:val="left" w:pos="8640"/>
        </w:tabs>
        <w:spacing w:line="360" w:lineRule="auto"/>
        <w:ind w:firstLine="236" w:firstLineChars="98"/>
        <w:rPr>
          <w:rFonts w:ascii="宋体" w:hAnsi="宋体"/>
          <w:b/>
          <w:sz w:val="24"/>
        </w:rPr>
      </w:pPr>
      <w:r>
        <w:rPr>
          <w:rFonts w:hint="eastAsia" w:ascii="宋体" w:hAnsi="宋体"/>
          <w:b/>
          <w:sz w:val="24"/>
        </w:rPr>
        <w:t>（2）报价要求：</w:t>
      </w:r>
    </w:p>
    <w:p>
      <w:pPr>
        <w:spacing w:line="360" w:lineRule="auto"/>
        <w:ind w:firstLine="600" w:firstLineChars="250"/>
        <w:rPr>
          <w:rFonts w:ascii="宋体" w:hAnsi="宋体"/>
          <w:sz w:val="24"/>
        </w:rPr>
      </w:pPr>
      <w:r>
        <w:rPr>
          <w:rFonts w:hint="eastAsia" w:ascii="宋体" w:hAnsi="宋体"/>
          <w:sz w:val="24"/>
        </w:rPr>
        <w:t>①本项目只允许供应商在磋商响应文件中有一个投标方案，不接受任何有选择的方案和报价；供应商未按要求，提供了选择方案和/或报价的，其投标将被视为无效投标。</w:t>
      </w:r>
    </w:p>
    <w:p>
      <w:pPr>
        <w:spacing w:line="360" w:lineRule="auto"/>
        <w:ind w:firstLine="600" w:firstLineChars="250"/>
        <w:rPr>
          <w:rFonts w:ascii="宋体" w:hAnsi="宋体"/>
          <w:sz w:val="24"/>
        </w:rPr>
      </w:pPr>
      <w:r>
        <w:rPr>
          <w:rFonts w:hint="eastAsia" w:ascii="宋体" w:hAnsi="宋体"/>
          <w:sz w:val="24"/>
        </w:rPr>
        <w:sym w:font="Wingdings" w:char="F082"/>
      </w:r>
      <w:r>
        <w:rPr>
          <w:rFonts w:hint="eastAsia" w:ascii="宋体" w:hAnsi="宋体"/>
          <w:sz w:val="24"/>
        </w:rPr>
        <w:t>供应商按磋商文件要求填写“开标一览表”。</w:t>
      </w:r>
    </w:p>
    <w:p>
      <w:pPr>
        <w:spacing w:line="360" w:lineRule="auto"/>
        <w:ind w:firstLine="600" w:firstLineChars="250"/>
        <w:rPr>
          <w:rFonts w:ascii="宋体" w:hAnsi="宋体"/>
          <w:sz w:val="24"/>
        </w:rPr>
      </w:pPr>
      <w:r>
        <w:rPr>
          <w:rFonts w:hint="eastAsia" w:ascii="宋体" w:hAnsi="宋体"/>
          <w:sz w:val="24"/>
        </w:rPr>
        <w:sym w:font="Wingdings" w:char="F083"/>
      </w:r>
      <w:r>
        <w:rPr>
          <w:rFonts w:hint="eastAsia" w:ascii="宋体" w:hAnsi="宋体"/>
          <w:sz w:val="24"/>
        </w:rPr>
        <w:t>报价：</w:t>
      </w:r>
      <w:bookmarkStart w:id="172" w:name="_Toc485912323"/>
      <w:bookmarkStart w:id="173" w:name="_Toc484102393"/>
      <w:bookmarkStart w:id="174" w:name="_Toc458096900"/>
      <w:bookmarkStart w:id="175" w:name="_Toc469524756"/>
    </w:p>
    <w:p>
      <w:pPr>
        <w:spacing w:line="360" w:lineRule="auto"/>
        <w:ind w:firstLine="600" w:firstLineChars="250"/>
        <w:rPr>
          <w:rFonts w:ascii="宋体" w:hAnsi="宋体"/>
          <w:sz w:val="24"/>
        </w:rPr>
      </w:pPr>
      <w:r>
        <w:rPr>
          <w:rFonts w:hint="eastAsia" w:ascii="宋体" w:hAnsi="宋体"/>
          <w:sz w:val="24"/>
        </w:rPr>
        <w:t>1磋商报价是履行合同的最终价格，应包括为完成本项目所涉及的一切费用。</w:t>
      </w:r>
    </w:p>
    <w:p>
      <w:pPr>
        <w:spacing w:line="360" w:lineRule="auto"/>
        <w:ind w:firstLine="600" w:firstLineChars="250"/>
        <w:rPr>
          <w:rFonts w:ascii="宋体" w:hAnsi="宋体"/>
          <w:sz w:val="24"/>
        </w:rPr>
      </w:pPr>
      <w:r>
        <w:rPr>
          <w:rFonts w:hint="eastAsia" w:ascii="宋体" w:hAnsi="宋体"/>
          <w:sz w:val="24"/>
        </w:rPr>
        <w:t>2 磋商响应文件只允许有一个报价，有选择的或有条件的报价将不予接受（特别说明的除外）。</w:t>
      </w:r>
    </w:p>
    <w:p>
      <w:pPr>
        <w:pStyle w:val="5"/>
        <w:spacing w:before="0" w:after="0" w:line="360" w:lineRule="auto"/>
        <w:rPr>
          <w:rFonts w:ascii="宋体" w:hAnsi="宋体"/>
          <w:sz w:val="24"/>
        </w:rPr>
      </w:pPr>
      <w:r>
        <w:rPr>
          <w:rFonts w:hint="eastAsia" w:ascii="宋体" w:hAnsi="宋体"/>
          <w:sz w:val="24"/>
        </w:rPr>
        <w:t>4.磋商响应文件格式</w:t>
      </w:r>
      <w:bookmarkEnd w:id="172"/>
      <w:bookmarkEnd w:id="173"/>
      <w:bookmarkEnd w:id="174"/>
      <w:bookmarkEnd w:id="175"/>
    </w:p>
    <w:p>
      <w:pPr>
        <w:adjustRightInd w:val="0"/>
        <w:snapToGrid w:val="0"/>
        <w:spacing w:line="360" w:lineRule="auto"/>
        <w:ind w:firstLine="480" w:firstLineChars="200"/>
        <w:rPr>
          <w:rFonts w:ascii="宋体" w:hAnsi="宋体"/>
          <w:sz w:val="24"/>
        </w:rPr>
      </w:pPr>
      <w:r>
        <w:rPr>
          <w:rFonts w:hint="eastAsia" w:ascii="宋体" w:hAnsi="宋体"/>
          <w:sz w:val="24"/>
        </w:rPr>
        <w:t>4.1供应商应按《磋商文件》的内容与要求和第五章提供的格式编写其《磋商响应文件》，供应商不得空留或缺少任何《磋商文件》要求填写的表格或提交的资料，未列出格式的部分供应商可自行编制。</w:t>
      </w:r>
    </w:p>
    <w:p>
      <w:pPr>
        <w:adjustRightInd w:val="0"/>
        <w:snapToGrid w:val="0"/>
        <w:spacing w:line="360" w:lineRule="auto"/>
        <w:ind w:firstLine="480" w:firstLineChars="200"/>
        <w:rPr>
          <w:rFonts w:ascii="宋体" w:hAnsi="宋体"/>
          <w:sz w:val="24"/>
        </w:rPr>
      </w:pPr>
      <w:r>
        <w:rPr>
          <w:rFonts w:hint="eastAsia" w:ascii="宋体" w:hAnsi="宋体"/>
          <w:sz w:val="24"/>
        </w:rPr>
        <w:t>4.2供应商提交的《磋商响应文件》中全部资料必须真实可靠，并接受采购人、招标代理机构对其中任何资料进一步审查的要求。</w:t>
      </w:r>
    </w:p>
    <w:p>
      <w:pPr>
        <w:pStyle w:val="5"/>
        <w:spacing w:before="0" w:after="0" w:line="360" w:lineRule="auto"/>
        <w:rPr>
          <w:rFonts w:ascii="宋体" w:hAnsi="宋体"/>
          <w:sz w:val="24"/>
        </w:rPr>
      </w:pPr>
      <w:bookmarkStart w:id="176" w:name="_Toc485912324"/>
      <w:bookmarkStart w:id="177" w:name="_Toc484102394"/>
      <w:bookmarkStart w:id="178" w:name="_Toc458096901"/>
      <w:bookmarkStart w:id="179" w:name="_Toc469524757"/>
      <w:r>
        <w:rPr>
          <w:rFonts w:hint="eastAsia" w:ascii="宋体" w:hAnsi="宋体"/>
          <w:sz w:val="24"/>
        </w:rPr>
        <w:t>5.投标有效期和</w:t>
      </w:r>
      <w:bookmarkEnd w:id="176"/>
      <w:bookmarkEnd w:id="177"/>
      <w:bookmarkEnd w:id="178"/>
      <w:bookmarkEnd w:id="179"/>
      <w:r>
        <w:rPr>
          <w:rFonts w:hint="eastAsia" w:ascii="宋体" w:hAnsi="宋体"/>
          <w:sz w:val="24"/>
        </w:rPr>
        <w:t>服务期限</w:t>
      </w:r>
    </w:p>
    <w:p>
      <w:pPr>
        <w:pStyle w:val="25"/>
        <w:numPr>
          <w:ilvl w:val="0"/>
          <w:numId w:val="0"/>
        </w:numPr>
        <w:spacing w:line="360" w:lineRule="auto"/>
        <w:ind w:firstLine="480" w:firstLineChars="200"/>
        <w:textAlignment w:val="auto"/>
        <w:rPr>
          <w:sz w:val="24"/>
          <w:szCs w:val="24"/>
        </w:rPr>
      </w:pPr>
      <w:r>
        <w:rPr>
          <w:sz w:val="24"/>
        </w:rPr>
        <w:t>5.1</w:t>
      </w:r>
      <w:r>
        <w:rPr>
          <w:rFonts w:hint="eastAsia"/>
          <w:sz w:val="24"/>
          <w:szCs w:val="24"/>
        </w:rPr>
        <w:t>磋商响应文件有效期从开标日起计算90天，有效期短于该规定期限的磋商响应文件将被拒绝。</w:t>
      </w:r>
      <w:r>
        <w:rPr>
          <w:rFonts w:hint="eastAsia"/>
          <w:sz w:val="24"/>
        </w:rPr>
        <w:t>在此期限内，</w:t>
      </w:r>
      <w:r>
        <w:rPr>
          <w:rFonts w:hint="eastAsia" w:cs="宋体"/>
          <w:sz w:val="24"/>
        </w:rPr>
        <w:t>供应商</w:t>
      </w:r>
      <w:r>
        <w:rPr>
          <w:rFonts w:cs="宋体"/>
          <w:sz w:val="24"/>
        </w:rPr>
        <w:t>不得要求撤销或修改其</w:t>
      </w:r>
      <w:r>
        <w:rPr>
          <w:rFonts w:hint="eastAsia" w:cs="宋体"/>
          <w:sz w:val="24"/>
        </w:rPr>
        <w:t>磋商响应文件</w:t>
      </w:r>
      <w:r>
        <w:rPr>
          <w:rFonts w:hint="eastAsia"/>
          <w:sz w:val="24"/>
        </w:rPr>
        <w:t>。（投标单位须在投标文件中做出响应）</w:t>
      </w:r>
    </w:p>
    <w:p>
      <w:pPr>
        <w:pStyle w:val="9"/>
        <w:tabs>
          <w:tab w:val="left" w:pos="732"/>
        </w:tabs>
        <w:spacing w:line="360" w:lineRule="auto"/>
        <w:ind w:firstLine="480" w:firstLineChars="200"/>
        <w:rPr>
          <w:rFonts w:hAnsi="宋体"/>
          <w:sz w:val="24"/>
        </w:rPr>
      </w:pPr>
      <w:r>
        <w:rPr>
          <w:rFonts w:hAnsi="宋体"/>
          <w:sz w:val="24"/>
        </w:rPr>
        <w:t>5.3</w:t>
      </w:r>
      <w:r>
        <w:rPr>
          <w:rFonts w:hint="eastAsia" w:hAnsi="宋体"/>
          <w:sz w:val="24"/>
        </w:rPr>
        <w:t>若供应商被确定为本次中标供应商，则其作为本项目服务商的资格。</w:t>
      </w:r>
    </w:p>
    <w:p>
      <w:pPr>
        <w:pStyle w:val="23"/>
        <w:adjustRightInd w:val="0"/>
        <w:snapToGrid w:val="0"/>
        <w:spacing w:line="360" w:lineRule="auto"/>
        <w:ind w:firstLine="480"/>
        <w:rPr>
          <w:rFonts w:ascii="宋体" w:hAnsi="宋体"/>
          <w:sz w:val="24"/>
        </w:rPr>
      </w:pPr>
      <w:bookmarkStart w:id="180" w:name="_Toc440618808"/>
      <w:bookmarkStart w:id="181" w:name="_Toc440006352"/>
      <w:bookmarkStart w:id="182" w:name="_Toc457219454"/>
      <w:bookmarkStart w:id="183" w:name="_Toc443313547"/>
      <w:bookmarkStart w:id="184" w:name="_Toc443313396"/>
      <w:bookmarkStart w:id="185" w:name="_Toc440010891"/>
      <w:bookmarkStart w:id="186" w:name="_Toc440062296"/>
      <w:r>
        <w:rPr>
          <w:rFonts w:ascii="宋体" w:hAnsi="宋体"/>
          <w:sz w:val="24"/>
        </w:rPr>
        <w:t>5.4</w:t>
      </w:r>
      <w:r>
        <w:rPr>
          <w:rFonts w:hint="eastAsia" w:ascii="宋体" w:hAnsi="宋体"/>
          <w:sz w:val="24"/>
        </w:rPr>
        <w:t>在特殊情况下，采购人在原定投标有效期内，可以根据需要以书面形式向供应商提出延长投标有效期的要求，对此要求供应商须以书面形式予以答复。供应商可以拒绝采购人这种要求，而不被没收投标保证金。同意延长投标有效期的供应商既不能要求也不允许修改其磋商响应文件，但需要相应的延长投标担保的有效期，在延长的投标有效期内本须知第30条关于投标保证金的退还与没收的规定仍然适用。</w:t>
      </w:r>
      <w:bookmarkEnd w:id="180"/>
      <w:bookmarkEnd w:id="181"/>
      <w:bookmarkEnd w:id="182"/>
      <w:bookmarkEnd w:id="183"/>
      <w:bookmarkEnd w:id="184"/>
      <w:bookmarkEnd w:id="185"/>
      <w:bookmarkEnd w:id="186"/>
    </w:p>
    <w:p>
      <w:pPr>
        <w:pStyle w:val="5"/>
        <w:spacing w:before="0" w:after="0" w:line="360" w:lineRule="auto"/>
        <w:rPr>
          <w:rFonts w:ascii="宋体" w:hAnsi="宋体"/>
          <w:sz w:val="24"/>
        </w:rPr>
      </w:pPr>
      <w:bookmarkStart w:id="187" w:name="_Toc397067889"/>
      <w:bookmarkStart w:id="188" w:name="_Toc443313397"/>
      <w:bookmarkStart w:id="189" w:name="_Toc458096902"/>
      <w:bookmarkStart w:id="190" w:name="_Toc469524758"/>
      <w:bookmarkStart w:id="191" w:name="_Toc440010892"/>
      <w:bookmarkStart w:id="192" w:name="_Toc443313548"/>
      <w:bookmarkStart w:id="193" w:name="_Toc484102395"/>
      <w:bookmarkStart w:id="194" w:name="_Toc457219455"/>
      <w:bookmarkStart w:id="195" w:name="_Toc440006353"/>
      <w:bookmarkStart w:id="196" w:name="_Toc440062297"/>
      <w:bookmarkStart w:id="197" w:name="_Toc485912325"/>
      <w:bookmarkStart w:id="198" w:name="_Toc440618809"/>
      <w:r>
        <w:rPr>
          <w:rFonts w:hint="eastAsia" w:ascii="宋体" w:hAnsi="宋体"/>
          <w:sz w:val="24"/>
        </w:rPr>
        <w:t>6.投标保证金</w:t>
      </w:r>
      <w:bookmarkEnd w:id="187"/>
      <w:bookmarkEnd w:id="188"/>
      <w:bookmarkEnd w:id="189"/>
      <w:bookmarkEnd w:id="190"/>
      <w:bookmarkEnd w:id="191"/>
      <w:bookmarkEnd w:id="192"/>
      <w:bookmarkEnd w:id="193"/>
      <w:bookmarkEnd w:id="194"/>
      <w:bookmarkEnd w:id="195"/>
      <w:bookmarkEnd w:id="196"/>
      <w:bookmarkEnd w:id="197"/>
      <w:bookmarkEnd w:id="198"/>
    </w:p>
    <w:p>
      <w:pPr>
        <w:spacing w:line="480" w:lineRule="exact"/>
        <w:rPr>
          <w:rFonts w:ascii="宋体" w:hAnsi="宋体"/>
          <w:sz w:val="24"/>
        </w:rPr>
      </w:pPr>
      <w:r>
        <w:rPr>
          <w:rFonts w:hint="eastAsia" w:ascii="宋体" w:hAnsi="宋体"/>
          <w:sz w:val="24"/>
        </w:rPr>
        <w:t>6.1投标保证金金额及缴纳方式详见“投标须知前附表”。</w:t>
      </w:r>
    </w:p>
    <w:p>
      <w:pPr>
        <w:spacing w:line="480" w:lineRule="exact"/>
        <w:rPr>
          <w:rFonts w:ascii="宋体" w:hAnsi="宋体"/>
          <w:sz w:val="24"/>
        </w:rPr>
      </w:pPr>
      <w:r>
        <w:rPr>
          <w:rFonts w:hint="eastAsia" w:ascii="宋体" w:hAnsi="宋体"/>
          <w:sz w:val="24"/>
        </w:rPr>
        <w:t>6.2投标人须将汇转凭证复印件装订在投标文件内，证明其具有投标资格。</w:t>
      </w:r>
    </w:p>
    <w:p>
      <w:pPr>
        <w:spacing w:line="480" w:lineRule="exact"/>
        <w:rPr>
          <w:rFonts w:ascii="宋体" w:hAnsi="宋体"/>
          <w:sz w:val="24"/>
        </w:rPr>
      </w:pPr>
      <w:r>
        <w:rPr>
          <w:rFonts w:hint="eastAsia" w:ascii="宋体" w:hAnsi="宋体"/>
          <w:sz w:val="24"/>
        </w:rPr>
        <w:t>6.3未中标投标人的保证金应当在中标通知书发出后5个工作日内退还，中标人的保证金应当在采购合同签订后5个工作日内退还。</w:t>
      </w:r>
    </w:p>
    <w:p>
      <w:pPr>
        <w:widowControl/>
        <w:spacing w:line="480" w:lineRule="exact"/>
        <w:ind w:left="425" w:firstLine="120" w:firstLineChars="50"/>
        <w:jc w:val="left"/>
        <w:rPr>
          <w:rFonts w:ascii="宋体" w:hAnsi="宋体"/>
          <w:sz w:val="24"/>
        </w:rPr>
      </w:pPr>
      <w:r>
        <w:rPr>
          <w:rFonts w:hint="eastAsia" w:ascii="宋体" w:hAnsi="宋体"/>
          <w:sz w:val="24"/>
        </w:rPr>
        <w:t>有下列情形之一的，保证金不予退还：</w:t>
      </w:r>
    </w:p>
    <w:p>
      <w:pPr>
        <w:widowControl/>
        <w:spacing w:line="480" w:lineRule="exact"/>
        <w:ind w:left="425"/>
        <w:jc w:val="left"/>
        <w:rPr>
          <w:rFonts w:ascii="宋体" w:hAnsi="宋体"/>
          <w:sz w:val="24"/>
        </w:rPr>
      </w:pPr>
      <w:r>
        <w:rPr>
          <w:rFonts w:hint="eastAsia" w:ascii="宋体" w:hAnsi="宋体"/>
          <w:sz w:val="24"/>
        </w:rPr>
        <w:t>（1）投标人在提交投标文件截止时间后撤回投标文件的；</w:t>
      </w:r>
    </w:p>
    <w:p>
      <w:pPr>
        <w:widowControl/>
        <w:spacing w:line="480" w:lineRule="exact"/>
        <w:ind w:left="425"/>
        <w:jc w:val="left"/>
        <w:rPr>
          <w:rFonts w:ascii="宋体" w:hAnsi="宋体"/>
          <w:sz w:val="24"/>
        </w:rPr>
      </w:pPr>
      <w:r>
        <w:rPr>
          <w:rFonts w:hint="eastAsia" w:ascii="宋体" w:hAnsi="宋体"/>
          <w:sz w:val="24"/>
        </w:rPr>
        <w:t>（2）投标人在投标文件中提供虚假材料的；</w:t>
      </w:r>
    </w:p>
    <w:p>
      <w:pPr>
        <w:widowControl/>
        <w:spacing w:line="480" w:lineRule="exact"/>
        <w:ind w:left="425"/>
        <w:jc w:val="left"/>
        <w:rPr>
          <w:rFonts w:ascii="宋体" w:hAnsi="宋体"/>
          <w:sz w:val="24"/>
        </w:rPr>
      </w:pPr>
      <w:r>
        <w:rPr>
          <w:rFonts w:hint="eastAsia" w:ascii="宋体" w:hAnsi="宋体"/>
          <w:sz w:val="24"/>
        </w:rPr>
        <w:t>（3）除因不可抗力或招标文件认可的情形以外，中标人不与招标人签订合同的；</w:t>
      </w:r>
    </w:p>
    <w:p>
      <w:pPr>
        <w:widowControl/>
        <w:spacing w:line="480" w:lineRule="exact"/>
        <w:ind w:left="425"/>
        <w:jc w:val="left"/>
        <w:rPr>
          <w:rFonts w:ascii="宋体" w:hAnsi="宋体"/>
          <w:sz w:val="24"/>
        </w:rPr>
      </w:pPr>
      <w:r>
        <w:rPr>
          <w:rFonts w:hint="eastAsia" w:ascii="宋体" w:hAnsi="宋体"/>
          <w:sz w:val="24"/>
        </w:rPr>
        <w:t>（4）投标人与招标人、其他投标人或者招标代理机构恶意串通的；</w:t>
      </w:r>
    </w:p>
    <w:p>
      <w:pPr>
        <w:widowControl/>
        <w:spacing w:line="480" w:lineRule="exact"/>
        <w:ind w:left="425"/>
        <w:jc w:val="left"/>
        <w:rPr>
          <w:rFonts w:ascii="宋体" w:hAnsi="宋体"/>
          <w:sz w:val="24"/>
        </w:rPr>
      </w:pPr>
      <w:r>
        <w:rPr>
          <w:rFonts w:hint="eastAsia" w:ascii="宋体" w:hAnsi="宋体"/>
          <w:sz w:val="24"/>
        </w:rPr>
        <w:t>（5）招标文件规定的其他情形。</w:t>
      </w:r>
    </w:p>
    <w:p>
      <w:pPr>
        <w:pStyle w:val="5"/>
        <w:spacing w:before="0" w:after="0" w:line="360" w:lineRule="auto"/>
        <w:rPr>
          <w:rFonts w:ascii="宋体" w:hAnsi="宋体"/>
          <w:sz w:val="24"/>
        </w:rPr>
      </w:pPr>
    </w:p>
    <w:p>
      <w:pPr>
        <w:pStyle w:val="5"/>
        <w:spacing w:before="0" w:after="0" w:line="360" w:lineRule="auto"/>
        <w:rPr>
          <w:rFonts w:ascii="宋体" w:hAnsi="宋体"/>
          <w:sz w:val="24"/>
        </w:rPr>
      </w:pPr>
      <w:r>
        <w:rPr>
          <w:rFonts w:hint="eastAsia" w:ascii="宋体" w:hAnsi="宋体"/>
          <w:sz w:val="24"/>
        </w:rPr>
        <w:t>7.磋商响应文件的印制和签署</w:t>
      </w:r>
    </w:p>
    <w:p>
      <w:pPr>
        <w:spacing w:line="360" w:lineRule="auto"/>
        <w:ind w:firstLine="480" w:firstLineChars="200"/>
        <w:rPr>
          <w:rFonts w:ascii="宋体" w:hAnsi="宋体"/>
          <w:bCs/>
          <w:sz w:val="24"/>
        </w:rPr>
      </w:pPr>
      <w:r>
        <w:rPr>
          <w:rFonts w:hint="eastAsia" w:ascii="宋体" w:hAnsi="宋体"/>
          <w:sz w:val="24"/>
        </w:rPr>
        <w:t>7.1供应商</w:t>
      </w:r>
      <w:r>
        <w:rPr>
          <w:rFonts w:hint="eastAsia" w:ascii="宋体" w:hAnsi="宋体"/>
          <w:bCs/>
          <w:sz w:val="24"/>
        </w:rPr>
        <w:t>应按“</w:t>
      </w:r>
      <w:r>
        <w:rPr>
          <w:rFonts w:hint="eastAsia" w:ascii="宋体" w:hAnsi="宋体"/>
          <w:sz w:val="24"/>
        </w:rPr>
        <w:t>供应商</w:t>
      </w:r>
      <w:r>
        <w:rPr>
          <w:rFonts w:hint="eastAsia" w:ascii="宋体" w:hAnsi="宋体"/>
          <w:bCs/>
          <w:sz w:val="24"/>
        </w:rPr>
        <w:t>须知前附表”规定的份数提交《磋商响应文件》，否则视为无效投标。</w:t>
      </w:r>
    </w:p>
    <w:p>
      <w:pPr>
        <w:autoSpaceDE w:val="0"/>
        <w:autoSpaceDN w:val="0"/>
        <w:adjustRightInd w:val="0"/>
        <w:snapToGrid w:val="0"/>
        <w:spacing w:line="360" w:lineRule="auto"/>
        <w:ind w:firstLine="480" w:firstLineChars="200"/>
        <w:jc w:val="left"/>
        <w:rPr>
          <w:rFonts w:ascii="宋体" w:hAnsi="宋体"/>
          <w:sz w:val="24"/>
        </w:rPr>
      </w:pPr>
      <w:r>
        <w:rPr>
          <w:rFonts w:hint="eastAsia" w:ascii="宋体" w:hAnsi="宋体"/>
          <w:sz w:val="24"/>
        </w:rPr>
        <w:t>7.2 《磋商响应文件》的正本和副本均需打印或使用不褪色墨水笔书写，字迹应清晰易于辨认，并应在《磋商响应文件》封面的右上角清楚地注明“正本”或“副本”，正本应由法人或授权委托人在右下角逐页签字加盖公章并在标书侧面加盖骑缝章，正本和副本如有不一致之处，以正本为准。</w:t>
      </w:r>
    </w:p>
    <w:p>
      <w:pPr>
        <w:spacing w:line="360" w:lineRule="auto"/>
        <w:ind w:firstLine="480" w:firstLineChars="200"/>
        <w:rPr>
          <w:rFonts w:ascii="宋体" w:hAnsi="宋体"/>
          <w:sz w:val="24"/>
        </w:rPr>
      </w:pPr>
      <w:r>
        <w:rPr>
          <w:rFonts w:hint="eastAsia" w:ascii="宋体" w:hAnsi="宋体"/>
          <w:sz w:val="24"/>
        </w:rPr>
        <w:t>7.3 《磋商响应文件》的正本和副本均应加盖投标单位公章并经法定代表人或其委托代理人签字。由委托代理人签字或盖章的《磋商响应文件》中须同时提交“法定代表人授权委托书”。</w:t>
      </w:r>
    </w:p>
    <w:p>
      <w:pPr>
        <w:autoSpaceDE w:val="0"/>
        <w:autoSpaceDN w:val="0"/>
        <w:adjustRightInd w:val="0"/>
        <w:snapToGrid w:val="0"/>
        <w:spacing w:line="360" w:lineRule="auto"/>
        <w:ind w:firstLine="480" w:firstLineChars="200"/>
        <w:jc w:val="left"/>
        <w:rPr>
          <w:rFonts w:ascii="宋体" w:hAnsi="宋体"/>
          <w:sz w:val="24"/>
        </w:rPr>
      </w:pPr>
      <w:r>
        <w:rPr>
          <w:rFonts w:hint="eastAsia" w:ascii="宋体" w:hAnsi="宋体"/>
          <w:sz w:val="24"/>
        </w:rPr>
        <w:t>7.4 除供应商对错误处须修改外，全套《磋商响应文件》应无涂改或行间插字和增删。如有修改，修改处应由供应商加盖投标单位的印章或由《磋商响应文件》签字人签字或盖章。字迹潦草、表达不清或可能导致非唯一理解的磋商响应文件可能视为无效投标。</w:t>
      </w:r>
    </w:p>
    <w:p>
      <w:pPr>
        <w:autoSpaceDE w:val="0"/>
        <w:autoSpaceDN w:val="0"/>
        <w:adjustRightInd w:val="0"/>
        <w:snapToGrid w:val="0"/>
        <w:spacing w:line="360" w:lineRule="auto"/>
        <w:ind w:firstLine="480" w:firstLineChars="200"/>
        <w:jc w:val="left"/>
        <w:rPr>
          <w:rFonts w:ascii="宋体" w:hAnsi="宋体"/>
          <w:sz w:val="24"/>
        </w:rPr>
      </w:pPr>
      <w:r>
        <w:rPr>
          <w:rFonts w:hint="eastAsia" w:ascii="宋体" w:hAnsi="宋体"/>
          <w:sz w:val="24"/>
        </w:rPr>
        <w:t>7.5 《磋商响应文件》的印制应采用70克以上的复印纸打印，采用胶装方式装订，即不可抽取调换内页的书式平装方式，无脱落无散页，有目录、有页码，否则将被视为无效投标。</w:t>
      </w:r>
    </w:p>
    <w:p>
      <w:pPr>
        <w:spacing w:line="360" w:lineRule="auto"/>
        <w:ind w:firstLine="480" w:firstLineChars="200"/>
        <w:rPr>
          <w:rFonts w:ascii="宋体" w:hAnsi="宋体"/>
          <w:sz w:val="24"/>
        </w:rPr>
      </w:pPr>
      <w:r>
        <w:rPr>
          <w:rFonts w:hint="eastAsia" w:ascii="宋体" w:hAnsi="宋体"/>
          <w:sz w:val="24"/>
        </w:rPr>
        <w:t>7.6 《磋商响应文件》中营业执照、授权委托书、法定代表人资格证明、法人及授权委托人身份证复印件均需加盖复印无效的章子；</w:t>
      </w:r>
    </w:p>
    <w:p>
      <w:pPr>
        <w:spacing w:line="360" w:lineRule="auto"/>
        <w:ind w:firstLine="480" w:firstLineChars="200"/>
        <w:rPr>
          <w:rFonts w:ascii="宋体" w:hAnsi="宋体"/>
          <w:sz w:val="24"/>
        </w:rPr>
      </w:pPr>
      <w:r>
        <w:rPr>
          <w:rFonts w:hint="eastAsia" w:ascii="宋体" w:hAnsi="宋体"/>
          <w:sz w:val="24"/>
        </w:rPr>
        <w:t>7.7《磋商响应文件》应根据《磋商文件》的要求签署及盖章，内容应完整详细，如有遗漏，将被视为无效投标。</w:t>
      </w:r>
    </w:p>
    <w:bookmarkEnd w:id="160"/>
    <w:bookmarkEnd w:id="161"/>
    <w:bookmarkEnd w:id="162"/>
    <w:bookmarkEnd w:id="163"/>
    <w:bookmarkEnd w:id="164"/>
    <w:bookmarkEnd w:id="165"/>
    <w:bookmarkEnd w:id="166"/>
    <w:bookmarkEnd w:id="167"/>
    <w:p>
      <w:pPr>
        <w:pStyle w:val="4"/>
        <w:rPr>
          <w:rFonts w:ascii="宋体" w:hAnsi="宋体" w:eastAsia="宋体"/>
          <w:sz w:val="28"/>
          <w:szCs w:val="28"/>
        </w:rPr>
      </w:pPr>
      <w:bookmarkStart w:id="199" w:name="_Toc397067888"/>
      <w:bookmarkStart w:id="200" w:name="_Toc12958"/>
      <w:bookmarkStart w:id="201" w:name="_Toc476758949"/>
      <w:bookmarkStart w:id="202" w:name="_Toc30079"/>
      <w:bookmarkStart w:id="203" w:name="_Toc15784"/>
      <w:bookmarkStart w:id="204" w:name="_Toc390084860"/>
      <w:bookmarkStart w:id="205" w:name="_Toc389731532"/>
      <w:bookmarkStart w:id="206" w:name="_Toc390078418"/>
      <w:bookmarkStart w:id="207" w:name="_Toc390084384"/>
      <w:bookmarkStart w:id="208" w:name="_Toc390084924"/>
      <w:bookmarkStart w:id="209" w:name="_Toc352938393"/>
      <w:bookmarkStart w:id="210" w:name="_Toc352938907"/>
      <w:bookmarkStart w:id="211" w:name="_Toc352938603"/>
      <w:bookmarkStart w:id="212" w:name="_Toc365208972"/>
      <w:bookmarkStart w:id="213" w:name="_Toc373314704"/>
      <w:bookmarkStart w:id="214" w:name="_Toc304793816"/>
      <w:bookmarkStart w:id="215" w:name="_Toc352939482"/>
      <w:bookmarkStart w:id="216" w:name="_Toc365216566"/>
      <w:bookmarkStart w:id="217" w:name="_Toc352939538"/>
      <w:bookmarkStart w:id="218" w:name="_Toc304794545"/>
      <w:bookmarkStart w:id="219" w:name="_Toc365208833"/>
      <w:r>
        <w:rPr>
          <w:rFonts w:hint="eastAsia" w:ascii="宋体" w:hAnsi="宋体" w:eastAsia="宋体"/>
          <w:sz w:val="28"/>
          <w:szCs w:val="28"/>
        </w:rPr>
        <w:t>（五）</w:t>
      </w:r>
      <w:bookmarkEnd w:id="199"/>
      <w:bookmarkStart w:id="220" w:name="_Toc56590917"/>
      <w:bookmarkStart w:id="221" w:name="_Toc60537382"/>
      <w:r>
        <w:rPr>
          <w:rFonts w:hint="eastAsia" w:ascii="宋体" w:hAnsi="宋体" w:eastAsia="宋体"/>
          <w:sz w:val="28"/>
          <w:szCs w:val="28"/>
        </w:rPr>
        <w:t>磋商响应文件的提交</w:t>
      </w:r>
      <w:bookmarkEnd w:id="220"/>
      <w:bookmarkEnd w:id="221"/>
      <w:r>
        <w:rPr>
          <w:rFonts w:hint="eastAsia" w:ascii="宋体" w:hAnsi="宋体" w:eastAsia="宋体"/>
          <w:sz w:val="28"/>
          <w:szCs w:val="28"/>
        </w:rPr>
        <w:t>及相关事项</w:t>
      </w:r>
      <w:bookmarkEnd w:id="200"/>
      <w:bookmarkEnd w:id="201"/>
      <w:bookmarkEnd w:id="202"/>
      <w:bookmarkEnd w:id="203"/>
    </w:p>
    <w:bookmarkEnd w:id="204"/>
    <w:bookmarkEnd w:id="205"/>
    <w:bookmarkEnd w:id="206"/>
    <w:bookmarkEnd w:id="207"/>
    <w:bookmarkEnd w:id="208"/>
    <w:p>
      <w:pPr>
        <w:adjustRightInd w:val="0"/>
        <w:snapToGrid w:val="0"/>
        <w:spacing w:line="360" w:lineRule="auto"/>
        <w:rPr>
          <w:rFonts w:ascii="宋体" w:hAnsi="宋体"/>
          <w:b/>
          <w:sz w:val="24"/>
        </w:rPr>
      </w:pPr>
      <w:bookmarkStart w:id="222" w:name="_Toc458096904"/>
      <w:r>
        <w:rPr>
          <w:rFonts w:hint="eastAsia" w:ascii="宋体" w:hAnsi="宋体"/>
          <w:b/>
          <w:sz w:val="24"/>
        </w:rPr>
        <w:t>1.磋商响应文件的密封和标记</w:t>
      </w:r>
      <w:bookmarkEnd w:id="222"/>
    </w:p>
    <w:p>
      <w:pPr>
        <w:adjustRightInd w:val="0"/>
        <w:snapToGrid w:val="0"/>
        <w:spacing w:line="360" w:lineRule="auto"/>
        <w:rPr>
          <w:rFonts w:hint="eastAsia" w:ascii="宋体" w:hAnsi="宋体"/>
          <w:b w:val="0"/>
          <w:bCs/>
          <w:sz w:val="24"/>
          <w:lang w:val="en-US" w:eastAsia="zh-CN"/>
        </w:rPr>
      </w:pPr>
      <w:bookmarkStart w:id="223" w:name="_Toc458096905"/>
      <w:bookmarkStart w:id="224" w:name="_Toc469850063"/>
      <w:bookmarkStart w:id="225" w:name="_Toc229198037"/>
      <w:bookmarkStart w:id="226" w:name="_Toc91477264"/>
      <w:bookmarkStart w:id="227" w:name="_Toc89586904"/>
      <w:bookmarkStart w:id="228" w:name="_Toc89058543"/>
      <w:bookmarkStart w:id="229" w:name="_Toc139343548"/>
      <w:bookmarkStart w:id="230" w:name="_Toc274816724"/>
      <w:bookmarkStart w:id="231" w:name="_Toc91030014"/>
      <w:r>
        <w:rPr>
          <w:rFonts w:hint="eastAsia" w:ascii="宋体" w:hAnsi="宋体"/>
          <w:b w:val="0"/>
          <w:bCs/>
          <w:sz w:val="24"/>
          <w:lang w:val="en-US" w:eastAsia="zh-CN"/>
        </w:rPr>
        <w:t>详见特别须知前附表</w:t>
      </w:r>
    </w:p>
    <w:p>
      <w:pPr>
        <w:adjustRightInd w:val="0"/>
        <w:snapToGrid w:val="0"/>
        <w:spacing w:line="360" w:lineRule="auto"/>
        <w:rPr>
          <w:rFonts w:ascii="宋体" w:hAnsi="宋体"/>
          <w:b/>
          <w:sz w:val="24"/>
        </w:rPr>
      </w:pPr>
      <w:r>
        <w:rPr>
          <w:rFonts w:hint="eastAsia" w:ascii="宋体" w:hAnsi="宋体"/>
          <w:b/>
          <w:sz w:val="24"/>
        </w:rPr>
        <w:t>2.磋商响应文件的提交</w:t>
      </w:r>
      <w:bookmarkEnd w:id="223"/>
    </w:p>
    <w:p>
      <w:pPr>
        <w:adjustRightInd w:val="0"/>
        <w:snapToGrid w:val="0"/>
        <w:spacing w:line="360" w:lineRule="auto"/>
        <w:ind w:firstLine="480" w:firstLineChars="200"/>
        <w:rPr>
          <w:rFonts w:ascii="宋体" w:hAnsi="宋体"/>
          <w:bCs/>
          <w:sz w:val="24"/>
        </w:rPr>
      </w:pPr>
      <w:r>
        <w:rPr>
          <w:rFonts w:hint="eastAsia" w:ascii="宋体" w:hAnsi="宋体"/>
          <w:bCs/>
          <w:sz w:val="24"/>
        </w:rPr>
        <w:t>2.</w:t>
      </w:r>
      <w:r>
        <w:rPr>
          <w:rFonts w:ascii="宋体" w:hAnsi="宋体"/>
          <w:bCs/>
          <w:sz w:val="24"/>
        </w:rPr>
        <w:t xml:space="preserve">1 </w:t>
      </w:r>
      <w:r>
        <w:rPr>
          <w:rFonts w:hint="eastAsia" w:ascii="宋体" w:hAnsi="宋体"/>
          <w:bCs/>
          <w:sz w:val="24"/>
        </w:rPr>
        <w:t>供应商应按本须知前附表所规定的地点，于递交截止时间前提交磋商响应文件。</w:t>
      </w:r>
      <w:bookmarkStart w:id="232" w:name="_Toc17216810"/>
    </w:p>
    <w:bookmarkEnd w:id="232"/>
    <w:p>
      <w:pPr>
        <w:adjustRightInd w:val="0"/>
        <w:snapToGrid w:val="0"/>
        <w:spacing w:line="360" w:lineRule="auto"/>
        <w:ind w:firstLine="480" w:firstLineChars="200"/>
        <w:rPr>
          <w:rFonts w:ascii="宋体" w:hAnsi="宋体"/>
          <w:bCs/>
          <w:sz w:val="24"/>
        </w:rPr>
      </w:pPr>
      <w:r>
        <w:rPr>
          <w:rFonts w:hint="eastAsia" w:ascii="宋体" w:hAnsi="宋体"/>
          <w:bCs/>
          <w:sz w:val="24"/>
        </w:rPr>
        <w:t>2.2投标截止时间为《磋商文件》“</w:t>
      </w:r>
      <w:r>
        <w:rPr>
          <w:rFonts w:hint="eastAsia" w:ascii="宋体" w:hAnsi="宋体"/>
          <w:sz w:val="24"/>
        </w:rPr>
        <w:t>供应商</w:t>
      </w:r>
      <w:r>
        <w:rPr>
          <w:rFonts w:hint="eastAsia" w:ascii="宋体" w:hAnsi="宋体"/>
          <w:bCs/>
          <w:sz w:val="24"/>
        </w:rPr>
        <w:t>须知前附表”中规定时间，逾期送达的《磋商响应文件》招标代理机构和采购人概不接受。</w:t>
      </w:r>
    </w:p>
    <w:p>
      <w:pPr>
        <w:adjustRightInd w:val="0"/>
        <w:snapToGrid w:val="0"/>
        <w:spacing w:line="360" w:lineRule="auto"/>
        <w:ind w:firstLine="480" w:firstLineChars="200"/>
        <w:rPr>
          <w:rFonts w:ascii="宋体" w:hAnsi="宋体"/>
          <w:bCs/>
          <w:sz w:val="24"/>
        </w:rPr>
      </w:pPr>
      <w:r>
        <w:rPr>
          <w:rFonts w:hint="eastAsia" w:ascii="宋体" w:hAnsi="宋体"/>
          <w:bCs/>
          <w:sz w:val="24"/>
        </w:rPr>
        <w:t>2.3</w:t>
      </w:r>
      <w:r>
        <w:rPr>
          <w:rFonts w:ascii="宋体" w:hAnsi="宋体"/>
          <w:bCs/>
          <w:sz w:val="24"/>
        </w:rPr>
        <w:t xml:space="preserve"> </w:t>
      </w:r>
      <w:r>
        <w:rPr>
          <w:rFonts w:hint="eastAsia" w:ascii="宋体" w:hAnsi="宋体"/>
          <w:bCs/>
          <w:sz w:val="24"/>
        </w:rPr>
        <w:t>采购人可按本须知规定以修改补充通知的方式，酌情延长提交磋商响应文件的截止时间。在此情况下，供应商的所有权利和义务以及供应商受制约的截止时间，均以延长后新的投标截止时间为准。</w:t>
      </w:r>
    </w:p>
    <w:p>
      <w:pPr>
        <w:pStyle w:val="23"/>
        <w:adjustRightInd w:val="0"/>
        <w:snapToGrid w:val="0"/>
        <w:spacing w:line="360" w:lineRule="auto"/>
        <w:ind w:firstLine="480"/>
        <w:rPr>
          <w:rFonts w:ascii="宋体" w:hAnsi="宋体"/>
          <w:sz w:val="24"/>
        </w:rPr>
      </w:pPr>
      <w:bookmarkStart w:id="233" w:name="_Toc443313401"/>
      <w:bookmarkStart w:id="234" w:name="_Toc457219459"/>
      <w:bookmarkStart w:id="235" w:name="_Toc440006357"/>
      <w:bookmarkStart w:id="236" w:name="_Toc440062301"/>
      <w:bookmarkStart w:id="237" w:name="_Toc440618813"/>
      <w:bookmarkStart w:id="238" w:name="_Toc440010896"/>
      <w:bookmarkStart w:id="239" w:name="_Toc443313552"/>
      <w:r>
        <w:rPr>
          <w:rFonts w:hint="eastAsia" w:ascii="宋体" w:hAnsi="宋体"/>
          <w:sz w:val="24"/>
        </w:rPr>
        <w:t>2.4</w:t>
      </w:r>
      <w:r>
        <w:rPr>
          <w:rFonts w:ascii="宋体" w:hAnsi="宋体"/>
          <w:sz w:val="24"/>
        </w:rPr>
        <w:t xml:space="preserve"> </w:t>
      </w:r>
      <w:r>
        <w:rPr>
          <w:rFonts w:hint="eastAsia" w:ascii="宋体" w:hAnsi="宋体"/>
          <w:sz w:val="24"/>
        </w:rPr>
        <w:t>到投标截止时间止，采购人收到的磋商响应文件少于</w:t>
      </w:r>
      <w:r>
        <w:rPr>
          <w:rFonts w:ascii="宋体" w:hAnsi="宋体"/>
          <w:sz w:val="24"/>
        </w:rPr>
        <w:t>3</w:t>
      </w:r>
      <w:r>
        <w:rPr>
          <w:rFonts w:hint="eastAsia" w:ascii="宋体" w:hAnsi="宋体"/>
          <w:sz w:val="24"/>
        </w:rPr>
        <w:t>个的，采购人将依法重新组织招标。</w:t>
      </w:r>
      <w:bookmarkEnd w:id="233"/>
      <w:bookmarkEnd w:id="234"/>
      <w:bookmarkEnd w:id="235"/>
      <w:bookmarkEnd w:id="236"/>
      <w:bookmarkEnd w:id="237"/>
      <w:bookmarkEnd w:id="238"/>
      <w:bookmarkEnd w:id="239"/>
    </w:p>
    <w:p>
      <w:pPr>
        <w:pStyle w:val="23"/>
        <w:adjustRightInd w:val="0"/>
        <w:snapToGrid w:val="0"/>
        <w:spacing w:line="360" w:lineRule="auto"/>
        <w:ind w:firstLine="480"/>
        <w:rPr>
          <w:rFonts w:ascii="宋体" w:hAnsi="宋体"/>
          <w:sz w:val="24"/>
        </w:rPr>
      </w:pPr>
      <w:bookmarkStart w:id="240" w:name="_Toc440062302"/>
      <w:bookmarkStart w:id="241" w:name="_Toc440006358"/>
      <w:bookmarkStart w:id="242" w:name="_Toc440618814"/>
      <w:bookmarkStart w:id="243" w:name="_Toc457219460"/>
      <w:bookmarkStart w:id="244" w:name="_Toc440010897"/>
      <w:bookmarkStart w:id="245" w:name="_Toc443313402"/>
      <w:bookmarkStart w:id="246" w:name="_Toc443313553"/>
      <w:r>
        <w:rPr>
          <w:rFonts w:hint="eastAsia" w:ascii="宋体" w:hAnsi="宋体"/>
          <w:sz w:val="24"/>
        </w:rPr>
        <w:t>2.5本次招标不接受邮寄的磋商响应文件。</w:t>
      </w:r>
      <w:bookmarkEnd w:id="240"/>
      <w:bookmarkEnd w:id="241"/>
      <w:bookmarkEnd w:id="242"/>
      <w:bookmarkEnd w:id="243"/>
      <w:bookmarkEnd w:id="244"/>
      <w:bookmarkEnd w:id="245"/>
      <w:bookmarkEnd w:id="246"/>
    </w:p>
    <w:p>
      <w:pPr>
        <w:adjustRightInd w:val="0"/>
        <w:snapToGrid w:val="0"/>
        <w:spacing w:line="360" w:lineRule="auto"/>
        <w:rPr>
          <w:rFonts w:ascii="宋体" w:hAnsi="宋体"/>
          <w:b/>
          <w:sz w:val="24"/>
        </w:rPr>
      </w:pPr>
      <w:bookmarkStart w:id="247" w:name="_Toc458096906"/>
      <w:r>
        <w:rPr>
          <w:rFonts w:hint="eastAsia" w:ascii="宋体" w:hAnsi="宋体"/>
          <w:b/>
          <w:sz w:val="24"/>
        </w:rPr>
        <w:t>3.投标截止</w:t>
      </w:r>
      <w:bookmarkEnd w:id="224"/>
      <w:r>
        <w:rPr>
          <w:rFonts w:hint="eastAsia" w:ascii="宋体" w:hAnsi="宋体"/>
          <w:b/>
          <w:sz w:val="24"/>
        </w:rPr>
        <w:t>时间</w:t>
      </w:r>
      <w:bookmarkEnd w:id="225"/>
      <w:bookmarkEnd w:id="226"/>
      <w:bookmarkEnd w:id="227"/>
      <w:bookmarkEnd w:id="228"/>
      <w:bookmarkEnd w:id="229"/>
      <w:bookmarkEnd w:id="230"/>
      <w:bookmarkEnd w:id="231"/>
      <w:bookmarkEnd w:id="247"/>
    </w:p>
    <w:p>
      <w:pPr>
        <w:tabs>
          <w:tab w:val="left" w:pos="8640"/>
        </w:tabs>
        <w:spacing w:line="360" w:lineRule="auto"/>
        <w:ind w:firstLine="480" w:firstLineChars="200"/>
        <w:rPr>
          <w:rFonts w:ascii="宋体" w:hAnsi="宋体" w:cs="宋体"/>
          <w:sz w:val="24"/>
        </w:rPr>
      </w:pPr>
      <w:r>
        <w:rPr>
          <w:rFonts w:hint="eastAsia" w:ascii="宋体" w:hAnsi="宋体" w:cs="宋体"/>
          <w:sz w:val="24"/>
        </w:rPr>
        <w:t>投标截止时间为“供应商须知前附表”中规定时间。</w:t>
      </w:r>
      <w:bookmarkStart w:id="248" w:name="_Toc469850064"/>
      <w:bookmarkStart w:id="249" w:name="_Toc91477265"/>
      <w:bookmarkStart w:id="250" w:name="_Toc91030015"/>
      <w:bookmarkStart w:id="251" w:name="_Toc139343549"/>
      <w:bookmarkStart w:id="252" w:name="_Toc274816725"/>
      <w:bookmarkStart w:id="253" w:name="_Toc89586905"/>
      <w:bookmarkStart w:id="254" w:name="_Toc229198038"/>
      <w:bookmarkStart w:id="255" w:name="_Toc89058544"/>
    </w:p>
    <w:p>
      <w:pPr>
        <w:adjustRightInd w:val="0"/>
        <w:snapToGrid w:val="0"/>
        <w:spacing w:line="360" w:lineRule="auto"/>
        <w:rPr>
          <w:rFonts w:ascii="宋体" w:hAnsi="宋体"/>
          <w:b/>
          <w:sz w:val="24"/>
        </w:rPr>
      </w:pPr>
      <w:bookmarkStart w:id="256" w:name="_Toc458096907"/>
      <w:r>
        <w:rPr>
          <w:rFonts w:hint="eastAsia" w:ascii="宋体" w:hAnsi="宋体"/>
          <w:b/>
          <w:sz w:val="24"/>
        </w:rPr>
        <w:t>4.迟交的</w:t>
      </w:r>
      <w:bookmarkEnd w:id="248"/>
      <w:bookmarkEnd w:id="249"/>
      <w:bookmarkEnd w:id="250"/>
      <w:bookmarkEnd w:id="251"/>
      <w:bookmarkEnd w:id="252"/>
      <w:bookmarkEnd w:id="253"/>
      <w:bookmarkEnd w:id="254"/>
      <w:bookmarkEnd w:id="255"/>
      <w:bookmarkEnd w:id="256"/>
      <w:r>
        <w:rPr>
          <w:rFonts w:hint="eastAsia" w:ascii="宋体" w:hAnsi="宋体"/>
          <w:b/>
          <w:sz w:val="24"/>
        </w:rPr>
        <w:t>磋商响应文件</w:t>
      </w:r>
    </w:p>
    <w:p>
      <w:pPr>
        <w:tabs>
          <w:tab w:val="left" w:pos="8640"/>
        </w:tabs>
        <w:spacing w:line="360" w:lineRule="auto"/>
        <w:ind w:firstLine="480" w:firstLineChars="200"/>
        <w:rPr>
          <w:rFonts w:ascii="宋体" w:hAnsi="宋体"/>
          <w:sz w:val="24"/>
        </w:rPr>
      </w:pPr>
      <w:r>
        <w:rPr>
          <w:rFonts w:hint="eastAsia" w:ascii="宋体" w:hAnsi="宋体"/>
          <w:sz w:val="24"/>
        </w:rPr>
        <w:t>采购人将拒绝并退回在其规定的截止时间后收到的任何磋商响应文件。</w:t>
      </w:r>
      <w:bookmarkStart w:id="257" w:name="_Toc91030016"/>
      <w:bookmarkStart w:id="258" w:name="_Toc89586906"/>
      <w:bookmarkStart w:id="259" w:name="_Toc274816726"/>
      <w:bookmarkStart w:id="260" w:name="_Toc139343550"/>
      <w:bookmarkStart w:id="261" w:name="_Toc89058545"/>
      <w:bookmarkStart w:id="262" w:name="_Toc469850065"/>
      <w:bookmarkStart w:id="263" w:name="_Toc91477266"/>
      <w:bookmarkStart w:id="264" w:name="_Toc229198039"/>
    </w:p>
    <w:p>
      <w:pPr>
        <w:adjustRightInd w:val="0"/>
        <w:snapToGrid w:val="0"/>
        <w:spacing w:line="360" w:lineRule="auto"/>
        <w:rPr>
          <w:rFonts w:ascii="宋体" w:hAnsi="宋体"/>
          <w:b/>
          <w:sz w:val="24"/>
        </w:rPr>
      </w:pPr>
      <w:bookmarkStart w:id="265" w:name="_Toc458096908"/>
      <w:r>
        <w:rPr>
          <w:rFonts w:hint="eastAsia" w:ascii="宋体" w:hAnsi="宋体"/>
          <w:b/>
          <w:sz w:val="24"/>
        </w:rPr>
        <w:t>5.磋商响应文件的修改与撤回</w:t>
      </w:r>
      <w:bookmarkEnd w:id="257"/>
      <w:bookmarkEnd w:id="258"/>
      <w:bookmarkEnd w:id="259"/>
      <w:bookmarkEnd w:id="260"/>
      <w:bookmarkEnd w:id="261"/>
      <w:bookmarkEnd w:id="262"/>
      <w:bookmarkEnd w:id="263"/>
      <w:bookmarkEnd w:id="264"/>
      <w:bookmarkEnd w:id="265"/>
    </w:p>
    <w:p>
      <w:pPr>
        <w:adjustRightInd w:val="0"/>
        <w:snapToGrid w:val="0"/>
        <w:spacing w:line="360" w:lineRule="auto"/>
        <w:ind w:firstLine="480" w:firstLineChars="200"/>
        <w:rPr>
          <w:rFonts w:ascii="宋体" w:hAnsi="宋体"/>
          <w:bCs/>
          <w:sz w:val="24"/>
        </w:rPr>
      </w:pPr>
      <w:bookmarkStart w:id="266" w:name="_Toc139343551"/>
      <w:bookmarkStart w:id="267" w:name="_Toc91030017"/>
      <w:bookmarkStart w:id="268" w:name="_Toc352938391"/>
      <w:bookmarkStart w:id="269" w:name="_Toc229198040"/>
      <w:bookmarkStart w:id="270" w:name="_Toc352938601"/>
      <w:bookmarkStart w:id="271" w:name="_Toc89058546"/>
      <w:bookmarkStart w:id="272" w:name="_Toc274816727"/>
      <w:bookmarkStart w:id="273" w:name="_Toc373309556"/>
      <w:bookmarkStart w:id="274" w:name="_Toc91477267"/>
      <w:bookmarkStart w:id="275" w:name="_Toc89586907"/>
      <w:bookmarkStart w:id="276" w:name="_Toc373314701"/>
      <w:bookmarkStart w:id="277" w:name="_Toc469850066"/>
      <w:bookmarkStart w:id="278" w:name="_Toc438631247"/>
      <w:r>
        <w:rPr>
          <w:rFonts w:hint="eastAsia" w:ascii="宋体" w:hAnsi="宋体"/>
          <w:bCs/>
          <w:sz w:val="24"/>
        </w:rPr>
        <w:t>5.</w:t>
      </w:r>
      <w:r>
        <w:rPr>
          <w:rFonts w:ascii="宋体" w:hAnsi="宋体"/>
          <w:bCs/>
          <w:sz w:val="24"/>
        </w:rPr>
        <w:t xml:space="preserve">1 </w:t>
      </w:r>
      <w:r>
        <w:rPr>
          <w:rFonts w:hint="eastAsia" w:ascii="宋体" w:hAnsi="宋体"/>
          <w:bCs/>
          <w:sz w:val="24"/>
        </w:rPr>
        <w:t>供应商在提交磋商响应文件以后，在规定的投标截止时间之前，可以书面形式补充修改或撤回已提交的磋商响应文件，并以书面形式通知采购人。补充、修改的内容为磋商响应文件的组成部分。</w:t>
      </w:r>
    </w:p>
    <w:p>
      <w:pPr>
        <w:adjustRightInd w:val="0"/>
        <w:snapToGrid w:val="0"/>
        <w:spacing w:line="360" w:lineRule="auto"/>
        <w:ind w:firstLine="480" w:firstLineChars="200"/>
        <w:rPr>
          <w:rFonts w:ascii="宋体" w:hAnsi="宋体"/>
          <w:bCs/>
          <w:sz w:val="24"/>
        </w:rPr>
      </w:pPr>
      <w:r>
        <w:rPr>
          <w:rFonts w:hint="eastAsia" w:ascii="宋体" w:hAnsi="宋体"/>
          <w:bCs/>
          <w:sz w:val="24"/>
        </w:rPr>
        <w:t>5.</w:t>
      </w:r>
      <w:r>
        <w:rPr>
          <w:rFonts w:ascii="宋体" w:hAnsi="宋体"/>
          <w:bCs/>
          <w:sz w:val="24"/>
        </w:rPr>
        <w:t xml:space="preserve">2 </w:t>
      </w:r>
      <w:r>
        <w:rPr>
          <w:rFonts w:hint="eastAsia" w:ascii="宋体" w:hAnsi="宋体"/>
          <w:bCs/>
          <w:sz w:val="24"/>
        </w:rPr>
        <w:t>供应商对磋商响应文件的补充、修改，应按本须知有关规定密封、标记和提交，并在内外层磋商响应文件密封袋上清楚标明“补充、修改”或“撤回”字样。</w:t>
      </w:r>
    </w:p>
    <w:p>
      <w:pPr>
        <w:adjustRightInd w:val="0"/>
        <w:snapToGrid w:val="0"/>
        <w:spacing w:line="360" w:lineRule="auto"/>
        <w:ind w:firstLine="480" w:firstLineChars="200"/>
        <w:rPr>
          <w:rFonts w:ascii="宋体" w:hAnsi="宋体"/>
          <w:bCs/>
          <w:sz w:val="24"/>
        </w:rPr>
      </w:pPr>
      <w:r>
        <w:rPr>
          <w:rFonts w:hint="eastAsia" w:ascii="宋体" w:hAnsi="宋体"/>
          <w:bCs/>
          <w:sz w:val="24"/>
        </w:rPr>
        <w:t>5.</w:t>
      </w:r>
      <w:r>
        <w:rPr>
          <w:rFonts w:ascii="宋体" w:hAnsi="宋体"/>
          <w:bCs/>
          <w:sz w:val="24"/>
        </w:rPr>
        <w:t>3</w:t>
      </w:r>
      <w:r>
        <w:rPr>
          <w:rFonts w:hint="eastAsia" w:ascii="宋体" w:hAnsi="宋体"/>
          <w:bCs/>
          <w:sz w:val="24"/>
        </w:rPr>
        <w:t xml:space="preserve"> 在投标截止时间之后，供应商不得补充、修改磋商响应文件。</w:t>
      </w:r>
    </w:p>
    <w:p>
      <w:pPr>
        <w:adjustRightInd w:val="0"/>
        <w:snapToGrid w:val="0"/>
        <w:spacing w:line="360" w:lineRule="auto"/>
        <w:ind w:firstLine="480" w:firstLineChars="200"/>
        <w:rPr>
          <w:rFonts w:ascii="宋体" w:hAnsi="宋体"/>
          <w:bCs/>
          <w:sz w:val="24"/>
        </w:rPr>
      </w:pPr>
      <w:r>
        <w:rPr>
          <w:rFonts w:hint="eastAsia" w:ascii="宋体" w:hAnsi="宋体"/>
          <w:bCs/>
          <w:sz w:val="24"/>
        </w:rPr>
        <w:t>5.</w:t>
      </w:r>
      <w:r>
        <w:rPr>
          <w:rFonts w:ascii="宋体" w:hAnsi="宋体"/>
          <w:bCs/>
          <w:sz w:val="24"/>
        </w:rPr>
        <w:t xml:space="preserve">4 </w:t>
      </w:r>
      <w:r>
        <w:rPr>
          <w:rFonts w:hint="eastAsia" w:ascii="宋体" w:hAnsi="宋体"/>
          <w:bCs/>
          <w:sz w:val="24"/>
        </w:rPr>
        <w:t>在投标截止时间至投标有效期满之前，供应商不得撤回其磋商响应文件，否则其投标保证金将被没收。</w:t>
      </w:r>
      <w:bookmarkStart w:id="279" w:name="_Toc5820"/>
    </w:p>
    <w:p>
      <w:pPr>
        <w:pStyle w:val="4"/>
        <w:rPr>
          <w:rFonts w:ascii="宋体" w:hAnsi="宋体" w:eastAsia="宋体"/>
        </w:rPr>
      </w:pPr>
      <w:bookmarkStart w:id="280" w:name="_Toc476758950"/>
      <w:bookmarkStart w:id="281" w:name="_Toc6035"/>
      <w:bookmarkStart w:id="282" w:name="_Toc4158"/>
      <w:r>
        <w:rPr>
          <w:rFonts w:hint="eastAsia" w:ascii="宋体" w:hAnsi="宋体" w:eastAsia="宋体"/>
        </w:rPr>
        <w:t>（六）开标</w:t>
      </w:r>
      <w:bookmarkEnd w:id="279"/>
      <w:bookmarkEnd w:id="280"/>
      <w:bookmarkEnd w:id="281"/>
      <w:bookmarkEnd w:id="282"/>
    </w:p>
    <w:p>
      <w:pPr>
        <w:spacing w:line="360" w:lineRule="auto"/>
        <w:rPr>
          <w:rFonts w:ascii="宋体" w:hAnsi="宋体"/>
          <w:b/>
          <w:sz w:val="24"/>
        </w:rPr>
      </w:pPr>
      <w:bookmarkStart w:id="283" w:name="_Toc390084394"/>
      <w:bookmarkStart w:id="284" w:name="_Toc390084870"/>
      <w:bookmarkStart w:id="285" w:name="_Toc389731539"/>
      <w:bookmarkStart w:id="286" w:name="_Toc390078428"/>
      <w:bookmarkStart w:id="287" w:name="_Toc390084934"/>
      <w:r>
        <w:rPr>
          <w:rFonts w:hint="eastAsia" w:ascii="宋体" w:hAnsi="宋体"/>
          <w:b/>
          <w:sz w:val="24"/>
        </w:rPr>
        <w:t>1.开标时间、地点：</w:t>
      </w:r>
    </w:p>
    <w:bookmarkEnd w:id="283"/>
    <w:bookmarkEnd w:id="284"/>
    <w:bookmarkEnd w:id="285"/>
    <w:bookmarkEnd w:id="286"/>
    <w:bookmarkEnd w:id="287"/>
    <w:p>
      <w:pPr>
        <w:adjustRightInd w:val="0"/>
        <w:snapToGrid w:val="0"/>
        <w:spacing w:line="360" w:lineRule="auto"/>
        <w:ind w:firstLine="480" w:firstLineChars="200"/>
        <w:rPr>
          <w:rFonts w:ascii="宋体" w:hAnsi="宋体"/>
          <w:bCs/>
          <w:sz w:val="24"/>
        </w:rPr>
      </w:pPr>
      <w:r>
        <w:rPr>
          <w:rFonts w:hint="eastAsia" w:ascii="宋体" w:hAnsi="宋体"/>
          <w:bCs/>
          <w:sz w:val="24"/>
        </w:rPr>
        <w:t>（1）开标的准备工作由采购代理机构负责落实；</w:t>
      </w:r>
    </w:p>
    <w:p>
      <w:pPr>
        <w:adjustRightInd w:val="0"/>
        <w:snapToGrid w:val="0"/>
        <w:spacing w:line="360" w:lineRule="auto"/>
        <w:ind w:firstLine="480" w:firstLineChars="200"/>
        <w:rPr>
          <w:rFonts w:ascii="宋体" w:hAnsi="宋体"/>
          <w:bCs/>
          <w:sz w:val="24"/>
        </w:rPr>
      </w:pPr>
      <w:r>
        <w:rPr>
          <w:rFonts w:hint="eastAsia" w:ascii="宋体" w:hAnsi="宋体"/>
          <w:bCs/>
          <w:sz w:val="24"/>
        </w:rPr>
        <w:t>（2）采购代理机构将按照磋商文件规定的时间通过“政府采购云平台”组织开标、开启磋商响应文件，所有磋商供应商均应当准时在线参加。磋商供应商如不参加开标大会的，视同认可开标结果，事后不得对采购相关人员、开标过程和开标结果提出异议，同时磋商供应商因未在线参加开标而导致磋商响应文件无法按时解密等一切后果由磋商供应商自己承担。</w:t>
      </w:r>
    </w:p>
    <w:p>
      <w:pPr>
        <w:adjustRightInd w:val="0"/>
        <w:snapToGrid w:val="0"/>
        <w:spacing w:line="360" w:lineRule="auto"/>
        <w:rPr>
          <w:rFonts w:ascii="宋体" w:hAnsi="宋体"/>
          <w:b/>
          <w:bCs/>
          <w:sz w:val="24"/>
        </w:rPr>
      </w:pPr>
      <w:r>
        <w:rPr>
          <w:rFonts w:hint="eastAsia" w:ascii="宋体" w:hAnsi="宋体"/>
          <w:b/>
          <w:bCs/>
          <w:sz w:val="24"/>
        </w:rPr>
        <w:t>2. 开标程序：</w:t>
      </w:r>
    </w:p>
    <w:p>
      <w:pPr>
        <w:adjustRightInd w:val="0"/>
        <w:snapToGrid w:val="0"/>
        <w:spacing w:line="360" w:lineRule="auto"/>
        <w:ind w:firstLine="480" w:firstLineChars="200"/>
        <w:rPr>
          <w:rFonts w:ascii="宋体" w:hAnsi="宋体"/>
          <w:bCs/>
          <w:sz w:val="24"/>
        </w:rPr>
      </w:pPr>
      <w:r>
        <w:rPr>
          <w:rFonts w:hint="eastAsia" w:ascii="宋体" w:hAnsi="宋体"/>
          <w:bCs/>
          <w:sz w:val="24"/>
        </w:rPr>
        <w:t>主持人按下列程序进行开标：</w:t>
      </w:r>
    </w:p>
    <w:p>
      <w:pPr>
        <w:adjustRightInd w:val="0"/>
        <w:snapToGrid w:val="0"/>
        <w:spacing w:line="360" w:lineRule="auto"/>
        <w:ind w:firstLine="482" w:firstLineChars="200"/>
        <w:rPr>
          <w:rFonts w:ascii="宋体" w:hAnsi="宋体"/>
          <w:b/>
          <w:sz w:val="24"/>
        </w:rPr>
      </w:pPr>
      <w:r>
        <w:rPr>
          <w:rFonts w:hint="eastAsia" w:ascii="宋体" w:hAnsi="宋体"/>
          <w:b/>
          <w:sz w:val="24"/>
        </w:rPr>
        <w:t>开标大会第一阶段</w:t>
      </w:r>
    </w:p>
    <w:p>
      <w:pPr>
        <w:adjustRightInd w:val="0"/>
        <w:snapToGrid w:val="0"/>
        <w:spacing w:line="360" w:lineRule="auto"/>
        <w:ind w:firstLine="480" w:firstLineChars="200"/>
        <w:rPr>
          <w:rFonts w:ascii="宋体" w:hAnsi="宋体"/>
          <w:bCs/>
          <w:sz w:val="24"/>
        </w:rPr>
      </w:pPr>
      <w:bookmarkStart w:id="288" w:name="_Toc5160"/>
      <w:bookmarkStart w:id="289" w:name="_Toc31094"/>
      <w:bookmarkStart w:id="290" w:name="_Toc21143"/>
      <w:bookmarkStart w:id="291" w:name="_Toc476758951"/>
      <w:bookmarkStart w:id="292" w:name="_Toc411671250"/>
      <w:r>
        <w:rPr>
          <w:rFonts w:hint="eastAsia" w:ascii="宋体" w:hAnsi="宋体"/>
          <w:bCs/>
          <w:sz w:val="24"/>
        </w:rPr>
        <w:t>（1）向各磋商供应商发出电子加密磋商响应文件【开始解密】通知，磋商供应商应在开标后30分钟内完成在线解密工作。磋商供应商在规定的时间内无法完成已递交的“电子加密磋商响应文件”解密的，如已按规定递交了备份磋商响应文件的，将由采购代理机构按“政府采购云平台”操作规范将备份磋商响应文件上传至“政府采购云平台”，上传成功后，“电子加密磋商响应文件”自动失效；</w:t>
      </w:r>
    </w:p>
    <w:p>
      <w:pPr>
        <w:adjustRightInd w:val="0"/>
        <w:snapToGrid w:val="0"/>
        <w:spacing w:line="360" w:lineRule="auto"/>
        <w:ind w:firstLine="480" w:firstLineChars="200"/>
        <w:rPr>
          <w:rFonts w:ascii="宋体" w:hAnsi="宋体"/>
          <w:bCs/>
          <w:sz w:val="24"/>
        </w:rPr>
      </w:pPr>
      <w:r>
        <w:rPr>
          <w:rFonts w:hint="eastAsia" w:ascii="宋体" w:hAnsi="宋体"/>
          <w:bCs/>
          <w:sz w:val="24"/>
        </w:rPr>
        <w:t>（2）磋商响应文件解密结束，签署《政府采购活动现场确认声明书》；</w:t>
      </w:r>
    </w:p>
    <w:p>
      <w:pPr>
        <w:adjustRightInd w:val="0"/>
        <w:snapToGrid w:val="0"/>
        <w:spacing w:line="360" w:lineRule="auto"/>
        <w:ind w:firstLine="480" w:firstLineChars="200"/>
        <w:rPr>
          <w:rFonts w:ascii="宋体" w:hAnsi="宋体"/>
          <w:bCs/>
          <w:sz w:val="24"/>
        </w:rPr>
      </w:pPr>
      <w:r>
        <w:rPr>
          <w:rFonts w:hint="eastAsia" w:ascii="宋体" w:hAnsi="宋体"/>
          <w:bCs/>
          <w:sz w:val="24"/>
        </w:rPr>
        <w:t>（3）开启磋商响应文件，进入资格审查；</w:t>
      </w:r>
    </w:p>
    <w:p>
      <w:pPr>
        <w:adjustRightInd w:val="0"/>
        <w:snapToGrid w:val="0"/>
        <w:spacing w:line="360" w:lineRule="auto"/>
        <w:ind w:firstLine="480" w:firstLineChars="200"/>
        <w:rPr>
          <w:rFonts w:ascii="宋体" w:hAnsi="宋体"/>
          <w:bCs/>
          <w:sz w:val="24"/>
        </w:rPr>
      </w:pPr>
      <w:r>
        <w:rPr>
          <w:rFonts w:hint="eastAsia" w:ascii="宋体" w:hAnsi="宋体"/>
          <w:bCs/>
          <w:sz w:val="24"/>
        </w:rPr>
        <w:t>（4）开启资格审查通过的磋商供应商的商务技术文件进入符合性审查、商务技术评审；</w:t>
      </w:r>
    </w:p>
    <w:p>
      <w:pPr>
        <w:adjustRightInd w:val="0"/>
        <w:snapToGrid w:val="0"/>
        <w:spacing w:line="360" w:lineRule="auto"/>
        <w:ind w:firstLine="480" w:firstLineChars="200"/>
        <w:rPr>
          <w:rFonts w:ascii="宋体" w:hAnsi="宋体"/>
          <w:bCs/>
          <w:sz w:val="24"/>
        </w:rPr>
      </w:pPr>
      <w:r>
        <w:rPr>
          <w:rFonts w:hint="eastAsia" w:ascii="宋体" w:hAnsi="宋体"/>
          <w:bCs/>
          <w:sz w:val="24"/>
        </w:rPr>
        <w:t>（5）第一阶段开标结束。</w:t>
      </w:r>
    </w:p>
    <w:p>
      <w:pPr>
        <w:adjustRightInd w:val="0"/>
        <w:snapToGrid w:val="0"/>
        <w:spacing w:line="360" w:lineRule="auto"/>
        <w:ind w:firstLine="482" w:firstLineChars="200"/>
        <w:rPr>
          <w:rFonts w:ascii="宋体" w:hAnsi="宋体"/>
          <w:b/>
          <w:sz w:val="24"/>
        </w:rPr>
      </w:pPr>
      <w:r>
        <w:rPr>
          <w:rFonts w:hint="eastAsia" w:ascii="宋体" w:hAnsi="宋体"/>
          <w:b/>
          <w:sz w:val="24"/>
        </w:rPr>
        <w:t>注：开标大会的第一阶段结束后，采购人或采购代理机构将依法对磋商供应商的资格进行审查，资格审查结束后进入符合性审查和商务技术的评审工作，具体见本章节“磋商供应商资格审查”相关规定。</w:t>
      </w:r>
    </w:p>
    <w:p>
      <w:pPr>
        <w:adjustRightInd w:val="0"/>
        <w:snapToGrid w:val="0"/>
        <w:spacing w:line="360" w:lineRule="auto"/>
        <w:ind w:firstLine="482" w:firstLineChars="200"/>
        <w:rPr>
          <w:rFonts w:ascii="宋体" w:hAnsi="宋体"/>
          <w:b/>
          <w:sz w:val="24"/>
        </w:rPr>
      </w:pPr>
      <w:r>
        <w:rPr>
          <w:rFonts w:hint="eastAsia" w:ascii="宋体" w:hAnsi="宋体"/>
          <w:b/>
          <w:sz w:val="24"/>
        </w:rPr>
        <w:t>开标大会第二阶段</w:t>
      </w:r>
    </w:p>
    <w:p>
      <w:pPr>
        <w:adjustRightInd w:val="0"/>
        <w:snapToGrid w:val="0"/>
        <w:spacing w:line="360" w:lineRule="auto"/>
        <w:ind w:firstLine="480" w:firstLineChars="200"/>
        <w:rPr>
          <w:rFonts w:ascii="宋体" w:hAnsi="宋体"/>
          <w:bCs/>
          <w:sz w:val="24"/>
        </w:rPr>
      </w:pPr>
      <w:r>
        <w:rPr>
          <w:rFonts w:hint="eastAsia" w:ascii="宋体" w:hAnsi="宋体"/>
          <w:bCs/>
          <w:sz w:val="24"/>
        </w:rPr>
        <w:t>（1）符合性审查、商务技术评审结束后，举行开标大会第二阶段会议。首先公布符合性审查、商务技术评审无效供应商名称及理由；公布经商务技术评审后有效磋商供应商的名单。</w:t>
      </w:r>
    </w:p>
    <w:p>
      <w:pPr>
        <w:adjustRightInd w:val="0"/>
        <w:snapToGrid w:val="0"/>
        <w:spacing w:line="360" w:lineRule="auto"/>
        <w:ind w:firstLine="480" w:firstLineChars="200"/>
        <w:rPr>
          <w:rFonts w:ascii="宋体" w:hAnsi="宋体"/>
          <w:bCs/>
          <w:sz w:val="24"/>
        </w:rPr>
      </w:pPr>
      <w:r>
        <w:rPr>
          <w:rFonts w:hint="eastAsia" w:ascii="宋体" w:hAnsi="宋体"/>
          <w:bCs/>
          <w:sz w:val="24"/>
        </w:rPr>
        <w:t>（2）由磋商小组对确定为实质性响应本磋商文件的磋商响应文件进行详细评价和比较，主要就商务报价、企业资信、服务方案内容、服务承诺等磋商小组认为与本次采购有关的因素与各磋商供应商逐一进行在线磋商。商务技术评审结束后，由磋商小组对各磋商供应商的报价的合理性、准确性等进行审查核实；磋商供应商的商务报价在最终报价提交后已告知磋商供应商，并由磋商供应商签字确认回传给采购代理机构。</w:t>
      </w:r>
    </w:p>
    <w:p>
      <w:pPr>
        <w:adjustRightInd w:val="0"/>
        <w:snapToGrid w:val="0"/>
        <w:spacing w:line="360" w:lineRule="auto"/>
        <w:ind w:firstLine="480" w:firstLineChars="200"/>
        <w:rPr>
          <w:rFonts w:ascii="宋体" w:hAnsi="宋体"/>
          <w:bCs/>
          <w:sz w:val="24"/>
        </w:rPr>
      </w:pPr>
      <w:r>
        <w:rPr>
          <w:rFonts w:hint="eastAsia" w:ascii="宋体" w:hAnsi="宋体"/>
          <w:bCs/>
          <w:sz w:val="24"/>
        </w:rPr>
        <w:t>（3）评审结束后，公布成交候选人名单。</w:t>
      </w:r>
    </w:p>
    <w:p>
      <w:pPr>
        <w:pStyle w:val="5"/>
        <w:rPr>
          <w:rFonts w:ascii="宋体" w:hAnsi="宋体"/>
          <w:kern w:val="2"/>
          <w:sz w:val="24"/>
        </w:rPr>
      </w:pPr>
      <w:r>
        <w:rPr>
          <w:rFonts w:hint="eastAsia" w:ascii="宋体" w:hAnsi="宋体"/>
          <w:kern w:val="2"/>
          <w:sz w:val="24"/>
        </w:rPr>
        <w:t>特别说明：如遇“政府采购云平台”电子化开标或评审程序调整的，按调整后程序执行。</w:t>
      </w:r>
    </w:p>
    <w:p>
      <w:pPr>
        <w:pStyle w:val="5"/>
      </w:pPr>
    </w:p>
    <w:p>
      <w:pPr>
        <w:pStyle w:val="4"/>
        <w:rPr>
          <w:rFonts w:ascii="宋体" w:hAnsi="宋体" w:eastAsia="宋体"/>
        </w:rPr>
      </w:pPr>
      <w:r>
        <w:rPr>
          <w:rFonts w:hint="eastAsia" w:ascii="宋体" w:hAnsi="宋体" w:eastAsia="宋体"/>
        </w:rPr>
        <w:t>（七）评标</w:t>
      </w:r>
      <w:bookmarkEnd w:id="288"/>
      <w:bookmarkEnd w:id="289"/>
      <w:bookmarkEnd w:id="290"/>
      <w:bookmarkEnd w:id="291"/>
    </w:p>
    <w:p>
      <w:pPr>
        <w:adjustRightInd w:val="0"/>
        <w:snapToGrid w:val="0"/>
        <w:spacing w:line="360" w:lineRule="auto"/>
        <w:ind w:firstLine="482" w:firstLineChars="200"/>
        <w:rPr>
          <w:rFonts w:ascii="宋体" w:hAnsi="宋体"/>
          <w:b/>
          <w:bCs/>
          <w:sz w:val="24"/>
        </w:rPr>
      </w:pPr>
      <w:r>
        <w:rPr>
          <w:rFonts w:hint="eastAsia" w:ascii="宋体" w:hAnsi="宋体"/>
          <w:b/>
          <w:bCs/>
          <w:sz w:val="24"/>
        </w:rPr>
        <w:t>1.评标</w:t>
      </w:r>
      <w:bookmarkEnd w:id="292"/>
    </w:p>
    <w:p>
      <w:pPr>
        <w:adjustRightInd w:val="0"/>
        <w:snapToGrid w:val="0"/>
        <w:spacing w:line="360" w:lineRule="auto"/>
        <w:ind w:firstLine="482" w:firstLineChars="200"/>
        <w:rPr>
          <w:rFonts w:ascii="宋体" w:hAnsi="宋体"/>
          <w:b/>
          <w:sz w:val="24"/>
        </w:rPr>
      </w:pPr>
      <w:bookmarkStart w:id="293" w:name="_Toc411671251"/>
      <w:r>
        <w:rPr>
          <w:rFonts w:hint="eastAsia" w:ascii="宋体" w:hAnsi="宋体"/>
          <w:b/>
          <w:sz w:val="24"/>
        </w:rPr>
        <w:t>1.1　</w:t>
      </w:r>
      <w:bookmarkEnd w:id="293"/>
      <w:r>
        <w:rPr>
          <w:rFonts w:hint="eastAsia" w:ascii="宋体" w:hAnsi="宋体"/>
          <w:b/>
          <w:sz w:val="24"/>
        </w:rPr>
        <w:t>磋商小组</w:t>
      </w:r>
    </w:p>
    <w:p>
      <w:pPr>
        <w:adjustRightInd w:val="0"/>
        <w:snapToGrid w:val="0"/>
        <w:spacing w:line="360" w:lineRule="auto"/>
        <w:ind w:firstLine="480" w:firstLineChars="200"/>
        <w:rPr>
          <w:rFonts w:ascii="宋体" w:hAnsi="宋体"/>
          <w:bCs/>
          <w:sz w:val="24"/>
        </w:rPr>
      </w:pPr>
      <w:r>
        <w:rPr>
          <w:rFonts w:hint="eastAsia" w:ascii="宋体" w:hAnsi="宋体"/>
          <w:bCs/>
          <w:sz w:val="24"/>
        </w:rPr>
        <w:t>1.1.1　评标由采购人依法组建的磋商小组负责。磋商小组由采购人和有关技术、经济等方面的专家组成</w:t>
      </w:r>
      <w:r>
        <w:rPr>
          <w:rFonts w:ascii="宋体" w:hAnsi="宋体"/>
          <w:bCs/>
          <w:sz w:val="24"/>
        </w:rPr>
        <w:t>，共</w:t>
      </w:r>
      <w:r>
        <w:rPr>
          <w:rFonts w:hint="eastAsia" w:ascii="宋体" w:hAnsi="宋体"/>
          <w:bCs/>
          <w:sz w:val="24"/>
        </w:rPr>
        <w:t>3人以上单数，若由于项目投标人数过多可征求监管部门同意后增加磋商小组人数，评标专家从</w:t>
      </w:r>
      <w:r>
        <w:rPr>
          <w:rFonts w:hint="eastAsia" w:ascii="宋体" w:hAnsi="宋体"/>
          <w:sz w:val="24"/>
        </w:rPr>
        <w:t>政采云</w:t>
      </w:r>
      <w:r>
        <w:rPr>
          <w:rFonts w:hint="eastAsia" w:ascii="宋体" w:hAnsi="宋体"/>
          <w:bCs/>
          <w:sz w:val="24"/>
        </w:rPr>
        <w:t>专家库中随机抽取产生。</w:t>
      </w:r>
    </w:p>
    <w:p>
      <w:pPr>
        <w:adjustRightInd w:val="0"/>
        <w:snapToGrid w:val="0"/>
        <w:spacing w:line="360" w:lineRule="auto"/>
        <w:ind w:firstLine="480" w:firstLineChars="200"/>
        <w:rPr>
          <w:rFonts w:ascii="宋体" w:hAnsi="宋体"/>
          <w:bCs/>
          <w:sz w:val="24"/>
        </w:rPr>
      </w:pPr>
      <w:r>
        <w:rPr>
          <w:rFonts w:hint="eastAsia" w:ascii="宋体" w:hAnsi="宋体"/>
          <w:bCs/>
          <w:sz w:val="24"/>
        </w:rPr>
        <w:t>1.1.2　磋商小组成员有下列情形之一的，应当回避；</w:t>
      </w:r>
    </w:p>
    <w:p>
      <w:pPr>
        <w:adjustRightInd w:val="0"/>
        <w:snapToGrid w:val="0"/>
        <w:spacing w:line="360" w:lineRule="auto"/>
        <w:ind w:firstLine="480" w:firstLineChars="200"/>
        <w:rPr>
          <w:rFonts w:ascii="宋体" w:hAnsi="宋体"/>
          <w:bCs/>
          <w:sz w:val="24"/>
        </w:rPr>
      </w:pPr>
      <w:r>
        <w:rPr>
          <w:rFonts w:hint="eastAsia" w:ascii="宋体" w:hAnsi="宋体"/>
          <w:bCs/>
          <w:sz w:val="24"/>
        </w:rPr>
        <w:t>（1）采购人或供应商的主要负责人的近亲属；</w:t>
      </w:r>
    </w:p>
    <w:p>
      <w:pPr>
        <w:adjustRightInd w:val="0"/>
        <w:snapToGrid w:val="0"/>
        <w:spacing w:line="360" w:lineRule="auto"/>
        <w:ind w:firstLine="480" w:firstLineChars="200"/>
        <w:rPr>
          <w:rFonts w:ascii="宋体" w:hAnsi="宋体"/>
          <w:bCs/>
          <w:sz w:val="24"/>
        </w:rPr>
      </w:pPr>
      <w:r>
        <w:rPr>
          <w:rFonts w:hint="eastAsia" w:ascii="宋体" w:hAnsi="宋体"/>
          <w:bCs/>
          <w:sz w:val="24"/>
        </w:rPr>
        <w:t>（2）项目主管部门或者行政监督部门的人员；</w:t>
      </w:r>
    </w:p>
    <w:p>
      <w:pPr>
        <w:adjustRightInd w:val="0"/>
        <w:snapToGrid w:val="0"/>
        <w:spacing w:line="360" w:lineRule="auto"/>
        <w:ind w:firstLine="480" w:firstLineChars="200"/>
        <w:rPr>
          <w:rFonts w:ascii="宋体" w:hAnsi="宋体"/>
          <w:bCs/>
          <w:sz w:val="24"/>
        </w:rPr>
      </w:pPr>
      <w:r>
        <w:rPr>
          <w:rFonts w:hint="eastAsia" w:ascii="宋体" w:hAnsi="宋体"/>
          <w:bCs/>
          <w:sz w:val="24"/>
        </w:rPr>
        <w:t>（3）与供应商有经济利益关系，可能影响对投标公正评审的；</w:t>
      </w:r>
    </w:p>
    <w:p>
      <w:pPr>
        <w:adjustRightInd w:val="0"/>
        <w:snapToGrid w:val="0"/>
        <w:spacing w:line="360" w:lineRule="auto"/>
        <w:ind w:firstLine="480" w:firstLineChars="200"/>
        <w:rPr>
          <w:rFonts w:ascii="宋体" w:hAnsi="宋体"/>
          <w:bCs/>
          <w:sz w:val="24"/>
        </w:rPr>
      </w:pPr>
      <w:r>
        <w:rPr>
          <w:rFonts w:hint="eastAsia" w:ascii="宋体" w:hAnsi="宋体"/>
          <w:bCs/>
          <w:sz w:val="24"/>
        </w:rPr>
        <w:t>（4）曾因在招标、评标以及其他与招标投标有关活动中从事违法行为而受过行政处罚或刑事处罚的。</w:t>
      </w:r>
    </w:p>
    <w:p>
      <w:pPr>
        <w:adjustRightInd w:val="0"/>
        <w:snapToGrid w:val="0"/>
        <w:spacing w:line="360" w:lineRule="auto"/>
        <w:ind w:firstLine="480" w:firstLineChars="200"/>
        <w:rPr>
          <w:rFonts w:ascii="宋体" w:hAnsi="宋体"/>
          <w:bCs/>
          <w:sz w:val="24"/>
        </w:rPr>
      </w:pPr>
      <w:r>
        <w:rPr>
          <w:rFonts w:hint="eastAsia" w:ascii="宋体" w:hAnsi="宋体"/>
          <w:bCs/>
          <w:sz w:val="24"/>
        </w:rPr>
        <w:t>（5）其它可能影响公正评标的情形。</w:t>
      </w:r>
    </w:p>
    <w:p>
      <w:pPr>
        <w:adjustRightInd w:val="0"/>
        <w:snapToGrid w:val="0"/>
        <w:spacing w:line="360" w:lineRule="auto"/>
        <w:ind w:firstLine="482" w:firstLineChars="200"/>
        <w:rPr>
          <w:rFonts w:ascii="宋体" w:hAnsi="宋体"/>
          <w:b/>
          <w:sz w:val="24"/>
        </w:rPr>
      </w:pPr>
      <w:bookmarkStart w:id="294" w:name="_Toc411671252"/>
      <w:r>
        <w:rPr>
          <w:rFonts w:hint="eastAsia" w:ascii="宋体" w:hAnsi="宋体"/>
          <w:b/>
          <w:sz w:val="24"/>
        </w:rPr>
        <w:t>1.2　评标原则</w:t>
      </w:r>
      <w:bookmarkEnd w:id="294"/>
    </w:p>
    <w:p>
      <w:pPr>
        <w:adjustRightInd w:val="0"/>
        <w:snapToGrid w:val="0"/>
        <w:spacing w:line="360" w:lineRule="auto"/>
        <w:ind w:firstLine="480" w:firstLineChars="200"/>
        <w:rPr>
          <w:rFonts w:ascii="宋体" w:hAnsi="宋体"/>
          <w:bCs/>
          <w:sz w:val="24"/>
        </w:rPr>
      </w:pPr>
      <w:r>
        <w:rPr>
          <w:rFonts w:hint="eastAsia" w:ascii="宋体" w:hAnsi="宋体"/>
          <w:bCs/>
          <w:sz w:val="24"/>
        </w:rPr>
        <w:t>评标活动遵循公平、公正、科学和择优的原则。</w:t>
      </w:r>
    </w:p>
    <w:p>
      <w:pPr>
        <w:adjustRightInd w:val="0"/>
        <w:snapToGrid w:val="0"/>
        <w:spacing w:line="360" w:lineRule="auto"/>
        <w:ind w:firstLine="482" w:firstLineChars="200"/>
        <w:rPr>
          <w:rFonts w:ascii="宋体" w:hAnsi="宋体"/>
          <w:b/>
          <w:sz w:val="24"/>
        </w:rPr>
      </w:pPr>
      <w:bookmarkStart w:id="295" w:name="_Toc411671253"/>
      <w:r>
        <w:rPr>
          <w:rFonts w:hint="eastAsia" w:ascii="宋体" w:hAnsi="宋体"/>
          <w:b/>
          <w:sz w:val="24"/>
        </w:rPr>
        <w:t>1.3　评标</w:t>
      </w:r>
      <w:bookmarkEnd w:id="295"/>
    </w:p>
    <w:p>
      <w:pPr>
        <w:adjustRightInd w:val="0"/>
        <w:snapToGrid w:val="0"/>
        <w:spacing w:line="360" w:lineRule="auto"/>
        <w:ind w:firstLine="480" w:firstLineChars="200"/>
        <w:rPr>
          <w:rFonts w:ascii="宋体" w:hAnsi="宋体"/>
          <w:bCs/>
          <w:sz w:val="24"/>
        </w:rPr>
      </w:pPr>
      <w:r>
        <w:rPr>
          <w:rFonts w:hint="eastAsia" w:ascii="宋体" w:hAnsi="宋体"/>
          <w:bCs/>
          <w:sz w:val="24"/>
        </w:rPr>
        <w:t>磋商小组按照磋商文件中规定的方法、评审因素、标准和程序对磋商响应文件进行评审。磋商文件中没有规定的方法、评审因素和标准，不作为评标依据。</w:t>
      </w:r>
    </w:p>
    <w:p>
      <w:pPr>
        <w:adjustRightInd w:val="0"/>
        <w:snapToGrid w:val="0"/>
        <w:spacing w:line="360" w:lineRule="auto"/>
        <w:ind w:firstLine="480" w:firstLineChars="200"/>
        <w:rPr>
          <w:rFonts w:ascii="宋体" w:hAnsi="宋体"/>
          <w:sz w:val="24"/>
        </w:rPr>
      </w:pPr>
      <w:r>
        <w:rPr>
          <w:rFonts w:hint="eastAsia" w:ascii="宋体" w:hAnsi="宋体"/>
          <w:bCs/>
          <w:sz w:val="24"/>
        </w:rPr>
        <w:t>详见</w:t>
      </w:r>
      <w:r>
        <w:rPr>
          <w:rFonts w:ascii="宋体" w:hAnsi="宋体"/>
          <w:sz w:val="24"/>
        </w:rPr>
        <w:t>“评标办法”内容。</w:t>
      </w:r>
    </w:p>
    <w:p>
      <w:pPr>
        <w:adjustRightInd w:val="0"/>
        <w:snapToGrid w:val="0"/>
        <w:spacing w:line="360" w:lineRule="auto"/>
        <w:ind w:firstLine="480" w:firstLineChars="200"/>
        <w:rPr>
          <w:rFonts w:ascii="宋体" w:hAnsi="宋体"/>
          <w:bCs/>
          <w:sz w:val="24"/>
        </w:rPr>
      </w:pPr>
      <w:r>
        <w:rPr>
          <w:rFonts w:hint="eastAsia" w:ascii="宋体" w:hAnsi="宋体"/>
          <w:bCs/>
          <w:sz w:val="24"/>
        </w:rPr>
        <w:t>1.4评标过程严格保密。供应商对评委会的评标过程或合同授予决定施加影响的任何行为都可能导致其投标被拒绝。</w:t>
      </w:r>
    </w:p>
    <w:p>
      <w:pPr>
        <w:spacing w:line="360" w:lineRule="auto"/>
        <w:ind w:firstLine="480" w:firstLineChars="200"/>
        <w:rPr>
          <w:rFonts w:ascii="宋体" w:hAnsi="宋体"/>
          <w:b/>
          <w:sz w:val="24"/>
        </w:rPr>
      </w:pPr>
      <w:r>
        <w:rPr>
          <w:rFonts w:hint="eastAsia" w:ascii="宋体" w:hAnsi="宋体"/>
          <w:sz w:val="24"/>
        </w:rPr>
        <w:t>1.5在评标期间，评委会可要求供应商对其磋商响应文件中非实质性的有关问题进行澄清、说明或者补正。有关澄清、说明或者补正的要求和答复应以书面形式提交。供应商的澄清、说明或者补正不得超出磋商响应文件的范围或者改变磋商响应文件的实质性内容。</w:t>
      </w:r>
    </w:p>
    <w:p>
      <w:pPr>
        <w:spacing w:line="360" w:lineRule="auto"/>
        <w:ind w:firstLine="480" w:firstLineChars="200"/>
        <w:rPr>
          <w:rFonts w:ascii="宋体" w:hAnsi="宋体"/>
          <w:b/>
          <w:sz w:val="24"/>
        </w:rPr>
      </w:pPr>
      <w:r>
        <w:rPr>
          <w:rFonts w:hint="eastAsia" w:ascii="宋体" w:hAnsi="宋体"/>
          <w:sz w:val="24"/>
        </w:rPr>
        <w:t>1.6评委会认定实质性响应磋商文件的投标是磋商响应文件与磋商文件要求的全部条款、条件和规格相符，没有实质性负偏离。评委会评审磋商响应文件的响应性依据是磋商响应文件本身的内容，而不寻求外部的证据。</w:t>
      </w:r>
    </w:p>
    <w:p>
      <w:pPr>
        <w:spacing w:line="360" w:lineRule="auto"/>
        <w:ind w:firstLine="480" w:firstLineChars="200"/>
        <w:rPr>
          <w:rFonts w:ascii="宋体" w:hAnsi="宋体"/>
          <w:sz w:val="24"/>
        </w:rPr>
      </w:pPr>
      <w:r>
        <w:rPr>
          <w:rFonts w:hint="eastAsia" w:ascii="宋体" w:hAnsi="宋体"/>
          <w:sz w:val="24"/>
        </w:rPr>
        <w:t>1.7如果磋商响应文件没有实质性响应磋商文件的要求，评委会将予以拒绝。供应商不得通过修正或撤消不合要求的偏离或保留从而使其投标成为实质性响应的投标。</w:t>
      </w:r>
    </w:p>
    <w:p>
      <w:pPr>
        <w:spacing w:line="360" w:lineRule="auto"/>
        <w:ind w:firstLine="480" w:firstLineChars="200"/>
        <w:rPr>
          <w:rFonts w:ascii="宋体" w:hAnsi="宋体"/>
          <w:bCs/>
          <w:sz w:val="24"/>
        </w:rPr>
      </w:pPr>
      <w:r>
        <w:rPr>
          <w:rFonts w:hint="eastAsia" w:ascii="宋体" w:hAnsi="宋体"/>
          <w:bCs/>
          <w:sz w:val="24"/>
        </w:rPr>
        <w:t>1.8评委会只对确定为实质性响应磋商文件要求的磋商响应文件，根据磋商文件的评审标准采用相同的评标程序、评分办法进行评价和比较。</w:t>
      </w:r>
    </w:p>
    <w:p>
      <w:pPr>
        <w:pStyle w:val="4"/>
        <w:rPr>
          <w:rFonts w:ascii="宋体" w:hAnsi="宋体" w:eastAsia="宋体"/>
          <w:sz w:val="24"/>
        </w:rPr>
      </w:pPr>
      <w:bookmarkStart w:id="296" w:name="_Toc27605"/>
      <w:bookmarkStart w:id="297" w:name="_Toc476758952"/>
      <w:bookmarkStart w:id="298" w:name="_Toc1566"/>
      <w:r>
        <w:rPr>
          <w:rFonts w:hint="eastAsia" w:ascii="宋体" w:hAnsi="宋体" w:eastAsia="宋体"/>
        </w:rPr>
        <w:t>（八）定标</w:t>
      </w:r>
      <w:bookmarkEnd w:id="296"/>
      <w:bookmarkEnd w:id="297"/>
      <w:bookmarkEnd w:id="298"/>
    </w:p>
    <w:p>
      <w:pPr>
        <w:spacing w:line="360" w:lineRule="auto"/>
        <w:jc w:val="left"/>
        <w:rPr>
          <w:rFonts w:ascii="宋体" w:hAnsi="宋体"/>
          <w:b/>
          <w:sz w:val="24"/>
        </w:rPr>
      </w:pPr>
      <w:r>
        <w:rPr>
          <w:rFonts w:hint="eastAsia" w:ascii="宋体" w:hAnsi="宋体"/>
          <w:b/>
          <w:sz w:val="24"/>
        </w:rPr>
        <w:t>1.定标：</w:t>
      </w:r>
    </w:p>
    <w:p>
      <w:pPr>
        <w:pStyle w:val="6"/>
        <w:spacing w:line="360" w:lineRule="auto"/>
        <w:ind w:firstLine="480" w:firstLineChars="200"/>
        <w:jc w:val="left"/>
        <w:rPr>
          <w:rFonts w:ascii="宋体" w:hAnsi="宋体"/>
          <w:bCs/>
          <w:sz w:val="24"/>
        </w:rPr>
      </w:pPr>
      <w:r>
        <w:rPr>
          <w:rFonts w:hint="eastAsia" w:ascii="宋体" w:hAnsi="宋体"/>
          <w:bCs/>
          <w:sz w:val="24"/>
        </w:rPr>
        <w:t>1.1定标原则：能够最大限度满足磋商文件中规定的各项综合评价标准得分由高到底依序确定。</w:t>
      </w:r>
    </w:p>
    <w:p>
      <w:pPr>
        <w:pStyle w:val="6"/>
        <w:spacing w:line="360" w:lineRule="auto"/>
        <w:ind w:firstLine="480" w:firstLineChars="200"/>
        <w:jc w:val="left"/>
        <w:rPr>
          <w:rFonts w:ascii="宋体" w:hAnsi="宋体"/>
          <w:bCs/>
          <w:sz w:val="24"/>
        </w:rPr>
      </w:pPr>
      <w:r>
        <w:rPr>
          <w:rFonts w:hint="eastAsia" w:ascii="宋体" w:hAnsi="宋体"/>
          <w:bCs/>
          <w:sz w:val="24"/>
        </w:rPr>
        <w:t>1.2定标方法：综合评分法。</w:t>
      </w:r>
    </w:p>
    <w:p>
      <w:pPr>
        <w:pStyle w:val="6"/>
        <w:spacing w:line="360" w:lineRule="auto"/>
        <w:ind w:firstLine="480" w:firstLineChars="200"/>
        <w:jc w:val="left"/>
        <w:rPr>
          <w:rFonts w:ascii="宋体" w:hAnsi="宋体"/>
          <w:sz w:val="24"/>
        </w:rPr>
      </w:pPr>
      <w:r>
        <w:rPr>
          <w:rFonts w:hint="eastAsia" w:ascii="宋体" w:hAnsi="宋体"/>
          <w:bCs/>
          <w:sz w:val="24"/>
        </w:rPr>
        <w:t>1.3定标方式：</w:t>
      </w:r>
      <w:r>
        <w:rPr>
          <w:rFonts w:hint="eastAsia" w:ascii="宋体" w:hAnsi="宋体"/>
          <w:sz w:val="24"/>
        </w:rPr>
        <w:t>根据评委会推荐的中标候选人名单，按顺序确定中标供应商。</w:t>
      </w:r>
    </w:p>
    <w:p>
      <w:pPr>
        <w:pStyle w:val="6"/>
        <w:spacing w:line="360" w:lineRule="auto"/>
        <w:ind w:firstLine="0"/>
        <w:jc w:val="left"/>
        <w:rPr>
          <w:rFonts w:ascii="宋体" w:hAnsi="宋体"/>
          <w:b/>
          <w:sz w:val="24"/>
        </w:rPr>
      </w:pPr>
      <w:r>
        <w:rPr>
          <w:rFonts w:hint="eastAsia" w:ascii="宋体" w:hAnsi="宋体"/>
          <w:b/>
          <w:sz w:val="24"/>
        </w:rPr>
        <w:t>2.定标程序</w:t>
      </w:r>
    </w:p>
    <w:p>
      <w:pPr>
        <w:spacing w:line="360" w:lineRule="auto"/>
        <w:ind w:firstLine="480" w:firstLineChars="200"/>
        <w:jc w:val="left"/>
        <w:rPr>
          <w:rFonts w:ascii="宋体" w:hAnsi="宋体"/>
          <w:sz w:val="24"/>
        </w:rPr>
      </w:pPr>
      <w:r>
        <w:rPr>
          <w:rFonts w:hint="eastAsia" w:ascii="宋体" w:hAnsi="宋体"/>
          <w:sz w:val="24"/>
        </w:rPr>
        <w:t>2.1磋商小组按照综合评审打分结果由高到低排列顺序。</w:t>
      </w:r>
    </w:p>
    <w:p>
      <w:pPr>
        <w:pStyle w:val="6"/>
        <w:spacing w:line="360" w:lineRule="auto"/>
        <w:ind w:firstLine="480" w:firstLineChars="200"/>
        <w:jc w:val="left"/>
        <w:rPr>
          <w:rFonts w:ascii="宋体" w:hAnsi="宋体"/>
          <w:bCs/>
          <w:sz w:val="24"/>
        </w:rPr>
      </w:pPr>
      <w:r>
        <w:rPr>
          <w:rFonts w:hint="eastAsia" w:ascii="宋体" w:hAnsi="宋体"/>
          <w:bCs/>
          <w:sz w:val="24"/>
        </w:rPr>
        <w:t>2.2磋商小组根据书面评标报告和被推荐的中标候选人，按综合得分高低排列顺序依序确定中标供应商。</w:t>
      </w:r>
    </w:p>
    <w:p>
      <w:pPr>
        <w:pStyle w:val="6"/>
        <w:spacing w:line="360" w:lineRule="auto"/>
        <w:ind w:firstLine="480" w:firstLineChars="200"/>
        <w:jc w:val="left"/>
        <w:rPr>
          <w:rFonts w:ascii="宋体" w:hAnsi="宋体"/>
          <w:bCs/>
          <w:sz w:val="24"/>
        </w:rPr>
      </w:pPr>
      <w:r>
        <w:rPr>
          <w:rFonts w:hint="eastAsia" w:ascii="宋体" w:hAnsi="宋体"/>
          <w:bCs/>
          <w:sz w:val="24"/>
        </w:rPr>
        <w:t>2.3中标结果现场公布。同时向中标供应商发出《中标通知书》。</w:t>
      </w:r>
    </w:p>
    <w:p>
      <w:pPr>
        <w:spacing w:line="360" w:lineRule="auto"/>
        <w:ind w:firstLine="480" w:firstLineChars="200"/>
        <w:jc w:val="left"/>
        <w:rPr>
          <w:rFonts w:ascii="宋体" w:hAnsi="宋体"/>
          <w:sz w:val="24"/>
        </w:rPr>
      </w:pPr>
      <w:r>
        <w:rPr>
          <w:rFonts w:hint="eastAsia" w:ascii="宋体" w:hAnsi="宋体"/>
          <w:sz w:val="24"/>
        </w:rPr>
        <w:t>2.4招标采购单位不解释中标或落标原因，不退回磋商响应文件和其他投标资料。</w:t>
      </w:r>
    </w:p>
    <w:p>
      <w:pPr>
        <w:spacing w:line="360" w:lineRule="auto"/>
        <w:jc w:val="left"/>
        <w:rPr>
          <w:rFonts w:ascii="宋体" w:hAnsi="宋体"/>
          <w:b/>
          <w:sz w:val="24"/>
        </w:rPr>
      </w:pPr>
      <w:r>
        <w:rPr>
          <w:rFonts w:hint="eastAsia" w:ascii="宋体" w:hAnsi="宋体"/>
          <w:b/>
          <w:bCs/>
          <w:sz w:val="24"/>
        </w:rPr>
        <w:t>3.</w:t>
      </w:r>
      <w:r>
        <w:rPr>
          <w:rFonts w:hint="eastAsia" w:ascii="宋体" w:hAnsi="宋体"/>
          <w:b/>
          <w:sz w:val="24"/>
        </w:rPr>
        <w:t xml:space="preserve"> 中标</w:t>
      </w:r>
      <w:r>
        <w:rPr>
          <w:rFonts w:hint="eastAsia" w:ascii="宋体" w:hAnsi="宋体"/>
          <w:b/>
          <w:bCs/>
          <w:sz w:val="24"/>
        </w:rPr>
        <w:t>通知书</w:t>
      </w:r>
    </w:p>
    <w:p>
      <w:pPr>
        <w:tabs>
          <w:tab w:val="left" w:pos="7665"/>
        </w:tabs>
        <w:spacing w:line="360" w:lineRule="auto"/>
        <w:ind w:firstLine="480" w:firstLineChars="200"/>
        <w:jc w:val="left"/>
        <w:rPr>
          <w:rFonts w:ascii="宋体" w:hAnsi="宋体"/>
          <w:sz w:val="24"/>
        </w:rPr>
      </w:pPr>
      <w:r>
        <w:rPr>
          <w:rFonts w:hint="eastAsia" w:ascii="宋体" w:hAnsi="宋体"/>
          <w:sz w:val="24"/>
        </w:rPr>
        <w:t>3.1招标代理机构将以书面形式《中标通知书》通知中标的供应商其投标被接受。在该通知书发出三十日内，中标单位应与采购人签订《合同》。</w:t>
      </w:r>
    </w:p>
    <w:p>
      <w:pPr>
        <w:tabs>
          <w:tab w:val="left" w:pos="7665"/>
        </w:tabs>
        <w:spacing w:line="360" w:lineRule="auto"/>
        <w:ind w:firstLine="480" w:firstLineChars="200"/>
        <w:jc w:val="left"/>
        <w:rPr>
          <w:rFonts w:ascii="宋体" w:hAnsi="宋体"/>
          <w:sz w:val="24"/>
        </w:rPr>
      </w:pPr>
      <w:r>
        <w:rPr>
          <w:rFonts w:hint="eastAsia" w:ascii="宋体" w:hAnsi="宋体"/>
          <w:sz w:val="24"/>
        </w:rPr>
        <w:t>3.2中标通知书为签订《合同》的依据，是合同的有效组成部分。</w:t>
      </w:r>
    </w:p>
    <w:p>
      <w:pPr>
        <w:tabs>
          <w:tab w:val="left" w:pos="7665"/>
        </w:tabs>
        <w:spacing w:line="360" w:lineRule="auto"/>
        <w:ind w:firstLine="480" w:firstLineChars="200"/>
        <w:jc w:val="left"/>
        <w:rPr>
          <w:rFonts w:ascii="宋体" w:hAnsi="宋体"/>
          <w:sz w:val="24"/>
        </w:rPr>
      </w:pPr>
      <w:r>
        <w:rPr>
          <w:rFonts w:hint="eastAsia" w:ascii="宋体" w:hAnsi="宋体"/>
          <w:sz w:val="24"/>
        </w:rPr>
        <w:t>3.3中标通知书对采购人和中标供应商均具有法律效力。中标通知书发出后，采购人改变中标结果，或者中标供应商无正当理由放弃中标的，应当承担相应的法律责任。</w:t>
      </w:r>
    </w:p>
    <w:p>
      <w:pPr>
        <w:tabs>
          <w:tab w:val="left" w:pos="7665"/>
        </w:tabs>
        <w:spacing w:line="360" w:lineRule="auto"/>
        <w:ind w:firstLine="480" w:firstLineChars="200"/>
        <w:jc w:val="left"/>
        <w:rPr>
          <w:rFonts w:ascii="宋体" w:hAnsi="宋体"/>
          <w:sz w:val="24"/>
        </w:rPr>
      </w:pPr>
      <w:r>
        <w:rPr>
          <w:rFonts w:hint="eastAsia" w:ascii="宋体" w:hAnsi="宋体"/>
          <w:sz w:val="24"/>
        </w:rPr>
        <w:t>3.4中标供应商的磋商响应文件本应作为无效投标处理或者有政府采购法律法规规章制度规定的中标无效情形的，招标代理机构在取得有权主体的认定以后，应当宣布发出的中标通知书无效，并收回发出的中标通知书（中标供应商也应当缴回），依法重新确定中标供应商或者重新开展采购活动。</w:t>
      </w:r>
      <w:bookmarkStart w:id="299" w:name="_Toc764"/>
    </w:p>
    <w:bookmarkEnd w:id="266"/>
    <w:bookmarkEnd w:id="267"/>
    <w:bookmarkEnd w:id="268"/>
    <w:bookmarkEnd w:id="269"/>
    <w:bookmarkEnd w:id="270"/>
    <w:bookmarkEnd w:id="271"/>
    <w:bookmarkEnd w:id="272"/>
    <w:bookmarkEnd w:id="273"/>
    <w:bookmarkEnd w:id="274"/>
    <w:bookmarkEnd w:id="275"/>
    <w:bookmarkEnd w:id="276"/>
    <w:bookmarkEnd w:id="277"/>
    <w:bookmarkEnd w:id="278"/>
    <w:bookmarkEnd w:id="299"/>
    <w:p>
      <w:pPr>
        <w:pStyle w:val="4"/>
        <w:rPr>
          <w:rFonts w:ascii="宋体" w:hAnsi="宋体" w:eastAsia="宋体"/>
        </w:rPr>
      </w:pPr>
      <w:bookmarkStart w:id="300" w:name="_Toc26920"/>
      <w:bookmarkStart w:id="301" w:name="_Toc26982"/>
      <w:bookmarkStart w:id="302" w:name="_Toc21326"/>
      <w:bookmarkStart w:id="303" w:name="_Toc476758955"/>
      <w:r>
        <w:rPr>
          <w:rFonts w:hint="eastAsia" w:ascii="宋体" w:hAnsi="宋体" w:eastAsia="宋体"/>
        </w:rPr>
        <w:t>（九）重新招标和不再招标</w:t>
      </w:r>
      <w:bookmarkEnd w:id="300"/>
      <w:bookmarkEnd w:id="301"/>
      <w:bookmarkEnd w:id="302"/>
      <w:bookmarkEnd w:id="303"/>
    </w:p>
    <w:p>
      <w:pPr>
        <w:adjustRightInd w:val="0"/>
        <w:snapToGrid w:val="0"/>
        <w:spacing w:line="360" w:lineRule="auto"/>
        <w:rPr>
          <w:rFonts w:ascii="宋体" w:hAnsi="宋体"/>
          <w:b/>
          <w:bCs/>
          <w:sz w:val="24"/>
        </w:rPr>
      </w:pPr>
      <w:bookmarkStart w:id="304" w:name="_Toc411671260"/>
      <w:r>
        <w:rPr>
          <w:rFonts w:hint="eastAsia" w:ascii="宋体" w:hAnsi="宋体"/>
          <w:b/>
          <w:bCs/>
          <w:sz w:val="24"/>
        </w:rPr>
        <w:t>1．重新招标</w:t>
      </w:r>
      <w:bookmarkEnd w:id="304"/>
    </w:p>
    <w:p>
      <w:pPr>
        <w:adjustRightInd w:val="0"/>
        <w:snapToGrid w:val="0"/>
        <w:spacing w:line="360" w:lineRule="auto"/>
        <w:ind w:firstLine="480" w:firstLineChars="200"/>
        <w:rPr>
          <w:rFonts w:ascii="宋体" w:hAnsi="宋体"/>
          <w:bCs/>
          <w:sz w:val="24"/>
        </w:rPr>
      </w:pPr>
      <w:r>
        <w:rPr>
          <w:rFonts w:hint="eastAsia" w:ascii="宋体" w:hAnsi="宋体"/>
          <w:bCs/>
          <w:sz w:val="24"/>
        </w:rPr>
        <w:t>有下列情形之一的，采购人将重新招标：</w:t>
      </w:r>
    </w:p>
    <w:p>
      <w:pPr>
        <w:adjustRightInd w:val="0"/>
        <w:snapToGrid w:val="0"/>
        <w:spacing w:line="360" w:lineRule="auto"/>
        <w:ind w:firstLine="360" w:firstLineChars="150"/>
        <w:rPr>
          <w:rFonts w:ascii="宋体" w:hAnsi="宋体"/>
          <w:bCs/>
          <w:sz w:val="24"/>
        </w:rPr>
      </w:pPr>
      <w:r>
        <w:rPr>
          <w:rFonts w:hint="eastAsia" w:ascii="宋体" w:hAnsi="宋体"/>
          <w:bCs/>
          <w:sz w:val="24"/>
        </w:rPr>
        <w:t>（1）投标截止时间止，供应商少于3个的；</w:t>
      </w:r>
    </w:p>
    <w:p>
      <w:pPr>
        <w:adjustRightInd w:val="0"/>
        <w:snapToGrid w:val="0"/>
        <w:spacing w:line="360" w:lineRule="auto"/>
        <w:ind w:firstLine="360" w:firstLineChars="150"/>
        <w:rPr>
          <w:rFonts w:ascii="宋体" w:hAnsi="宋体"/>
          <w:bCs/>
          <w:sz w:val="24"/>
        </w:rPr>
      </w:pPr>
      <w:r>
        <w:rPr>
          <w:rFonts w:hint="eastAsia" w:ascii="宋体" w:hAnsi="宋体"/>
          <w:bCs/>
          <w:sz w:val="24"/>
        </w:rPr>
        <w:t>（2）经磋商小组评审后否决所有投标的。</w:t>
      </w:r>
    </w:p>
    <w:p>
      <w:pPr>
        <w:adjustRightInd w:val="0"/>
        <w:snapToGrid w:val="0"/>
        <w:spacing w:line="360" w:lineRule="auto"/>
        <w:rPr>
          <w:rFonts w:ascii="宋体" w:hAnsi="宋体"/>
          <w:b/>
          <w:bCs/>
          <w:sz w:val="24"/>
        </w:rPr>
      </w:pPr>
      <w:bookmarkStart w:id="305" w:name="_Toc411671261"/>
      <w:r>
        <w:rPr>
          <w:rFonts w:hint="eastAsia" w:ascii="宋体" w:hAnsi="宋体"/>
          <w:b/>
          <w:bCs/>
          <w:sz w:val="24"/>
        </w:rPr>
        <w:t>2．不再招标</w:t>
      </w:r>
      <w:bookmarkEnd w:id="305"/>
    </w:p>
    <w:p>
      <w:pPr>
        <w:adjustRightInd w:val="0"/>
        <w:snapToGrid w:val="0"/>
        <w:spacing w:line="360" w:lineRule="auto"/>
        <w:ind w:firstLine="480" w:firstLineChars="200"/>
        <w:rPr>
          <w:rFonts w:ascii="宋体" w:hAnsi="宋体"/>
          <w:bCs/>
          <w:sz w:val="24"/>
        </w:rPr>
      </w:pPr>
      <w:r>
        <w:rPr>
          <w:rFonts w:hint="eastAsia" w:ascii="宋体" w:hAnsi="宋体"/>
          <w:bCs/>
          <w:sz w:val="24"/>
        </w:rPr>
        <w:t>重新招标后供应商仍少于3个或者所有投标被否决的，属于必须审批或核准的项目，经原审批或核准部门批准后不再进行招标。</w:t>
      </w:r>
      <w:bookmarkStart w:id="306" w:name="_Toc4107"/>
    </w:p>
    <w:p>
      <w:pPr>
        <w:pStyle w:val="4"/>
        <w:rPr>
          <w:rFonts w:ascii="宋体" w:hAnsi="宋体" w:eastAsia="宋体"/>
        </w:rPr>
      </w:pPr>
      <w:bookmarkStart w:id="307" w:name="_Toc23619"/>
      <w:bookmarkStart w:id="308" w:name="_Toc476758956"/>
      <w:bookmarkStart w:id="309" w:name="_Toc16185"/>
      <w:r>
        <w:rPr>
          <w:rFonts w:hint="eastAsia" w:ascii="宋体" w:hAnsi="宋体" w:eastAsia="宋体"/>
        </w:rPr>
        <w:t>（十）纪律和监督</w:t>
      </w:r>
      <w:bookmarkEnd w:id="306"/>
      <w:bookmarkEnd w:id="307"/>
      <w:bookmarkEnd w:id="308"/>
      <w:bookmarkEnd w:id="309"/>
    </w:p>
    <w:p>
      <w:pPr>
        <w:adjustRightInd w:val="0"/>
        <w:snapToGrid w:val="0"/>
        <w:spacing w:line="360" w:lineRule="auto"/>
        <w:rPr>
          <w:rFonts w:ascii="宋体" w:hAnsi="宋体"/>
          <w:b/>
          <w:bCs/>
          <w:sz w:val="24"/>
        </w:rPr>
      </w:pPr>
      <w:r>
        <w:rPr>
          <w:rFonts w:hint="eastAsia" w:ascii="宋体" w:hAnsi="宋体"/>
          <w:b/>
          <w:bCs/>
          <w:sz w:val="24"/>
        </w:rPr>
        <w:t>1．对采购人的纪律要求</w:t>
      </w:r>
    </w:p>
    <w:p>
      <w:pPr>
        <w:adjustRightInd w:val="0"/>
        <w:snapToGrid w:val="0"/>
        <w:spacing w:line="360" w:lineRule="auto"/>
        <w:ind w:firstLine="480" w:firstLineChars="200"/>
        <w:rPr>
          <w:rFonts w:ascii="宋体" w:hAnsi="宋体"/>
          <w:bCs/>
          <w:sz w:val="24"/>
        </w:rPr>
      </w:pPr>
      <w:r>
        <w:rPr>
          <w:rFonts w:hint="eastAsia" w:ascii="宋体" w:hAnsi="宋体"/>
          <w:bCs/>
          <w:sz w:val="24"/>
        </w:rPr>
        <w:t>采购人不得泄漏招标投标活动中应当保密的情况和资料，不得与供应商串通损害国家利益、社会公共利益或者他人合法权益。</w:t>
      </w:r>
    </w:p>
    <w:p>
      <w:pPr>
        <w:spacing w:line="360" w:lineRule="auto"/>
        <w:ind w:firstLine="480" w:firstLineChars="200"/>
        <w:rPr>
          <w:rFonts w:ascii="宋体" w:hAnsi="宋体" w:cs="仿宋_GB2312"/>
          <w:sz w:val="24"/>
        </w:rPr>
      </w:pPr>
      <w:r>
        <w:rPr>
          <w:rFonts w:hint="eastAsia" w:ascii="宋体" w:hAnsi="宋体" w:cs="仿宋_GB2312"/>
          <w:sz w:val="24"/>
        </w:rPr>
        <w:t>下列行为视为采购人与供应商串通投标：</w:t>
      </w:r>
    </w:p>
    <w:p>
      <w:pPr>
        <w:spacing w:line="360" w:lineRule="auto"/>
        <w:ind w:firstLine="480" w:firstLineChars="200"/>
        <w:rPr>
          <w:rFonts w:ascii="宋体" w:hAnsi="宋体" w:cs="仿宋_GB2312"/>
          <w:sz w:val="24"/>
        </w:rPr>
      </w:pPr>
      <w:r>
        <w:rPr>
          <w:rFonts w:hint="eastAsia" w:ascii="宋体" w:hAnsi="宋体" w:cs="仿宋_GB2312"/>
          <w:sz w:val="24"/>
        </w:rPr>
        <w:t>(1）采购人在开标前开启磋商响应文件，并将投标情况告知其它供应商，或者协助供应商撤换磋商响应文件，更改报价；</w:t>
      </w:r>
    </w:p>
    <w:p>
      <w:pPr>
        <w:spacing w:line="360" w:lineRule="auto"/>
        <w:ind w:firstLine="480" w:firstLineChars="200"/>
        <w:rPr>
          <w:rFonts w:ascii="宋体" w:hAnsi="宋体" w:cs="仿宋_GB2312"/>
          <w:sz w:val="24"/>
        </w:rPr>
      </w:pPr>
      <w:r>
        <w:rPr>
          <w:rFonts w:hint="eastAsia" w:ascii="宋体" w:hAnsi="宋体" w:cs="仿宋_GB2312"/>
          <w:sz w:val="24"/>
        </w:rPr>
        <w:t>(2）采购人向供应商泄露标底；</w:t>
      </w:r>
    </w:p>
    <w:p>
      <w:pPr>
        <w:spacing w:line="360" w:lineRule="auto"/>
        <w:ind w:firstLine="480" w:firstLineChars="200"/>
        <w:rPr>
          <w:rFonts w:ascii="宋体" w:hAnsi="宋体" w:cs="仿宋_GB2312"/>
          <w:sz w:val="24"/>
        </w:rPr>
      </w:pPr>
      <w:r>
        <w:rPr>
          <w:rFonts w:hint="eastAsia" w:ascii="宋体" w:hAnsi="宋体" w:cs="仿宋_GB2312"/>
          <w:sz w:val="24"/>
        </w:rPr>
        <w:t>(3）采购人与供应商商定，投标时压低或抬高标价，中标后再给供应商或采购人额外补偿；</w:t>
      </w:r>
    </w:p>
    <w:p>
      <w:pPr>
        <w:spacing w:line="360" w:lineRule="auto"/>
        <w:ind w:firstLine="480" w:firstLineChars="200"/>
        <w:rPr>
          <w:rFonts w:ascii="宋体" w:hAnsi="宋体" w:cs="仿宋_GB2312"/>
          <w:sz w:val="24"/>
        </w:rPr>
      </w:pPr>
      <w:r>
        <w:rPr>
          <w:rFonts w:hint="eastAsia" w:ascii="宋体" w:hAnsi="宋体" w:cs="仿宋_GB2312"/>
          <w:sz w:val="24"/>
        </w:rPr>
        <w:t>(4）采购人预先内定中标供应商；</w:t>
      </w:r>
    </w:p>
    <w:p>
      <w:pPr>
        <w:adjustRightInd w:val="0"/>
        <w:snapToGrid w:val="0"/>
        <w:spacing w:line="360" w:lineRule="auto"/>
        <w:ind w:firstLine="480" w:firstLineChars="200"/>
        <w:rPr>
          <w:rFonts w:ascii="宋体" w:hAnsi="宋体"/>
          <w:bCs/>
          <w:sz w:val="24"/>
        </w:rPr>
      </w:pPr>
      <w:r>
        <w:rPr>
          <w:rFonts w:hint="eastAsia" w:ascii="宋体" w:hAnsi="宋体" w:cs="仿宋_GB2312"/>
          <w:sz w:val="24"/>
        </w:rPr>
        <w:t>(5）其它串通投标行为。</w:t>
      </w:r>
    </w:p>
    <w:p>
      <w:pPr>
        <w:adjustRightInd w:val="0"/>
        <w:snapToGrid w:val="0"/>
        <w:spacing w:line="360" w:lineRule="auto"/>
        <w:rPr>
          <w:rFonts w:ascii="宋体" w:hAnsi="宋体"/>
          <w:b/>
          <w:bCs/>
          <w:sz w:val="24"/>
        </w:rPr>
      </w:pPr>
      <w:r>
        <w:rPr>
          <w:rFonts w:hint="eastAsia" w:ascii="宋体" w:hAnsi="宋体"/>
          <w:b/>
          <w:bCs/>
          <w:sz w:val="24"/>
        </w:rPr>
        <w:t>2.对供应商的纪律要求</w:t>
      </w:r>
    </w:p>
    <w:p>
      <w:pPr>
        <w:adjustRightInd w:val="0"/>
        <w:snapToGrid w:val="0"/>
        <w:spacing w:line="360" w:lineRule="auto"/>
        <w:ind w:firstLine="480" w:firstLineChars="200"/>
        <w:rPr>
          <w:rFonts w:ascii="宋体" w:hAnsi="宋体"/>
          <w:bCs/>
          <w:sz w:val="24"/>
        </w:rPr>
      </w:pPr>
      <w:r>
        <w:rPr>
          <w:rFonts w:hint="eastAsia" w:ascii="宋体" w:hAnsi="宋体"/>
          <w:bCs/>
          <w:sz w:val="24"/>
        </w:rPr>
        <w:t>供应商不得相互串通投标或者与采购人串通投标，不得向采购人或者磋商小组成员行贿谋取中标，不得以他人名义投标或者以其他方式弄虚作假骗取中标；供应商不得以任何方式干扰、影响评标工作；不得诋毁、排挤其他供应商；不得在招标过程中与招标采购单位进行协商谈判；不得拒绝有关部门的监督检查或者向监督检查部门提供虚假情况。</w:t>
      </w:r>
    </w:p>
    <w:p>
      <w:pPr>
        <w:spacing w:line="360" w:lineRule="auto"/>
        <w:ind w:firstLine="480" w:firstLineChars="200"/>
        <w:rPr>
          <w:rFonts w:ascii="宋体" w:hAnsi="宋体" w:cs="仿宋_GB2312"/>
          <w:sz w:val="24"/>
        </w:rPr>
      </w:pPr>
      <w:r>
        <w:rPr>
          <w:rFonts w:hint="eastAsia" w:ascii="宋体" w:hAnsi="宋体" w:cs="仿宋_GB2312"/>
          <w:sz w:val="24"/>
        </w:rPr>
        <w:t>2.1 下列行为视为以他人名义投标：</w:t>
      </w:r>
    </w:p>
    <w:p>
      <w:pPr>
        <w:spacing w:line="360" w:lineRule="auto"/>
        <w:ind w:firstLine="480" w:firstLineChars="200"/>
        <w:rPr>
          <w:rFonts w:ascii="宋体" w:hAnsi="宋体" w:cs="仿宋_GB2312"/>
          <w:sz w:val="24"/>
        </w:rPr>
      </w:pPr>
      <w:r>
        <w:rPr>
          <w:rFonts w:hint="eastAsia" w:ascii="宋体" w:hAnsi="宋体" w:cs="仿宋_GB2312"/>
          <w:sz w:val="24"/>
        </w:rPr>
        <w:t>（1）供应商挂靠其他单位；</w:t>
      </w:r>
    </w:p>
    <w:p>
      <w:pPr>
        <w:spacing w:line="360" w:lineRule="auto"/>
        <w:ind w:firstLine="480" w:firstLineChars="200"/>
        <w:rPr>
          <w:rFonts w:ascii="宋体" w:hAnsi="宋体" w:cs="仿宋_GB2312"/>
          <w:sz w:val="24"/>
        </w:rPr>
      </w:pPr>
      <w:r>
        <w:rPr>
          <w:rFonts w:hint="eastAsia" w:ascii="宋体" w:hAnsi="宋体" w:cs="仿宋_GB2312"/>
          <w:sz w:val="24"/>
        </w:rPr>
        <w:t>（2）供应商从其它单位通过转让或租借的方式获取资格或资质证书；</w:t>
      </w:r>
    </w:p>
    <w:p>
      <w:pPr>
        <w:spacing w:line="360" w:lineRule="auto"/>
        <w:ind w:firstLine="480" w:firstLineChars="200"/>
        <w:rPr>
          <w:rFonts w:ascii="宋体" w:hAnsi="宋体" w:cs="仿宋_GB2312"/>
          <w:sz w:val="24"/>
        </w:rPr>
      </w:pPr>
      <w:r>
        <w:rPr>
          <w:rFonts w:hint="eastAsia" w:ascii="宋体" w:hAnsi="宋体" w:cs="仿宋_GB2312"/>
          <w:sz w:val="24"/>
        </w:rPr>
        <w:t>（3）由其它单位及法定代表人在自己编制的磋商响应文件上加盖印章或签字；</w:t>
      </w:r>
    </w:p>
    <w:p>
      <w:pPr>
        <w:spacing w:line="360" w:lineRule="auto"/>
        <w:ind w:firstLine="480" w:firstLineChars="200"/>
        <w:rPr>
          <w:rFonts w:ascii="宋体" w:hAnsi="宋体" w:cs="仿宋_GB2312"/>
          <w:sz w:val="24"/>
        </w:rPr>
      </w:pPr>
      <w:r>
        <w:rPr>
          <w:rFonts w:hint="eastAsia" w:ascii="宋体" w:hAnsi="宋体" w:cs="仿宋_GB2312"/>
          <w:sz w:val="24"/>
        </w:rPr>
        <w:t>（4）法律法规规定的其它情形。</w:t>
      </w:r>
    </w:p>
    <w:p>
      <w:pPr>
        <w:spacing w:line="360" w:lineRule="auto"/>
        <w:ind w:firstLine="480" w:firstLineChars="200"/>
        <w:rPr>
          <w:rFonts w:ascii="宋体" w:hAnsi="宋体" w:cs="仿宋_GB2312"/>
          <w:sz w:val="24"/>
        </w:rPr>
      </w:pPr>
      <w:r>
        <w:rPr>
          <w:rFonts w:hint="eastAsia" w:ascii="宋体" w:hAnsi="宋体" w:cs="仿宋_GB2312"/>
          <w:sz w:val="24"/>
        </w:rPr>
        <w:t>2.2 下列行为，视为允许他人以本单位名义承揽项目：</w:t>
      </w:r>
    </w:p>
    <w:p>
      <w:pPr>
        <w:spacing w:line="360" w:lineRule="auto"/>
        <w:ind w:firstLine="480" w:firstLineChars="200"/>
        <w:rPr>
          <w:rFonts w:ascii="宋体" w:hAnsi="宋体" w:cs="仿宋_GB2312"/>
          <w:sz w:val="24"/>
        </w:rPr>
      </w:pPr>
      <w:r>
        <w:rPr>
          <w:rFonts w:hint="eastAsia" w:ascii="宋体" w:hAnsi="宋体" w:cs="仿宋_GB2312"/>
          <w:sz w:val="24"/>
        </w:rPr>
        <w:t>（1）供应商的法定代表人的委托代理人不是供应商本单位人员；</w:t>
      </w:r>
    </w:p>
    <w:p>
      <w:pPr>
        <w:spacing w:line="360" w:lineRule="auto"/>
        <w:ind w:firstLine="480" w:firstLineChars="200"/>
        <w:rPr>
          <w:rFonts w:ascii="宋体" w:hAnsi="宋体" w:cs="仿宋_GB2312"/>
          <w:sz w:val="24"/>
        </w:rPr>
      </w:pPr>
      <w:r>
        <w:rPr>
          <w:rFonts w:hint="eastAsia" w:ascii="宋体" w:hAnsi="宋体" w:cs="仿宋_GB2312"/>
          <w:sz w:val="24"/>
        </w:rPr>
        <w:t>（2）供应商拟在担任本项目的项目负责人或主要技术人员等不是本单位人员；</w:t>
      </w:r>
    </w:p>
    <w:p>
      <w:pPr>
        <w:spacing w:line="360" w:lineRule="auto"/>
        <w:ind w:firstLine="480" w:firstLineChars="200"/>
        <w:rPr>
          <w:rFonts w:ascii="宋体" w:hAnsi="宋体" w:cs="仿宋_GB2312"/>
          <w:sz w:val="24"/>
        </w:rPr>
      </w:pPr>
      <w:r>
        <w:rPr>
          <w:rFonts w:hint="eastAsia" w:ascii="宋体" w:hAnsi="宋体" w:cs="仿宋_GB2312"/>
          <w:sz w:val="24"/>
        </w:rPr>
        <w:t>（</w:t>
      </w:r>
      <w:r>
        <w:rPr>
          <w:rFonts w:ascii="宋体" w:hAnsi="宋体" w:cs="仿宋_GB2312"/>
          <w:sz w:val="24"/>
        </w:rPr>
        <w:t>3</w:t>
      </w:r>
      <w:r>
        <w:rPr>
          <w:rFonts w:hint="eastAsia" w:ascii="宋体" w:hAnsi="宋体" w:cs="仿宋_GB2312"/>
          <w:sz w:val="24"/>
        </w:rPr>
        <w:t>）通过出租、出借资质证书或者收取管理费等方式允许他人以本单位名义承接项目；</w:t>
      </w:r>
      <w:bookmarkStart w:id="310" w:name="_Toc256694624"/>
      <w:bookmarkStart w:id="311" w:name="_Toc256690748"/>
    </w:p>
    <w:p>
      <w:pPr>
        <w:spacing w:line="360" w:lineRule="auto"/>
        <w:ind w:firstLine="480" w:firstLineChars="200"/>
        <w:rPr>
          <w:rFonts w:ascii="宋体" w:hAnsi="宋体" w:cs="仿宋_GB2312"/>
          <w:sz w:val="24"/>
        </w:rPr>
      </w:pPr>
      <w:r>
        <w:rPr>
          <w:rFonts w:hint="eastAsia" w:ascii="宋体" w:hAnsi="宋体" w:cs="仿宋_GB2312"/>
          <w:sz w:val="24"/>
        </w:rPr>
        <w:t>（4）投标保证金非投标单位银行基本账户转出，或虽由投标单位银行基本账户转出，但先由非投标单位人员将投标保证金存入投标单位或有关个人账户，或以其他方式抵押的；</w:t>
      </w:r>
      <w:bookmarkEnd w:id="310"/>
      <w:bookmarkEnd w:id="311"/>
    </w:p>
    <w:p>
      <w:pPr>
        <w:spacing w:line="360" w:lineRule="auto"/>
        <w:ind w:firstLine="480" w:firstLineChars="200"/>
        <w:rPr>
          <w:rFonts w:ascii="宋体" w:hAnsi="宋体" w:cs="仿宋_GB2312"/>
          <w:sz w:val="24"/>
        </w:rPr>
      </w:pPr>
      <w:r>
        <w:rPr>
          <w:rFonts w:hint="eastAsia" w:ascii="宋体" w:hAnsi="宋体" w:cs="仿宋_GB2312"/>
          <w:sz w:val="24"/>
        </w:rPr>
        <w:t>（5）项目资金未实行项目资金专户分账管理或独立核算制度的；财务管理人员（财务主管和出纳）非本单位人员，或项目资金的使用未经项目经理本人签字、审批的；</w:t>
      </w:r>
      <w:bookmarkStart w:id="312" w:name="_Toc256690752"/>
      <w:bookmarkStart w:id="313" w:name="_Toc256694628"/>
    </w:p>
    <w:p>
      <w:pPr>
        <w:spacing w:line="360" w:lineRule="auto"/>
        <w:ind w:firstLine="480" w:firstLineChars="200"/>
        <w:rPr>
          <w:rFonts w:ascii="宋体" w:hAnsi="宋体" w:cs="仿宋_GB2312"/>
          <w:sz w:val="24"/>
        </w:rPr>
      </w:pPr>
      <w:r>
        <w:rPr>
          <w:rFonts w:hint="eastAsia" w:ascii="宋体" w:hAnsi="宋体" w:cs="仿宋_GB2312"/>
          <w:sz w:val="24"/>
        </w:rPr>
        <w:t>（6）中标后，实际由他人履行职责且他人非本单位人员的(项目负责人换为非本单位人员，或其他主要技术人员有2个及以上换为非本单位人员)</w:t>
      </w:r>
      <w:bookmarkEnd w:id="312"/>
      <w:bookmarkEnd w:id="313"/>
      <w:r>
        <w:rPr>
          <w:rFonts w:hint="eastAsia" w:ascii="宋体" w:hAnsi="宋体" w:cs="仿宋_GB2312"/>
          <w:sz w:val="24"/>
        </w:rPr>
        <w:t>；</w:t>
      </w:r>
    </w:p>
    <w:p>
      <w:pPr>
        <w:spacing w:line="360" w:lineRule="auto"/>
        <w:ind w:firstLine="480" w:firstLineChars="200"/>
        <w:rPr>
          <w:rFonts w:ascii="宋体" w:hAnsi="宋体" w:cs="仿宋_GB2312"/>
          <w:sz w:val="24"/>
        </w:rPr>
      </w:pPr>
      <w:r>
        <w:rPr>
          <w:rFonts w:hint="eastAsia" w:ascii="宋体" w:hAnsi="宋体" w:cs="仿宋_GB2312"/>
          <w:sz w:val="24"/>
        </w:rPr>
        <w:t>（7）法律法规规定的其它情形。</w:t>
      </w:r>
    </w:p>
    <w:p>
      <w:pPr>
        <w:spacing w:line="360" w:lineRule="auto"/>
        <w:ind w:firstLine="480" w:firstLineChars="200"/>
        <w:rPr>
          <w:rFonts w:ascii="宋体" w:hAnsi="宋体" w:cs="仿宋_GB2312"/>
          <w:sz w:val="24"/>
        </w:rPr>
      </w:pPr>
      <w:r>
        <w:rPr>
          <w:rFonts w:hint="eastAsia" w:ascii="宋体" w:hAnsi="宋体" w:cs="仿宋_GB2312"/>
          <w:sz w:val="24"/>
        </w:rPr>
        <w:t>上述条件中，供应商本单位人员，必须同时满足以下条件：</w:t>
      </w:r>
    </w:p>
    <w:p>
      <w:pPr>
        <w:spacing w:line="360" w:lineRule="auto"/>
        <w:ind w:firstLine="480" w:firstLineChars="200"/>
        <w:rPr>
          <w:rFonts w:ascii="宋体" w:hAnsi="宋体" w:cs="仿宋_GB2312"/>
          <w:sz w:val="24"/>
        </w:rPr>
      </w:pPr>
      <w:r>
        <w:rPr>
          <w:rFonts w:hint="eastAsia" w:ascii="宋体" w:hAnsi="宋体" w:cs="仿宋_GB2312"/>
          <w:sz w:val="24"/>
        </w:rPr>
        <w:t>（1）聘任合同必须由供应商单位与之签订，项目负责人的聘任合同投标前已执行合同半年以上；</w:t>
      </w:r>
    </w:p>
    <w:p>
      <w:pPr>
        <w:spacing w:line="360" w:lineRule="auto"/>
        <w:ind w:firstLine="480" w:firstLineChars="200"/>
        <w:rPr>
          <w:rFonts w:ascii="宋体" w:hAnsi="宋体" w:cs="仿宋_GB2312"/>
          <w:sz w:val="24"/>
        </w:rPr>
      </w:pPr>
      <w:r>
        <w:rPr>
          <w:rFonts w:hint="eastAsia" w:ascii="宋体" w:hAnsi="宋体" w:cs="仿宋_GB2312"/>
          <w:sz w:val="24"/>
        </w:rPr>
        <w:t>（2）与供应商单位有合法的工资关系，且投标前已连续支付工资半年以上；</w:t>
      </w:r>
    </w:p>
    <w:p>
      <w:pPr>
        <w:spacing w:line="360" w:lineRule="auto"/>
        <w:ind w:firstLine="480" w:firstLineChars="200"/>
        <w:rPr>
          <w:rFonts w:ascii="宋体" w:hAnsi="宋体" w:cs="仿宋_GB2312"/>
          <w:sz w:val="24"/>
        </w:rPr>
      </w:pPr>
      <w:r>
        <w:rPr>
          <w:rFonts w:hint="eastAsia" w:ascii="宋体" w:hAnsi="宋体" w:cs="仿宋_GB2312"/>
          <w:sz w:val="24"/>
        </w:rPr>
        <w:t>（3）供应商单位为其办理社会保险关系，政府人事或社保管理部门出具的有效证明其为本单位人员身份的文件。</w:t>
      </w:r>
    </w:p>
    <w:p>
      <w:pPr>
        <w:spacing w:line="360" w:lineRule="auto"/>
        <w:ind w:firstLine="480" w:firstLineChars="200"/>
        <w:rPr>
          <w:rFonts w:ascii="宋体" w:hAnsi="宋体" w:cs="仿宋_GB2312"/>
          <w:sz w:val="24"/>
        </w:rPr>
      </w:pPr>
      <w:r>
        <w:rPr>
          <w:rFonts w:hint="eastAsia" w:ascii="宋体" w:hAnsi="宋体" w:cs="仿宋_GB2312"/>
          <w:sz w:val="24"/>
        </w:rPr>
        <w:t>2.3 下列行为均视为供应商串通投标：</w:t>
      </w:r>
    </w:p>
    <w:p>
      <w:pPr>
        <w:adjustRightInd w:val="0"/>
        <w:snapToGrid w:val="0"/>
        <w:spacing w:line="360" w:lineRule="auto"/>
        <w:ind w:firstLine="480" w:firstLineChars="200"/>
        <w:rPr>
          <w:rFonts w:hint="eastAsia" w:ascii="宋体" w:hAnsi="宋体"/>
          <w:b w:val="0"/>
          <w:bCs w:val="0"/>
          <w:sz w:val="24"/>
        </w:rPr>
      </w:pPr>
      <w:r>
        <w:rPr>
          <w:rFonts w:hint="eastAsia" w:ascii="宋体" w:hAnsi="宋体"/>
          <w:b w:val="0"/>
          <w:bCs w:val="0"/>
          <w:sz w:val="24"/>
        </w:rPr>
        <w:t>（一）不同投标人的投标文件由同一单位或者个人编制；</w:t>
      </w:r>
    </w:p>
    <w:p>
      <w:pPr>
        <w:adjustRightInd w:val="0"/>
        <w:snapToGrid w:val="0"/>
        <w:spacing w:line="360" w:lineRule="auto"/>
        <w:rPr>
          <w:rFonts w:hint="eastAsia" w:ascii="宋体" w:hAnsi="宋体"/>
          <w:b w:val="0"/>
          <w:bCs w:val="0"/>
          <w:sz w:val="24"/>
        </w:rPr>
      </w:pPr>
      <w:r>
        <w:rPr>
          <w:rFonts w:hint="eastAsia" w:ascii="宋体" w:hAnsi="宋体"/>
          <w:b w:val="0"/>
          <w:bCs w:val="0"/>
          <w:sz w:val="24"/>
        </w:rPr>
        <w:t>　　（二）不同投标人委托同一单位或者个人办理投标事宜；</w:t>
      </w:r>
    </w:p>
    <w:p>
      <w:pPr>
        <w:adjustRightInd w:val="0"/>
        <w:snapToGrid w:val="0"/>
        <w:spacing w:line="360" w:lineRule="auto"/>
        <w:rPr>
          <w:rFonts w:hint="eastAsia" w:ascii="宋体" w:hAnsi="宋体"/>
          <w:b w:val="0"/>
          <w:bCs w:val="0"/>
          <w:sz w:val="24"/>
        </w:rPr>
      </w:pPr>
      <w:r>
        <w:rPr>
          <w:rFonts w:hint="eastAsia" w:ascii="宋体" w:hAnsi="宋体"/>
          <w:b w:val="0"/>
          <w:bCs w:val="0"/>
          <w:sz w:val="24"/>
        </w:rPr>
        <w:t>　　（三）不同投标人的投标文件载明的项目管理成员或者联系人员为同一人；</w:t>
      </w:r>
    </w:p>
    <w:p>
      <w:pPr>
        <w:adjustRightInd w:val="0"/>
        <w:snapToGrid w:val="0"/>
        <w:spacing w:line="360" w:lineRule="auto"/>
        <w:rPr>
          <w:rFonts w:hint="eastAsia" w:ascii="宋体" w:hAnsi="宋体"/>
          <w:b w:val="0"/>
          <w:bCs w:val="0"/>
          <w:sz w:val="24"/>
        </w:rPr>
      </w:pPr>
      <w:r>
        <w:rPr>
          <w:rFonts w:hint="eastAsia" w:ascii="宋体" w:hAnsi="宋体"/>
          <w:b w:val="0"/>
          <w:bCs w:val="0"/>
          <w:sz w:val="24"/>
        </w:rPr>
        <w:t>　　（四）不同投标人的投标文件异常一致或者投标报价呈规律性差异；</w:t>
      </w:r>
    </w:p>
    <w:p>
      <w:pPr>
        <w:adjustRightInd w:val="0"/>
        <w:snapToGrid w:val="0"/>
        <w:spacing w:line="360" w:lineRule="auto"/>
        <w:rPr>
          <w:rFonts w:hint="eastAsia" w:ascii="宋体" w:hAnsi="宋体"/>
          <w:b w:val="0"/>
          <w:bCs w:val="0"/>
          <w:sz w:val="24"/>
        </w:rPr>
      </w:pPr>
      <w:r>
        <w:rPr>
          <w:rFonts w:hint="eastAsia" w:ascii="宋体" w:hAnsi="宋体"/>
          <w:b w:val="0"/>
          <w:bCs w:val="0"/>
          <w:sz w:val="24"/>
        </w:rPr>
        <w:t>　　（五）不同投标人的投标文件相互混装；</w:t>
      </w:r>
    </w:p>
    <w:p>
      <w:pPr>
        <w:adjustRightInd w:val="0"/>
        <w:snapToGrid w:val="0"/>
        <w:spacing w:line="360" w:lineRule="auto"/>
        <w:ind w:firstLine="481"/>
        <w:rPr>
          <w:rFonts w:hint="eastAsia" w:ascii="宋体" w:hAnsi="宋体"/>
          <w:b w:val="0"/>
          <w:bCs w:val="0"/>
          <w:sz w:val="24"/>
        </w:rPr>
      </w:pPr>
      <w:r>
        <w:rPr>
          <w:rFonts w:hint="eastAsia" w:ascii="宋体" w:hAnsi="宋体"/>
          <w:b w:val="0"/>
          <w:bCs w:val="0"/>
          <w:sz w:val="24"/>
        </w:rPr>
        <w:t>（六）不同投标人的投标保证金从同一单位或者个人的账户转出。</w:t>
      </w:r>
    </w:p>
    <w:p>
      <w:pPr>
        <w:adjustRightInd w:val="0"/>
        <w:snapToGrid w:val="0"/>
        <w:spacing w:line="360" w:lineRule="auto"/>
        <w:ind w:firstLine="481"/>
        <w:rPr>
          <w:rFonts w:ascii="宋体" w:hAnsi="宋体"/>
          <w:b/>
          <w:bCs/>
          <w:sz w:val="24"/>
        </w:rPr>
      </w:pPr>
      <w:r>
        <w:rPr>
          <w:rFonts w:hint="eastAsia" w:ascii="宋体" w:hAnsi="宋体"/>
          <w:b/>
          <w:bCs/>
          <w:sz w:val="24"/>
        </w:rPr>
        <w:t>3.对磋商小组成员的纪律要求</w:t>
      </w:r>
    </w:p>
    <w:p>
      <w:pPr>
        <w:adjustRightInd w:val="0"/>
        <w:snapToGrid w:val="0"/>
        <w:spacing w:line="360" w:lineRule="auto"/>
        <w:ind w:firstLine="480" w:firstLineChars="200"/>
        <w:rPr>
          <w:rFonts w:ascii="宋体" w:hAnsi="宋体"/>
          <w:bCs/>
          <w:sz w:val="24"/>
        </w:rPr>
      </w:pPr>
      <w:r>
        <w:rPr>
          <w:rFonts w:hint="eastAsia" w:ascii="宋体" w:hAnsi="宋体"/>
          <w:bCs/>
          <w:sz w:val="24"/>
        </w:rPr>
        <w:t>磋商小组成员不得收受他人的财物或者其他好处，不得向他人透漏对磋商响应文件的评审和比较、中标候选人的推荐情况以及评标有关的其他情况。在评标活动中，磋商小组成员不得擅离职守，影响评标程序正常进行，不得使用“评标办法”没有规定的评审因素和标准进行评标。</w:t>
      </w:r>
    </w:p>
    <w:p>
      <w:pPr>
        <w:adjustRightInd w:val="0"/>
        <w:snapToGrid w:val="0"/>
        <w:spacing w:line="360" w:lineRule="auto"/>
        <w:rPr>
          <w:rFonts w:ascii="宋体" w:hAnsi="宋体"/>
          <w:b/>
          <w:bCs/>
          <w:sz w:val="24"/>
        </w:rPr>
      </w:pPr>
      <w:r>
        <w:rPr>
          <w:rFonts w:hint="eastAsia" w:ascii="宋体" w:hAnsi="宋体"/>
          <w:b/>
          <w:bCs/>
          <w:sz w:val="24"/>
        </w:rPr>
        <w:t>4.对与评标活动有关的工作人员的纪律要求</w:t>
      </w:r>
    </w:p>
    <w:p>
      <w:pPr>
        <w:adjustRightInd w:val="0"/>
        <w:snapToGrid w:val="0"/>
        <w:spacing w:line="360" w:lineRule="auto"/>
        <w:ind w:firstLine="480" w:firstLineChars="200"/>
        <w:rPr>
          <w:rFonts w:ascii="宋体" w:hAnsi="宋体"/>
          <w:bCs/>
          <w:sz w:val="24"/>
        </w:rPr>
      </w:pPr>
      <w:r>
        <w:rPr>
          <w:rFonts w:hint="eastAsia" w:ascii="宋体" w:hAnsi="宋体"/>
          <w:bCs/>
          <w:sz w:val="24"/>
        </w:rPr>
        <w:t>与评标活动有关的工作人员不得收受他人的财物或者其他好处，不得向他人透漏对磋商响应文件的评审和比较、中标候选人的推荐情况以及评标有关的其他情况。在评标活动中，与评标活动有关的工作人员不得擅离职守，影响评标程序正常进行。</w:t>
      </w:r>
      <w:bookmarkStart w:id="314" w:name="_Toc31783"/>
    </w:p>
    <w:p>
      <w:pPr>
        <w:pStyle w:val="4"/>
        <w:rPr>
          <w:rFonts w:ascii="宋体" w:hAnsi="宋体" w:eastAsia="宋体"/>
        </w:rPr>
      </w:pPr>
      <w:bookmarkStart w:id="315" w:name="_Toc476758957"/>
      <w:bookmarkStart w:id="316" w:name="_Toc10927"/>
      <w:bookmarkStart w:id="317" w:name="_Toc12524"/>
      <w:r>
        <w:rPr>
          <w:rFonts w:hint="eastAsia" w:ascii="宋体" w:hAnsi="宋体" w:eastAsia="宋体"/>
        </w:rPr>
        <w:t>（十一）废标</w:t>
      </w:r>
      <w:bookmarkEnd w:id="314"/>
      <w:bookmarkEnd w:id="315"/>
      <w:bookmarkEnd w:id="316"/>
      <w:bookmarkEnd w:id="317"/>
      <w:bookmarkStart w:id="318" w:name="_Toc217446072"/>
    </w:p>
    <w:bookmarkEnd w:id="318"/>
    <w:p>
      <w:pPr>
        <w:pStyle w:val="6"/>
        <w:spacing w:line="360" w:lineRule="auto"/>
        <w:ind w:firstLine="480" w:firstLineChars="200"/>
        <w:jc w:val="left"/>
        <w:rPr>
          <w:rFonts w:ascii="宋体" w:hAnsi="宋体"/>
          <w:bCs/>
          <w:sz w:val="24"/>
        </w:rPr>
      </w:pPr>
      <w:r>
        <w:rPr>
          <w:rFonts w:hint="eastAsia" w:ascii="宋体" w:hAnsi="宋体"/>
          <w:bCs/>
          <w:sz w:val="24"/>
        </w:rPr>
        <w:t>招标采购中，出现下列情形之一的，予以废标：</w:t>
      </w:r>
    </w:p>
    <w:p>
      <w:pPr>
        <w:pStyle w:val="6"/>
        <w:spacing w:line="360" w:lineRule="auto"/>
        <w:ind w:firstLine="480" w:firstLineChars="200"/>
        <w:jc w:val="left"/>
        <w:rPr>
          <w:rFonts w:ascii="宋体" w:hAnsi="宋体"/>
          <w:bCs/>
          <w:sz w:val="24"/>
        </w:rPr>
      </w:pPr>
      <w:r>
        <w:rPr>
          <w:rFonts w:hint="eastAsia" w:ascii="宋体" w:hAnsi="宋体"/>
          <w:sz w:val="24"/>
        </w:rPr>
        <w:t>（1）符合专业条件的投标单位或者对磋商文件作实质响应的投标单位不足三家的；</w:t>
      </w:r>
    </w:p>
    <w:p>
      <w:pPr>
        <w:pStyle w:val="6"/>
        <w:spacing w:line="360" w:lineRule="auto"/>
        <w:ind w:firstLine="480" w:firstLineChars="200"/>
        <w:jc w:val="left"/>
        <w:rPr>
          <w:rFonts w:ascii="宋体" w:hAnsi="宋体"/>
          <w:bCs/>
          <w:sz w:val="24"/>
        </w:rPr>
      </w:pPr>
      <w:r>
        <w:rPr>
          <w:rFonts w:hint="eastAsia" w:ascii="宋体" w:hAnsi="宋体"/>
          <w:sz w:val="24"/>
        </w:rPr>
        <w:t>（2）出现影响采购公正的违法、违规行为的；</w:t>
      </w:r>
    </w:p>
    <w:p>
      <w:pPr>
        <w:pStyle w:val="6"/>
        <w:spacing w:line="360" w:lineRule="auto"/>
        <w:ind w:firstLine="480" w:firstLineChars="200"/>
        <w:jc w:val="left"/>
        <w:rPr>
          <w:rFonts w:ascii="宋体" w:hAnsi="宋体"/>
          <w:bCs/>
          <w:sz w:val="24"/>
        </w:rPr>
      </w:pPr>
      <w:r>
        <w:rPr>
          <w:rFonts w:hint="eastAsia" w:ascii="宋体" w:hAnsi="宋体"/>
          <w:sz w:val="24"/>
        </w:rPr>
        <w:t>（3）供应商的报价均超过了采购预算，采购人不能支付的；</w:t>
      </w:r>
    </w:p>
    <w:p>
      <w:pPr>
        <w:pStyle w:val="6"/>
        <w:spacing w:line="360" w:lineRule="auto"/>
        <w:ind w:firstLine="480" w:firstLineChars="200"/>
        <w:jc w:val="left"/>
        <w:rPr>
          <w:rFonts w:ascii="宋体" w:hAnsi="宋体"/>
          <w:sz w:val="24"/>
        </w:rPr>
      </w:pPr>
      <w:r>
        <w:rPr>
          <w:rFonts w:hint="eastAsia" w:ascii="宋体" w:hAnsi="宋体"/>
          <w:sz w:val="24"/>
        </w:rPr>
        <w:t>（4）因重大变故，采购任务取消的。</w:t>
      </w:r>
    </w:p>
    <w:p>
      <w:pPr>
        <w:pStyle w:val="6"/>
        <w:spacing w:line="360" w:lineRule="auto"/>
        <w:ind w:firstLine="480" w:firstLineChars="200"/>
        <w:jc w:val="left"/>
        <w:rPr>
          <w:rFonts w:ascii="宋体" w:hAnsi="宋体"/>
          <w:sz w:val="24"/>
        </w:rPr>
      </w:pPr>
      <w:r>
        <w:rPr>
          <w:rFonts w:hint="eastAsia" w:ascii="宋体" w:hAnsi="宋体"/>
          <w:sz w:val="24"/>
        </w:rPr>
        <w:t>（5）其他不符合磋商文件要求的。</w:t>
      </w:r>
    </w:p>
    <w:p>
      <w:pPr>
        <w:pStyle w:val="4"/>
        <w:rPr>
          <w:rFonts w:ascii="宋体" w:hAnsi="宋体" w:eastAsia="宋体"/>
          <w:sz w:val="24"/>
        </w:rPr>
      </w:pPr>
      <w:bookmarkStart w:id="319" w:name="_Toc476758958"/>
      <w:bookmarkStart w:id="320" w:name="_Toc27599"/>
      <w:bookmarkStart w:id="321" w:name="_Toc3721"/>
      <w:bookmarkStart w:id="322" w:name="_Toc19793"/>
      <w:r>
        <w:rPr>
          <w:rFonts w:hint="eastAsia" w:ascii="宋体" w:hAnsi="宋体" w:eastAsia="宋体"/>
        </w:rPr>
        <w:t>（十二）质疑和投诉</w:t>
      </w:r>
      <w:bookmarkEnd w:id="319"/>
      <w:bookmarkEnd w:id="320"/>
      <w:bookmarkEnd w:id="321"/>
      <w:bookmarkEnd w:id="322"/>
    </w:p>
    <w:p>
      <w:pPr>
        <w:adjustRightInd w:val="0"/>
        <w:snapToGrid w:val="0"/>
        <w:spacing w:line="360" w:lineRule="auto"/>
        <w:ind w:firstLine="480" w:firstLineChars="200"/>
        <w:rPr>
          <w:rFonts w:ascii="宋体" w:hAnsi="宋体"/>
          <w:b w:val="0"/>
          <w:bCs/>
          <w:sz w:val="24"/>
        </w:rPr>
      </w:pPr>
      <w:r>
        <w:rPr>
          <w:rFonts w:hint="eastAsia" w:ascii="宋体" w:hAnsi="宋体"/>
          <w:b w:val="0"/>
          <w:bCs/>
          <w:sz w:val="24"/>
        </w:rPr>
        <w:t>1.供应商对政府采购活动事项有疑问的，可以向采购人提出询问，采购人应当及时作出答复，但答复的内容不得涉及商业秘密。</w:t>
      </w:r>
    </w:p>
    <w:p>
      <w:pPr>
        <w:adjustRightInd w:val="0"/>
        <w:snapToGrid w:val="0"/>
        <w:spacing w:line="360" w:lineRule="auto"/>
        <w:ind w:firstLine="480" w:firstLineChars="200"/>
        <w:rPr>
          <w:rFonts w:ascii="宋体" w:hAnsi="宋体"/>
          <w:b w:val="0"/>
          <w:bCs/>
          <w:sz w:val="24"/>
        </w:rPr>
      </w:pPr>
      <w:r>
        <w:rPr>
          <w:rFonts w:hint="eastAsia" w:ascii="宋体" w:hAnsi="宋体"/>
          <w:b w:val="0"/>
          <w:bCs/>
          <w:sz w:val="24"/>
        </w:rPr>
        <w:t>2.</w:t>
      </w:r>
      <w:r>
        <w:rPr>
          <w:rFonts w:hint="eastAsia" w:ascii="宋体" w:hAnsi="宋体"/>
          <w:b w:val="0"/>
          <w:bCs/>
          <w:sz w:val="24"/>
          <w:u w:val="single"/>
        </w:rPr>
        <w:t>供应商认为采购文件、采购过程、中标或者成交结果使自己的权益受到损害的，可以在知道或者应知其权益受到损害之日起7个工作日内，以书面形式向采购人、采购代理机构提出质疑，供应商在法定质疑期内一次性提出针对同一采购程序环节的质疑</w:t>
      </w:r>
      <w:r>
        <w:rPr>
          <w:rFonts w:hint="eastAsia" w:ascii="宋体" w:hAnsi="宋体"/>
          <w:b w:val="0"/>
          <w:bCs/>
          <w:sz w:val="24"/>
        </w:rPr>
        <w:t>。</w:t>
      </w:r>
    </w:p>
    <w:p>
      <w:pPr>
        <w:adjustRightInd w:val="0"/>
        <w:snapToGrid w:val="0"/>
        <w:spacing w:line="360" w:lineRule="auto"/>
        <w:ind w:firstLine="480" w:firstLineChars="200"/>
        <w:rPr>
          <w:rFonts w:ascii="宋体" w:hAnsi="宋体"/>
          <w:b w:val="0"/>
          <w:bCs/>
          <w:sz w:val="24"/>
        </w:rPr>
      </w:pPr>
      <w:r>
        <w:rPr>
          <w:rFonts w:hint="eastAsia" w:ascii="宋体" w:hAnsi="宋体"/>
          <w:b w:val="0"/>
          <w:bCs/>
          <w:sz w:val="24"/>
        </w:rPr>
        <w:t>3.采购人应当在收到供应商的书面质疑后七个工作日内作出答复，并以书面形式通知质疑供应商和其他有关供应商，但答复的内容不得涉及商业秘密。</w:t>
      </w:r>
    </w:p>
    <w:p>
      <w:pPr>
        <w:adjustRightInd w:val="0"/>
        <w:snapToGrid w:val="0"/>
        <w:spacing w:line="360" w:lineRule="auto"/>
        <w:ind w:firstLine="480" w:firstLineChars="200"/>
        <w:rPr>
          <w:rFonts w:ascii="宋体" w:hAnsi="宋体"/>
          <w:b w:val="0"/>
          <w:bCs/>
          <w:sz w:val="24"/>
        </w:rPr>
      </w:pPr>
      <w:r>
        <w:rPr>
          <w:rFonts w:hint="eastAsia" w:ascii="宋体" w:hAnsi="宋体"/>
          <w:b w:val="0"/>
          <w:bCs/>
          <w:sz w:val="24"/>
        </w:rPr>
        <w:t>4.采购人委托采购代理机构采购的，供应商可以向采购代理机构提出询问或者质疑，采购代理机构应当就采购人委托授权范围内的事项作出答复。</w:t>
      </w:r>
    </w:p>
    <w:p>
      <w:pPr>
        <w:adjustRightInd w:val="0"/>
        <w:snapToGrid w:val="0"/>
        <w:spacing w:line="360" w:lineRule="auto"/>
        <w:ind w:firstLine="361" w:firstLineChars="150"/>
        <w:rPr>
          <w:rFonts w:ascii="宋体" w:hAnsi="宋体"/>
          <w:b/>
          <w:bCs w:val="0"/>
          <w:sz w:val="24"/>
        </w:rPr>
      </w:pPr>
      <w:r>
        <w:rPr>
          <w:rFonts w:hint="eastAsia" w:ascii="宋体" w:hAnsi="宋体"/>
          <w:b/>
          <w:bCs w:val="0"/>
          <w:sz w:val="24"/>
        </w:rPr>
        <w:t xml:space="preserve"> 5.质疑、投诉书应当包括下列主要内容：</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(一)供应商的姓名或者名称、地址、邮编、联系人及联系电话;</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(二)质疑项目的名称、编号;</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(三)具体、明确的质疑事项和与质疑事项相关的请求;</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(四)事实依据;</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(五)必要的法律依据;</w:t>
      </w:r>
    </w:p>
    <w:p>
      <w:pPr>
        <w:adjustRightInd w:val="0"/>
        <w:snapToGrid w:val="0"/>
        <w:spacing w:line="336" w:lineRule="auto"/>
        <w:ind w:firstLine="480" w:firstLineChars="200"/>
        <w:rPr>
          <w:rFonts w:ascii="宋体" w:hAnsi="宋体"/>
          <w:b w:val="0"/>
          <w:bCs/>
          <w:sz w:val="24"/>
        </w:rPr>
      </w:pPr>
      <w:r>
        <w:rPr>
          <w:rFonts w:hint="eastAsia" w:ascii="宋体" w:hAnsi="宋体"/>
          <w:b w:val="0"/>
          <w:bCs/>
          <w:sz w:val="24"/>
        </w:rPr>
        <w:t>(六)提出质疑的日期。</w:t>
      </w:r>
    </w:p>
    <w:p>
      <w:pPr>
        <w:adjustRightInd w:val="0"/>
        <w:snapToGrid w:val="0"/>
        <w:spacing w:line="336" w:lineRule="auto"/>
        <w:ind w:firstLine="480" w:firstLineChars="200"/>
        <w:rPr>
          <w:rFonts w:ascii="宋体" w:hAnsi="宋体"/>
          <w:b w:val="0"/>
          <w:bCs/>
          <w:sz w:val="24"/>
          <w:u w:val="single"/>
        </w:rPr>
      </w:pPr>
      <w:r>
        <w:rPr>
          <w:rFonts w:hint="eastAsia" w:ascii="宋体" w:hAnsi="宋体"/>
          <w:b w:val="0"/>
          <w:bCs/>
          <w:sz w:val="24"/>
        </w:rPr>
        <w:t>供应商为自然人的，应当由本人签字;供应商为法人</w:t>
      </w:r>
      <w:r>
        <w:rPr>
          <w:rFonts w:hint="eastAsia" w:ascii="宋体" w:hAnsi="宋体"/>
          <w:b w:val="0"/>
          <w:bCs/>
          <w:sz w:val="24"/>
          <w:u w:val="single"/>
        </w:rPr>
        <w:t>或者其他组织的，应当由法定代表人、主要负责人，或者其授权代表签字或者盖章，并加盖公章。</w:t>
      </w:r>
    </w:p>
    <w:p>
      <w:pPr>
        <w:adjustRightInd w:val="0"/>
        <w:snapToGrid w:val="0"/>
        <w:spacing w:line="336" w:lineRule="auto"/>
        <w:ind w:firstLine="482" w:firstLineChars="200"/>
        <w:rPr>
          <w:rFonts w:ascii="宋体" w:hAnsi="宋体"/>
          <w:b w:val="0"/>
          <w:bCs/>
          <w:sz w:val="24"/>
        </w:rPr>
      </w:pPr>
      <w:r>
        <w:rPr>
          <w:rFonts w:hint="eastAsia" w:ascii="宋体" w:hAnsi="宋体"/>
          <w:b/>
          <w:bCs w:val="0"/>
          <w:sz w:val="24"/>
        </w:rPr>
        <w:t>6.投诉人有下列情形之一的，属于虚假、恶意投诉，财政部门应当驳回投诉，将其列入不良行为记录名单，并依法予以处罚：</w:t>
      </w:r>
    </w:p>
    <w:p>
      <w:pPr>
        <w:adjustRightInd w:val="0"/>
        <w:snapToGrid w:val="0"/>
        <w:spacing w:line="336" w:lineRule="auto"/>
        <w:ind w:firstLine="480" w:firstLineChars="200"/>
        <w:rPr>
          <w:rFonts w:ascii="宋体" w:hAnsi="宋体"/>
          <w:b w:val="0"/>
          <w:bCs/>
          <w:sz w:val="24"/>
          <w:u w:val="single"/>
        </w:rPr>
      </w:pPr>
      <w:r>
        <w:rPr>
          <w:rFonts w:hint="eastAsia" w:ascii="宋体" w:hAnsi="宋体"/>
          <w:b w:val="0"/>
          <w:bCs/>
          <w:sz w:val="24"/>
          <w:u w:val="single"/>
        </w:rPr>
        <w:t>（1）1年内3次以上投诉均查无实据的；</w:t>
      </w:r>
    </w:p>
    <w:p>
      <w:pPr>
        <w:adjustRightInd w:val="0"/>
        <w:snapToGrid w:val="0"/>
        <w:spacing w:line="336" w:lineRule="auto"/>
        <w:ind w:firstLine="480" w:firstLineChars="200"/>
        <w:rPr>
          <w:rFonts w:ascii="宋体" w:hAnsi="宋体"/>
          <w:b w:val="0"/>
          <w:bCs/>
          <w:sz w:val="24"/>
          <w:u w:val="single"/>
        </w:rPr>
      </w:pPr>
      <w:r>
        <w:rPr>
          <w:rFonts w:hint="eastAsia" w:ascii="宋体" w:hAnsi="宋体"/>
          <w:b w:val="0"/>
          <w:bCs/>
          <w:sz w:val="24"/>
          <w:u w:val="single"/>
        </w:rPr>
        <w:t>（2）捏造事实或者提供虚假投诉材料的。</w:t>
      </w:r>
    </w:p>
    <w:p>
      <w:pPr>
        <w:spacing w:line="336" w:lineRule="auto"/>
        <w:ind w:firstLine="482" w:firstLineChars="200"/>
        <w:rPr>
          <w:rFonts w:ascii="宋体" w:hAnsi="宋体"/>
          <w:b/>
          <w:bCs w:val="0"/>
          <w:sz w:val="24"/>
        </w:rPr>
      </w:pPr>
      <w:bookmarkStart w:id="323" w:name="_Toc457219470"/>
      <w:bookmarkStart w:id="324" w:name="_Toc440010907"/>
      <w:bookmarkStart w:id="325" w:name="_Toc443313412"/>
      <w:bookmarkStart w:id="326" w:name="_Toc440618824"/>
      <w:bookmarkStart w:id="327" w:name="_Toc440062312"/>
      <w:bookmarkStart w:id="328" w:name="_Toc443313563"/>
      <w:bookmarkStart w:id="329" w:name="_Toc440006359"/>
      <w:r>
        <w:rPr>
          <w:rFonts w:hint="eastAsia" w:ascii="宋体" w:hAnsi="宋体"/>
          <w:b/>
          <w:bCs w:val="0"/>
          <w:sz w:val="24"/>
        </w:rPr>
        <w:t>7.澄清或质疑不予受理的情况</w:t>
      </w:r>
      <w:bookmarkEnd w:id="323"/>
      <w:bookmarkEnd w:id="324"/>
      <w:bookmarkEnd w:id="325"/>
      <w:bookmarkEnd w:id="326"/>
      <w:bookmarkEnd w:id="327"/>
      <w:bookmarkEnd w:id="328"/>
      <w:bookmarkEnd w:id="329"/>
    </w:p>
    <w:p>
      <w:pPr>
        <w:widowControl/>
        <w:spacing w:line="336" w:lineRule="auto"/>
        <w:ind w:firstLine="480" w:firstLineChars="200"/>
        <w:rPr>
          <w:rFonts w:ascii="宋体" w:hAnsi="宋体" w:cs="宋体"/>
          <w:b w:val="0"/>
          <w:bCs/>
          <w:kern w:val="0"/>
          <w:sz w:val="24"/>
        </w:rPr>
      </w:pPr>
      <w:r>
        <w:rPr>
          <w:rFonts w:ascii="宋体" w:hAnsi="宋体" w:cs="宋体"/>
          <w:b w:val="0"/>
          <w:bCs/>
          <w:kern w:val="0"/>
          <w:sz w:val="24"/>
        </w:rPr>
        <w:t>有下列情形之一的，属于无效质疑，被质疑人不予受理</w:t>
      </w:r>
      <w:r>
        <w:rPr>
          <w:rFonts w:hint="eastAsia" w:ascii="宋体" w:hAnsi="宋体" w:cs="宋体"/>
          <w:b w:val="0"/>
          <w:bCs/>
          <w:kern w:val="0"/>
          <w:sz w:val="24"/>
        </w:rPr>
        <w:t>，</w:t>
      </w:r>
      <w:r>
        <w:rPr>
          <w:rFonts w:hint="eastAsia" w:ascii="宋体" w:hAnsi="宋体"/>
          <w:b w:val="0"/>
          <w:bCs/>
          <w:sz w:val="24"/>
        </w:rPr>
        <w:t>由此产生的影响由供应商自行承担</w:t>
      </w:r>
      <w:r>
        <w:rPr>
          <w:rFonts w:ascii="宋体" w:hAnsi="宋体" w:cs="宋体"/>
          <w:b w:val="0"/>
          <w:bCs/>
          <w:kern w:val="0"/>
          <w:sz w:val="24"/>
        </w:rPr>
        <w:t>：</w:t>
      </w:r>
    </w:p>
    <w:p>
      <w:pPr>
        <w:widowControl/>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（1）</w:t>
      </w:r>
      <w:r>
        <w:rPr>
          <w:rFonts w:ascii="宋体" w:hAnsi="宋体" w:cs="宋体"/>
          <w:b w:val="0"/>
          <w:bCs/>
          <w:kern w:val="0"/>
          <w:sz w:val="24"/>
          <w:u w:val="single"/>
        </w:rPr>
        <w:t>不是参与该政府采购项目活动</w:t>
      </w:r>
      <w:r>
        <w:rPr>
          <w:rFonts w:hint="eastAsia" w:ascii="宋体" w:hAnsi="宋体" w:cs="宋体"/>
          <w:b w:val="0"/>
          <w:bCs/>
          <w:kern w:val="0"/>
          <w:sz w:val="24"/>
          <w:u w:val="single"/>
        </w:rPr>
        <w:t>供应商</w:t>
      </w:r>
      <w:r>
        <w:rPr>
          <w:rFonts w:ascii="宋体" w:hAnsi="宋体" w:cs="宋体"/>
          <w:b w:val="0"/>
          <w:bCs/>
          <w:kern w:val="0"/>
          <w:sz w:val="24"/>
          <w:u w:val="single"/>
        </w:rPr>
        <w:t>的；</w:t>
      </w:r>
    </w:p>
    <w:p>
      <w:pPr>
        <w:widowControl/>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（2）</w:t>
      </w:r>
      <w:r>
        <w:rPr>
          <w:rFonts w:ascii="宋体" w:hAnsi="宋体" w:cs="宋体"/>
          <w:b w:val="0"/>
          <w:bCs/>
          <w:kern w:val="0"/>
          <w:sz w:val="24"/>
          <w:u w:val="single"/>
        </w:rPr>
        <w:t>被质疑人为采购人或政府采购代理机构之外的；</w:t>
      </w:r>
    </w:p>
    <w:p>
      <w:pPr>
        <w:widowControl/>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（3）</w:t>
      </w:r>
      <w:r>
        <w:rPr>
          <w:rFonts w:ascii="宋体" w:hAnsi="宋体" w:cs="宋体"/>
          <w:b w:val="0"/>
          <w:bCs/>
          <w:kern w:val="0"/>
          <w:sz w:val="24"/>
          <w:u w:val="single"/>
        </w:rPr>
        <w:t>所有质疑事项超过质疑有效期的；</w:t>
      </w:r>
    </w:p>
    <w:p>
      <w:pPr>
        <w:widowControl/>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（4）</w:t>
      </w:r>
      <w:r>
        <w:rPr>
          <w:rFonts w:ascii="宋体" w:hAnsi="宋体" w:cs="宋体"/>
          <w:b w:val="0"/>
          <w:bCs/>
          <w:kern w:val="0"/>
          <w:sz w:val="24"/>
          <w:u w:val="single"/>
        </w:rPr>
        <w:t>以具有法律效力的文书送达之外方式提出的；</w:t>
      </w:r>
    </w:p>
    <w:p>
      <w:pPr>
        <w:widowControl/>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（5）</w:t>
      </w:r>
      <w:r>
        <w:rPr>
          <w:rFonts w:hint="eastAsia" w:ascii="宋体" w:hAnsi="宋体"/>
          <w:b w:val="0"/>
          <w:bCs/>
          <w:sz w:val="24"/>
          <w:u w:val="single"/>
        </w:rPr>
        <w:t>未按上述规定递交澄清或质疑函的</w:t>
      </w:r>
      <w:r>
        <w:rPr>
          <w:rFonts w:ascii="宋体" w:hAnsi="宋体" w:cs="宋体"/>
          <w:b w:val="0"/>
          <w:bCs/>
          <w:kern w:val="0"/>
          <w:sz w:val="24"/>
          <w:u w:val="single"/>
        </w:rPr>
        <w:t>；</w:t>
      </w:r>
    </w:p>
    <w:p>
      <w:pPr>
        <w:tabs>
          <w:tab w:val="left" w:pos="993"/>
        </w:tabs>
        <w:adjustRightInd w:val="0"/>
        <w:snapToGrid w:val="0"/>
        <w:spacing w:line="336" w:lineRule="auto"/>
        <w:ind w:firstLine="480" w:firstLineChars="200"/>
        <w:rPr>
          <w:rFonts w:ascii="宋体" w:hAnsi="宋体" w:cs="宋体"/>
          <w:b w:val="0"/>
          <w:bCs/>
          <w:kern w:val="0"/>
          <w:sz w:val="24"/>
          <w:u w:val="single"/>
        </w:rPr>
      </w:pPr>
      <w:r>
        <w:rPr>
          <w:rFonts w:hint="eastAsia" w:ascii="宋体" w:hAnsi="宋体" w:cs="宋体"/>
          <w:b w:val="0"/>
          <w:bCs/>
          <w:kern w:val="0"/>
          <w:sz w:val="24"/>
          <w:u w:val="single"/>
        </w:rPr>
        <w:t>（6）</w:t>
      </w:r>
      <w:r>
        <w:rPr>
          <w:rFonts w:ascii="宋体" w:hAnsi="宋体" w:cs="宋体"/>
          <w:b w:val="0"/>
          <w:bCs/>
          <w:kern w:val="0"/>
          <w:sz w:val="24"/>
          <w:u w:val="single"/>
        </w:rPr>
        <w:t>其它不符合受理条件的情形。</w:t>
      </w:r>
    </w:p>
    <w:p>
      <w:pPr>
        <w:spacing w:line="336" w:lineRule="auto"/>
        <w:ind w:firstLine="482" w:firstLineChars="200"/>
        <w:rPr>
          <w:rFonts w:ascii="宋体" w:hAnsi="宋体"/>
          <w:b/>
          <w:bCs/>
          <w:sz w:val="24"/>
        </w:rPr>
      </w:pPr>
      <w:bookmarkStart w:id="330" w:name="_Toc457219471"/>
      <w:bookmarkStart w:id="331" w:name="_Toc440010908"/>
      <w:bookmarkStart w:id="332" w:name="_Toc443313413"/>
      <w:bookmarkStart w:id="333" w:name="_Toc440062313"/>
      <w:bookmarkStart w:id="334" w:name="_Toc443313564"/>
      <w:bookmarkStart w:id="335" w:name="_Toc440618825"/>
      <w:bookmarkStart w:id="336" w:name="_Toc440006360"/>
      <w:r>
        <w:rPr>
          <w:rFonts w:hint="eastAsia" w:ascii="宋体" w:hAnsi="宋体"/>
          <w:b/>
          <w:bCs/>
          <w:sz w:val="24"/>
        </w:rPr>
        <w:t>8.腐败和欺诈行为</w:t>
      </w:r>
      <w:bookmarkEnd w:id="330"/>
      <w:bookmarkEnd w:id="331"/>
      <w:bookmarkEnd w:id="332"/>
      <w:bookmarkEnd w:id="333"/>
      <w:bookmarkEnd w:id="334"/>
      <w:bookmarkEnd w:id="335"/>
      <w:bookmarkEnd w:id="336"/>
    </w:p>
    <w:p>
      <w:pPr>
        <w:adjustRightInd w:val="0"/>
        <w:snapToGrid w:val="0"/>
        <w:spacing w:line="336" w:lineRule="auto"/>
        <w:ind w:firstLine="480" w:firstLineChars="200"/>
        <w:rPr>
          <w:rFonts w:ascii="宋体" w:hAnsi="宋体"/>
          <w:sz w:val="24"/>
        </w:rPr>
      </w:pPr>
      <w:r>
        <w:rPr>
          <w:rFonts w:hint="eastAsia" w:ascii="宋体" w:hAnsi="宋体"/>
          <w:sz w:val="24"/>
        </w:rPr>
        <w:t>（1）定义</w:t>
      </w:r>
    </w:p>
    <w:p>
      <w:pPr>
        <w:adjustRightInd w:val="0"/>
        <w:snapToGrid w:val="0"/>
        <w:spacing w:line="336" w:lineRule="auto"/>
        <w:ind w:firstLine="480" w:firstLineChars="200"/>
        <w:jc w:val="left"/>
        <w:rPr>
          <w:rFonts w:ascii="宋体" w:hAnsi="宋体"/>
          <w:sz w:val="24"/>
        </w:rPr>
      </w:pPr>
      <w:r>
        <w:rPr>
          <w:rFonts w:hint="eastAsia" w:ascii="宋体" w:hAnsi="宋体"/>
          <w:sz w:val="24"/>
        </w:rPr>
        <w:t>“腐败行为”系指提供、给予、接受或索取任何有价值的物品来影响招标代理机构和/或采购人在采购过程或合同实施过程中的行为。</w:t>
      </w:r>
    </w:p>
    <w:p>
      <w:pPr>
        <w:adjustRightInd w:val="0"/>
        <w:snapToGrid w:val="0"/>
        <w:spacing w:line="336" w:lineRule="auto"/>
        <w:ind w:firstLine="480" w:firstLineChars="200"/>
        <w:jc w:val="left"/>
        <w:rPr>
          <w:rFonts w:ascii="宋体" w:hAnsi="宋体"/>
          <w:sz w:val="24"/>
        </w:rPr>
      </w:pPr>
      <w:r>
        <w:rPr>
          <w:rFonts w:hint="eastAsia" w:ascii="宋体" w:hAnsi="宋体"/>
          <w:sz w:val="24"/>
        </w:rPr>
        <w:t>“欺诈行为”系指为了影响采购过程或合同实施过程而谎报事实，损害招标代理机构和采购人的利益，包括供应商之间串通投标（递交《磋商响应文件》之前和之后），人为地使投标丧失竞争性，剥夺采购人从自由公开竞争所能获得的权益。</w:t>
      </w:r>
    </w:p>
    <w:p>
      <w:pPr>
        <w:spacing w:line="336" w:lineRule="auto"/>
        <w:ind w:firstLine="480" w:firstLineChars="200"/>
        <w:jc w:val="left"/>
        <w:rPr>
          <w:rFonts w:ascii="宋体" w:hAnsi="宋体"/>
          <w:bCs/>
          <w:sz w:val="24"/>
        </w:rPr>
      </w:pPr>
      <w:r>
        <w:rPr>
          <w:rFonts w:hint="eastAsia" w:ascii="宋体" w:hAnsi="宋体"/>
          <w:bCs/>
          <w:sz w:val="24"/>
        </w:rPr>
        <w:t>9.其他</w:t>
      </w:r>
    </w:p>
    <w:p>
      <w:pPr>
        <w:spacing w:line="336" w:lineRule="auto"/>
        <w:ind w:firstLine="480" w:firstLineChars="200"/>
        <w:jc w:val="left"/>
        <w:rPr>
          <w:rFonts w:ascii="宋体" w:hAnsi="宋体"/>
          <w:sz w:val="24"/>
        </w:rPr>
      </w:pPr>
      <w:r>
        <w:rPr>
          <w:rFonts w:hint="eastAsia" w:ascii="宋体" w:hAnsi="宋体"/>
          <w:sz w:val="24"/>
        </w:rPr>
        <w:t>磋商文件和磋商响应文件未尽事宜另行商定。本磋商文件由招标代理机构负责解释。</w:t>
      </w:r>
    </w:p>
    <w:bookmarkEnd w:id="209"/>
    <w:bookmarkEnd w:id="210"/>
    <w:bookmarkEnd w:id="211"/>
    <w:bookmarkEnd w:id="212"/>
    <w:bookmarkEnd w:id="213"/>
    <w:bookmarkEnd w:id="214"/>
    <w:bookmarkEnd w:id="215"/>
    <w:bookmarkEnd w:id="216"/>
    <w:bookmarkEnd w:id="217"/>
    <w:bookmarkEnd w:id="218"/>
    <w:bookmarkEnd w:id="219"/>
    <w:p>
      <w:pPr>
        <w:spacing w:before="4800" w:beforeLines="2000"/>
        <w:jc w:val="both"/>
        <w:rPr>
          <w:rStyle w:val="26"/>
          <w:rFonts w:hint="eastAsia"/>
        </w:rPr>
      </w:pPr>
      <w:bookmarkStart w:id="337" w:name="_Toc2086"/>
      <w:bookmarkStart w:id="338" w:name="_Toc476758959"/>
    </w:p>
    <w:p>
      <w:pPr>
        <w:spacing w:before="4800" w:beforeLines="2000"/>
        <w:jc w:val="center"/>
      </w:pPr>
      <w:r>
        <w:rPr>
          <w:rStyle w:val="26"/>
          <w:rFonts w:hint="eastAsia"/>
        </w:rPr>
        <w:t>第三章  评标办法</w:t>
      </w:r>
      <w:bookmarkEnd w:id="337"/>
      <w:bookmarkEnd w:id="338"/>
    </w:p>
    <w:p>
      <w:pPr>
        <w:pStyle w:val="4"/>
        <w:spacing w:before="0"/>
        <w:rPr>
          <w:rFonts w:ascii="宋体" w:hAnsi="宋体" w:eastAsia="宋体"/>
          <w:sz w:val="28"/>
        </w:rPr>
      </w:pPr>
      <w:bookmarkStart w:id="339" w:name="_Toc29693"/>
      <w:bookmarkStart w:id="340" w:name="_Toc5456"/>
      <w:bookmarkStart w:id="341" w:name="_Toc476758960"/>
      <w:r>
        <w:rPr>
          <w:rFonts w:hint="eastAsia" w:ascii="宋体" w:hAnsi="宋体" w:eastAsia="宋体"/>
          <w:sz w:val="28"/>
        </w:rPr>
        <w:t>一、总则</w:t>
      </w:r>
      <w:bookmarkEnd w:id="339"/>
      <w:bookmarkEnd w:id="340"/>
      <w:bookmarkEnd w:id="341"/>
    </w:p>
    <w:p>
      <w:pPr>
        <w:spacing w:line="360" w:lineRule="auto"/>
        <w:ind w:firstLine="470" w:firstLineChars="196"/>
        <w:rPr>
          <w:rFonts w:ascii="宋体" w:hAnsi="宋体"/>
          <w:b/>
          <w:sz w:val="24"/>
        </w:rPr>
      </w:pPr>
      <w:r>
        <w:rPr>
          <w:rFonts w:hint="eastAsia" w:ascii="宋体" w:hAnsi="宋体"/>
          <w:sz w:val="24"/>
        </w:rPr>
        <w:t>1.根据《中华人民共和国政府采购法》、《中华人民共和国政府采购法实施条例》及《政府采购货物和服务招标投标管理办法》（财政部第87号令）等法律规章，结合采购项目特点制定本评标办法。</w:t>
      </w:r>
    </w:p>
    <w:p>
      <w:pPr>
        <w:spacing w:line="360" w:lineRule="auto"/>
        <w:ind w:firstLine="470" w:firstLineChars="196"/>
        <w:rPr>
          <w:rFonts w:ascii="宋体" w:hAnsi="宋体"/>
          <w:b/>
          <w:sz w:val="24"/>
        </w:rPr>
      </w:pPr>
      <w:r>
        <w:rPr>
          <w:rFonts w:hint="eastAsia" w:ascii="宋体" w:hAnsi="宋体"/>
          <w:sz w:val="24"/>
        </w:rPr>
        <w:t>2.</w:t>
      </w:r>
      <w:r>
        <w:rPr>
          <w:rFonts w:hint="eastAsia" w:ascii="宋体" w:hAnsi="宋体"/>
          <w:bCs/>
          <w:sz w:val="24"/>
        </w:rPr>
        <w:t>评标工作由招标代理机构负责组织，具体评标事务由招标代理机构依法组建的磋商小组负责。磋商小组由采购人代表和有关技术、经济等方面的专家组成。</w:t>
      </w:r>
    </w:p>
    <w:p>
      <w:pPr>
        <w:spacing w:line="360" w:lineRule="auto"/>
        <w:ind w:firstLine="470" w:firstLineChars="196"/>
        <w:rPr>
          <w:rFonts w:ascii="宋体" w:hAnsi="宋体"/>
          <w:b/>
          <w:sz w:val="24"/>
        </w:rPr>
      </w:pPr>
      <w:r>
        <w:rPr>
          <w:rFonts w:hint="eastAsia" w:ascii="宋体" w:hAnsi="宋体"/>
          <w:sz w:val="24"/>
        </w:rPr>
        <w:t>3.评标工作应遵循公平、公正、科学及择优的原则，并以相同的评标程序和标准对待所有的供应商。</w:t>
      </w:r>
    </w:p>
    <w:p>
      <w:pPr>
        <w:spacing w:line="360" w:lineRule="auto"/>
        <w:ind w:firstLine="470" w:firstLineChars="196"/>
        <w:rPr>
          <w:rFonts w:ascii="宋体" w:hAnsi="宋体"/>
          <w:b/>
          <w:sz w:val="24"/>
        </w:rPr>
      </w:pPr>
      <w:r>
        <w:rPr>
          <w:rFonts w:hint="eastAsia" w:ascii="宋体" w:hAnsi="宋体"/>
          <w:sz w:val="24"/>
        </w:rPr>
        <w:t>4.磋商小组按照磋商文件规定的评标方法和标准进行评标，并独立履行下列职责：</w:t>
      </w:r>
    </w:p>
    <w:p>
      <w:pPr>
        <w:spacing w:line="360" w:lineRule="auto"/>
        <w:ind w:firstLine="470" w:firstLineChars="196"/>
        <w:rPr>
          <w:rFonts w:ascii="宋体" w:hAnsi="宋体"/>
          <w:b/>
          <w:sz w:val="24"/>
        </w:rPr>
      </w:pPr>
      <w:r>
        <w:rPr>
          <w:rFonts w:hint="eastAsia" w:ascii="宋体" w:hAnsi="宋体"/>
          <w:sz w:val="24"/>
        </w:rPr>
        <w:t>（1）审查磋商响应文件是否符合磋商文件要求，并做出评价；</w:t>
      </w:r>
    </w:p>
    <w:p>
      <w:pPr>
        <w:spacing w:line="360" w:lineRule="auto"/>
        <w:ind w:firstLine="470" w:firstLineChars="196"/>
        <w:rPr>
          <w:rFonts w:ascii="宋体" w:hAnsi="宋体"/>
          <w:b/>
          <w:sz w:val="24"/>
        </w:rPr>
      </w:pPr>
      <w:r>
        <w:rPr>
          <w:rFonts w:hint="eastAsia" w:ascii="宋体" w:hAnsi="宋体"/>
          <w:sz w:val="24"/>
        </w:rPr>
        <w:t>（2）要求投标供应商对磋商响应文件有关事项做出解释或者澄清；</w:t>
      </w:r>
    </w:p>
    <w:p>
      <w:pPr>
        <w:spacing w:line="360" w:lineRule="auto"/>
        <w:ind w:firstLine="470" w:firstLineChars="196"/>
        <w:rPr>
          <w:rFonts w:ascii="宋体" w:hAnsi="宋体"/>
          <w:b/>
          <w:sz w:val="24"/>
        </w:rPr>
      </w:pPr>
      <w:r>
        <w:rPr>
          <w:rFonts w:hint="eastAsia" w:ascii="宋体" w:hAnsi="宋体"/>
          <w:sz w:val="24"/>
        </w:rPr>
        <w:t>（3）推荐中标候选供应商名单，或者受采购人委托按照事先确定的办法直接确定中标单位；</w:t>
      </w:r>
    </w:p>
    <w:p>
      <w:pPr>
        <w:spacing w:line="360" w:lineRule="auto"/>
        <w:ind w:firstLine="470" w:firstLineChars="196"/>
        <w:rPr>
          <w:rFonts w:ascii="宋体" w:hAnsi="宋体"/>
          <w:sz w:val="24"/>
        </w:rPr>
      </w:pPr>
      <w:r>
        <w:rPr>
          <w:rFonts w:hint="eastAsia" w:ascii="宋体" w:hAnsi="宋体"/>
          <w:sz w:val="24"/>
        </w:rPr>
        <w:t>（4）向招标采购单位或者有关部门报告非法干预评标工作的行为。</w:t>
      </w:r>
    </w:p>
    <w:p>
      <w:pPr>
        <w:pStyle w:val="4"/>
        <w:rPr>
          <w:rFonts w:ascii="宋体" w:hAnsi="宋体" w:eastAsia="宋体"/>
          <w:sz w:val="28"/>
        </w:rPr>
      </w:pPr>
      <w:bookmarkStart w:id="342" w:name="_Toc3026"/>
      <w:bookmarkStart w:id="343" w:name="_Toc476758962"/>
      <w:bookmarkStart w:id="344" w:name="_Toc11189"/>
      <w:r>
        <w:rPr>
          <w:rFonts w:hint="eastAsia" w:ascii="宋体" w:hAnsi="宋体" w:eastAsia="宋体"/>
          <w:sz w:val="28"/>
        </w:rPr>
        <w:t>二、评标原则</w:t>
      </w:r>
      <w:bookmarkEnd w:id="342"/>
      <w:bookmarkEnd w:id="343"/>
      <w:bookmarkEnd w:id="344"/>
      <w:r>
        <w:rPr>
          <w:rFonts w:hint="eastAsia" w:ascii="宋体" w:hAnsi="宋体" w:eastAsia="宋体"/>
          <w:sz w:val="28"/>
        </w:rPr>
        <w:t xml:space="preserve"> </w:t>
      </w:r>
    </w:p>
    <w:p>
      <w:pPr>
        <w:spacing w:line="360" w:lineRule="auto"/>
        <w:ind w:firstLine="480" w:firstLineChars="200"/>
        <w:jc w:val="left"/>
        <w:rPr>
          <w:rFonts w:ascii="宋体" w:hAnsi="宋体"/>
          <w:sz w:val="24"/>
        </w:rPr>
      </w:pPr>
      <w:r>
        <w:rPr>
          <w:rFonts w:hint="eastAsia" w:ascii="宋体" w:hAnsi="宋体"/>
          <w:sz w:val="24"/>
        </w:rPr>
        <w:t>1.磋商小组按照公开、公平、公正、科学、择优的原则对待所有的供应商。</w:t>
      </w:r>
    </w:p>
    <w:p>
      <w:pPr>
        <w:spacing w:line="360" w:lineRule="auto"/>
        <w:ind w:firstLine="480" w:firstLineChars="200"/>
        <w:jc w:val="left"/>
        <w:rPr>
          <w:rFonts w:ascii="宋体" w:hAnsi="宋体"/>
          <w:sz w:val="24"/>
        </w:rPr>
      </w:pPr>
      <w:r>
        <w:rPr>
          <w:rFonts w:hint="eastAsia" w:ascii="宋体" w:hAnsi="宋体"/>
          <w:sz w:val="24"/>
        </w:rPr>
        <w:t>2.磋商小组成员应当客观、公正地履行职责，遵守职业道德，对所提出的评审意见承担个人责任；磋商小组成员实行主动回避制度；磋商小组成员及工作人员对整个评标活动保密。</w:t>
      </w:r>
    </w:p>
    <w:p>
      <w:pPr>
        <w:spacing w:line="360" w:lineRule="auto"/>
        <w:ind w:firstLine="480" w:firstLineChars="200"/>
        <w:jc w:val="left"/>
        <w:rPr>
          <w:rFonts w:ascii="宋体" w:hAnsi="宋体"/>
          <w:sz w:val="24"/>
        </w:rPr>
      </w:pPr>
      <w:r>
        <w:rPr>
          <w:rFonts w:hint="eastAsia" w:ascii="宋体" w:hAnsi="宋体"/>
          <w:sz w:val="24"/>
        </w:rPr>
        <w:t>3.磋商小组审查磋商响应文件是否符合磋商文件的所有条款、条件和规定。</w:t>
      </w:r>
    </w:p>
    <w:p>
      <w:pPr>
        <w:adjustRightInd w:val="0"/>
        <w:snapToGrid w:val="0"/>
        <w:spacing w:line="360" w:lineRule="auto"/>
        <w:ind w:firstLine="480" w:firstLineChars="200"/>
        <w:rPr>
          <w:rFonts w:ascii="宋体" w:hAnsi="宋体"/>
          <w:sz w:val="24"/>
        </w:rPr>
      </w:pPr>
      <w:r>
        <w:rPr>
          <w:rFonts w:hint="eastAsia" w:ascii="宋体" w:hAnsi="宋体"/>
          <w:sz w:val="24"/>
        </w:rPr>
        <w:t xml:space="preserve">4.评标只对实质上响应磋商文件要求的有效磋商响应文件进行评审，响应的依据是磋商响应文件本身的内容，而不寻求其它证据。 </w:t>
      </w:r>
    </w:p>
    <w:p>
      <w:pPr>
        <w:adjustRightInd w:val="0"/>
        <w:snapToGrid w:val="0"/>
        <w:spacing w:line="360" w:lineRule="auto"/>
        <w:ind w:firstLine="480" w:firstLineChars="200"/>
        <w:rPr>
          <w:rFonts w:ascii="宋体" w:hAnsi="宋体"/>
          <w:sz w:val="24"/>
        </w:rPr>
      </w:pPr>
      <w:r>
        <w:rPr>
          <w:rFonts w:hint="eastAsia" w:ascii="宋体" w:hAnsi="宋体"/>
          <w:sz w:val="24"/>
        </w:rPr>
        <w:t>5.评标将依据磋商文件确定的标准和方法，结合磋商响应文件及其补充文件进行，不得忽视磋商响应文件的实质性内容进行评标。</w:t>
      </w:r>
    </w:p>
    <w:p>
      <w:pPr>
        <w:spacing w:line="360" w:lineRule="auto"/>
        <w:ind w:firstLine="480" w:firstLineChars="200"/>
        <w:rPr>
          <w:rFonts w:ascii="宋体" w:hAnsi="宋体"/>
          <w:sz w:val="24"/>
        </w:rPr>
      </w:pPr>
      <w:r>
        <w:rPr>
          <w:rFonts w:hint="eastAsia" w:ascii="宋体" w:hAnsi="宋体"/>
          <w:sz w:val="24"/>
        </w:rPr>
        <w:t>6.评标活动依法进行，任何单位和个人不得非法干预、阻挠采购人采购代理机构的正常工作或者影响评标过程和结果。</w:t>
      </w:r>
    </w:p>
    <w:p>
      <w:pPr>
        <w:pStyle w:val="4"/>
        <w:rPr>
          <w:rFonts w:ascii="宋体" w:hAnsi="宋体" w:eastAsia="宋体"/>
          <w:sz w:val="28"/>
        </w:rPr>
      </w:pPr>
      <w:bookmarkStart w:id="345" w:name="_Toc16774"/>
      <w:bookmarkStart w:id="346" w:name="_Toc24889"/>
      <w:bookmarkStart w:id="347" w:name="_Toc476758963"/>
      <w:r>
        <w:rPr>
          <w:rFonts w:hint="eastAsia" w:ascii="宋体" w:hAnsi="宋体" w:eastAsia="宋体"/>
          <w:sz w:val="28"/>
        </w:rPr>
        <w:t>三、评标方法</w:t>
      </w:r>
      <w:bookmarkEnd w:id="345"/>
      <w:bookmarkEnd w:id="346"/>
      <w:bookmarkEnd w:id="347"/>
    </w:p>
    <w:p>
      <w:pPr>
        <w:spacing w:line="360" w:lineRule="auto"/>
        <w:rPr>
          <w:rFonts w:ascii="宋体" w:hAnsi="宋体"/>
          <w:b/>
          <w:sz w:val="24"/>
        </w:rPr>
      </w:pPr>
      <w:bookmarkStart w:id="348" w:name="_Toc12054"/>
      <w:bookmarkStart w:id="349" w:name="_Toc476758964"/>
      <w:r>
        <w:rPr>
          <w:rFonts w:hint="eastAsia" w:ascii="宋体" w:hAnsi="宋体"/>
          <w:b/>
          <w:sz w:val="24"/>
        </w:rPr>
        <w:t>1、竞争性磋商要求</w:t>
      </w:r>
      <w:bookmarkEnd w:id="348"/>
    </w:p>
    <w:p>
      <w:pPr>
        <w:spacing w:line="360" w:lineRule="auto"/>
        <w:rPr>
          <w:rFonts w:ascii="宋体" w:hAnsi="宋体"/>
          <w:sz w:val="24"/>
        </w:rPr>
      </w:pPr>
      <w:r>
        <w:rPr>
          <w:rFonts w:hint="eastAsia" w:ascii="宋体" w:hAnsi="宋体"/>
          <w:sz w:val="24"/>
        </w:rPr>
        <w:t>1.1 招标代理机构将在“竞争性磋商须知前附表”规定的时间、地点组织竞争性磋商。供应商应委派代表参加。</w:t>
      </w:r>
    </w:p>
    <w:p>
      <w:pPr>
        <w:spacing w:line="360" w:lineRule="auto"/>
        <w:rPr>
          <w:rFonts w:ascii="宋体" w:hAnsi="宋体"/>
          <w:sz w:val="24"/>
        </w:rPr>
      </w:pPr>
      <w:r>
        <w:rPr>
          <w:rFonts w:hint="eastAsia" w:ascii="宋体" w:hAnsi="宋体"/>
          <w:sz w:val="24"/>
        </w:rPr>
        <w:t>1.2 提交了可接受的“撤回”通知的报价将不予开封。</w:t>
      </w:r>
    </w:p>
    <w:p>
      <w:pPr>
        <w:spacing w:line="360" w:lineRule="auto"/>
        <w:rPr>
          <w:rFonts w:ascii="宋体" w:hAnsi="宋体"/>
          <w:b/>
          <w:sz w:val="24"/>
        </w:rPr>
      </w:pPr>
      <w:bookmarkStart w:id="350" w:name="_Toc28204"/>
      <w:r>
        <w:rPr>
          <w:rFonts w:hint="eastAsia" w:ascii="宋体" w:hAnsi="宋体"/>
          <w:b/>
          <w:sz w:val="24"/>
        </w:rPr>
        <w:t>2、竞争性磋商小组组建及工作</w:t>
      </w:r>
      <w:bookmarkEnd w:id="350"/>
    </w:p>
    <w:p>
      <w:pPr>
        <w:spacing w:line="360" w:lineRule="auto"/>
        <w:rPr>
          <w:rFonts w:ascii="宋体" w:hAnsi="宋体"/>
          <w:sz w:val="24"/>
        </w:rPr>
      </w:pPr>
      <w:r>
        <w:rPr>
          <w:rFonts w:hint="eastAsia" w:ascii="宋体" w:hAnsi="宋体"/>
          <w:sz w:val="24"/>
        </w:rPr>
        <w:t>2.1招标机构将按照《中华人民共和国政府采购法》及有关规定组建磋商小组。</w:t>
      </w:r>
    </w:p>
    <w:p>
      <w:pPr>
        <w:spacing w:line="360" w:lineRule="auto"/>
        <w:rPr>
          <w:rFonts w:ascii="宋体" w:hAnsi="宋体"/>
          <w:sz w:val="24"/>
        </w:rPr>
      </w:pPr>
      <w:r>
        <w:rPr>
          <w:rFonts w:hint="eastAsia" w:ascii="宋体" w:hAnsi="宋体"/>
          <w:sz w:val="24"/>
        </w:rPr>
        <w:t>2.2磋商小组由采购人代表和评审专家共3人以上单数组成，其中评审专家人数不得少于磋商小组成员总数的2/3。采购代理机构人员不得参加本机构代理的采购项目的评审。</w:t>
      </w:r>
    </w:p>
    <w:p>
      <w:pPr>
        <w:spacing w:line="360" w:lineRule="auto"/>
        <w:rPr>
          <w:rFonts w:ascii="宋体" w:hAnsi="宋体"/>
          <w:sz w:val="24"/>
        </w:rPr>
      </w:pPr>
      <w:r>
        <w:rPr>
          <w:rFonts w:ascii="宋体" w:hAnsi="宋体"/>
          <w:sz w:val="24"/>
        </w:rPr>
        <w:t>采用竞争性磋商方式的政府采购项目，评审专家应当从政府采购评审专家库内相关专业的专家名单中随机抽取。符合本办法第三条第四项规定情形的项目，以及情况特殊、通过随机方式难以确定合适的评审专家的项目，经主管预算单位同意，可以自行选定评审专家。技术复杂、专业性强的采购项目，评审专家中应当包含1名法律专家。</w:t>
      </w:r>
    </w:p>
    <w:p>
      <w:pPr>
        <w:spacing w:line="360" w:lineRule="auto"/>
        <w:rPr>
          <w:rFonts w:ascii="宋体" w:hAnsi="宋体"/>
          <w:sz w:val="24"/>
        </w:rPr>
      </w:pPr>
      <w:r>
        <w:rPr>
          <w:rFonts w:hint="eastAsia" w:ascii="宋体" w:hAnsi="宋体"/>
          <w:sz w:val="24"/>
        </w:rPr>
        <w:t>2.3在磋商期间，响应文件中有不满足竞争性磋商文件资质要求的或不符合竞争性磋商文件带</w:t>
      </w:r>
      <w:r>
        <w:rPr>
          <w:rFonts w:hint="eastAsia" w:ascii="宋体" w:hAnsi="宋体"/>
          <w:bCs/>
          <w:sz w:val="24"/>
        </w:rPr>
        <w:t>“★”</w:t>
      </w:r>
      <w:r>
        <w:rPr>
          <w:rFonts w:hint="eastAsia" w:ascii="宋体" w:hAnsi="宋体"/>
          <w:sz w:val="24"/>
        </w:rPr>
        <w:t>要求的内容的；磋商小组可要求供应商对其磋商响应文件中含义不明确的内容作必要的澄清或说明，但澄清或说明不得超出磋商响应文件的范围或改变磋商响应文件实质性内容。有关澄清的要求和答复均应以书面形式提交，澄清的内容为磋商响应文件的组成部分。</w:t>
      </w:r>
    </w:p>
    <w:p>
      <w:pPr>
        <w:spacing w:line="360" w:lineRule="auto"/>
        <w:rPr>
          <w:rFonts w:ascii="宋体" w:hAnsi="宋体"/>
          <w:sz w:val="24"/>
        </w:rPr>
      </w:pPr>
      <w:r>
        <w:rPr>
          <w:rFonts w:hint="eastAsia" w:ascii="宋体" w:hAnsi="宋体"/>
          <w:sz w:val="24"/>
        </w:rPr>
        <w:t>2.4</w:t>
      </w:r>
      <w:r>
        <w:rPr>
          <w:rFonts w:ascii="宋体" w:hAnsi="宋体"/>
          <w:sz w:val="24"/>
        </w:rPr>
        <w:t>参加磋商的供应商应当对磋商的承诺</w:t>
      </w:r>
      <w:r>
        <w:rPr>
          <w:rFonts w:hint="eastAsia" w:ascii="宋体" w:hAnsi="宋体"/>
          <w:sz w:val="24"/>
        </w:rPr>
        <w:t>和最后报价</w:t>
      </w:r>
      <w:r>
        <w:rPr>
          <w:rFonts w:ascii="宋体" w:hAnsi="宋体"/>
          <w:sz w:val="24"/>
        </w:rPr>
        <w:t>以书面形式确认，并由全权代表签</w:t>
      </w:r>
      <w:r>
        <w:rPr>
          <w:rFonts w:hint="eastAsia" w:ascii="宋体" w:hAnsi="宋体"/>
          <w:sz w:val="24"/>
        </w:rPr>
        <w:t>字或盖章</w:t>
      </w:r>
      <w:r>
        <w:rPr>
          <w:rFonts w:ascii="宋体" w:hAnsi="宋体"/>
          <w:sz w:val="24"/>
        </w:rPr>
        <w:t>。</w:t>
      </w:r>
    </w:p>
    <w:p>
      <w:pPr>
        <w:spacing w:line="360" w:lineRule="auto"/>
        <w:rPr>
          <w:rFonts w:ascii="宋体" w:hAnsi="宋体"/>
          <w:b/>
          <w:sz w:val="24"/>
        </w:rPr>
      </w:pPr>
      <w:bookmarkStart w:id="351" w:name="_Toc31367"/>
      <w:r>
        <w:rPr>
          <w:rFonts w:hint="eastAsia" w:ascii="宋体" w:hAnsi="宋体"/>
          <w:b/>
          <w:sz w:val="24"/>
        </w:rPr>
        <w:t>3、竞争性磋商过程的保密性</w:t>
      </w:r>
      <w:bookmarkEnd w:id="351"/>
    </w:p>
    <w:p>
      <w:pPr>
        <w:spacing w:line="360" w:lineRule="auto"/>
        <w:rPr>
          <w:rFonts w:ascii="宋体" w:hAnsi="宋体"/>
          <w:sz w:val="24"/>
        </w:rPr>
      </w:pPr>
      <w:r>
        <w:rPr>
          <w:rFonts w:hint="eastAsia" w:ascii="宋体" w:hAnsi="宋体"/>
          <w:sz w:val="24"/>
        </w:rPr>
        <w:t>3.1从开始竞争性磋商，直到向成交的供应商授予合同时止，凡与审查、澄清、评价和比较报价有关资料以及评审意见等，均不得向供应商及与竞争性磋商无关的其他人透露。</w:t>
      </w:r>
    </w:p>
    <w:p>
      <w:pPr>
        <w:spacing w:line="360" w:lineRule="auto"/>
        <w:rPr>
          <w:rFonts w:ascii="宋体" w:hAnsi="宋体"/>
          <w:sz w:val="24"/>
        </w:rPr>
      </w:pPr>
      <w:r>
        <w:rPr>
          <w:rFonts w:hint="eastAsia" w:ascii="宋体" w:hAnsi="宋体"/>
          <w:sz w:val="24"/>
        </w:rPr>
        <w:t>3.2 在竞争性磋商过程中，如果供应商试图在响应文件审查、澄清、比较及授予合同方面向采购人施加任何影响，其报价将被拒绝。</w:t>
      </w:r>
    </w:p>
    <w:p>
      <w:pPr>
        <w:spacing w:line="360" w:lineRule="auto"/>
        <w:rPr>
          <w:rFonts w:ascii="宋体" w:hAnsi="宋体"/>
          <w:b/>
          <w:sz w:val="24"/>
        </w:rPr>
      </w:pPr>
      <w:bookmarkStart w:id="352" w:name="_Toc16784"/>
      <w:r>
        <w:rPr>
          <w:rFonts w:hint="eastAsia" w:ascii="宋体" w:hAnsi="宋体"/>
          <w:b/>
          <w:sz w:val="24"/>
        </w:rPr>
        <w:t>4.竞争性磋商程序</w:t>
      </w:r>
      <w:bookmarkEnd w:id="352"/>
    </w:p>
    <w:p>
      <w:pPr>
        <w:spacing w:line="360" w:lineRule="auto"/>
        <w:rPr>
          <w:rFonts w:ascii="宋体" w:hAnsi="宋体"/>
          <w:sz w:val="24"/>
        </w:rPr>
      </w:pPr>
      <w:r>
        <w:rPr>
          <w:rFonts w:hint="eastAsia" w:ascii="宋体" w:hAnsi="宋体"/>
          <w:sz w:val="24"/>
        </w:rPr>
        <w:t>4.1竞争性磋商程序：资格性审查、符合性审查、磋商报价、详细评审、推荐成交供应商。其中，竞争性磋商按本章第9.1款情形进行。</w:t>
      </w:r>
    </w:p>
    <w:p>
      <w:pPr>
        <w:spacing w:line="360" w:lineRule="auto"/>
        <w:rPr>
          <w:rFonts w:ascii="宋体" w:hAnsi="宋体"/>
          <w:b/>
          <w:sz w:val="24"/>
        </w:rPr>
      </w:pPr>
      <w:bookmarkStart w:id="353" w:name="_Toc32351"/>
      <w:r>
        <w:rPr>
          <w:rFonts w:hint="eastAsia" w:ascii="宋体" w:hAnsi="宋体"/>
          <w:b/>
          <w:sz w:val="24"/>
        </w:rPr>
        <w:t>5.澄清</w:t>
      </w:r>
      <w:bookmarkEnd w:id="353"/>
    </w:p>
    <w:p>
      <w:pPr>
        <w:spacing w:line="360" w:lineRule="auto"/>
        <w:rPr>
          <w:rFonts w:ascii="宋体" w:hAnsi="宋体"/>
          <w:sz w:val="24"/>
        </w:rPr>
      </w:pPr>
      <w:r>
        <w:rPr>
          <w:rFonts w:hint="eastAsia" w:ascii="宋体" w:hAnsi="宋体"/>
          <w:sz w:val="24"/>
        </w:rPr>
        <w:t>5.1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rPr>
          <w:rFonts w:ascii="宋体" w:hAnsi="宋体"/>
          <w:sz w:val="24"/>
        </w:rPr>
      </w:pPr>
      <w:r>
        <w:rPr>
          <w:rFonts w:hint="eastAsia" w:ascii="宋体" w:hAnsi="宋体"/>
          <w:sz w:val="24"/>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360" w:lineRule="auto"/>
        <w:rPr>
          <w:rFonts w:ascii="宋体" w:hAnsi="宋体"/>
          <w:sz w:val="24"/>
        </w:rPr>
      </w:pPr>
      <w:r>
        <w:rPr>
          <w:rFonts w:hint="eastAsia" w:ascii="宋体" w:hAnsi="宋体"/>
          <w:sz w:val="24"/>
        </w:rPr>
        <w:t>5.2 最后报价计算错误修正的原则：最后报价的大写金额和小写金额不一致的，以大写金额为准；总价金额与按单价汇总金额不一致的，以单价金额计算结果为准；单价金额小数点有明显错位的，应以总价为准，并修改单价。</w:t>
      </w:r>
    </w:p>
    <w:p>
      <w:pPr>
        <w:spacing w:line="360" w:lineRule="auto"/>
        <w:rPr>
          <w:rFonts w:ascii="宋体" w:hAnsi="宋体"/>
          <w:b/>
          <w:sz w:val="24"/>
        </w:rPr>
      </w:pPr>
      <w:bookmarkStart w:id="354" w:name="_Toc3435"/>
      <w:bookmarkStart w:id="355" w:name="_Toc436398538"/>
      <w:bookmarkStart w:id="356" w:name="_Toc436398669"/>
      <w:r>
        <w:rPr>
          <w:rFonts w:hint="eastAsia" w:ascii="宋体" w:hAnsi="宋体"/>
          <w:b/>
          <w:sz w:val="24"/>
        </w:rPr>
        <w:t>6.供应商家数计算</w:t>
      </w:r>
      <w:bookmarkEnd w:id="354"/>
      <w:bookmarkEnd w:id="355"/>
      <w:bookmarkEnd w:id="356"/>
    </w:p>
    <w:p>
      <w:pPr>
        <w:spacing w:line="360" w:lineRule="auto"/>
        <w:rPr>
          <w:rFonts w:hint="eastAsia" w:ascii="宋体" w:hAnsi="宋体" w:eastAsia="宋体"/>
          <w:sz w:val="24"/>
        </w:rPr>
      </w:pPr>
      <w:r>
        <w:rPr>
          <w:rFonts w:hint="eastAsia" w:ascii="宋体" w:hAnsi="宋体"/>
          <w:sz w:val="24"/>
        </w:rPr>
        <w:t xml:space="preserve">  </w:t>
      </w:r>
      <w:r>
        <w:rPr>
          <w:rFonts w:hint="eastAsia" w:ascii="宋体" w:hAnsi="宋体" w:eastAsia="宋体"/>
          <w:sz w:val="24"/>
        </w:rPr>
        <w:t xml:space="preserve">   </w:t>
      </w:r>
      <w:bookmarkStart w:id="357" w:name="_Toc23261"/>
      <w:r>
        <w:rPr>
          <w:rFonts w:hint="eastAsia" w:ascii="宋体" w:hAnsi="宋体" w:eastAsia="宋体"/>
          <w:sz w:val="24"/>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auto"/>
        <w:rPr>
          <w:rFonts w:hint="eastAsia" w:ascii="宋体" w:hAnsi="宋体" w:eastAsia="宋体"/>
          <w:sz w:val="24"/>
        </w:rPr>
      </w:pPr>
      <w:r>
        <w:rPr>
          <w:rFonts w:hint="eastAsia" w:ascii="宋体" w:hAnsi="宋体" w:eastAsia="宋体"/>
          <w:sz w:val="24"/>
        </w:rPr>
        <w:t>　　非单一产品采购项目，采购人应当根据采购项目技术构成、产品价格比重等合理确定核心产品，并在招标文件中载明。多家投标人提供的核心产品品牌相同的，按前两款规定处理。</w:t>
      </w:r>
    </w:p>
    <w:p>
      <w:pPr>
        <w:spacing w:line="360" w:lineRule="auto"/>
        <w:rPr>
          <w:rFonts w:ascii="宋体" w:hAnsi="宋体"/>
          <w:b/>
          <w:sz w:val="24"/>
        </w:rPr>
      </w:pPr>
      <w:r>
        <w:rPr>
          <w:rFonts w:hint="eastAsia" w:ascii="宋体" w:hAnsi="宋体"/>
          <w:b/>
          <w:sz w:val="24"/>
        </w:rPr>
        <w:t>7.竞争性磋商</w:t>
      </w:r>
      <w:bookmarkEnd w:id="357"/>
    </w:p>
    <w:p>
      <w:pPr>
        <w:spacing w:line="360" w:lineRule="auto"/>
        <w:rPr>
          <w:rFonts w:ascii="宋体" w:hAnsi="宋体"/>
          <w:sz w:val="24"/>
        </w:rPr>
      </w:pPr>
      <w:r>
        <w:rPr>
          <w:rFonts w:hint="eastAsia" w:ascii="宋体" w:hAnsi="宋体"/>
          <w:sz w:val="24"/>
        </w:rPr>
        <w:t>7.1在磋商过程中，磋商小组可以根据磋商文件和磋商情况实质性变动采购需求中的技术、服务要求以及合同草案条款，但不得变动磋商文件中的其他内容。实质性变动的内容，须经采购人代表确认。</w:t>
      </w:r>
    </w:p>
    <w:p>
      <w:pPr>
        <w:spacing w:line="360" w:lineRule="auto"/>
        <w:rPr>
          <w:rFonts w:ascii="宋体" w:hAnsi="宋体"/>
          <w:sz w:val="24"/>
        </w:rPr>
      </w:pPr>
      <w:r>
        <w:rPr>
          <w:rFonts w:hint="eastAsia" w:ascii="宋体" w:hAnsi="宋体"/>
          <w:sz w:val="24"/>
        </w:rPr>
        <w:t>7.2对磋商文件作出的实质性变动是磋商文件的有效组成部分，磋商小组应当及时以书面形式同时通知所有参加磋商的供应商。</w:t>
      </w:r>
    </w:p>
    <w:p>
      <w:pPr>
        <w:spacing w:line="360" w:lineRule="auto"/>
        <w:rPr>
          <w:rFonts w:ascii="宋体" w:hAnsi="宋体"/>
          <w:sz w:val="24"/>
        </w:rPr>
      </w:pPr>
      <w:r>
        <w:rPr>
          <w:rFonts w:hint="eastAsia" w:ascii="宋体" w:hAnsi="宋体"/>
          <w:sz w:val="24"/>
        </w:rPr>
        <w:t>7.3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spacing w:line="360" w:lineRule="auto"/>
        <w:rPr>
          <w:rFonts w:hint="eastAsia" w:ascii="宋体" w:hAnsi="宋体" w:eastAsia="宋体"/>
          <w:sz w:val="24"/>
        </w:rPr>
      </w:pPr>
      <w:r>
        <w:rPr>
          <w:rFonts w:hint="eastAsia" w:ascii="宋体" w:hAnsi="宋体"/>
          <w:sz w:val="24"/>
        </w:rPr>
        <w:t>7.4</w:t>
      </w:r>
      <w:r>
        <w:rPr>
          <w:rFonts w:hint="eastAsia" w:ascii="宋体" w:hAnsi="宋体" w:eastAsia="宋体"/>
          <w:sz w:val="24"/>
        </w:rPr>
        <w:t>磋商</w:t>
      </w:r>
      <w:r>
        <w:rPr>
          <w:rFonts w:hint="eastAsia" w:ascii="宋体" w:hAnsi="宋体" w:eastAsia="宋体"/>
          <w:sz w:val="24"/>
          <w:lang w:eastAsia="zh-CN"/>
        </w:rPr>
        <w:t>报价</w:t>
      </w:r>
      <w:r>
        <w:rPr>
          <w:rFonts w:hint="eastAsia" w:ascii="宋体" w:hAnsi="宋体" w:eastAsia="宋体"/>
          <w:sz w:val="24"/>
        </w:rPr>
        <w:t>实行</w:t>
      </w:r>
      <w:r>
        <w:rPr>
          <w:rFonts w:hint="eastAsia" w:ascii="宋体" w:hAnsi="宋体" w:eastAsia="宋体"/>
          <w:sz w:val="24"/>
          <w:lang w:val="en-US" w:eastAsia="zh-CN"/>
        </w:rPr>
        <w:t>二</w:t>
      </w:r>
      <w:r>
        <w:rPr>
          <w:rFonts w:hint="eastAsia" w:ascii="宋体" w:hAnsi="宋体" w:eastAsia="宋体"/>
          <w:sz w:val="24"/>
        </w:rPr>
        <w:t>轮报价，第一轮审查投标供应商的响应文件，响应文件报价为供应商第一</w:t>
      </w:r>
      <w:r>
        <w:rPr>
          <w:rFonts w:hint="eastAsia" w:ascii="宋体" w:hAnsi="宋体" w:eastAsia="宋体"/>
          <w:sz w:val="24"/>
          <w:lang w:eastAsia="zh-CN"/>
        </w:rPr>
        <w:t>轮</w:t>
      </w:r>
      <w:r>
        <w:rPr>
          <w:rFonts w:hint="eastAsia" w:ascii="宋体" w:hAnsi="宋体" w:eastAsia="宋体"/>
          <w:sz w:val="24"/>
        </w:rPr>
        <w:t>报价。第二轮</w:t>
      </w:r>
      <w:r>
        <w:rPr>
          <w:rFonts w:hint="eastAsia" w:ascii="宋体" w:hAnsi="宋体" w:eastAsia="宋体"/>
          <w:sz w:val="24"/>
          <w:lang w:eastAsia="zh-CN"/>
        </w:rPr>
        <w:t>报价磋商小组</w:t>
      </w:r>
      <w:r>
        <w:rPr>
          <w:rFonts w:hint="eastAsia" w:ascii="宋体" w:hAnsi="宋体" w:eastAsia="宋体"/>
          <w:sz w:val="24"/>
        </w:rPr>
        <w:t>将只</w:t>
      </w:r>
      <w:r>
        <w:rPr>
          <w:rFonts w:hint="eastAsia" w:ascii="宋体" w:hAnsi="宋体" w:eastAsia="宋体"/>
          <w:sz w:val="24"/>
          <w:lang w:eastAsia="zh-CN"/>
        </w:rPr>
        <w:t>要求</w:t>
      </w:r>
      <w:r>
        <w:rPr>
          <w:rFonts w:hint="eastAsia" w:ascii="宋体" w:hAnsi="宋体" w:eastAsia="宋体"/>
          <w:sz w:val="24"/>
        </w:rPr>
        <w:t>通过了“资格性检查</w:t>
      </w:r>
      <w:r>
        <w:rPr>
          <w:rFonts w:hint="eastAsia" w:ascii="宋体" w:hAnsi="宋体" w:eastAsia="宋体"/>
          <w:sz w:val="24"/>
          <w:lang w:eastAsia="zh-CN"/>
        </w:rPr>
        <w:t>和</w:t>
      </w:r>
      <w:r>
        <w:rPr>
          <w:rFonts w:hint="eastAsia" w:ascii="宋体" w:hAnsi="宋体" w:eastAsia="宋体"/>
          <w:sz w:val="24"/>
        </w:rPr>
        <w:t>符合性检查”的</w:t>
      </w:r>
      <w:r>
        <w:rPr>
          <w:rFonts w:hint="eastAsia" w:ascii="宋体" w:hAnsi="宋体" w:eastAsia="宋体"/>
          <w:sz w:val="24"/>
          <w:lang w:eastAsia="zh-CN"/>
        </w:rPr>
        <w:t>供应商进行</w:t>
      </w:r>
      <w:r>
        <w:rPr>
          <w:rFonts w:hint="eastAsia" w:ascii="宋体" w:hAnsi="宋体" w:eastAsia="宋体"/>
          <w:sz w:val="24"/>
          <w:lang w:val="en-US" w:eastAsia="zh-CN"/>
        </w:rPr>
        <w:t>最终</w:t>
      </w:r>
      <w:r>
        <w:rPr>
          <w:rFonts w:hint="eastAsia" w:ascii="宋体" w:hAnsi="宋体" w:eastAsia="宋体"/>
          <w:sz w:val="24"/>
          <w:lang w:eastAsia="zh-CN"/>
        </w:rPr>
        <w:t>磋商报价</w:t>
      </w:r>
      <w:r>
        <w:rPr>
          <w:rFonts w:hint="eastAsia" w:ascii="宋体" w:hAnsi="宋体" w:eastAsia="宋体"/>
          <w:sz w:val="24"/>
        </w:rPr>
        <w:t>。原则上第</w:t>
      </w:r>
      <w:r>
        <w:rPr>
          <w:rFonts w:hint="eastAsia" w:ascii="宋体" w:hAnsi="宋体" w:eastAsia="宋体"/>
          <w:sz w:val="24"/>
          <w:lang w:val="en-US" w:eastAsia="zh-CN"/>
        </w:rPr>
        <w:t>二</w:t>
      </w:r>
      <w:r>
        <w:rPr>
          <w:rFonts w:hint="eastAsia" w:ascii="宋体" w:hAnsi="宋体" w:eastAsia="宋体"/>
          <w:sz w:val="24"/>
        </w:rPr>
        <w:t>轮报价为最终报价。超过</w:t>
      </w:r>
      <w:r>
        <w:rPr>
          <w:rFonts w:hint="eastAsia" w:ascii="宋体" w:hAnsi="宋体" w:eastAsia="宋体"/>
          <w:sz w:val="24"/>
          <w:lang w:val="en-US" w:eastAsia="zh-CN"/>
        </w:rPr>
        <w:t>二</w:t>
      </w:r>
      <w:r>
        <w:rPr>
          <w:rFonts w:hint="eastAsia" w:ascii="宋体" w:hAnsi="宋体" w:eastAsia="宋体"/>
          <w:sz w:val="24"/>
        </w:rPr>
        <w:t>轮报价的由磋商小组现场集体决定</w:t>
      </w:r>
      <w:r>
        <w:rPr>
          <w:rFonts w:hint="eastAsia" w:ascii="宋体" w:hAnsi="宋体" w:eastAsia="宋体"/>
          <w:sz w:val="24"/>
          <w:lang w:eastAsia="zh-CN"/>
        </w:rPr>
        <w:t>是否继续报价</w:t>
      </w:r>
      <w:r>
        <w:rPr>
          <w:rFonts w:hint="eastAsia" w:ascii="宋体" w:hAnsi="宋体" w:eastAsia="宋体"/>
          <w:sz w:val="24"/>
        </w:rPr>
        <w:t>，供应商后一轮报价不得高于其前一轮报价；否则磋商小组有权据此确定为无效报价，参与磋商的供应商少于三家的予以废标。</w:t>
      </w:r>
    </w:p>
    <w:p>
      <w:pPr>
        <w:spacing w:line="360" w:lineRule="auto"/>
        <w:rPr>
          <w:rFonts w:ascii="宋体" w:hAnsi="宋体"/>
          <w:sz w:val="24"/>
        </w:rPr>
      </w:pPr>
      <w:r>
        <w:rPr>
          <w:rFonts w:hint="eastAsia" w:ascii="宋体" w:hAnsi="宋体"/>
          <w:sz w:val="24"/>
        </w:rPr>
        <w:t>7.5特殊情况及处置：</w:t>
      </w:r>
    </w:p>
    <w:p>
      <w:pPr>
        <w:numPr>
          <w:ilvl w:val="0"/>
          <w:numId w:val="5"/>
        </w:numPr>
        <w:spacing w:line="360" w:lineRule="auto"/>
        <w:rPr>
          <w:rFonts w:ascii="宋体" w:hAnsi="宋体"/>
          <w:sz w:val="24"/>
        </w:rPr>
      </w:pPr>
      <w:r>
        <w:rPr>
          <w:rFonts w:hint="eastAsia" w:ascii="宋体" w:hAnsi="宋体"/>
          <w:sz w:val="24"/>
        </w:rPr>
        <w:t>采购范围变化且总价不超过预算价的；</w:t>
      </w:r>
    </w:p>
    <w:p>
      <w:pPr>
        <w:numPr>
          <w:ilvl w:val="0"/>
          <w:numId w:val="5"/>
        </w:numPr>
        <w:spacing w:line="360" w:lineRule="auto"/>
        <w:rPr>
          <w:rFonts w:ascii="宋体" w:hAnsi="宋体"/>
          <w:sz w:val="24"/>
        </w:rPr>
      </w:pPr>
      <w:r>
        <w:rPr>
          <w:rFonts w:hint="eastAsia" w:ascii="宋体" w:hAnsi="宋体"/>
          <w:sz w:val="24"/>
        </w:rPr>
        <w:t>采购货物的市场价格明显降价的；</w:t>
      </w:r>
    </w:p>
    <w:p>
      <w:pPr>
        <w:numPr>
          <w:ilvl w:val="0"/>
          <w:numId w:val="5"/>
        </w:numPr>
        <w:spacing w:line="360" w:lineRule="auto"/>
        <w:rPr>
          <w:rFonts w:ascii="宋体" w:hAnsi="宋体"/>
          <w:sz w:val="24"/>
        </w:rPr>
      </w:pPr>
      <w:r>
        <w:rPr>
          <w:rFonts w:hint="eastAsia" w:ascii="宋体" w:hAnsi="宋体"/>
          <w:sz w:val="24"/>
        </w:rPr>
        <w:t>报价明细中个别报价明显高于市场价且无明确报价依据的；</w:t>
      </w:r>
    </w:p>
    <w:p>
      <w:pPr>
        <w:numPr>
          <w:ilvl w:val="0"/>
          <w:numId w:val="5"/>
        </w:numPr>
        <w:spacing w:line="360" w:lineRule="auto"/>
        <w:rPr>
          <w:rFonts w:ascii="宋体" w:hAnsi="宋体"/>
          <w:sz w:val="24"/>
        </w:rPr>
      </w:pPr>
      <w:r>
        <w:rPr>
          <w:rFonts w:hint="eastAsia" w:ascii="宋体" w:hAnsi="宋体"/>
          <w:sz w:val="24"/>
        </w:rPr>
        <w:t>最后一轮报价中最低报价相同的。</w:t>
      </w:r>
    </w:p>
    <w:p>
      <w:pPr>
        <w:spacing w:line="360" w:lineRule="auto"/>
        <w:ind w:left="420" w:firstLine="240" w:firstLineChars="100"/>
        <w:rPr>
          <w:rFonts w:ascii="宋体" w:hAnsi="宋体"/>
          <w:sz w:val="24"/>
        </w:rPr>
      </w:pPr>
      <w:r>
        <w:rPr>
          <w:rFonts w:hint="eastAsia" w:ascii="宋体" w:hAnsi="宋体"/>
          <w:sz w:val="24"/>
        </w:rPr>
        <w:t>发生上述情形之一的，磋商小组有权予以废标或者与供应商进行磋商后继续报价。</w:t>
      </w:r>
    </w:p>
    <w:p>
      <w:pPr>
        <w:spacing w:line="360" w:lineRule="auto"/>
        <w:rPr>
          <w:rFonts w:ascii="宋体" w:hAnsi="宋体"/>
          <w:sz w:val="24"/>
        </w:rPr>
      </w:pPr>
      <w:r>
        <w:rPr>
          <w:rFonts w:hint="eastAsia" w:ascii="宋体" w:hAnsi="宋体"/>
          <w:sz w:val="24"/>
        </w:rPr>
        <w:t>7.6</w:t>
      </w:r>
      <w:r>
        <w:rPr>
          <w:rFonts w:ascii="宋体" w:hAnsi="宋体"/>
          <w:sz w:val="24"/>
        </w:rPr>
        <w:t>磋商小组所有成员应当集中与单一供应商分别进行磋商，并给予所有参加磋商的供应商平等的磋商机会。</w:t>
      </w:r>
      <w:r>
        <w:rPr>
          <w:rFonts w:hint="eastAsia" w:ascii="宋体" w:hAnsi="宋体"/>
          <w:sz w:val="24"/>
        </w:rPr>
        <w:t>在磋商中，磋商的任何一方不得透露与磋商有关的其他供应商的技术资料、价格和其他信息。磋商文件有实质性变动的，磋商小组应当以书面形式通知所有参加磋商的供应商。</w:t>
      </w:r>
    </w:p>
    <w:p>
      <w:pPr>
        <w:spacing w:line="360" w:lineRule="auto"/>
        <w:rPr>
          <w:rFonts w:ascii="宋体" w:hAnsi="宋体"/>
          <w:sz w:val="24"/>
        </w:rPr>
      </w:pPr>
      <w:r>
        <w:rPr>
          <w:rFonts w:hint="eastAsia" w:ascii="宋体" w:hAnsi="宋体"/>
          <w:sz w:val="24"/>
        </w:rPr>
        <w:t>7.7</w:t>
      </w:r>
      <w:r>
        <w:rPr>
          <w:rFonts w:ascii="宋体" w:hAnsi="宋体"/>
          <w:sz w:val="24"/>
        </w:rPr>
        <w:t>磋商结束后，磋商小组应当要求所有实质性响应的供应商在规定时间内提交最后报价，经磋商确定最终采购需求和提交最后报价的供应商后，由磋商小组采用综合评分法对提交最后报价的供应商的响应文件和最后报价进行综合评分。</w:t>
      </w:r>
    </w:p>
    <w:p>
      <w:pPr>
        <w:spacing w:line="360" w:lineRule="auto"/>
        <w:rPr>
          <w:rFonts w:ascii="宋体" w:hAnsi="宋体"/>
          <w:sz w:val="24"/>
        </w:rPr>
      </w:pPr>
      <w:r>
        <w:rPr>
          <w:rFonts w:hint="eastAsia" w:ascii="宋体" w:hAnsi="宋体"/>
          <w:sz w:val="24"/>
        </w:rPr>
        <w:t>7.8已提交响应文件的供应商，在提交最后报价之前，可以根据磋商情况退出磋商。采购人、采购代理机构应当退还退出磋商的供应商的保证金。</w:t>
      </w:r>
    </w:p>
    <w:p>
      <w:pPr>
        <w:spacing w:line="360" w:lineRule="auto"/>
        <w:rPr>
          <w:rFonts w:ascii="宋体" w:hAnsi="宋体"/>
          <w:b/>
          <w:sz w:val="24"/>
        </w:rPr>
      </w:pPr>
      <w:bookmarkStart w:id="358" w:name="_Toc13877"/>
      <w:r>
        <w:rPr>
          <w:rFonts w:hint="eastAsia" w:ascii="宋体" w:hAnsi="宋体"/>
          <w:b/>
          <w:sz w:val="24"/>
        </w:rPr>
        <w:t>8、磋商响应文件的详细评审</w:t>
      </w:r>
      <w:bookmarkEnd w:id="358"/>
    </w:p>
    <w:p>
      <w:pPr>
        <w:spacing w:line="360" w:lineRule="auto"/>
        <w:rPr>
          <w:rFonts w:ascii="宋体" w:hAnsi="宋体"/>
          <w:sz w:val="24"/>
        </w:rPr>
      </w:pPr>
      <w:r>
        <w:rPr>
          <w:rFonts w:hint="eastAsia" w:ascii="宋体" w:hAnsi="宋体"/>
          <w:sz w:val="24"/>
        </w:rPr>
        <w:t>8.1磋商小组将只对确定为实质上响应采购文件要求的磋商进行详细磋商。</w:t>
      </w:r>
    </w:p>
    <w:p>
      <w:pPr>
        <w:spacing w:line="360" w:lineRule="auto"/>
        <w:rPr>
          <w:rFonts w:ascii="宋体" w:hAnsi="宋体"/>
          <w:sz w:val="24"/>
        </w:rPr>
      </w:pPr>
      <w:r>
        <w:rPr>
          <w:rFonts w:hint="eastAsia" w:ascii="宋体" w:hAnsi="宋体"/>
          <w:sz w:val="24"/>
        </w:rPr>
        <w:t>8.2</w:t>
      </w:r>
      <w:r>
        <w:rPr>
          <w:rFonts w:ascii="宋体" w:hAnsi="宋体"/>
          <w:sz w:val="24"/>
        </w:rPr>
        <w:t>综合评分法</w:t>
      </w:r>
      <w:r>
        <w:rPr>
          <w:rFonts w:hint="eastAsia" w:ascii="宋体" w:hAnsi="宋体"/>
          <w:sz w:val="24"/>
        </w:rPr>
        <w:t>：</w:t>
      </w:r>
    </w:p>
    <w:p>
      <w:pPr>
        <w:pStyle w:val="4"/>
        <w:rPr>
          <w:rFonts w:ascii="宋体" w:hAnsi="宋体" w:eastAsia="宋体"/>
          <w:sz w:val="28"/>
        </w:rPr>
      </w:pPr>
      <w:bookmarkStart w:id="359" w:name="_Toc125"/>
      <w:bookmarkStart w:id="360" w:name="_Toc32000"/>
      <w:r>
        <w:rPr>
          <w:rFonts w:hint="eastAsia" w:ascii="宋体" w:hAnsi="宋体" w:eastAsia="宋体"/>
          <w:sz w:val="28"/>
        </w:rPr>
        <w:t>四、评标过程的保密性</w:t>
      </w:r>
      <w:bookmarkEnd w:id="349"/>
      <w:bookmarkEnd w:id="359"/>
      <w:bookmarkEnd w:id="360"/>
    </w:p>
    <w:p>
      <w:pPr>
        <w:spacing w:line="360" w:lineRule="auto"/>
        <w:ind w:firstLine="480" w:firstLineChars="200"/>
        <w:jc w:val="left"/>
        <w:rPr>
          <w:rFonts w:ascii="宋体" w:hAnsi="宋体"/>
          <w:sz w:val="24"/>
        </w:rPr>
      </w:pPr>
      <w:r>
        <w:rPr>
          <w:rFonts w:hint="eastAsia" w:ascii="宋体" w:hAnsi="宋体"/>
          <w:sz w:val="24"/>
        </w:rPr>
        <w:t>1.开标后，至到向中标供应商授予合同时止，凡与审查、澄清、评价和比较投标的有关资料以及授标意见等，均不得向供应商及与评标无关的其他人透露。</w:t>
      </w:r>
    </w:p>
    <w:p>
      <w:pPr>
        <w:spacing w:line="360" w:lineRule="auto"/>
        <w:ind w:firstLine="480" w:firstLineChars="200"/>
        <w:jc w:val="left"/>
        <w:rPr>
          <w:rFonts w:ascii="宋体" w:hAnsi="宋体"/>
          <w:sz w:val="24"/>
        </w:rPr>
      </w:pPr>
      <w:r>
        <w:rPr>
          <w:rFonts w:hint="eastAsia" w:ascii="宋体" w:hAnsi="宋体"/>
          <w:sz w:val="24"/>
        </w:rPr>
        <w:t>2.在评标过程中，如果供应商试图在磋商响应文件审查、澄清、比较及授予合同方面向采购人施加任何影响，其投标将被拒绝。</w:t>
      </w:r>
    </w:p>
    <w:p>
      <w:pPr>
        <w:spacing w:line="360" w:lineRule="auto"/>
        <w:ind w:firstLine="480" w:firstLineChars="200"/>
        <w:jc w:val="left"/>
        <w:rPr>
          <w:rFonts w:ascii="宋体" w:hAnsi="宋体"/>
          <w:sz w:val="24"/>
        </w:rPr>
      </w:pPr>
      <w:r>
        <w:rPr>
          <w:rFonts w:hint="eastAsia" w:ascii="宋体" w:hAnsi="宋体"/>
          <w:sz w:val="24"/>
        </w:rPr>
        <w:t>3.评标人员严格遵守国家的有关保密法律、法规的规定，严格自律，同时接受有关部门的监督、审查。</w:t>
      </w:r>
    </w:p>
    <w:p>
      <w:pPr>
        <w:pStyle w:val="4"/>
        <w:rPr>
          <w:rFonts w:ascii="宋体" w:hAnsi="宋体" w:eastAsia="宋体"/>
          <w:sz w:val="28"/>
        </w:rPr>
      </w:pPr>
      <w:bookmarkStart w:id="361" w:name="_Toc31742"/>
      <w:bookmarkStart w:id="362" w:name="_Toc440618828"/>
      <w:bookmarkStart w:id="363" w:name="_Toc390084399"/>
      <w:bookmarkStart w:id="364" w:name="_Toc390084939"/>
      <w:bookmarkStart w:id="365" w:name="_Toc389731544"/>
      <w:bookmarkStart w:id="366" w:name="_Toc440010911"/>
      <w:bookmarkStart w:id="367" w:name="_Toc457219474"/>
      <w:bookmarkStart w:id="368" w:name="_Toc8632"/>
      <w:bookmarkStart w:id="369" w:name="_Toc390084875"/>
      <w:bookmarkStart w:id="370" w:name="_Toc443313567"/>
      <w:bookmarkStart w:id="371" w:name="_Toc440062316"/>
      <w:bookmarkStart w:id="372" w:name="_Toc440006363"/>
      <w:bookmarkStart w:id="373" w:name="_Toc476758967"/>
      <w:bookmarkStart w:id="374" w:name="_Toc390078433"/>
      <w:bookmarkStart w:id="375" w:name="_Toc443313416"/>
      <w:r>
        <w:rPr>
          <w:rFonts w:hint="eastAsia" w:ascii="宋体" w:hAnsi="宋体" w:eastAsia="宋体"/>
          <w:sz w:val="28"/>
        </w:rPr>
        <w:t>五、定标方法</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p>
    <w:p>
      <w:pPr>
        <w:spacing w:line="360" w:lineRule="auto"/>
        <w:ind w:firstLine="480" w:firstLineChars="200"/>
        <w:rPr>
          <w:rFonts w:ascii="宋体" w:hAnsi="宋体"/>
          <w:sz w:val="24"/>
        </w:rPr>
      </w:pPr>
      <w:r>
        <w:rPr>
          <w:rFonts w:hint="eastAsia" w:ascii="宋体" w:hAnsi="宋体"/>
          <w:sz w:val="24"/>
        </w:rPr>
        <w:t>1.磋商小组以开标、评标情况为基本依据，对符合条件的《磋商响应文件》及供应商进行综合评审打分，总分值设定为</w:t>
      </w:r>
      <w:r>
        <w:rPr>
          <w:rFonts w:hint="eastAsia" w:ascii="宋体" w:hAnsi="宋体"/>
          <w:b/>
          <w:sz w:val="24"/>
        </w:rPr>
        <w:t>100</w:t>
      </w:r>
      <w:r>
        <w:rPr>
          <w:rFonts w:hint="eastAsia" w:ascii="宋体" w:hAnsi="宋体"/>
          <w:sz w:val="24"/>
        </w:rPr>
        <w:t>分。</w:t>
      </w:r>
    </w:p>
    <w:p>
      <w:pPr>
        <w:spacing w:line="360" w:lineRule="auto"/>
        <w:ind w:firstLine="480" w:firstLineChars="200"/>
        <w:rPr>
          <w:rFonts w:ascii="宋体" w:hAnsi="宋体"/>
          <w:sz w:val="24"/>
        </w:rPr>
      </w:pPr>
      <w:r>
        <w:rPr>
          <w:rFonts w:hint="eastAsia" w:ascii="宋体" w:hAnsi="宋体"/>
          <w:sz w:val="24"/>
        </w:rPr>
        <w:t>2.本项目采用“综合评分法”定标，即指在最大限度地满足磋商文件实质性要求前提下，按照磋商文件中规定的各项因素进行综合评审后，按照评标总得分由高到低进行排名顺序确定中标供应商，本项目不保证最低价中标。</w:t>
      </w:r>
    </w:p>
    <w:p>
      <w:pPr>
        <w:pStyle w:val="4"/>
        <w:rPr>
          <w:rFonts w:ascii="宋体" w:hAnsi="宋体" w:eastAsia="宋体"/>
          <w:kern w:val="44"/>
          <w:sz w:val="28"/>
        </w:rPr>
      </w:pPr>
      <w:bookmarkStart w:id="376" w:name="_Toc476758968"/>
      <w:bookmarkStart w:id="377" w:name="_Toc12851"/>
      <w:bookmarkStart w:id="378" w:name="_Toc26789"/>
      <w:r>
        <w:rPr>
          <w:rFonts w:hint="eastAsia" w:ascii="宋体" w:hAnsi="宋体" w:eastAsia="宋体"/>
          <w:sz w:val="28"/>
        </w:rPr>
        <w:t>六、评标程序及标准</w:t>
      </w:r>
      <w:r>
        <w:rPr>
          <w:rFonts w:hint="eastAsia" w:ascii="宋体" w:hAnsi="宋体" w:eastAsia="宋体"/>
          <w:kern w:val="44"/>
          <w:sz w:val="28"/>
        </w:rPr>
        <w:t>（综合评分法）</w:t>
      </w:r>
      <w:bookmarkEnd w:id="376"/>
      <w:bookmarkEnd w:id="377"/>
      <w:bookmarkEnd w:id="378"/>
    </w:p>
    <w:p>
      <w:pPr>
        <w:spacing w:line="360" w:lineRule="auto"/>
        <w:ind w:firstLine="482" w:firstLineChars="200"/>
        <w:jc w:val="left"/>
        <w:rPr>
          <w:rFonts w:ascii="宋体" w:hAnsi="宋体" w:cs="Arial"/>
          <w:b/>
          <w:sz w:val="24"/>
        </w:rPr>
      </w:pPr>
      <w:r>
        <w:rPr>
          <w:rFonts w:hint="eastAsia" w:ascii="宋体" w:hAnsi="宋体" w:cs="Arial"/>
          <w:b/>
          <w:sz w:val="24"/>
        </w:rPr>
        <w:t>1.评标准备工作</w:t>
      </w:r>
    </w:p>
    <w:p>
      <w:pPr>
        <w:spacing w:line="360" w:lineRule="auto"/>
        <w:ind w:firstLine="480" w:firstLineChars="200"/>
        <w:jc w:val="left"/>
        <w:rPr>
          <w:rFonts w:ascii="宋体" w:hAnsi="宋体" w:cs="Arial"/>
          <w:sz w:val="24"/>
        </w:rPr>
      </w:pPr>
      <w:r>
        <w:rPr>
          <w:rFonts w:hint="eastAsia" w:ascii="宋体" w:hAnsi="宋体" w:cs="Arial"/>
          <w:sz w:val="24"/>
        </w:rPr>
        <w:t>磋商小组成员应当认真阅读磋商文件，全面正确地理解和掌握以下内容：</w:t>
      </w:r>
    </w:p>
    <w:p>
      <w:pPr>
        <w:spacing w:line="360" w:lineRule="auto"/>
        <w:ind w:firstLine="480" w:firstLineChars="200"/>
        <w:jc w:val="left"/>
        <w:rPr>
          <w:rFonts w:ascii="宋体" w:hAnsi="宋体" w:cs="Arial"/>
          <w:sz w:val="24"/>
        </w:rPr>
      </w:pPr>
      <w:r>
        <w:rPr>
          <w:rFonts w:hint="eastAsia" w:ascii="宋体" w:hAnsi="宋体" w:cs="Arial"/>
          <w:sz w:val="24"/>
        </w:rPr>
        <w:t>①招标的目的；</w:t>
      </w:r>
    </w:p>
    <w:p>
      <w:pPr>
        <w:spacing w:line="360" w:lineRule="auto"/>
        <w:ind w:firstLine="480" w:firstLineChars="200"/>
        <w:jc w:val="left"/>
        <w:rPr>
          <w:rFonts w:ascii="宋体" w:hAnsi="宋体" w:cs="Arial"/>
          <w:sz w:val="24"/>
        </w:rPr>
      </w:pPr>
      <w:r>
        <w:rPr>
          <w:rFonts w:hint="eastAsia" w:ascii="宋体" w:hAnsi="宋体" w:cs="Arial"/>
          <w:sz w:val="24"/>
        </w:rPr>
        <w:t>②招标的范围和性质；</w:t>
      </w:r>
    </w:p>
    <w:p>
      <w:pPr>
        <w:spacing w:line="360" w:lineRule="auto"/>
        <w:ind w:firstLine="480" w:firstLineChars="200"/>
        <w:jc w:val="left"/>
        <w:rPr>
          <w:rFonts w:ascii="宋体" w:hAnsi="宋体" w:cs="Arial"/>
          <w:sz w:val="24"/>
        </w:rPr>
      </w:pPr>
      <w:r>
        <w:rPr>
          <w:rFonts w:hint="eastAsia" w:ascii="宋体" w:hAnsi="宋体" w:cs="Arial"/>
          <w:sz w:val="24"/>
        </w:rPr>
        <w:t>③磋商文件的主要商务、技术条款要求；</w:t>
      </w:r>
    </w:p>
    <w:p>
      <w:pPr>
        <w:spacing w:line="360" w:lineRule="auto"/>
        <w:ind w:firstLine="480" w:firstLineChars="200"/>
        <w:jc w:val="left"/>
        <w:rPr>
          <w:rFonts w:ascii="宋体" w:hAnsi="宋体" w:cs="Arial"/>
          <w:sz w:val="24"/>
        </w:rPr>
      </w:pPr>
      <w:r>
        <w:rPr>
          <w:rFonts w:hint="eastAsia" w:ascii="宋体" w:hAnsi="宋体" w:cs="Arial"/>
          <w:sz w:val="24"/>
        </w:rPr>
        <w:t>④磋商文件规定的评标标准、评标方法和在评标过程中要考虑的因素。</w:t>
      </w:r>
    </w:p>
    <w:p>
      <w:pPr>
        <w:adjustRightInd w:val="0"/>
        <w:snapToGrid w:val="0"/>
        <w:spacing w:line="360" w:lineRule="auto"/>
        <w:ind w:firstLine="482" w:firstLineChars="200"/>
        <w:jc w:val="left"/>
        <w:rPr>
          <w:rFonts w:ascii="宋体" w:hAnsi="宋体"/>
          <w:sz w:val="24"/>
        </w:rPr>
      </w:pPr>
      <w:r>
        <w:rPr>
          <w:rFonts w:hint="eastAsia" w:ascii="宋体" w:hAnsi="宋体"/>
          <w:b/>
          <w:sz w:val="24"/>
        </w:rPr>
        <w:t>2.评审（资格后审）</w:t>
      </w:r>
      <w:r>
        <w:rPr>
          <w:rFonts w:hint="eastAsia" w:ascii="宋体" w:hAnsi="宋体"/>
          <w:sz w:val="24"/>
        </w:rPr>
        <w:t>：</w:t>
      </w:r>
    </w:p>
    <w:p>
      <w:pPr>
        <w:adjustRightInd w:val="0"/>
        <w:snapToGrid w:val="0"/>
        <w:spacing w:line="360" w:lineRule="auto"/>
        <w:ind w:firstLine="482" w:firstLineChars="200"/>
        <w:rPr>
          <w:rFonts w:ascii="宋体" w:hAnsi="宋体"/>
          <w:sz w:val="24"/>
        </w:rPr>
      </w:pPr>
      <w:r>
        <w:rPr>
          <w:rFonts w:hint="eastAsia" w:ascii="宋体" w:hAnsi="宋体"/>
          <w:b/>
          <w:sz w:val="24"/>
        </w:rPr>
        <w:t>2.1资格性审查：</w:t>
      </w:r>
      <w:r>
        <w:rPr>
          <w:rFonts w:hint="eastAsia" w:ascii="宋体" w:hAnsi="宋体"/>
          <w:sz w:val="24"/>
        </w:rPr>
        <w:t>依据法律法规和《磋商文件》的规定，对《磋商响应文件》中的资格证明、投标保证金等进行审查，以确定供应商是否具备投标资格。</w:t>
      </w:r>
    </w:p>
    <w:p>
      <w:pPr>
        <w:adjustRightInd w:val="0"/>
        <w:snapToGrid w:val="0"/>
        <w:spacing w:line="360" w:lineRule="auto"/>
        <w:ind w:firstLine="480" w:firstLineChars="200"/>
        <w:rPr>
          <w:rFonts w:ascii="宋体" w:hAnsi="宋体"/>
          <w:sz w:val="24"/>
        </w:rPr>
      </w:pPr>
      <w:r>
        <w:rPr>
          <w:rFonts w:hint="eastAsia" w:ascii="宋体" w:hAnsi="宋体"/>
          <w:sz w:val="24"/>
        </w:rPr>
        <w:t>资格性审查有一项不符合的，由磋商小组按无效投标处理。</w:t>
      </w:r>
    </w:p>
    <w:p>
      <w:pPr>
        <w:adjustRightInd w:val="0"/>
        <w:snapToGrid w:val="0"/>
        <w:spacing w:line="360" w:lineRule="auto"/>
        <w:ind w:firstLine="562" w:firstLineChars="200"/>
        <w:rPr>
          <w:rFonts w:ascii="宋体" w:hAnsi="宋体"/>
          <w:b/>
          <w:bCs/>
          <w:sz w:val="28"/>
          <w:szCs w:val="28"/>
        </w:rPr>
      </w:pPr>
      <w:r>
        <w:rPr>
          <w:rFonts w:hint="eastAsia" w:ascii="宋体" w:hAnsi="宋体"/>
          <w:b/>
          <w:bCs/>
          <w:sz w:val="28"/>
          <w:szCs w:val="28"/>
        </w:rPr>
        <w:t>资格性审查表：</w:t>
      </w:r>
    </w:p>
    <w:tbl>
      <w:tblPr>
        <w:tblStyle w:val="1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10"/>
        <w:gridCol w:w="85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6" w:hRule="atLeast"/>
          <w:jc w:val="center"/>
        </w:trPr>
        <w:tc>
          <w:tcPr>
            <w:tcW w:w="0" w:type="auto"/>
            <w:vAlign w:val="center"/>
          </w:tcPr>
          <w:p>
            <w:pPr>
              <w:spacing w:line="280" w:lineRule="exact"/>
              <w:jc w:val="both"/>
              <w:rPr>
                <w:rFonts w:ascii="宋体" w:hAnsi="宋体" w:cs="仿宋_GB2312"/>
                <w:kern w:val="0"/>
                <w:sz w:val="24"/>
              </w:rPr>
            </w:pPr>
            <w:r>
              <w:rPr>
                <w:rFonts w:hint="eastAsia" w:ascii="宋体" w:hAnsi="宋体" w:cs="仿宋_GB2312"/>
                <w:kern w:val="0"/>
                <w:sz w:val="24"/>
              </w:rPr>
              <w:t>评审内容</w:t>
            </w:r>
          </w:p>
        </w:tc>
        <w:tc>
          <w:tcPr>
            <w:tcW w:w="0" w:type="auto"/>
            <w:vAlign w:val="center"/>
          </w:tcPr>
          <w:p>
            <w:pPr>
              <w:spacing w:line="280" w:lineRule="exact"/>
              <w:jc w:val="both"/>
              <w:rPr>
                <w:rFonts w:ascii="宋体" w:hAnsi="宋体" w:cs="仿宋_GB2312"/>
                <w:kern w:val="0"/>
                <w:sz w:val="24"/>
              </w:rPr>
            </w:pPr>
            <w:r>
              <w:rPr>
                <w:rFonts w:hint="eastAsia" w:ascii="宋体" w:hAnsi="宋体" w:cs="仿宋_GB2312"/>
                <w:kern w:val="0"/>
                <w:sz w:val="24"/>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exact"/>
          <w:jc w:val="center"/>
        </w:trPr>
        <w:tc>
          <w:tcPr>
            <w:tcW w:w="0" w:type="auto"/>
            <w:vMerge w:val="restart"/>
            <w:vAlign w:val="center"/>
          </w:tcPr>
          <w:p>
            <w:pPr>
              <w:spacing w:line="280" w:lineRule="exact"/>
              <w:jc w:val="both"/>
              <w:rPr>
                <w:rFonts w:ascii="宋体" w:hAnsi="宋体" w:cs="仿宋_GB2312"/>
                <w:kern w:val="0"/>
                <w:sz w:val="24"/>
              </w:rPr>
            </w:pPr>
            <w:r>
              <w:rPr>
                <w:rFonts w:hint="eastAsia" w:ascii="宋体" w:hAnsi="宋体" w:cs="仿宋_GB2312"/>
                <w:kern w:val="0"/>
                <w:sz w:val="24"/>
              </w:rPr>
              <w:t>资格性检查</w:t>
            </w:r>
          </w:p>
        </w:tc>
        <w:tc>
          <w:tcPr>
            <w:tcW w:w="0" w:type="auto"/>
            <w:vAlign w:val="center"/>
          </w:tcPr>
          <w:p>
            <w:pPr>
              <w:spacing w:line="276" w:lineRule="auto"/>
              <w:jc w:val="both"/>
              <w:textAlignment w:val="baseline"/>
              <w:rPr>
                <w:rFonts w:ascii="宋体" w:hAnsi="宋体" w:cs="仿宋_GB2312"/>
                <w:kern w:val="0"/>
                <w:sz w:val="24"/>
              </w:rPr>
            </w:pPr>
            <w:r>
              <w:rPr>
                <w:rFonts w:hint="eastAsia" w:ascii="宋体" w:hAnsi="宋体"/>
                <w:bCs/>
                <w:sz w:val="24"/>
              </w:rPr>
              <w:t>（1）具有有效经年检的三证合一营业执照；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9" w:hRule="exac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ascii="宋体" w:hAnsi="宋体" w:cs="仿宋_GB2312"/>
                <w:kern w:val="0"/>
                <w:sz w:val="24"/>
              </w:rPr>
            </w:pPr>
            <w:r>
              <w:rPr>
                <w:rFonts w:hint="eastAsia" w:ascii="宋体" w:hAnsi="宋体"/>
                <w:bCs/>
                <w:sz w:val="24"/>
              </w:rPr>
              <w:t>（2）具有近三年的财务审计报告或公司成立不足一年提供财务报表；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9"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rPr>
              <w:t>（3）具有履行合同所必需的设备和专业技术能力的承诺书；</w:t>
            </w:r>
          </w:p>
          <w:p>
            <w:pPr>
              <w:spacing w:line="276" w:lineRule="auto"/>
              <w:jc w:val="both"/>
              <w:textAlignment w:val="baseline"/>
              <w:rPr>
                <w:rFonts w:ascii="宋体" w:hAnsi="宋体"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rPr>
              <w:t>（4）提供企业完税证明和盖有社保局公章的社保缴纳证明（含本项目投入人员的社保明细）；</w:t>
            </w:r>
          </w:p>
          <w:p>
            <w:pPr>
              <w:spacing w:line="276" w:lineRule="auto"/>
              <w:jc w:val="both"/>
              <w:textAlignment w:val="baseline"/>
              <w:rPr>
                <w:rFonts w:ascii="宋体" w:hAnsi="宋体"/>
                <w:bCs/>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rPr>
              <w:t>（5）参加政府采购活动前三年内，在经营活动中没有重大违法记录（自行承诺，提供承诺函原件）</w:t>
            </w:r>
          </w:p>
          <w:p>
            <w:pPr>
              <w:spacing w:line="276" w:lineRule="auto"/>
              <w:jc w:val="both"/>
              <w:textAlignment w:val="baseline"/>
              <w:rPr>
                <w:rFonts w:ascii="宋体" w:hAnsi="宋体"/>
                <w:bCs/>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rPr>
              <w:t>（6）法定代表人需提供法定代表人身份证明及身份证复印件，授权委托人的需提供附有法定代表人身份证明的授权委托书及被委托人身份证复印件；</w:t>
            </w:r>
          </w:p>
          <w:p>
            <w:pPr>
              <w:spacing w:line="276" w:lineRule="auto"/>
              <w:jc w:val="both"/>
              <w:textAlignment w:val="baseline"/>
              <w:rPr>
                <w:rFonts w:hint="eastAsia" w:ascii="宋体" w:hAnsi="宋体"/>
                <w:bCs/>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rPr>
              <w:t>（7）未被“信用中国”（www.creditchina.gov.cn）、中国政府采购网（www.ccgp.gov.cn）列入失信被执行人、重大税收违法案件当事人名单、政府采购严重违法失信行为记录名单的﹙将拒绝参与本项目﹚；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jc w:val="center"/>
        </w:trPr>
        <w:tc>
          <w:tcPr>
            <w:tcW w:w="0" w:type="auto"/>
            <w:vMerge w:val="continue"/>
            <w:vAlign w:val="center"/>
          </w:tcPr>
          <w:p>
            <w:pPr>
              <w:spacing w:line="280" w:lineRule="exact"/>
              <w:jc w:val="both"/>
              <w:rPr>
                <w:rFonts w:ascii="宋体" w:hAnsi="宋体" w:cs="仿宋_GB2312"/>
                <w:kern w:val="0"/>
                <w:sz w:val="24"/>
              </w:rPr>
            </w:pPr>
          </w:p>
        </w:tc>
        <w:tc>
          <w:tcPr>
            <w:tcW w:w="0" w:type="auto"/>
            <w:vAlign w:val="center"/>
          </w:tcPr>
          <w:p>
            <w:pPr>
              <w:spacing w:line="276" w:lineRule="auto"/>
              <w:jc w:val="both"/>
              <w:textAlignment w:val="baseline"/>
              <w:rPr>
                <w:rFonts w:hint="eastAsia" w:ascii="宋体" w:hAnsi="宋体"/>
                <w:bCs/>
                <w:sz w:val="24"/>
              </w:rPr>
            </w:pPr>
            <w:r>
              <w:rPr>
                <w:rFonts w:hint="eastAsia" w:ascii="宋体" w:hAnsi="宋体"/>
                <w:bCs/>
                <w:sz w:val="24"/>
                <w:lang w:eastAsia="zh-CN"/>
              </w:rPr>
              <w:t>（</w:t>
            </w:r>
            <w:r>
              <w:rPr>
                <w:rFonts w:hint="eastAsia" w:ascii="宋体" w:hAnsi="宋体"/>
                <w:bCs/>
                <w:sz w:val="24"/>
                <w:lang w:val="en-US" w:eastAsia="zh-CN"/>
              </w:rPr>
              <w:t>8</w:t>
            </w:r>
            <w:r>
              <w:rPr>
                <w:rFonts w:hint="eastAsia" w:ascii="宋体" w:hAnsi="宋体"/>
                <w:bCs/>
                <w:sz w:val="24"/>
                <w:lang w:eastAsia="zh-CN"/>
              </w:rPr>
              <w:t>）</w:t>
            </w:r>
            <w:r>
              <w:rPr>
                <w:rFonts w:hint="eastAsia" w:ascii="宋体" w:hAnsi="宋体"/>
                <w:bCs/>
                <w:sz w:val="24"/>
              </w:rPr>
              <w:t>《中小企业声明函》或《残疾人福利性单位声明函》或《监 狱企业声明函》</w:t>
            </w:r>
          </w:p>
        </w:tc>
      </w:tr>
    </w:tbl>
    <w:p>
      <w:pPr>
        <w:adjustRightInd w:val="0"/>
        <w:snapToGrid w:val="0"/>
        <w:spacing w:before="240" w:line="360" w:lineRule="auto"/>
        <w:ind w:firstLine="482" w:firstLineChars="200"/>
        <w:rPr>
          <w:rFonts w:ascii="宋体" w:hAnsi="宋体"/>
          <w:sz w:val="24"/>
        </w:rPr>
      </w:pPr>
      <w:r>
        <w:rPr>
          <w:rFonts w:hint="eastAsia" w:ascii="宋体" w:hAnsi="宋体"/>
          <w:b/>
          <w:sz w:val="24"/>
        </w:rPr>
        <w:t>2.2符合性审查：</w:t>
      </w:r>
      <w:r>
        <w:rPr>
          <w:rFonts w:hint="eastAsia" w:ascii="宋体" w:hAnsi="宋体"/>
          <w:sz w:val="24"/>
        </w:rPr>
        <w:t>依据《磋商文件》的规定，从《磋商响应文件》的有效性、完整性和对《磋商文件》的响应程度进行审查，以确定是否对《磋商文件》的实质性要求做出响应。</w:t>
      </w:r>
    </w:p>
    <w:p>
      <w:pPr>
        <w:adjustRightInd w:val="0"/>
        <w:snapToGrid w:val="0"/>
        <w:spacing w:line="360" w:lineRule="auto"/>
        <w:ind w:firstLine="480" w:firstLineChars="200"/>
        <w:rPr>
          <w:rFonts w:ascii="宋体" w:hAnsi="宋体"/>
          <w:sz w:val="24"/>
        </w:rPr>
      </w:pPr>
      <w:r>
        <w:rPr>
          <w:rFonts w:hint="eastAsia" w:ascii="宋体" w:hAnsi="宋体"/>
          <w:sz w:val="24"/>
        </w:rPr>
        <w:t>符合性审查时有下列情形之一的，由磋商小组按无效《磋商响应文件》处理：</w:t>
      </w:r>
    </w:p>
    <w:p>
      <w:pPr>
        <w:numPr>
          <w:ilvl w:val="0"/>
          <w:numId w:val="6"/>
        </w:numPr>
        <w:adjustRightInd w:val="0"/>
        <w:snapToGrid w:val="0"/>
        <w:spacing w:line="360" w:lineRule="auto"/>
        <w:rPr>
          <w:rFonts w:ascii="宋体" w:hAnsi="宋体"/>
          <w:sz w:val="24"/>
        </w:rPr>
      </w:pPr>
      <w:r>
        <w:rPr>
          <w:rFonts w:hint="eastAsia" w:ascii="宋体" w:hAnsi="宋体"/>
          <w:sz w:val="24"/>
        </w:rPr>
        <w:t>《磋商文件》中要求的法人代表或被授权代表签字处未签字、投标单位未加盖公章的；</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《磋商响应文件》中更改之处未加盖公章的，填写潦草，字迹或数据难以辨认的；</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《磋商响应文件》不按照《磋商文件》制作和密封投标文件的；</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《磋商响应文件》未按照《磋商文件》规定要求签署、盖章的；</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《磋商响应文件》清单项不完整，填写漏项，无法确认供应商责任或投标意向的；</w:t>
      </w:r>
    </w:p>
    <w:p>
      <w:pPr>
        <w:numPr>
          <w:ilvl w:val="0"/>
          <w:numId w:val="6"/>
        </w:numPr>
        <w:adjustRightInd w:val="0"/>
        <w:snapToGrid w:val="0"/>
        <w:spacing w:line="360" w:lineRule="auto"/>
        <w:rPr>
          <w:rFonts w:ascii="宋体" w:hAnsi="宋体"/>
          <w:sz w:val="24"/>
        </w:rPr>
      </w:pPr>
      <w:r>
        <w:rPr>
          <w:rFonts w:hint="eastAsia" w:ascii="宋体" w:hAnsi="宋体"/>
          <w:sz w:val="24"/>
        </w:rPr>
        <w:t xml:space="preserve">《磋商响应文件》内容不真实，提供虚假证明文件、虚假技术参数的； </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《磋商响应文件》附有采购人不能接受的条件；</w:t>
      </w:r>
    </w:p>
    <w:p>
      <w:pPr>
        <w:numPr>
          <w:ilvl w:val="0"/>
          <w:numId w:val="6"/>
        </w:numPr>
        <w:adjustRightInd w:val="0"/>
        <w:snapToGrid w:val="0"/>
        <w:spacing w:line="360" w:lineRule="auto"/>
        <w:rPr>
          <w:rFonts w:ascii="宋体" w:hAnsi="宋体"/>
          <w:sz w:val="24"/>
        </w:rPr>
      </w:pPr>
      <w:r>
        <w:rPr>
          <w:rFonts w:hint="eastAsia" w:ascii="宋体" w:hAnsi="宋体"/>
          <w:sz w:val="24"/>
        </w:rPr>
        <w:t>《磋商响应文件》不满足采购人技术参数要求或严重偏离的；</w:t>
      </w:r>
    </w:p>
    <w:p>
      <w:pPr>
        <w:numPr>
          <w:ilvl w:val="0"/>
          <w:numId w:val="6"/>
        </w:numPr>
        <w:adjustRightInd w:val="0"/>
        <w:snapToGrid w:val="0"/>
        <w:spacing w:line="360" w:lineRule="auto"/>
        <w:rPr>
          <w:rFonts w:ascii="宋体" w:hAnsi="宋体"/>
          <w:sz w:val="24"/>
        </w:rPr>
      </w:pPr>
      <w:r>
        <w:rPr>
          <w:rFonts w:hint="eastAsia" w:ascii="宋体" w:hAnsi="宋体"/>
          <w:sz w:val="24"/>
        </w:rPr>
        <w:t>投标人有不良记录的；</w:t>
      </w:r>
    </w:p>
    <w:p>
      <w:pPr>
        <w:numPr>
          <w:ilvl w:val="0"/>
          <w:numId w:val="6"/>
        </w:numPr>
        <w:adjustRightInd w:val="0"/>
        <w:snapToGrid w:val="0"/>
        <w:spacing w:line="360" w:lineRule="auto"/>
      </w:pPr>
      <w:r>
        <w:rPr>
          <w:rFonts w:hint="eastAsia" w:ascii="宋体" w:hAnsi="宋体"/>
          <w:sz w:val="24"/>
        </w:rPr>
        <w:t>不符合法律、法规和《磋商文件》中规定的其他实质性要求的。</w:t>
      </w:r>
    </w:p>
    <w:p>
      <w:pPr>
        <w:adjustRightInd w:val="0"/>
        <w:snapToGrid w:val="0"/>
        <w:spacing w:line="360" w:lineRule="auto"/>
        <w:ind w:firstLine="480" w:firstLineChars="200"/>
        <w:rPr>
          <w:rFonts w:ascii="宋体" w:hAnsi="宋体"/>
          <w:sz w:val="24"/>
        </w:rPr>
      </w:pPr>
      <w:r>
        <w:rPr>
          <w:rFonts w:hint="eastAsia" w:ascii="宋体" w:hAnsi="宋体"/>
          <w:sz w:val="24"/>
        </w:rPr>
        <w:t>1.3实质上没有响应《磋商文件》要求的《磋商响应文件》将被拒绝。</w:t>
      </w:r>
    </w:p>
    <w:p>
      <w:pPr>
        <w:adjustRightInd w:val="0"/>
        <w:snapToGrid w:val="0"/>
        <w:spacing w:line="360" w:lineRule="auto"/>
        <w:ind w:firstLine="480" w:firstLineChars="200"/>
        <w:rPr>
          <w:rFonts w:ascii="宋体" w:hAnsi="宋体"/>
          <w:sz w:val="24"/>
        </w:rPr>
      </w:pPr>
      <w:r>
        <w:rPr>
          <w:rFonts w:hint="eastAsia" w:ascii="宋体" w:hAnsi="宋体"/>
          <w:sz w:val="24"/>
        </w:rPr>
        <w:t>1.4供应商不得通过修正或撤消不符合要求的偏离或保留从而使其《磋商响应文件》成为实质上响应的《磋商响应文件》。</w:t>
      </w:r>
    </w:p>
    <w:p>
      <w:pPr>
        <w:adjustRightInd w:val="0"/>
        <w:snapToGrid w:val="0"/>
        <w:spacing w:line="360" w:lineRule="auto"/>
        <w:ind w:firstLine="480" w:firstLineChars="200"/>
        <w:rPr>
          <w:rFonts w:ascii="宋体" w:hAnsi="宋体"/>
          <w:sz w:val="24"/>
        </w:rPr>
      </w:pPr>
      <w:r>
        <w:rPr>
          <w:rFonts w:hint="eastAsia" w:ascii="宋体" w:hAnsi="宋体"/>
          <w:sz w:val="24"/>
        </w:rPr>
        <w:t>符合性审查表：</w:t>
      </w:r>
    </w:p>
    <w:tbl>
      <w:tblPr>
        <w:tblStyle w:val="19"/>
        <w:tblW w:w="961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2"/>
        <w:gridCol w:w="78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trPr>
        <w:tc>
          <w:tcPr>
            <w:tcW w:w="1802" w:type="dxa"/>
            <w:vAlign w:val="center"/>
          </w:tcPr>
          <w:p>
            <w:pPr>
              <w:spacing w:line="280" w:lineRule="exact"/>
              <w:jc w:val="center"/>
              <w:rPr>
                <w:rFonts w:ascii="宋体" w:hAnsi="宋体" w:cs="仿宋_GB2312"/>
                <w:kern w:val="0"/>
                <w:sz w:val="24"/>
              </w:rPr>
            </w:pPr>
            <w:r>
              <w:rPr>
                <w:rFonts w:hint="eastAsia" w:ascii="宋体" w:hAnsi="宋体" w:cs="仿宋_GB2312"/>
                <w:kern w:val="0"/>
                <w:sz w:val="24"/>
              </w:rPr>
              <w:t>评审内容</w:t>
            </w:r>
          </w:p>
        </w:tc>
        <w:tc>
          <w:tcPr>
            <w:tcW w:w="7817" w:type="dxa"/>
            <w:vAlign w:val="center"/>
          </w:tcPr>
          <w:p>
            <w:pPr>
              <w:spacing w:line="280" w:lineRule="exact"/>
              <w:jc w:val="center"/>
              <w:rPr>
                <w:rFonts w:ascii="宋体" w:hAnsi="宋体" w:cs="仿宋_GB2312"/>
                <w:kern w:val="0"/>
                <w:sz w:val="24"/>
              </w:rPr>
            </w:pPr>
            <w:r>
              <w:rPr>
                <w:rFonts w:hint="eastAsia" w:ascii="宋体" w:hAnsi="宋体" w:cs="仿宋_GB2312"/>
                <w:kern w:val="0"/>
                <w:sz w:val="24"/>
              </w:rPr>
              <w:t>评审标准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1" w:hRule="exact"/>
        </w:trPr>
        <w:tc>
          <w:tcPr>
            <w:tcW w:w="1802" w:type="dxa"/>
            <w:vMerge w:val="restart"/>
            <w:vAlign w:val="center"/>
          </w:tcPr>
          <w:p>
            <w:pPr>
              <w:spacing w:line="280" w:lineRule="exact"/>
              <w:jc w:val="center"/>
              <w:rPr>
                <w:rFonts w:ascii="宋体" w:hAnsi="宋体" w:cs="仿宋_GB2312"/>
                <w:kern w:val="0"/>
                <w:sz w:val="24"/>
              </w:rPr>
            </w:pPr>
            <w:r>
              <w:rPr>
                <w:rFonts w:hint="eastAsia" w:ascii="宋体" w:hAnsi="宋体" w:cs="仿宋_GB2312"/>
                <w:kern w:val="0"/>
                <w:sz w:val="24"/>
              </w:rPr>
              <w:t>符合性</w:t>
            </w:r>
          </w:p>
          <w:p>
            <w:pPr>
              <w:spacing w:line="280" w:lineRule="exact"/>
              <w:jc w:val="center"/>
              <w:rPr>
                <w:rFonts w:ascii="宋体" w:hAnsi="宋体" w:cs="仿宋_GB2312"/>
                <w:kern w:val="0"/>
                <w:sz w:val="24"/>
              </w:rPr>
            </w:pPr>
            <w:r>
              <w:rPr>
                <w:rFonts w:hint="eastAsia" w:ascii="宋体" w:hAnsi="宋体" w:cs="仿宋_GB2312"/>
                <w:kern w:val="0"/>
                <w:sz w:val="24"/>
              </w:rPr>
              <w:t>检查</w:t>
            </w: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《磋商文件》中要求的法人代表或被授权代表签字处未签字、投标单位未加盖公章的；</w:t>
            </w:r>
          </w:p>
          <w:p>
            <w:pPr>
              <w:spacing w:line="280" w:lineRule="exact"/>
              <w:rPr>
                <w:rFonts w:ascii="宋体" w:hAnsi="宋体" w:cs="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5" w:hRule="exac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《磋商响应文件》中更改之处未加盖公章的，填写潦草，字迹或数据难以辨认的；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7" w:hRule="atLeas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《磋商响应文件》不按照《磋商文件》制作和密封投标文件的；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《磋商响应文件》未按照《磋商文件》规定要求签署、盖章的；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《磋商响应文件》清单项不完整，填写漏项，无法确认供应商责任或投标意向的；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 xml:space="preserve">《磋商响应文件》内容不真实，提供虚假证明文件、虚假技术参数的；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《磋商响应文件》附有采购人不能接受的条件；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exac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《磋商响应文件》不满足采购人技术参数要求或严重偏离的；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9" w:hRule="exac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投标人有不良记录的；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9" w:hRule="exact"/>
        </w:trPr>
        <w:tc>
          <w:tcPr>
            <w:tcW w:w="1802" w:type="dxa"/>
            <w:vMerge w:val="continue"/>
            <w:vAlign w:val="center"/>
          </w:tcPr>
          <w:p>
            <w:pPr>
              <w:spacing w:line="280" w:lineRule="exact"/>
              <w:ind w:firstLine="360"/>
              <w:jc w:val="center"/>
              <w:rPr>
                <w:rFonts w:ascii="宋体" w:hAnsi="宋体" w:cs="仿宋_GB2312"/>
                <w:kern w:val="0"/>
                <w:sz w:val="24"/>
              </w:rPr>
            </w:pPr>
          </w:p>
        </w:tc>
        <w:tc>
          <w:tcPr>
            <w:tcW w:w="7817" w:type="dxa"/>
            <w:vAlign w:val="center"/>
          </w:tcPr>
          <w:p>
            <w:pPr>
              <w:spacing w:line="280" w:lineRule="exact"/>
              <w:rPr>
                <w:rFonts w:ascii="宋体" w:hAnsi="宋体" w:cs="仿宋_GB2312"/>
                <w:kern w:val="0"/>
                <w:sz w:val="24"/>
              </w:rPr>
            </w:pPr>
            <w:r>
              <w:rPr>
                <w:rFonts w:hint="eastAsia" w:ascii="宋体" w:hAnsi="宋体" w:cs="仿宋_GB2312"/>
                <w:kern w:val="0"/>
                <w:sz w:val="24"/>
              </w:rPr>
              <w:t>投标报价不得高于最高限价，否则视为无效投标。</w:t>
            </w:r>
          </w:p>
        </w:tc>
      </w:tr>
    </w:tbl>
    <w:p>
      <w:pPr>
        <w:adjustRightInd w:val="0"/>
        <w:snapToGrid w:val="0"/>
        <w:spacing w:line="360" w:lineRule="auto"/>
        <w:ind w:firstLine="482" w:firstLineChars="200"/>
        <w:rPr>
          <w:rFonts w:ascii="宋体" w:hAnsi="宋体"/>
          <w:b/>
          <w:sz w:val="24"/>
        </w:rPr>
      </w:pPr>
      <w:r>
        <w:rPr>
          <w:rFonts w:hint="eastAsia" w:ascii="宋体" w:hAnsi="宋体"/>
          <w:b/>
          <w:sz w:val="24"/>
        </w:rPr>
        <w:t>3.详细评审：</w:t>
      </w:r>
    </w:p>
    <w:p>
      <w:pPr>
        <w:adjustRightInd w:val="0"/>
        <w:snapToGrid w:val="0"/>
        <w:spacing w:line="360" w:lineRule="auto"/>
        <w:ind w:firstLine="480" w:firstLineChars="200"/>
        <w:rPr>
          <w:rFonts w:ascii="宋体" w:hAnsi="宋体"/>
          <w:b/>
          <w:sz w:val="24"/>
        </w:rPr>
      </w:pPr>
      <w:r>
        <w:rPr>
          <w:rFonts w:hint="eastAsia" w:ascii="宋体" w:hAnsi="宋体"/>
          <w:sz w:val="24"/>
        </w:rPr>
        <w:t>3.1磋商小组将只要求通过了“资格性检查和符合性检查”的供应商进行磋商报价，确定为实质上响应《磋商文件》要求的《磋商响应文件》进行详细评审（综合评审评分），详见《综合评分表》。</w:t>
      </w:r>
    </w:p>
    <w:p>
      <w:pPr>
        <w:adjustRightInd w:val="0"/>
        <w:snapToGrid w:val="0"/>
        <w:spacing w:line="360" w:lineRule="auto"/>
        <w:ind w:firstLine="480" w:firstLineChars="200"/>
        <w:rPr>
          <w:rFonts w:ascii="宋体" w:hAnsi="宋体"/>
          <w:b/>
          <w:sz w:val="24"/>
        </w:rPr>
      </w:pPr>
      <w:r>
        <w:rPr>
          <w:rFonts w:hint="eastAsia" w:ascii="宋体" w:hAnsi="宋体"/>
          <w:bCs/>
          <w:sz w:val="24"/>
          <w:szCs w:val="28"/>
        </w:rPr>
        <w:t>3.2磋商小组</w:t>
      </w:r>
      <w:r>
        <w:rPr>
          <w:rFonts w:hint="eastAsia" w:ascii="宋体" w:hAnsi="宋体"/>
          <w:sz w:val="24"/>
        </w:rPr>
        <w:t>要审查每份《磋商响应文件》是否实质上响应了《磋商文件》的要求。实质上响应的磋商响应文件应该是与磋商文件要求的全部条款、条件和技术参数相符。对关键条款的偏离、保留或反对将被认为是实质上的偏</w:t>
      </w:r>
      <w:r>
        <w:rPr>
          <w:rFonts w:hint="eastAsia" w:ascii="宋体" w:hAnsi="宋体"/>
          <w:bCs/>
          <w:sz w:val="24"/>
          <w:szCs w:val="28"/>
        </w:rPr>
        <w:t>离。磋商小组决定评标的响应性只根据《磋商响应文件》本身的内容，而不寻求外部的任何证据。</w:t>
      </w:r>
    </w:p>
    <w:p>
      <w:pPr>
        <w:adjustRightInd w:val="0"/>
        <w:snapToGrid w:val="0"/>
        <w:spacing w:line="360" w:lineRule="auto"/>
        <w:ind w:firstLine="480" w:firstLineChars="200"/>
        <w:rPr>
          <w:rFonts w:ascii="宋体" w:hAnsi="宋体"/>
          <w:sz w:val="24"/>
        </w:rPr>
      </w:pPr>
      <w:r>
        <w:rPr>
          <w:rFonts w:hint="eastAsia" w:ascii="宋体" w:hAnsi="宋体"/>
          <w:sz w:val="24"/>
        </w:rPr>
        <w:t>《磋商响应文件》的大写金额和小写金额不一致的，以大写金额为准；总价金额与单项单价汇总金额不一致的，以单价金额计算结果为准；单价金额小数点有明显错位的，应以总价为准，并修改单价；对不同文字文本《磋商响应文件》的解释发生异议的，以中文文本为准。</w:t>
      </w:r>
    </w:p>
    <w:p>
      <w:pPr>
        <w:numPr>
          <w:ilvl w:val="0"/>
          <w:numId w:val="7"/>
        </w:numPr>
        <w:spacing w:line="360" w:lineRule="auto"/>
        <w:ind w:firstLine="482" w:firstLineChars="200"/>
        <w:rPr>
          <w:rFonts w:ascii="宋体" w:hAnsi="宋体"/>
          <w:b/>
          <w:sz w:val="24"/>
        </w:rPr>
      </w:pPr>
      <w:r>
        <w:rPr>
          <w:rFonts w:hint="eastAsia" w:ascii="宋体" w:hAnsi="宋体"/>
          <w:b/>
          <w:sz w:val="24"/>
        </w:rPr>
        <w:t>综合评分表：</w:t>
      </w:r>
    </w:p>
    <w:tbl>
      <w:tblPr>
        <w:tblStyle w:val="19"/>
        <w:tblpPr w:leftFromText="180" w:rightFromText="180" w:vertAnchor="text" w:horzAnchor="page" w:tblpX="1114" w:tblpY="396"/>
        <w:tblOverlap w:val="never"/>
        <w:tblW w:w="9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
      <w:tblGrid>
        <w:gridCol w:w="500"/>
        <w:gridCol w:w="714"/>
        <w:gridCol w:w="1920"/>
        <w:gridCol w:w="684"/>
        <w:gridCol w:w="5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727" w:hRule="atLeast"/>
          <w:tblHeader/>
        </w:trPr>
        <w:tc>
          <w:tcPr>
            <w:tcW w:w="500" w:type="dxa"/>
            <w:vAlign w:val="center"/>
          </w:tcPr>
          <w:p>
            <w:pPr>
              <w:autoSpaceDE w:val="0"/>
              <w:autoSpaceDN w:val="0"/>
              <w:adjustRightInd w:val="0"/>
              <w:snapToGrid w:val="0"/>
              <w:spacing w:line="320" w:lineRule="exact"/>
              <w:jc w:val="center"/>
              <w:rPr>
                <w:rFonts w:ascii="宋体" w:hAnsi="宋体"/>
                <w:color w:val="auto"/>
                <w:szCs w:val="21"/>
              </w:rPr>
            </w:pPr>
            <w:r>
              <w:rPr>
                <w:rFonts w:hint="eastAsia" w:ascii="宋体" w:hAnsi="宋体"/>
                <w:color w:val="auto"/>
                <w:szCs w:val="21"/>
              </w:rPr>
              <w:t>序号</w:t>
            </w:r>
          </w:p>
        </w:tc>
        <w:tc>
          <w:tcPr>
            <w:tcW w:w="714" w:type="dxa"/>
            <w:vAlign w:val="center"/>
          </w:tcPr>
          <w:p>
            <w:pPr>
              <w:autoSpaceDE w:val="0"/>
              <w:autoSpaceDN w:val="0"/>
              <w:adjustRightInd w:val="0"/>
              <w:snapToGrid w:val="0"/>
              <w:spacing w:line="320" w:lineRule="exact"/>
              <w:jc w:val="center"/>
              <w:rPr>
                <w:rFonts w:ascii="宋体" w:hAnsi="宋体"/>
                <w:color w:val="auto"/>
                <w:szCs w:val="21"/>
              </w:rPr>
            </w:pPr>
            <w:r>
              <w:rPr>
                <w:rFonts w:hint="eastAsia" w:ascii="宋体" w:hAnsi="宋体"/>
                <w:color w:val="auto"/>
                <w:szCs w:val="21"/>
              </w:rPr>
              <w:t>类别</w:t>
            </w:r>
          </w:p>
        </w:tc>
        <w:tc>
          <w:tcPr>
            <w:tcW w:w="1920" w:type="dxa"/>
            <w:vAlign w:val="center"/>
          </w:tcPr>
          <w:p>
            <w:pPr>
              <w:autoSpaceDE w:val="0"/>
              <w:autoSpaceDN w:val="0"/>
              <w:adjustRightInd w:val="0"/>
              <w:snapToGrid w:val="0"/>
              <w:spacing w:line="320" w:lineRule="exact"/>
              <w:jc w:val="center"/>
              <w:rPr>
                <w:rFonts w:ascii="宋体" w:hAnsi="宋体"/>
                <w:color w:val="auto"/>
                <w:szCs w:val="21"/>
              </w:rPr>
            </w:pPr>
            <w:r>
              <w:rPr>
                <w:rFonts w:hint="eastAsia" w:ascii="宋体" w:hAnsi="宋体"/>
                <w:color w:val="auto"/>
                <w:szCs w:val="21"/>
              </w:rPr>
              <w:t>评审因素</w:t>
            </w:r>
          </w:p>
        </w:tc>
        <w:tc>
          <w:tcPr>
            <w:tcW w:w="684" w:type="dxa"/>
            <w:vAlign w:val="center"/>
          </w:tcPr>
          <w:p>
            <w:pPr>
              <w:autoSpaceDE w:val="0"/>
              <w:autoSpaceDN w:val="0"/>
              <w:adjustRightInd w:val="0"/>
              <w:snapToGrid w:val="0"/>
              <w:spacing w:line="320" w:lineRule="exact"/>
              <w:jc w:val="center"/>
              <w:rPr>
                <w:rFonts w:ascii="宋体" w:hAnsi="宋体"/>
                <w:color w:val="auto"/>
                <w:szCs w:val="21"/>
              </w:rPr>
            </w:pPr>
            <w:r>
              <w:rPr>
                <w:rFonts w:hint="eastAsia" w:ascii="宋体" w:hAnsi="宋体"/>
                <w:color w:val="auto"/>
                <w:szCs w:val="21"/>
              </w:rPr>
              <w:t>分 值</w:t>
            </w:r>
          </w:p>
        </w:tc>
        <w:tc>
          <w:tcPr>
            <w:tcW w:w="5942" w:type="dxa"/>
            <w:vAlign w:val="center"/>
          </w:tcPr>
          <w:p>
            <w:pPr>
              <w:autoSpaceDE w:val="0"/>
              <w:autoSpaceDN w:val="0"/>
              <w:adjustRightInd w:val="0"/>
              <w:snapToGrid w:val="0"/>
              <w:spacing w:line="320" w:lineRule="exact"/>
              <w:jc w:val="center"/>
              <w:rPr>
                <w:rFonts w:ascii="宋体" w:hAnsi="宋体"/>
                <w:color w:val="auto"/>
                <w:szCs w:val="21"/>
              </w:rPr>
            </w:pPr>
            <w:r>
              <w:rPr>
                <w:rFonts w:hint="eastAsia" w:ascii="宋体" w:hAnsi="宋体"/>
                <w:color w:val="auto"/>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1633" w:hRule="atLeast"/>
          <w:tblHeader/>
        </w:trPr>
        <w:tc>
          <w:tcPr>
            <w:tcW w:w="500" w:type="dxa"/>
            <w:vAlign w:val="center"/>
          </w:tcPr>
          <w:p>
            <w:pPr>
              <w:autoSpaceDE w:val="0"/>
              <w:autoSpaceDN w:val="0"/>
              <w:adjustRightInd w:val="0"/>
              <w:snapToGrid w:val="0"/>
              <w:spacing w:line="240" w:lineRule="exact"/>
              <w:jc w:val="center"/>
              <w:rPr>
                <w:rFonts w:ascii="宋体" w:hAnsi="宋体"/>
                <w:color w:val="auto"/>
                <w:szCs w:val="21"/>
              </w:rPr>
            </w:pPr>
            <w:r>
              <w:rPr>
                <w:rFonts w:hint="eastAsia" w:ascii="宋体" w:hAnsi="宋体"/>
                <w:color w:val="auto"/>
                <w:szCs w:val="21"/>
              </w:rPr>
              <w:t>1</w:t>
            </w:r>
          </w:p>
        </w:tc>
        <w:tc>
          <w:tcPr>
            <w:tcW w:w="714" w:type="dxa"/>
            <w:vAlign w:val="center"/>
          </w:tcPr>
          <w:p>
            <w:pPr>
              <w:tabs>
                <w:tab w:val="left" w:pos="540"/>
              </w:tabs>
              <w:autoSpaceDE w:val="0"/>
              <w:autoSpaceDN w:val="0"/>
              <w:adjustRightInd w:val="0"/>
              <w:snapToGrid w:val="0"/>
              <w:spacing w:line="240" w:lineRule="exact"/>
              <w:jc w:val="center"/>
              <w:rPr>
                <w:color w:val="auto"/>
                <w:szCs w:val="21"/>
              </w:rPr>
            </w:pPr>
            <w:r>
              <w:rPr>
                <w:rFonts w:hint="eastAsia"/>
                <w:color w:val="auto"/>
                <w:szCs w:val="21"/>
              </w:rPr>
              <w:t>价格</w:t>
            </w:r>
          </w:p>
          <w:p>
            <w:pPr>
              <w:tabs>
                <w:tab w:val="left" w:pos="540"/>
              </w:tabs>
              <w:autoSpaceDE w:val="0"/>
              <w:autoSpaceDN w:val="0"/>
              <w:adjustRightInd w:val="0"/>
              <w:snapToGrid w:val="0"/>
              <w:spacing w:line="240" w:lineRule="exact"/>
              <w:jc w:val="center"/>
              <w:rPr>
                <w:color w:val="auto"/>
                <w:szCs w:val="21"/>
              </w:rPr>
            </w:pPr>
            <w:r>
              <w:rPr>
                <w:rFonts w:hint="eastAsia"/>
                <w:color w:val="auto"/>
                <w:szCs w:val="21"/>
                <w:lang w:val="en-US" w:eastAsia="zh-CN"/>
              </w:rPr>
              <w:t>30</w:t>
            </w:r>
            <w:r>
              <w:rPr>
                <w:rFonts w:hint="eastAsia"/>
                <w:color w:val="auto"/>
                <w:szCs w:val="21"/>
              </w:rPr>
              <w:t>分</w:t>
            </w:r>
          </w:p>
        </w:tc>
        <w:tc>
          <w:tcPr>
            <w:tcW w:w="1920" w:type="dxa"/>
            <w:vAlign w:val="center"/>
          </w:tcPr>
          <w:p>
            <w:pPr>
              <w:autoSpaceDE w:val="0"/>
              <w:autoSpaceDN w:val="0"/>
              <w:adjustRightInd w:val="0"/>
              <w:snapToGrid w:val="0"/>
              <w:spacing w:line="240" w:lineRule="exact"/>
              <w:jc w:val="center"/>
              <w:rPr>
                <w:rFonts w:ascii="宋体" w:hAnsi="宋体"/>
                <w:color w:val="auto"/>
                <w:szCs w:val="21"/>
              </w:rPr>
            </w:pPr>
            <w:r>
              <w:rPr>
                <w:rFonts w:hint="eastAsia"/>
                <w:color w:val="auto"/>
                <w:szCs w:val="21"/>
              </w:rPr>
              <w:t>报价</w:t>
            </w:r>
          </w:p>
        </w:tc>
        <w:tc>
          <w:tcPr>
            <w:tcW w:w="684" w:type="dxa"/>
            <w:vAlign w:val="center"/>
          </w:tcPr>
          <w:p>
            <w:pPr>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30</w:t>
            </w:r>
          </w:p>
        </w:tc>
        <w:tc>
          <w:tcPr>
            <w:tcW w:w="5942" w:type="dxa"/>
            <w:vAlign w:val="center"/>
          </w:tcPr>
          <w:p>
            <w:pPr>
              <w:spacing w:line="500" w:lineRule="exact"/>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价格分统一采用低价优先法计算，即满足磋商文件要求且最后报价最低的供应商的价格为基准价，其价格分为满分。其他供应商的价格分统一按照下列公式计算：</w:t>
            </w:r>
          </w:p>
          <w:p>
            <w:pPr>
              <w:spacing w:line="500" w:lineRule="exact"/>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投标报价得分=（评标基准价/最终报价）*价格权重*100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1584" w:hRule="atLeast"/>
          <w:tblHeader/>
        </w:trPr>
        <w:tc>
          <w:tcPr>
            <w:tcW w:w="500" w:type="dxa"/>
            <w:vAlign w:val="center"/>
          </w:tcPr>
          <w:p>
            <w:pPr>
              <w:autoSpaceDE w:val="0"/>
              <w:autoSpaceDN w:val="0"/>
              <w:adjustRightInd w:val="0"/>
              <w:snapToGrid w:val="0"/>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2</w:t>
            </w:r>
          </w:p>
        </w:tc>
        <w:tc>
          <w:tcPr>
            <w:tcW w:w="714" w:type="dxa"/>
            <w:vMerge w:val="restart"/>
            <w:vAlign w:val="center"/>
          </w:tcPr>
          <w:p>
            <w:pPr>
              <w:autoSpaceDE w:val="0"/>
              <w:autoSpaceDN w:val="0"/>
              <w:adjustRightInd w:val="0"/>
              <w:snapToGrid w:val="0"/>
              <w:spacing w:line="240" w:lineRule="exact"/>
              <w:jc w:val="center"/>
              <w:rPr>
                <w:color w:val="auto"/>
              </w:rPr>
            </w:pPr>
            <w:r>
              <w:rPr>
                <w:rFonts w:hint="eastAsia"/>
                <w:color w:val="auto"/>
              </w:rPr>
              <w:t>技</w:t>
            </w:r>
          </w:p>
          <w:p>
            <w:pPr>
              <w:autoSpaceDE w:val="0"/>
              <w:autoSpaceDN w:val="0"/>
              <w:adjustRightInd w:val="0"/>
              <w:snapToGrid w:val="0"/>
              <w:spacing w:line="240" w:lineRule="exact"/>
              <w:jc w:val="center"/>
              <w:rPr>
                <w:color w:val="auto"/>
              </w:rPr>
            </w:pPr>
            <w:r>
              <w:rPr>
                <w:rFonts w:hint="eastAsia"/>
                <w:color w:val="auto"/>
              </w:rPr>
              <w:t>术</w:t>
            </w:r>
          </w:p>
          <w:p>
            <w:pPr>
              <w:spacing w:line="240" w:lineRule="exact"/>
              <w:jc w:val="center"/>
              <w:rPr>
                <w:rFonts w:hint="eastAsia"/>
                <w:color w:val="auto"/>
              </w:rPr>
            </w:pPr>
            <w:r>
              <w:rPr>
                <w:rFonts w:hint="eastAsia"/>
                <w:color w:val="auto"/>
              </w:rPr>
              <w:t>分</w:t>
            </w:r>
          </w:p>
          <w:p>
            <w:pPr>
              <w:pStyle w:val="6"/>
              <w:ind w:left="210" w:leftChars="100" w:firstLine="0" w:firstLineChars="0"/>
              <w:rPr>
                <w:rFonts w:hint="default" w:eastAsia="宋体"/>
                <w:color w:val="auto"/>
                <w:lang w:val="en-US" w:eastAsia="zh-CN"/>
              </w:rPr>
            </w:pPr>
            <w:r>
              <w:rPr>
                <w:rFonts w:hint="eastAsia" w:ascii="宋体" w:hAnsi="宋体"/>
                <w:color w:val="auto"/>
                <w:szCs w:val="21"/>
                <w:lang w:val="en-US" w:eastAsia="zh-CN"/>
              </w:rPr>
              <w:t xml:space="preserve">70分 </w:t>
            </w:r>
          </w:p>
        </w:tc>
        <w:tc>
          <w:tcPr>
            <w:tcW w:w="1920" w:type="dxa"/>
            <w:vAlign w:val="center"/>
          </w:tcPr>
          <w:p>
            <w:pPr>
              <w:spacing w:line="240" w:lineRule="exact"/>
              <w:jc w:val="center"/>
              <w:rPr>
                <w:rFonts w:ascii="宋体" w:hAnsi="宋体"/>
                <w:color w:val="auto"/>
                <w:szCs w:val="21"/>
              </w:rPr>
            </w:pPr>
            <w:r>
              <w:rPr>
                <w:rFonts w:hint="eastAsia"/>
                <w:color w:val="auto"/>
                <w:szCs w:val="21"/>
                <w:lang w:val="en-US" w:eastAsia="zh-CN"/>
              </w:rPr>
              <w:t>质量保修期</w:t>
            </w:r>
          </w:p>
        </w:tc>
        <w:tc>
          <w:tcPr>
            <w:tcW w:w="684" w:type="dxa"/>
            <w:vAlign w:val="center"/>
          </w:tcPr>
          <w:p>
            <w:pPr>
              <w:spacing w:line="360" w:lineRule="auto"/>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5</w:t>
            </w:r>
          </w:p>
        </w:tc>
        <w:tc>
          <w:tcPr>
            <w:tcW w:w="5942" w:type="dxa"/>
          </w:tcPr>
          <w:p>
            <w:pPr>
              <w:spacing w:line="480" w:lineRule="auto"/>
              <w:jc w:val="left"/>
              <w:rPr>
                <w:rFonts w:hint="eastAsia" w:ascii="宋体" w:hAnsi="宋体"/>
                <w:color w:val="auto"/>
                <w:szCs w:val="21"/>
                <w:highlight w:val="none"/>
                <w:lang w:val="en-US" w:eastAsia="zh-CN"/>
              </w:rPr>
            </w:pPr>
            <w:r>
              <w:rPr>
                <w:rFonts w:hint="eastAsia"/>
                <w:color w:val="auto"/>
                <w:lang w:val="en-US" w:eastAsia="zh-CN"/>
              </w:rPr>
              <w:t>本项目要求投标产品保修期为1年（投标产品全部安装调试完毕第二日开始计算12个月，保修期内投标人应无偿更换由于原器件缺陷及制造工艺等问题而发生的故障的产品）满足要求得3分，每超出一年加1分，最高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cantSplit/>
          <w:trHeight w:val="957" w:hRule="atLeast"/>
        </w:trPr>
        <w:tc>
          <w:tcPr>
            <w:tcW w:w="500" w:type="dxa"/>
            <w:vAlign w:val="center"/>
          </w:tcPr>
          <w:p>
            <w:pPr>
              <w:autoSpaceDE w:val="0"/>
              <w:autoSpaceDN w:val="0"/>
              <w:adjustRightInd w:val="0"/>
              <w:snapToGrid w:val="0"/>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3</w:t>
            </w:r>
          </w:p>
        </w:tc>
        <w:tc>
          <w:tcPr>
            <w:tcW w:w="714" w:type="dxa"/>
            <w:vMerge w:val="continue"/>
            <w:vAlign w:val="center"/>
          </w:tcPr>
          <w:p>
            <w:pPr>
              <w:spacing w:line="240" w:lineRule="exact"/>
              <w:jc w:val="center"/>
              <w:rPr>
                <w:rFonts w:ascii="宋体" w:hAnsi="宋体"/>
                <w:color w:val="auto"/>
                <w:szCs w:val="21"/>
              </w:rPr>
            </w:pPr>
          </w:p>
        </w:tc>
        <w:tc>
          <w:tcPr>
            <w:tcW w:w="1920" w:type="dxa"/>
            <w:vAlign w:val="center"/>
          </w:tcPr>
          <w:p>
            <w:pPr>
              <w:spacing w:line="240" w:lineRule="exact"/>
              <w:jc w:val="center"/>
              <w:rPr>
                <w:rFonts w:ascii="宋体" w:hAnsi="宋体"/>
                <w:color w:val="auto"/>
                <w:szCs w:val="21"/>
                <w:highlight w:val="none"/>
              </w:rPr>
            </w:pPr>
            <w:r>
              <w:rPr>
                <w:rFonts w:hint="eastAsia" w:ascii="宋体" w:hAnsi="宋体"/>
                <w:color w:val="auto"/>
                <w:szCs w:val="21"/>
                <w:highlight w:val="none"/>
              </w:rPr>
              <w:t>所供货物组部件、备品、备件清单</w:t>
            </w:r>
          </w:p>
        </w:tc>
        <w:tc>
          <w:tcPr>
            <w:tcW w:w="684" w:type="dxa"/>
            <w:vAlign w:val="center"/>
          </w:tcPr>
          <w:p>
            <w:pPr>
              <w:spacing w:line="2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6</w:t>
            </w:r>
          </w:p>
        </w:tc>
        <w:tc>
          <w:tcPr>
            <w:tcW w:w="5942" w:type="dxa"/>
          </w:tcPr>
          <w:p>
            <w:pPr>
              <w:spacing w:line="500" w:lineRule="exact"/>
              <w:rPr>
                <w:rFonts w:hint="eastAsia"/>
                <w:color w:val="auto"/>
                <w:lang w:val="en-US" w:eastAsia="zh-CN"/>
              </w:rPr>
            </w:pPr>
            <w:r>
              <w:rPr>
                <w:rFonts w:hint="eastAsia"/>
                <w:color w:val="auto"/>
              </w:rPr>
              <w:t>投标人提供了详细的所供货物组部件、备品、备件清单，且内容详细，备件清单明确</w:t>
            </w:r>
            <w:r>
              <w:rPr>
                <w:rFonts w:hint="eastAsia"/>
                <w:color w:val="auto"/>
                <w:lang w:eastAsia="zh-CN"/>
              </w:rPr>
              <w:t>（</w:t>
            </w:r>
            <w:r>
              <w:rPr>
                <w:rFonts w:hint="eastAsia"/>
                <w:color w:val="auto"/>
                <w:lang w:val="en-US" w:eastAsia="zh-CN"/>
              </w:rPr>
              <w:t>6分</w:t>
            </w:r>
            <w:r>
              <w:rPr>
                <w:rFonts w:hint="eastAsia"/>
                <w:color w:val="auto"/>
                <w:lang w:eastAsia="zh-CN"/>
              </w:rPr>
              <w:t>）</w:t>
            </w:r>
            <w:r>
              <w:rPr>
                <w:rFonts w:hint="eastAsia"/>
                <w:color w:val="auto"/>
              </w:rPr>
              <w:t>无所供货物组部件、备品、备件清单的，得0</w:t>
            </w:r>
            <w:r>
              <w:rPr>
                <w:rFonts w:hint="eastAsia"/>
                <w:color w:val="auto"/>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cantSplit/>
          <w:trHeight w:val="1621" w:hRule="atLeast"/>
        </w:trPr>
        <w:tc>
          <w:tcPr>
            <w:tcW w:w="500" w:type="dxa"/>
            <w:vAlign w:val="center"/>
          </w:tcPr>
          <w:p>
            <w:pPr>
              <w:autoSpaceDE w:val="0"/>
              <w:autoSpaceDN w:val="0"/>
              <w:adjustRightInd w:val="0"/>
              <w:snapToGrid w:val="0"/>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4</w:t>
            </w:r>
          </w:p>
        </w:tc>
        <w:tc>
          <w:tcPr>
            <w:tcW w:w="714" w:type="dxa"/>
            <w:vMerge w:val="continue"/>
            <w:vAlign w:val="center"/>
          </w:tcPr>
          <w:p>
            <w:pPr>
              <w:spacing w:line="240" w:lineRule="exact"/>
              <w:jc w:val="center"/>
              <w:rPr>
                <w:rFonts w:ascii="宋体" w:hAnsi="宋体"/>
                <w:color w:val="auto"/>
                <w:szCs w:val="21"/>
              </w:rPr>
            </w:pPr>
          </w:p>
        </w:tc>
        <w:tc>
          <w:tcPr>
            <w:tcW w:w="1920" w:type="dxa"/>
            <w:vAlign w:val="center"/>
          </w:tcPr>
          <w:p>
            <w:pPr>
              <w:spacing w:line="240" w:lineRule="exact"/>
              <w:jc w:val="center"/>
              <w:rPr>
                <w:rFonts w:ascii="宋体" w:hAnsi="宋体" w:cs="宋体"/>
                <w:color w:val="auto"/>
                <w:highlight w:val="none"/>
              </w:rPr>
            </w:pPr>
            <w:r>
              <w:rPr>
                <w:rFonts w:hint="eastAsia" w:ascii="宋体" w:hAnsi="宋体" w:cs="宋体"/>
                <w:color w:val="auto"/>
                <w:highlight w:val="none"/>
              </w:rPr>
              <w:t>技术参数</w:t>
            </w:r>
          </w:p>
        </w:tc>
        <w:tc>
          <w:tcPr>
            <w:tcW w:w="684" w:type="dxa"/>
            <w:vAlign w:val="center"/>
          </w:tcPr>
          <w:p>
            <w:pPr>
              <w:spacing w:line="24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38</w:t>
            </w:r>
          </w:p>
        </w:tc>
        <w:tc>
          <w:tcPr>
            <w:tcW w:w="5942" w:type="dxa"/>
          </w:tcPr>
          <w:p>
            <w:pPr>
              <w:spacing w:line="500" w:lineRule="exact"/>
              <w:rPr>
                <w:rFonts w:hint="eastAsia"/>
                <w:color w:val="auto"/>
              </w:rPr>
            </w:pPr>
            <w:r>
              <w:rPr>
                <w:rFonts w:hint="eastAsia"/>
                <w:color w:val="auto"/>
              </w:rPr>
              <w:t>根据投标文件中设备技术描述和响应程度进行综合评审</w:t>
            </w:r>
            <w:r>
              <w:rPr>
                <w:rFonts w:hint="eastAsia"/>
                <w:color w:val="auto"/>
                <w:highlight w:val="none"/>
              </w:rPr>
              <w:t>：</w:t>
            </w:r>
            <w:r>
              <w:rPr>
                <w:rFonts w:hint="eastAsia"/>
                <w:color w:val="auto"/>
                <w:highlight w:val="none"/>
                <w:lang w:val="en-US" w:eastAsia="zh-CN"/>
              </w:rPr>
              <w:t>清单中的</w:t>
            </w:r>
            <w:r>
              <w:rPr>
                <w:rFonts w:hint="eastAsia"/>
                <w:color w:val="auto"/>
                <w:highlight w:val="none"/>
              </w:rPr>
              <w:t>设备性能、质量、技术参数等完全满足招标文件要求的得</w:t>
            </w:r>
            <w:r>
              <w:rPr>
                <w:rFonts w:hint="eastAsia"/>
                <w:color w:val="auto"/>
                <w:highlight w:val="none"/>
                <w:lang w:val="en-US" w:eastAsia="zh-CN"/>
              </w:rPr>
              <w:t>28</w:t>
            </w:r>
            <w:r>
              <w:rPr>
                <w:rFonts w:hint="eastAsia"/>
                <w:color w:val="auto"/>
                <w:highlight w:val="none"/>
              </w:rPr>
              <w:t>分</w:t>
            </w:r>
            <w:r>
              <w:rPr>
                <w:rFonts w:hint="eastAsia"/>
                <w:color w:val="auto"/>
                <w:highlight w:val="none"/>
                <w:lang w:eastAsia="zh-CN"/>
              </w:rPr>
              <w:t>；</w:t>
            </w:r>
            <w:r>
              <w:rPr>
                <w:rFonts w:hint="eastAsia"/>
                <w:color w:val="auto"/>
                <w:highlight w:val="none"/>
              </w:rPr>
              <w:t>带“★”项产品</w:t>
            </w:r>
            <w:r>
              <w:rPr>
                <w:rFonts w:hint="eastAsia"/>
                <w:color w:val="auto"/>
                <w:highlight w:val="none"/>
                <w:lang w:val="en-US" w:eastAsia="zh-CN"/>
              </w:rPr>
              <w:t>为核心产品参数，每高于招标参数一项加5分，最高10分；</w:t>
            </w:r>
            <w:r>
              <w:rPr>
                <w:rFonts w:hint="eastAsia"/>
                <w:color w:val="auto"/>
                <w:highlight w:val="none"/>
              </w:rPr>
              <w:t>（注：产品响应须提供厂家产品彩页或检测报告</w:t>
            </w:r>
            <w:r>
              <w:rPr>
                <w:rFonts w:hint="eastAsia"/>
                <w:color w:val="auto"/>
                <w:highlight w:val="none"/>
                <w:lang w:eastAsia="zh-CN"/>
              </w:rPr>
              <w:t>、</w:t>
            </w:r>
            <w:r>
              <w:rPr>
                <w:rFonts w:hint="eastAsia"/>
                <w:color w:val="auto"/>
                <w:highlight w:val="none"/>
                <w:lang w:val="en-US" w:eastAsia="zh-CN"/>
              </w:rPr>
              <w:t>质保书合格证</w:t>
            </w:r>
            <w:r>
              <w:rPr>
                <w:rFonts w:hint="eastAsia"/>
                <w:color w:val="auto"/>
                <w:highlight w:val="none"/>
              </w:rPr>
              <w:t>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cantSplit/>
          <w:trHeight w:val="519" w:hRule="atLeast"/>
        </w:trPr>
        <w:tc>
          <w:tcPr>
            <w:tcW w:w="500" w:type="dxa"/>
            <w:vAlign w:val="center"/>
          </w:tcPr>
          <w:p>
            <w:pPr>
              <w:autoSpaceDE w:val="0"/>
              <w:autoSpaceDN w:val="0"/>
              <w:adjustRightInd w:val="0"/>
              <w:snapToGrid w:val="0"/>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5</w:t>
            </w:r>
          </w:p>
        </w:tc>
        <w:tc>
          <w:tcPr>
            <w:tcW w:w="714" w:type="dxa"/>
            <w:vMerge w:val="continue"/>
            <w:vAlign w:val="center"/>
          </w:tcPr>
          <w:p>
            <w:pPr>
              <w:spacing w:line="240" w:lineRule="exact"/>
              <w:jc w:val="center"/>
              <w:rPr>
                <w:rFonts w:ascii="宋体" w:hAnsi="宋体"/>
                <w:color w:val="auto"/>
                <w:szCs w:val="21"/>
              </w:rPr>
            </w:pPr>
          </w:p>
        </w:tc>
        <w:tc>
          <w:tcPr>
            <w:tcW w:w="1920" w:type="dxa"/>
            <w:vAlign w:val="center"/>
          </w:tcPr>
          <w:p>
            <w:pPr>
              <w:spacing w:line="240" w:lineRule="exact"/>
              <w:jc w:val="center"/>
              <w:rPr>
                <w:rFonts w:ascii="宋体" w:hAnsi="宋体" w:cs="宋体"/>
                <w:color w:val="auto"/>
                <w:highlight w:val="none"/>
              </w:rPr>
            </w:pPr>
            <w:r>
              <w:rPr>
                <w:rFonts w:hint="eastAsia" w:ascii="宋体" w:hAnsi="宋体" w:cs="宋体"/>
                <w:color w:val="auto"/>
                <w:highlight w:val="none"/>
              </w:rPr>
              <w:t>项目实施</w:t>
            </w:r>
            <w:r>
              <w:rPr>
                <w:rFonts w:hint="eastAsia" w:ascii="宋体" w:hAnsi="宋体" w:cs="宋体"/>
                <w:color w:val="auto"/>
                <w:highlight w:val="none"/>
                <w:lang w:val="en-US" w:eastAsia="zh-CN"/>
              </w:rPr>
              <w:t>及供货</w:t>
            </w:r>
            <w:r>
              <w:rPr>
                <w:rFonts w:hint="eastAsia" w:ascii="宋体" w:hAnsi="宋体" w:cs="宋体"/>
                <w:color w:val="auto"/>
                <w:highlight w:val="none"/>
              </w:rPr>
              <w:t>方案</w:t>
            </w:r>
          </w:p>
        </w:tc>
        <w:tc>
          <w:tcPr>
            <w:tcW w:w="684" w:type="dxa"/>
            <w:vAlign w:val="center"/>
          </w:tcPr>
          <w:p>
            <w:pPr>
              <w:spacing w:line="24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15</w:t>
            </w:r>
          </w:p>
        </w:tc>
        <w:tc>
          <w:tcPr>
            <w:tcW w:w="5942" w:type="dxa"/>
          </w:tcPr>
          <w:p>
            <w:pPr>
              <w:spacing w:line="500" w:lineRule="exact"/>
              <w:rPr>
                <w:rFonts w:hint="eastAsia"/>
                <w:color w:val="auto"/>
                <w:lang w:eastAsia="zh-CN"/>
              </w:rPr>
            </w:pPr>
            <w:r>
              <w:rPr>
                <w:rFonts w:hint="eastAsia"/>
                <w:color w:val="auto"/>
                <w:lang w:eastAsia="zh-CN"/>
              </w:rPr>
              <w:t>1.投标人的供货组</w:t>
            </w:r>
            <w:r>
              <w:rPr>
                <w:rFonts w:hint="eastAsia"/>
                <w:color w:val="auto"/>
                <w:lang w:val="en-US" w:eastAsia="zh-CN"/>
              </w:rPr>
              <w:t>方案</w:t>
            </w:r>
            <w:r>
              <w:rPr>
                <w:rFonts w:hint="eastAsia"/>
                <w:color w:val="auto"/>
                <w:lang w:eastAsia="zh-CN"/>
              </w:rPr>
              <w:t>，安全文明施工防护措施切实可行</w:t>
            </w:r>
            <w:r>
              <w:rPr>
                <w:rFonts w:hint="eastAsia"/>
                <w:color w:val="auto"/>
                <w:lang w:val="en-US" w:eastAsia="zh-CN"/>
              </w:rPr>
              <w:t>、项目实施</w:t>
            </w:r>
            <w:r>
              <w:rPr>
                <w:rFonts w:hint="eastAsia"/>
                <w:color w:val="auto"/>
                <w:lang w:eastAsia="zh-CN"/>
              </w:rPr>
              <w:t>进度计划、供货运输计划、</w:t>
            </w:r>
            <w:r>
              <w:rPr>
                <w:rFonts w:hint="eastAsia"/>
                <w:color w:val="auto"/>
                <w:lang w:val="en-US" w:eastAsia="zh-CN"/>
              </w:rPr>
              <w:t>易碎产品包装、</w:t>
            </w:r>
            <w:r>
              <w:rPr>
                <w:rFonts w:hint="eastAsia"/>
                <w:color w:val="auto"/>
                <w:lang w:eastAsia="zh-CN"/>
              </w:rPr>
              <w:t>科学全面合理，各阶段工作安排得体，</w:t>
            </w:r>
            <w:r>
              <w:rPr>
                <w:rFonts w:hint="eastAsia"/>
                <w:color w:val="auto"/>
                <w:lang w:val="en-US" w:eastAsia="zh-CN"/>
              </w:rPr>
              <w:t>充分考虑项目实施各个阶段的运行，</w:t>
            </w:r>
            <w:r>
              <w:rPr>
                <w:rFonts w:hint="eastAsia"/>
                <w:color w:val="auto"/>
                <w:lang w:eastAsia="zh-CN"/>
              </w:rPr>
              <w:t>可实施性强</w:t>
            </w:r>
            <w:r>
              <w:rPr>
                <w:rFonts w:hint="eastAsia"/>
                <w:color w:val="auto"/>
                <w:lang w:val="en-US" w:eastAsia="zh-CN"/>
              </w:rPr>
              <w:t>；（得7.5</w:t>
            </w:r>
            <w:r>
              <w:rPr>
                <w:rFonts w:hint="eastAsia"/>
                <w:color w:val="auto"/>
                <w:lang w:eastAsia="zh-CN"/>
              </w:rPr>
              <w:t>分）未进行阐述或阐述不清晰的不得分。</w:t>
            </w:r>
          </w:p>
          <w:p>
            <w:pPr>
              <w:spacing w:line="500" w:lineRule="exact"/>
              <w:rPr>
                <w:rFonts w:hint="eastAsia"/>
                <w:color w:val="auto"/>
                <w:lang w:eastAsia="zh-CN"/>
              </w:rPr>
            </w:pPr>
            <w:r>
              <w:rPr>
                <w:rFonts w:hint="eastAsia"/>
                <w:color w:val="auto"/>
                <w:lang w:val="en-US" w:eastAsia="zh-CN"/>
              </w:rPr>
              <w:t>2</w:t>
            </w:r>
            <w:r>
              <w:rPr>
                <w:rFonts w:hint="eastAsia"/>
                <w:color w:val="auto"/>
                <w:lang w:eastAsia="zh-CN"/>
              </w:rPr>
              <w:t>.投标人对项目的安装调试方案、</w:t>
            </w:r>
            <w:r>
              <w:rPr>
                <w:rFonts w:hint="eastAsia"/>
                <w:color w:val="auto"/>
                <w:lang w:val="en-US" w:eastAsia="zh-CN"/>
              </w:rPr>
              <w:t>培训方案、</w:t>
            </w:r>
            <w:r>
              <w:rPr>
                <w:rFonts w:hint="eastAsia"/>
                <w:color w:val="auto"/>
                <w:lang w:eastAsia="zh-CN"/>
              </w:rPr>
              <w:t>测试验收方案、</w:t>
            </w:r>
            <w:r>
              <w:rPr>
                <w:rFonts w:hint="eastAsia"/>
                <w:color w:val="auto"/>
                <w:lang w:val="en-US" w:eastAsia="zh-CN"/>
              </w:rPr>
              <w:t>后续产品升级换代方案</w:t>
            </w:r>
            <w:r>
              <w:rPr>
                <w:rFonts w:hint="eastAsia"/>
                <w:color w:val="auto"/>
                <w:lang w:eastAsia="zh-CN"/>
              </w:rPr>
              <w:t>，切实可行，</w:t>
            </w:r>
            <w:r>
              <w:rPr>
                <w:rFonts w:hint="eastAsia"/>
                <w:color w:val="auto"/>
                <w:lang w:val="en-US" w:eastAsia="zh-CN"/>
              </w:rPr>
              <w:t>（得7.5</w:t>
            </w:r>
            <w:r>
              <w:rPr>
                <w:rFonts w:hint="eastAsia"/>
                <w:color w:val="auto"/>
                <w:lang w:eastAsia="zh-CN"/>
              </w:rPr>
              <w:t>分）未进行阐述或阐述不清晰的不得分。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cantSplit/>
          <w:trHeight w:val="90" w:hRule="atLeast"/>
        </w:trPr>
        <w:tc>
          <w:tcPr>
            <w:tcW w:w="500" w:type="dxa"/>
            <w:vAlign w:val="center"/>
          </w:tcPr>
          <w:p>
            <w:pPr>
              <w:autoSpaceDE w:val="0"/>
              <w:autoSpaceDN w:val="0"/>
              <w:adjustRightInd w:val="0"/>
              <w:snapToGrid w:val="0"/>
              <w:spacing w:line="240" w:lineRule="exact"/>
              <w:jc w:val="center"/>
              <w:rPr>
                <w:rFonts w:hint="default" w:ascii="宋体" w:hAnsi="宋体" w:eastAsia="宋体"/>
                <w:color w:val="auto"/>
                <w:szCs w:val="21"/>
                <w:lang w:val="en-US" w:eastAsia="zh-CN"/>
              </w:rPr>
            </w:pPr>
            <w:r>
              <w:rPr>
                <w:rFonts w:hint="eastAsia" w:ascii="宋体" w:hAnsi="宋体"/>
                <w:color w:val="auto"/>
                <w:szCs w:val="21"/>
                <w:lang w:val="en-US" w:eastAsia="zh-CN"/>
              </w:rPr>
              <w:t>6</w:t>
            </w:r>
          </w:p>
        </w:tc>
        <w:tc>
          <w:tcPr>
            <w:tcW w:w="714" w:type="dxa"/>
            <w:vMerge w:val="continue"/>
            <w:vAlign w:val="center"/>
          </w:tcPr>
          <w:p>
            <w:pPr>
              <w:spacing w:line="240" w:lineRule="exact"/>
              <w:jc w:val="center"/>
              <w:rPr>
                <w:rFonts w:hint="eastAsia" w:ascii="宋体" w:hAnsi="宋体"/>
                <w:color w:val="auto"/>
                <w:szCs w:val="21"/>
              </w:rPr>
            </w:pPr>
          </w:p>
        </w:tc>
        <w:tc>
          <w:tcPr>
            <w:tcW w:w="1920" w:type="dxa"/>
            <w:vAlign w:val="center"/>
          </w:tcPr>
          <w:p>
            <w:pPr>
              <w:spacing w:line="240" w:lineRule="exact"/>
              <w:jc w:val="center"/>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售后服务</w:t>
            </w:r>
          </w:p>
          <w:p>
            <w:pPr>
              <w:spacing w:line="240" w:lineRule="exact"/>
              <w:jc w:val="center"/>
              <w:rPr>
                <w:rFonts w:hint="eastAsia" w:ascii="宋体" w:hAnsi="宋体" w:eastAsia="宋体" w:cs="Times New Roman"/>
                <w:color w:val="auto"/>
                <w:szCs w:val="21"/>
                <w:highlight w:val="none"/>
                <w:lang w:val="en-US" w:eastAsia="zh-CN"/>
              </w:rPr>
            </w:pPr>
          </w:p>
        </w:tc>
        <w:tc>
          <w:tcPr>
            <w:tcW w:w="684" w:type="dxa"/>
            <w:vAlign w:val="center"/>
          </w:tcPr>
          <w:p>
            <w:pPr>
              <w:spacing w:line="240" w:lineRule="exact"/>
              <w:jc w:val="center"/>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p>
        </w:tc>
        <w:tc>
          <w:tcPr>
            <w:tcW w:w="5942" w:type="dxa"/>
          </w:tcPr>
          <w:p>
            <w:pPr>
              <w:spacing w:line="500" w:lineRule="exact"/>
              <w:rPr>
                <w:rFonts w:hint="eastAsia" w:ascii="宋体" w:hAnsi="宋体" w:eastAsia="宋体" w:cs="Times New Roman"/>
                <w:color w:val="auto"/>
                <w:szCs w:val="21"/>
                <w:highlight w:val="none"/>
              </w:rPr>
            </w:pPr>
            <w:r>
              <w:rPr>
                <w:rFonts w:hint="eastAsia"/>
                <w:color w:val="auto"/>
              </w:rPr>
              <w:t>售后服务的内容及期限满足招标文件要求、且措施齐全、具体、合理</w:t>
            </w:r>
            <w:r>
              <w:rPr>
                <w:rFonts w:hint="eastAsia"/>
                <w:color w:val="auto"/>
                <w:lang w:eastAsia="zh-CN"/>
              </w:rPr>
              <w:t>（</w:t>
            </w:r>
            <w:r>
              <w:rPr>
                <w:rFonts w:hint="eastAsia"/>
                <w:color w:val="auto"/>
                <w:lang w:val="en-US" w:eastAsia="zh-CN"/>
              </w:rPr>
              <w:t>包含</w:t>
            </w:r>
            <w:r>
              <w:rPr>
                <w:rFonts w:hint="eastAsia"/>
                <w:color w:val="auto"/>
              </w:rPr>
              <w:t>售后服务和技术支持的方式、方法、内容，以及售后服务网点、地址、联系电话</w:t>
            </w:r>
            <w:r>
              <w:rPr>
                <w:rFonts w:hint="eastAsia"/>
                <w:color w:val="auto"/>
                <w:lang w:eastAsia="zh-CN"/>
              </w:rPr>
              <w:t>；</w:t>
            </w:r>
            <w:r>
              <w:rPr>
                <w:rFonts w:hint="eastAsia"/>
                <w:color w:val="auto"/>
              </w:rPr>
              <w:t>投标人应列明违反售后服务承诺的赔偿责任列明产品的质量或服务投诉电话等</w:t>
            </w:r>
            <w:r>
              <w:rPr>
                <w:rFonts w:hint="eastAsia"/>
                <w:color w:val="auto"/>
                <w:lang w:val="en-US" w:eastAsia="zh-CN"/>
              </w:rPr>
              <w:t>内容</w:t>
            </w:r>
            <w:r>
              <w:rPr>
                <w:rFonts w:hint="eastAsia"/>
                <w:color w:val="auto"/>
              </w:rPr>
              <w:t>）</w:t>
            </w:r>
            <w:r>
              <w:rPr>
                <w:rFonts w:hint="eastAsia"/>
                <w:color w:val="auto"/>
                <w:lang w:eastAsia="zh-CN"/>
              </w:rPr>
              <w:t>，</w:t>
            </w:r>
            <w:r>
              <w:rPr>
                <w:rFonts w:hint="eastAsia"/>
                <w:color w:val="auto"/>
                <w:lang w:val="en-US" w:eastAsia="zh-CN"/>
              </w:rPr>
              <w:t>并且</w:t>
            </w:r>
            <w:r>
              <w:rPr>
                <w:rFonts w:hint="eastAsia"/>
                <w:color w:val="auto"/>
              </w:rPr>
              <w:t>投标</w:t>
            </w:r>
            <w:r>
              <w:rPr>
                <w:color w:val="auto"/>
              </w:rPr>
              <w:t>单位承诺可在4个小时内派能处理故障的</w:t>
            </w:r>
            <w:r>
              <w:rPr>
                <w:rFonts w:hint="eastAsia"/>
                <w:color w:val="auto"/>
              </w:rPr>
              <w:t>维修</w:t>
            </w:r>
            <w:r>
              <w:rPr>
                <w:color w:val="auto"/>
              </w:rPr>
              <w:t>师赶到现场得</w:t>
            </w:r>
            <w:r>
              <w:rPr>
                <w:rFonts w:hint="eastAsia"/>
                <w:color w:val="auto"/>
                <w:lang w:val="en-US" w:eastAsia="zh-CN"/>
              </w:rPr>
              <w:t>4</w:t>
            </w:r>
            <w:r>
              <w:rPr>
                <w:color w:val="auto"/>
              </w:rPr>
              <w:t>分；能在1个小时内派能处理故障的</w:t>
            </w:r>
            <w:r>
              <w:rPr>
                <w:rFonts w:hint="eastAsia"/>
                <w:color w:val="auto"/>
              </w:rPr>
              <w:t>维修</w:t>
            </w:r>
            <w:r>
              <w:rPr>
                <w:color w:val="auto"/>
              </w:rPr>
              <w:t>师赶到现场得</w:t>
            </w:r>
            <w:r>
              <w:rPr>
                <w:rFonts w:hint="eastAsia"/>
                <w:color w:val="auto"/>
                <w:lang w:val="en-US" w:eastAsia="zh-CN"/>
              </w:rPr>
              <w:t>6</w:t>
            </w:r>
            <w:r>
              <w:rPr>
                <w:color w:val="auto"/>
              </w:rPr>
              <w:t>分，否则不得分。</w:t>
            </w:r>
          </w:p>
        </w:tc>
      </w:tr>
    </w:tbl>
    <w:p>
      <w:pPr>
        <w:pStyle w:val="5"/>
      </w:pPr>
    </w:p>
    <w:p>
      <w:pPr>
        <w:spacing w:line="360" w:lineRule="auto"/>
        <w:rPr>
          <w:rFonts w:ascii="宋体" w:hAnsi="宋体"/>
          <w:sz w:val="24"/>
        </w:rPr>
      </w:pPr>
      <w:r>
        <w:rPr>
          <w:rFonts w:hint="eastAsia" w:ascii="宋体" w:hAnsi="宋体"/>
          <w:b/>
          <w:sz w:val="24"/>
        </w:rPr>
        <w:t>注：计分原则：</w:t>
      </w:r>
    </w:p>
    <w:p>
      <w:pPr>
        <w:spacing w:line="360" w:lineRule="auto"/>
        <w:ind w:firstLine="480" w:firstLineChars="200"/>
        <w:jc w:val="left"/>
        <w:rPr>
          <w:rFonts w:ascii="宋体" w:hAnsi="宋体"/>
          <w:sz w:val="24"/>
        </w:rPr>
      </w:pPr>
      <w:r>
        <w:rPr>
          <w:rFonts w:hint="eastAsia" w:ascii="宋体" w:hAnsi="宋体"/>
          <w:sz w:val="24"/>
        </w:rPr>
        <w:t>（1）技术部分由磋商小组专家分别打分后，取平均分作为技术分最后得分。</w:t>
      </w:r>
    </w:p>
    <w:p>
      <w:pPr>
        <w:spacing w:line="360" w:lineRule="auto"/>
        <w:ind w:firstLine="480" w:firstLineChars="200"/>
        <w:jc w:val="left"/>
        <w:rPr>
          <w:rFonts w:ascii="宋体" w:hAnsi="宋体"/>
          <w:sz w:val="24"/>
        </w:rPr>
      </w:pPr>
      <w:r>
        <w:rPr>
          <w:rFonts w:hint="eastAsia" w:ascii="宋体" w:hAnsi="宋体"/>
          <w:sz w:val="24"/>
        </w:rPr>
        <w:t>（2）磋商小组委员评分的算术平均值为供应商的最终得分。评分计算保留2位小数，第三位小数四舍五入。</w:t>
      </w:r>
    </w:p>
    <w:p>
      <w:pPr>
        <w:spacing w:line="360" w:lineRule="auto"/>
        <w:ind w:firstLine="523" w:firstLineChars="218"/>
        <w:rPr>
          <w:rFonts w:ascii="宋体" w:hAnsi="宋体"/>
          <w:sz w:val="24"/>
        </w:rPr>
      </w:pPr>
      <w:r>
        <w:rPr>
          <w:rFonts w:hint="eastAsia" w:ascii="宋体" w:hAnsi="宋体"/>
          <w:sz w:val="24"/>
        </w:rPr>
        <w:t>（3）得分相同的，按技术指标优劣顺序排列。</w:t>
      </w:r>
    </w:p>
    <w:p>
      <w:pPr>
        <w:spacing w:line="360" w:lineRule="auto"/>
        <w:ind w:firstLine="523" w:firstLineChars="218"/>
        <w:rPr>
          <w:rFonts w:ascii="宋体" w:hAnsi="宋体"/>
          <w:sz w:val="24"/>
        </w:rPr>
      </w:pPr>
      <w:r>
        <w:rPr>
          <w:rFonts w:hint="eastAsia" w:ascii="宋体" w:hAnsi="宋体"/>
          <w:sz w:val="24"/>
        </w:rPr>
        <w:t>（4）磋商小组按评分排序确定中标供应商，同时提交评标报告，由磋商小组成员集体签名。</w:t>
      </w:r>
    </w:p>
    <w:p>
      <w:pPr>
        <w:spacing w:line="360" w:lineRule="auto"/>
        <w:ind w:firstLine="523" w:firstLineChars="218"/>
        <w:rPr>
          <w:rFonts w:ascii="宋体" w:hAnsi="宋体"/>
          <w:sz w:val="24"/>
        </w:rPr>
      </w:pPr>
      <w:r>
        <w:rPr>
          <w:rFonts w:hint="eastAsia" w:ascii="宋体" w:hAnsi="宋体"/>
          <w:sz w:val="24"/>
        </w:rPr>
        <w:t>（5）评标中如遇未考虑到的问题，由磋商小组成员集体研究处理决定。</w:t>
      </w:r>
    </w:p>
    <w:p>
      <w:pPr>
        <w:spacing w:line="360" w:lineRule="auto"/>
        <w:ind w:firstLine="525" w:firstLineChars="218"/>
        <w:rPr>
          <w:rFonts w:ascii="宋体" w:hAnsi="宋体"/>
          <w:sz w:val="24"/>
        </w:rPr>
      </w:pPr>
      <w:r>
        <w:rPr>
          <w:rFonts w:ascii="宋体" w:hAnsi="宋体"/>
          <w:b/>
          <w:bCs/>
          <w:sz w:val="24"/>
        </w:rPr>
        <w:t>5.</w:t>
      </w:r>
      <w:r>
        <w:rPr>
          <w:rFonts w:hint="eastAsia" w:ascii="宋体" w:hAnsi="宋体"/>
          <w:b/>
          <w:bCs/>
          <w:sz w:val="24"/>
        </w:rPr>
        <w:t>其他注意事项：</w:t>
      </w:r>
    </w:p>
    <w:p>
      <w:pPr>
        <w:spacing w:line="360" w:lineRule="auto"/>
        <w:ind w:firstLine="480" w:firstLineChars="200"/>
        <w:jc w:val="left"/>
        <w:rPr>
          <w:rFonts w:ascii="宋体" w:hAnsi="宋体"/>
          <w:sz w:val="24"/>
        </w:rPr>
      </w:pPr>
      <w:r>
        <w:rPr>
          <w:rFonts w:hint="eastAsia" w:ascii="宋体" w:hAnsi="宋体"/>
          <w:sz w:val="24"/>
        </w:rPr>
        <w:t>（1）评标工作在磋商小组内独立进行。</w:t>
      </w:r>
    </w:p>
    <w:p>
      <w:pPr>
        <w:spacing w:line="360" w:lineRule="auto"/>
        <w:ind w:firstLine="480" w:firstLineChars="200"/>
        <w:jc w:val="left"/>
        <w:rPr>
          <w:rFonts w:ascii="宋体" w:hAnsi="宋体"/>
          <w:sz w:val="24"/>
        </w:rPr>
      </w:pPr>
      <w:r>
        <w:rPr>
          <w:rFonts w:hint="eastAsia" w:ascii="宋体" w:hAnsi="宋体"/>
          <w:sz w:val="24"/>
        </w:rPr>
        <w:t>（2）为了有助于对投标进行审查、评估和比较，磋商小组有权向供应商质疑、查看有关资质原件、供应商解释投标内容。供应商有责任按照磋商小组通知的时间、地点指派专人进行答疑、澄清、提供有关资质原件。</w:t>
      </w:r>
    </w:p>
    <w:p>
      <w:pPr>
        <w:spacing w:line="360" w:lineRule="auto"/>
        <w:ind w:firstLine="480" w:firstLineChars="200"/>
        <w:jc w:val="left"/>
        <w:rPr>
          <w:rFonts w:ascii="宋体" w:hAnsi="宋体"/>
          <w:sz w:val="24"/>
        </w:rPr>
      </w:pPr>
      <w:r>
        <w:rPr>
          <w:rFonts w:hint="eastAsia" w:ascii="宋体" w:hAnsi="宋体"/>
          <w:sz w:val="24"/>
        </w:rPr>
        <w:t>（3）在开标、评标期间，供应商不得向磋商小组成员询问情况，不得进行影响评标结果的活动。</w:t>
      </w:r>
    </w:p>
    <w:p>
      <w:pPr>
        <w:spacing w:line="360" w:lineRule="auto"/>
        <w:ind w:firstLine="480" w:firstLineChars="200"/>
        <w:jc w:val="left"/>
        <w:rPr>
          <w:rFonts w:ascii="宋体" w:hAnsi="宋体"/>
          <w:sz w:val="24"/>
        </w:rPr>
      </w:pPr>
      <w:r>
        <w:rPr>
          <w:rFonts w:hint="eastAsia" w:ascii="宋体" w:hAnsi="宋体"/>
          <w:sz w:val="24"/>
        </w:rPr>
        <w:t>（4）采购人、招标机构及磋商小组不向落标方解释原因，不退还磋商响应文件。</w:t>
      </w:r>
    </w:p>
    <w:p>
      <w:pPr>
        <w:spacing w:line="360" w:lineRule="auto"/>
        <w:ind w:firstLine="480" w:firstLineChars="200"/>
        <w:jc w:val="left"/>
        <w:rPr>
          <w:rFonts w:hint="eastAsia" w:ascii="宋体" w:hAnsi="宋体"/>
          <w:sz w:val="24"/>
        </w:rPr>
      </w:pPr>
      <w:r>
        <w:rPr>
          <w:rFonts w:hint="eastAsia" w:ascii="宋体" w:hAnsi="宋体"/>
          <w:sz w:val="24"/>
        </w:rPr>
        <w:t>（5）在招标过程中如供应商有不正当行为时，磋商小组有权中止其投标资格。</w:t>
      </w: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rPr>
          <w:rFonts w:hint="eastAsia" w:ascii="宋体" w:hAnsi="宋体"/>
          <w:sz w:val="24"/>
        </w:rPr>
      </w:pPr>
    </w:p>
    <w:p>
      <w:pPr>
        <w:pStyle w:val="5"/>
        <w:rPr>
          <w:rFonts w:hint="eastAsia" w:ascii="宋体" w:hAnsi="宋体"/>
          <w:sz w:val="24"/>
        </w:rPr>
      </w:pPr>
    </w:p>
    <w:p>
      <w:pPr>
        <w:pStyle w:val="5"/>
      </w:pPr>
    </w:p>
    <w:p/>
    <w:p>
      <w:pPr>
        <w:pStyle w:val="2"/>
      </w:pPr>
    </w:p>
    <w:p>
      <w:pPr>
        <w:pStyle w:val="16"/>
        <w:numPr>
          <w:ilvl w:val="0"/>
          <w:numId w:val="8"/>
        </w:numPr>
        <w:spacing w:before="4800" w:beforeLines="2000" w:after="0"/>
        <w:jc w:val="both"/>
      </w:pPr>
      <w:bookmarkStart w:id="379" w:name="_Toc24503"/>
      <w:r>
        <w:rPr>
          <w:rFonts w:hint="eastAsia"/>
        </w:rPr>
        <w:t xml:space="preserve"> </w:t>
      </w:r>
      <w:bookmarkEnd w:id="379"/>
      <w:r>
        <w:rPr>
          <w:rFonts w:hint="eastAsia"/>
        </w:rPr>
        <w:t>招标要求及清单</w:t>
      </w:r>
    </w:p>
    <w:p/>
    <w:p>
      <w:pPr>
        <w:spacing w:line="360" w:lineRule="auto"/>
        <w:ind w:firstLine="3935" w:firstLineChars="1400"/>
        <w:rPr>
          <w:rFonts w:hint="eastAsia" w:eastAsia="宋体"/>
          <w:b/>
          <w:sz w:val="28"/>
          <w:szCs w:val="28"/>
          <w:lang w:eastAsia="zh-CN"/>
        </w:rPr>
      </w:pPr>
      <w:r>
        <w:rPr>
          <w:rFonts w:hint="eastAsia"/>
          <w:b/>
          <w:sz w:val="28"/>
          <w:szCs w:val="28"/>
        </w:rPr>
        <w:t>采购清单</w:t>
      </w:r>
      <w:r>
        <w:rPr>
          <w:rFonts w:hint="eastAsia"/>
          <w:b/>
          <w:sz w:val="28"/>
          <w:szCs w:val="28"/>
          <w:lang w:eastAsia="zh-CN"/>
        </w:rPr>
        <w:t>附后</w:t>
      </w:r>
    </w:p>
    <w:p>
      <w:pPr>
        <w:rPr>
          <w:rFonts w:hint="eastAsia"/>
        </w:rPr>
      </w:pPr>
    </w:p>
    <w:p>
      <w:pPr>
        <w:pStyle w:val="17"/>
        <w:ind w:left="0" w:leftChars="0" w:firstLine="0" w:firstLineChars="0"/>
      </w:pPr>
    </w:p>
    <w:p>
      <w:pPr>
        <w:adjustRightInd w:val="0"/>
        <w:snapToGrid w:val="0"/>
        <w:spacing w:line="440" w:lineRule="exact"/>
        <w:ind w:firstLine="480" w:firstLineChars="200"/>
        <w:jc w:val="center"/>
        <w:rPr>
          <w:rFonts w:ascii="宋体" w:hAnsi="宋体"/>
          <w:sz w:val="24"/>
        </w:rPr>
      </w:pPr>
    </w:p>
    <w:p>
      <w:pPr>
        <w:spacing w:before="4800" w:beforeLines="2000"/>
        <w:jc w:val="center"/>
        <w:rPr>
          <w:rStyle w:val="26"/>
          <w:rFonts w:hint="eastAsia"/>
        </w:rPr>
      </w:pPr>
      <w:bookmarkStart w:id="380" w:name="_Toc27056"/>
    </w:p>
    <w:p>
      <w:pPr>
        <w:spacing w:before="4800" w:beforeLines="2000"/>
        <w:jc w:val="center"/>
        <w:rPr>
          <w:rStyle w:val="26"/>
          <w:rFonts w:hint="eastAsia"/>
        </w:rPr>
      </w:pPr>
    </w:p>
    <w:p>
      <w:pPr>
        <w:spacing w:before="4800" w:beforeLines="2000"/>
        <w:jc w:val="center"/>
        <w:rPr>
          <w:rStyle w:val="26"/>
        </w:rPr>
      </w:pPr>
      <w:r>
        <w:rPr>
          <w:rStyle w:val="26"/>
          <w:rFonts w:hint="eastAsia"/>
        </w:rPr>
        <w:t>第五章 磋商响应文件格式</w:t>
      </w:r>
    </w:p>
    <w:bookmarkEnd w:id="380"/>
    <w:p>
      <w:pPr>
        <w:widowControl/>
        <w:spacing w:line="440" w:lineRule="exact"/>
        <w:jc w:val="both"/>
        <w:rPr>
          <w:rFonts w:ascii="宋体"/>
          <w:sz w:val="28"/>
          <w:szCs w:val="28"/>
          <w:u w:val="single"/>
        </w:rPr>
      </w:pPr>
      <w:bookmarkStart w:id="381" w:name="_Toc229198098"/>
      <w:bookmarkStart w:id="382" w:name="_Toc274816744"/>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r>
        <w:rPr>
          <w:rFonts w:hint="eastAsia" w:asciiTheme="minorEastAsia" w:hAnsiTheme="minorEastAsia" w:eastAsiaTheme="minorEastAsia" w:cstheme="minorEastAsia"/>
          <w:sz w:val="24"/>
        </w:rPr>
        <mc:AlternateContent>
          <mc:Choice Requires="wps">
            <w:drawing>
              <wp:anchor distT="0" distB="0" distL="114300" distR="114300" simplePos="0" relativeHeight="251659264" behindDoc="0" locked="0" layoutInCell="1" allowOverlap="1">
                <wp:simplePos x="0" y="0"/>
                <wp:positionH relativeFrom="column">
                  <wp:posOffset>4114800</wp:posOffset>
                </wp:positionH>
                <wp:positionV relativeFrom="paragraph">
                  <wp:posOffset>0</wp:posOffset>
                </wp:positionV>
                <wp:extent cx="1137285" cy="331470"/>
                <wp:effectExtent l="4445" t="4445" r="20320" b="6985"/>
                <wp:wrapNone/>
                <wp:docPr id="1" name="文本框 1"/>
                <wp:cNvGraphicFramePr/>
                <a:graphic xmlns:a="http://schemas.openxmlformats.org/drawingml/2006/main">
                  <a:graphicData uri="http://schemas.microsoft.com/office/word/2010/wordprocessingShape">
                    <wps:wsp>
                      <wps:cNvSpPr txBox="1"/>
                      <wps:spPr>
                        <a:xfrm>
                          <a:off x="0" y="0"/>
                          <a:ext cx="1137285" cy="33147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ascii="黑体" w:eastAsia="黑体"/>
                                <w:b/>
                                <w:sz w:val="28"/>
                                <w:szCs w:val="28"/>
                              </w:rPr>
                            </w:pPr>
                            <w:r>
                              <w:rPr>
                                <w:rFonts w:hint="eastAsia" w:ascii="黑体" w:hAnsi="宋体" w:eastAsia="黑体"/>
                                <w:b/>
                                <w:sz w:val="28"/>
                                <w:szCs w:val="28"/>
                              </w:rPr>
                              <w:t>正本或副本</w:t>
                            </w:r>
                          </w:p>
                        </w:txbxContent>
                      </wps:txbx>
                      <wps:bodyPr wrap="square" upright="1">
                        <a:spAutoFit/>
                      </wps:bodyPr>
                    </wps:wsp>
                  </a:graphicData>
                </a:graphic>
              </wp:anchor>
            </w:drawing>
          </mc:Choice>
          <mc:Fallback>
            <w:pict>
              <v:shape id="_x0000_s1026" o:spid="_x0000_s1026" o:spt="202" type="#_x0000_t202" style="position:absolute;left:0pt;margin-left:324pt;margin-top:0pt;height:26.1pt;width:89.55pt;z-index:251659264;mso-width-relative:page;mso-height-relative:page;" fillcolor="#FFFFFF" filled="t" stroked="t" coordsize="21600,21600" o:gfxdata="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dHjT+2AAAAAcBAAAPAAAAAAAAAAEAIAAAACIAAABkcnMvZG93bnJldi54bWxQSwECFAAUAAAA&#10;CACHTuJAuob0RycCAABsBAAADgAAAAAAAAABACAAAAAnAQAAZHJzL2Uyb0RvYy54bWxQSwUGAAAA&#10;AAYABgBZAQAAwAUAAAAA&#10;">
                <v:fill on="t" focussize="0,0"/>
                <v:stroke color="#000000" joinstyle="miter"/>
                <v:imagedata o:title=""/>
                <o:lock v:ext="edit" aspectratio="f"/>
                <v:textbox style="mso-fit-shape-to-text:t;">
                  <w:txbxContent>
                    <w:p>
                      <w:pPr>
                        <w:rPr>
                          <w:rFonts w:ascii="黑体" w:eastAsia="黑体"/>
                          <w:b/>
                          <w:sz w:val="28"/>
                          <w:szCs w:val="28"/>
                        </w:rPr>
                      </w:pPr>
                      <w:r>
                        <w:rPr>
                          <w:rFonts w:hint="eastAsia" w:ascii="黑体" w:hAnsi="宋体" w:eastAsia="黑体"/>
                          <w:b/>
                          <w:sz w:val="28"/>
                          <w:szCs w:val="28"/>
                        </w:rPr>
                        <w:t>正本或副本</w:t>
                      </w:r>
                    </w:p>
                  </w:txbxContent>
                </v:textbox>
              </v:shape>
            </w:pict>
          </mc:Fallback>
        </mc:AlternateContent>
      </w:r>
      <w:r>
        <w:rPr>
          <w:rFonts w:hint="eastAsia" w:asciiTheme="minorEastAsia" w:hAnsiTheme="minorEastAsia" w:eastAsiaTheme="minorEastAsia" w:cstheme="minorEastAsia"/>
          <w:bCs/>
          <w:sz w:val="24"/>
        </w:rPr>
        <w:t>投标文件封底格式</w:t>
      </w:r>
    </w:p>
    <w:p>
      <w:pPr>
        <w:spacing w:line="300" w:lineRule="exact"/>
        <w:rPr>
          <w:rFonts w:asciiTheme="minorEastAsia" w:hAnsiTheme="minorEastAsia" w:eastAsiaTheme="minorEastAsia" w:cstheme="minorEastAsia"/>
          <w:bCs/>
          <w:sz w:val="24"/>
        </w:rPr>
      </w:pPr>
    </w:p>
    <w:p>
      <w:pPr>
        <w:spacing w:line="1000" w:lineRule="exact"/>
        <w:rPr>
          <w:rFonts w:asciiTheme="minorEastAsia" w:hAnsiTheme="minorEastAsia" w:eastAsiaTheme="minorEastAsia" w:cstheme="minorEastAsia"/>
          <w:sz w:val="24"/>
        </w:rPr>
      </w:pPr>
    </w:p>
    <w:p>
      <w:pPr>
        <w:spacing w:line="1000" w:lineRule="exact"/>
        <w:rPr>
          <w:rFonts w:asciiTheme="minorEastAsia" w:hAnsiTheme="minorEastAsia" w:eastAsiaTheme="minorEastAsia" w:cstheme="minorEastAsia"/>
          <w:b/>
          <w:spacing w:val="78"/>
          <w:sz w:val="24"/>
        </w:rPr>
      </w:pPr>
    </w:p>
    <w:p>
      <w:pPr>
        <w:spacing w:line="1000" w:lineRule="exact"/>
        <w:jc w:val="center"/>
        <w:rPr>
          <w:rFonts w:asciiTheme="minorEastAsia" w:hAnsiTheme="minorEastAsia" w:eastAsiaTheme="minorEastAsia" w:cstheme="minorEastAsia"/>
          <w:b/>
          <w:spacing w:val="78"/>
          <w:sz w:val="24"/>
        </w:rPr>
      </w:pPr>
      <w:r>
        <w:rPr>
          <w:rFonts w:hint="eastAsia" w:asciiTheme="minorEastAsia" w:hAnsiTheme="minorEastAsia" w:eastAsiaTheme="minorEastAsia" w:cstheme="minorEastAsia"/>
          <w:b/>
          <w:spacing w:val="78"/>
          <w:sz w:val="24"/>
        </w:rPr>
        <w:t>投 标 文 件</w:t>
      </w:r>
    </w:p>
    <w:p>
      <w:pPr>
        <w:spacing w:line="500" w:lineRule="exact"/>
        <w:jc w:val="center"/>
        <w:rPr>
          <w:rFonts w:asciiTheme="minorEastAsia" w:hAnsiTheme="minorEastAsia" w:eastAsiaTheme="minorEastAsia" w:cstheme="minorEastAsia"/>
          <w:b/>
          <w:bCs/>
          <w:sz w:val="24"/>
        </w:rPr>
      </w:pPr>
    </w:p>
    <w:p>
      <w:pPr>
        <w:spacing w:line="500" w:lineRule="exact"/>
        <w:jc w:val="center"/>
        <w:rPr>
          <w:rFonts w:asciiTheme="minorEastAsia" w:hAnsiTheme="minorEastAsia" w:eastAsiaTheme="minorEastAsia" w:cstheme="minorEastAsia"/>
          <w:b/>
          <w:bCs/>
          <w:sz w:val="24"/>
        </w:rPr>
      </w:pPr>
    </w:p>
    <w:p>
      <w:pPr>
        <w:spacing w:line="500" w:lineRule="exact"/>
        <w:jc w:val="center"/>
        <w:rPr>
          <w:rFonts w:asciiTheme="minorEastAsia" w:hAnsiTheme="minorEastAsia" w:eastAsiaTheme="minorEastAsia" w:cstheme="minorEastAsia"/>
          <w:b/>
          <w:bCs/>
          <w:sz w:val="24"/>
        </w:rPr>
      </w:pPr>
    </w:p>
    <w:p>
      <w:pPr>
        <w:spacing w:line="500" w:lineRule="exact"/>
        <w:jc w:val="center"/>
        <w:rPr>
          <w:rFonts w:asciiTheme="minorEastAsia" w:hAnsiTheme="minorEastAsia" w:eastAsiaTheme="minorEastAsia" w:cstheme="minorEastAsia"/>
          <w:b/>
          <w:bCs/>
          <w:sz w:val="24"/>
        </w:rPr>
      </w:pPr>
    </w:p>
    <w:p>
      <w:pPr>
        <w:spacing w:line="420" w:lineRule="exact"/>
        <w:jc w:val="left"/>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项目编号：</w:t>
      </w:r>
    </w:p>
    <w:p>
      <w:pPr>
        <w:spacing w:line="420" w:lineRule="exact"/>
        <w:jc w:val="left"/>
        <w:rPr>
          <w:rFonts w:asciiTheme="minorEastAsia" w:hAnsiTheme="minorEastAsia" w:eastAsiaTheme="minorEastAsia" w:cstheme="minorEastAsia"/>
          <w:b/>
          <w:bCs/>
          <w:sz w:val="24"/>
        </w:rPr>
      </w:pPr>
    </w:p>
    <w:p>
      <w:pPr>
        <w:spacing w:line="420" w:lineRule="exact"/>
        <w:jc w:val="left"/>
        <w:rPr>
          <w:rFonts w:asciiTheme="minorEastAsia" w:hAnsiTheme="minorEastAsia" w:eastAsiaTheme="minorEastAsia" w:cstheme="minorEastAsia"/>
          <w:b/>
          <w:bCs/>
          <w:sz w:val="24"/>
          <w:u w:val="single"/>
        </w:rPr>
      </w:pPr>
      <w:r>
        <w:rPr>
          <w:rFonts w:hint="eastAsia" w:asciiTheme="minorEastAsia" w:hAnsiTheme="minorEastAsia" w:eastAsiaTheme="minorEastAsia" w:cstheme="minorEastAsia"/>
          <w:b/>
          <w:bCs/>
          <w:sz w:val="24"/>
        </w:rPr>
        <w:t>项目名称：</w:t>
      </w:r>
    </w:p>
    <w:p>
      <w:pPr>
        <w:spacing w:line="420" w:lineRule="exact"/>
        <w:jc w:val="left"/>
        <w:rPr>
          <w:rFonts w:asciiTheme="minorEastAsia" w:hAnsiTheme="minorEastAsia" w:eastAsiaTheme="minorEastAsia" w:cstheme="minorEastAsia"/>
          <w:b/>
          <w:bCs/>
          <w:sz w:val="24"/>
        </w:rPr>
      </w:pPr>
    </w:p>
    <w:p>
      <w:pPr>
        <w:spacing w:line="420" w:lineRule="exact"/>
        <w:jc w:val="left"/>
        <w:rPr>
          <w:rFonts w:asciiTheme="minorEastAsia" w:hAnsiTheme="minorEastAsia" w:eastAsiaTheme="minorEastAsia" w:cstheme="minorEastAsia"/>
          <w:b/>
          <w:bCs/>
          <w:sz w:val="24"/>
          <w:u w:val="single"/>
        </w:rPr>
      </w:pPr>
      <w:r>
        <w:rPr>
          <w:rFonts w:hint="eastAsia" w:asciiTheme="minorEastAsia" w:hAnsiTheme="minorEastAsia" w:eastAsiaTheme="minorEastAsia" w:cstheme="minorEastAsia"/>
          <w:b/>
          <w:bCs/>
          <w:sz w:val="24"/>
        </w:rPr>
        <w:t>投标包（项）数：</w:t>
      </w:r>
    </w:p>
    <w:p>
      <w:pPr>
        <w:spacing w:line="420" w:lineRule="exact"/>
        <w:jc w:val="left"/>
        <w:rPr>
          <w:rFonts w:asciiTheme="minorEastAsia" w:hAnsiTheme="minorEastAsia" w:eastAsiaTheme="minorEastAsia" w:cstheme="minorEastAsia"/>
          <w:b/>
          <w:bCs/>
          <w:sz w:val="24"/>
        </w:rPr>
      </w:pPr>
    </w:p>
    <w:p>
      <w:pPr>
        <w:spacing w:line="420" w:lineRule="exact"/>
        <w:jc w:val="center"/>
        <w:rPr>
          <w:rFonts w:asciiTheme="minorEastAsia" w:hAnsiTheme="minorEastAsia" w:eastAsiaTheme="minorEastAsia" w:cstheme="minorEastAsia"/>
          <w:b/>
          <w:bCs/>
          <w:sz w:val="24"/>
        </w:rPr>
      </w:pPr>
    </w:p>
    <w:p>
      <w:pPr>
        <w:spacing w:line="420" w:lineRule="exact"/>
        <w:jc w:val="center"/>
        <w:rPr>
          <w:rFonts w:asciiTheme="minorEastAsia" w:hAnsiTheme="minorEastAsia" w:eastAsiaTheme="minorEastAsia" w:cstheme="minorEastAsia"/>
          <w:b/>
          <w:bCs/>
          <w:sz w:val="24"/>
        </w:rPr>
      </w:pPr>
    </w:p>
    <w:p>
      <w:pPr>
        <w:spacing w:line="420" w:lineRule="exact"/>
        <w:jc w:val="center"/>
        <w:rPr>
          <w:rFonts w:asciiTheme="minorEastAsia" w:hAnsiTheme="minorEastAsia" w:eastAsiaTheme="minorEastAsia" w:cstheme="minorEastAsia"/>
          <w:b/>
          <w:bCs/>
          <w:sz w:val="24"/>
        </w:rPr>
      </w:pPr>
    </w:p>
    <w:p>
      <w:pPr>
        <w:spacing w:line="420" w:lineRule="exact"/>
        <w:jc w:val="both"/>
        <w:rPr>
          <w:rFonts w:asciiTheme="minorEastAsia" w:hAnsiTheme="minorEastAsia" w:eastAsiaTheme="minorEastAsia" w:cstheme="minorEastAsia"/>
          <w:b/>
          <w:bCs/>
          <w:sz w:val="24"/>
        </w:rPr>
      </w:pPr>
    </w:p>
    <w:p>
      <w:pPr>
        <w:spacing w:line="420" w:lineRule="exact"/>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投标人（加盖公章）：</w:t>
      </w:r>
    </w:p>
    <w:p>
      <w:pPr>
        <w:spacing w:line="420" w:lineRule="exact"/>
        <w:jc w:val="center"/>
        <w:rPr>
          <w:rFonts w:asciiTheme="minorEastAsia" w:hAnsiTheme="minorEastAsia" w:eastAsiaTheme="minorEastAsia" w:cstheme="minorEastAsia"/>
          <w:b/>
          <w:bCs/>
          <w:sz w:val="24"/>
        </w:rPr>
      </w:pPr>
    </w:p>
    <w:p>
      <w:pPr>
        <w:spacing w:line="420" w:lineRule="exact"/>
        <w:jc w:val="center"/>
        <w:rPr>
          <w:rFonts w:asciiTheme="minorEastAsia" w:hAnsiTheme="minorEastAsia" w:eastAsiaTheme="minorEastAsia" w:cstheme="minorEastAsia"/>
          <w:b/>
          <w:bCs/>
          <w:spacing w:val="-40"/>
          <w:sz w:val="24"/>
        </w:rPr>
      </w:pPr>
      <w:r>
        <w:rPr>
          <w:rFonts w:hint="eastAsia" w:asciiTheme="minorEastAsia" w:hAnsiTheme="minorEastAsia" w:eastAsiaTheme="minorEastAsia" w:cstheme="minorEastAsia"/>
          <w:b/>
          <w:bCs/>
          <w:spacing w:val="-24"/>
          <w:sz w:val="24"/>
        </w:rPr>
        <w:t>法定代表人或其全权代理人签字</w:t>
      </w:r>
      <w:r>
        <w:rPr>
          <w:rFonts w:hint="eastAsia" w:asciiTheme="minorEastAsia" w:hAnsiTheme="minorEastAsia" w:eastAsiaTheme="minorEastAsia" w:cstheme="minorEastAsia"/>
          <w:b/>
          <w:bCs/>
          <w:spacing w:val="-40"/>
          <w:sz w:val="24"/>
        </w:rPr>
        <w:t>：</w:t>
      </w:r>
    </w:p>
    <w:p>
      <w:pPr>
        <w:spacing w:line="500" w:lineRule="exact"/>
        <w:jc w:val="center"/>
        <w:rPr>
          <w:rFonts w:asciiTheme="minorEastAsia" w:hAnsiTheme="minorEastAsia" w:eastAsiaTheme="minorEastAsia" w:cstheme="minorEastAsia"/>
          <w:b/>
          <w:bCs/>
          <w:sz w:val="24"/>
        </w:rPr>
      </w:pPr>
    </w:p>
    <w:p>
      <w:pPr>
        <w:spacing w:line="500" w:lineRule="exact"/>
        <w:rPr>
          <w:rFonts w:asciiTheme="minorEastAsia" w:hAnsiTheme="minorEastAsia" w:eastAsiaTheme="minorEastAsia" w:cstheme="minorEastAsia"/>
          <w:b/>
          <w:bCs/>
          <w:sz w:val="24"/>
        </w:rPr>
      </w:pPr>
    </w:p>
    <w:p>
      <w:pPr>
        <w:spacing w:line="360" w:lineRule="auto"/>
        <w:ind w:firstLine="420" w:firstLineChars="200"/>
        <w:jc w:val="center"/>
        <w:rPr>
          <w:rFonts w:asciiTheme="minorEastAsia" w:hAnsiTheme="minorEastAsia" w:eastAsiaTheme="minorEastAsia" w:cstheme="minorEastAsia"/>
          <w:b/>
          <w:sz w:val="24"/>
        </w:rPr>
      </w:pPr>
      <w:r>
        <w:br w:type="page"/>
      </w:r>
      <w:bookmarkEnd w:id="381"/>
      <w:bookmarkEnd w:id="382"/>
      <w:r>
        <w:rPr>
          <w:rFonts w:hint="eastAsia" w:asciiTheme="minorEastAsia" w:hAnsiTheme="minorEastAsia" w:eastAsiaTheme="minorEastAsia" w:cstheme="minorEastAsia"/>
          <w:b/>
          <w:sz w:val="24"/>
        </w:rPr>
        <w:t>投 标 函</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致：</w:t>
      </w:r>
    </w:p>
    <w:p>
      <w:pPr>
        <w:tabs>
          <w:tab w:val="left" w:pos="540"/>
          <w:tab w:val="left" w:pos="720"/>
          <w:tab w:val="left" w:pos="900"/>
        </w:tabs>
        <w:spacing w:line="44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我方对本次招标文件已详细审阅，内容全部清楚。我方自愿对此</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次采购项目投标，谨郑重声明以下诸点并对之负法律责任：</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1、我方同意招标文件的各项规定，赞同你方对招标文件的解释；</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2、我方提供的投标文件及资料、证照真实合法有效；</w:t>
      </w:r>
      <w:bookmarkStart w:id="395" w:name="_GoBack"/>
      <w:bookmarkEnd w:id="395"/>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3、我方愿向你方提供与本次招标有关的一切真实数据或资料；</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4、我方同意承担由投标文件内容填报不清或填报错误，所造成的无效标、废标、落标等后果;</w:t>
      </w:r>
    </w:p>
    <w:p>
      <w:pPr>
        <w:spacing w:line="440" w:lineRule="exact"/>
        <w:ind w:firstLine="480" w:firstLineChars="200"/>
        <w:rPr>
          <w:rFonts w:asciiTheme="minorEastAsia" w:hAnsiTheme="minorEastAsia" w:eastAsiaTheme="minorEastAsia" w:cstheme="minorEastAsia"/>
          <w:sz w:val="24"/>
          <w:shd w:val="clear" w:color="auto" w:fill="FFFFFF"/>
        </w:rPr>
      </w:pPr>
      <w:r>
        <w:rPr>
          <w:rFonts w:hint="eastAsia" w:asciiTheme="minorEastAsia" w:hAnsiTheme="minorEastAsia" w:eastAsiaTheme="minorEastAsia" w:cstheme="minorEastAsia"/>
          <w:sz w:val="24"/>
        </w:rPr>
        <w:t>5、我方赞同你方组织的评标委员会（组）所做出的评审和选择，同意</w:t>
      </w:r>
      <w:r>
        <w:rPr>
          <w:rFonts w:hint="eastAsia" w:asciiTheme="minorEastAsia" w:hAnsiTheme="minorEastAsia" w:eastAsiaTheme="minorEastAsia" w:cstheme="minorEastAsia"/>
          <w:sz w:val="24"/>
          <w:shd w:val="clear" w:color="auto" w:fill="FFFFFF"/>
        </w:rPr>
        <w:t>评标委员会无义务向投标人进行任何有关评标解释的规定</w:t>
      </w:r>
      <w:r>
        <w:rPr>
          <w:rFonts w:hint="eastAsia" w:asciiTheme="minorEastAsia" w:hAnsiTheme="minorEastAsia" w:eastAsiaTheme="minorEastAsia" w:cstheme="minorEastAsia"/>
          <w:sz w:val="24"/>
        </w:rPr>
        <w:t>；</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6、我方保证诚实履行合同，做到所供货物货真价实，绝不以次充好、以假充真，保质保量按期交货（完工）；</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7、我方完全理解本次招标不是最低价中标；</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8、我方保证按照服务承诺提供及时有效的售后服务；</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9</w:t>
      </w:r>
      <w:r>
        <w:rPr>
          <w:rFonts w:hint="eastAsia" w:asciiTheme="minorEastAsia" w:hAnsiTheme="minorEastAsia" w:eastAsiaTheme="minorEastAsia" w:cstheme="minorEastAsia"/>
          <w:sz w:val="24"/>
        </w:rPr>
        <w:t>、我方本次提交投标保证金人民币元整。如果违反本次招标文件规定，愿接受你方没收全部投标保证金的处罚；</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0</w:t>
      </w:r>
      <w:r>
        <w:rPr>
          <w:rFonts w:hint="eastAsia" w:asciiTheme="minorEastAsia" w:hAnsiTheme="minorEastAsia" w:eastAsiaTheme="minorEastAsia" w:cstheme="minorEastAsia"/>
          <w:sz w:val="24"/>
        </w:rPr>
        <w:t>、本次投标总价为（大写）；</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1</w:t>
      </w:r>
      <w:r>
        <w:rPr>
          <w:rFonts w:hint="eastAsia" w:asciiTheme="minorEastAsia" w:hAnsiTheme="minorEastAsia" w:eastAsiaTheme="minorEastAsia" w:cstheme="minorEastAsia"/>
          <w:sz w:val="24"/>
        </w:rPr>
        <w:t>、我方</w:t>
      </w:r>
      <w:r>
        <w:rPr>
          <w:rFonts w:hint="eastAsia" w:asciiTheme="minorEastAsia" w:hAnsiTheme="minorEastAsia" w:eastAsiaTheme="minorEastAsia" w:cstheme="minorEastAsia"/>
          <w:sz w:val="24"/>
          <w:lang w:val="en-US" w:eastAsia="zh-CN"/>
        </w:rPr>
        <w:t>中标后</w:t>
      </w:r>
      <w:r>
        <w:rPr>
          <w:rFonts w:hint="eastAsia" w:asciiTheme="minorEastAsia" w:hAnsiTheme="minorEastAsia" w:eastAsiaTheme="minorEastAsia" w:cstheme="minorEastAsia"/>
          <w:sz w:val="24"/>
        </w:rPr>
        <w:t>提交</w:t>
      </w:r>
      <w:r>
        <w:rPr>
          <w:rFonts w:hint="eastAsia" w:asciiTheme="minorEastAsia" w:hAnsiTheme="minorEastAsia" w:eastAsiaTheme="minorEastAsia" w:cstheme="minorEastAsia"/>
          <w:sz w:val="24"/>
          <w:lang w:val="en-US" w:eastAsia="zh-CN"/>
        </w:rPr>
        <w:t>纸质版</w:t>
      </w:r>
      <w:r>
        <w:rPr>
          <w:rFonts w:hint="eastAsia" w:asciiTheme="minorEastAsia" w:hAnsiTheme="minorEastAsia" w:eastAsiaTheme="minorEastAsia" w:cstheme="minorEastAsia"/>
          <w:sz w:val="24"/>
        </w:rPr>
        <w:t>投标文件正本</w:t>
      </w:r>
      <w:r>
        <w:rPr>
          <w:rFonts w:hint="eastAsia" w:asciiTheme="minorEastAsia" w:hAnsiTheme="minorEastAsia" w:eastAsiaTheme="minorEastAsia" w:cstheme="minorEastAsia"/>
          <w:sz w:val="24"/>
          <w:u w:val="single"/>
        </w:rPr>
        <w:t>一</w:t>
      </w:r>
      <w:r>
        <w:rPr>
          <w:rFonts w:hint="eastAsia" w:asciiTheme="minorEastAsia" w:hAnsiTheme="minorEastAsia" w:eastAsiaTheme="minorEastAsia" w:cstheme="minorEastAsia"/>
          <w:sz w:val="24"/>
        </w:rPr>
        <w:t>套，副本</w:t>
      </w:r>
      <w:r>
        <w:rPr>
          <w:rFonts w:hint="eastAsia" w:asciiTheme="minorEastAsia" w:hAnsiTheme="minorEastAsia" w:eastAsiaTheme="minorEastAsia" w:cstheme="minorEastAsia"/>
          <w:sz w:val="24"/>
          <w:u w:val="single"/>
          <w:lang w:val="en-US" w:eastAsia="zh-CN"/>
        </w:rPr>
        <w:t>一</w:t>
      </w:r>
      <w:r>
        <w:rPr>
          <w:rFonts w:hint="eastAsia" w:asciiTheme="minorEastAsia" w:hAnsiTheme="minorEastAsia" w:eastAsiaTheme="minorEastAsia" w:cstheme="minorEastAsia"/>
          <w:sz w:val="24"/>
        </w:rPr>
        <w:t>套；</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val="en-US" w:eastAsia="zh-CN"/>
        </w:rPr>
        <w:t>2</w:t>
      </w:r>
      <w:r>
        <w:rPr>
          <w:rFonts w:hint="eastAsia" w:asciiTheme="minorEastAsia" w:hAnsiTheme="minorEastAsia" w:eastAsiaTheme="minorEastAsia" w:cstheme="minorEastAsia"/>
          <w:sz w:val="24"/>
        </w:rPr>
        <w:t>、与本次招标的一切往来，请按下列方式联系：</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手机：</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电话：</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传真： </w:t>
      </w:r>
    </w:p>
    <w:p>
      <w:pPr>
        <w:spacing w:line="440" w:lineRule="exact"/>
        <w:ind w:firstLine="480" w:firstLineChars="2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法定代表人：</w:t>
      </w:r>
      <w:r>
        <w:rPr>
          <w:rFonts w:hint="eastAsia" w:asciiTheme="minorEastAsia" w:hAnsiTheme="minorEastAsia" w:eastAsiaTheme="minorEastAsia" w:cstheme="minorEastAsia"/>
          <w:sz w:val="24"/>
          <w:u w:val="single"/>
        </w:rPr>
        <w:t xml:space="preserve"> （签字）            </w:t>
      </w: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w:t>
      </w:r>
      <w:r>
        <w:rPr>
          <w:rFonts w:hint="eastAsia" w:asciiTheme="minorEastAsia" w:hAnsiTheme="minorEastAsia" w:eastAsiaTheme="minorEastAsia" w:cstheme="minorEastAsia"/>
          <w:sz w:val="24"/>
          <w:u w:val="single"/>
        </w:rPr>
        <w:t xml:space="preserve"> （签字）            </w:t>
      </w:r>
    </w:p>
    <w:p>
      <w:pPr>
        <w:spacing w:line="440" w:lineRule="exact"/>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投标单位全称：</w:t>
      </w:r>
    </w:p>
    <w:p>
      <w:pPr>
        <w:spacing w:line="440" w:lineRule="exact"/>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440" w:lineRule="exact"/>
        <w:ind w:firstLine="3240" w:firstLineChars="135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签署日期：      年     月     日</w:t>
      </w:r>
    </w:p>
    <w:p>
      <w:pPr>
        <w:spacing w:line="360" w:lineRule="auto"/>
        <w:rPr>
          <w:rFonts w:asciiTheme="minorEastAsia" w:hAnsiTheme="minorEastAsia" w:eastAsiaTheme="minorEastAsia" w:cstheme="minorEastAsia"/>
          <w:b/>
          <w:sz w:val="24"/>
        </w:rPr>
      </w:pPr>
    </w:p>
    <w:p>
      <w:pPr>
        <w:spacing w:line="360" w:lineRule="auto"/>
        <w:rPr>
          <w:rFonts w:hint="eastAsia"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附件2</w:t>
      </w: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反商业贿赂承诺书</w:t>
      </w:r>
    </w:p>
    <w:p>
      <w:pPr>
        <w:spacing w:line="360" w:lineRule="auto"/>
        <w:rPr>
          <w:rFonts w:asciiTheme="minorEastAsia" w:hAnsiTheme="minorEastAsia" w:eastAsiaTheme="minorEastAsia" w:cstheme="minorEastAsia"/>
          <w:sz w:val="24"/>
        </w:rPr>
      </w:pP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致：阿克苏XX单位</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为了进一步营造公平竞争的市场环境，维护市场秩序，我方在采购活动中郑重承诺：</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一、依法参与采购活动，遵纪守法，诚信经营，公平竞争。</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二、不向采购单位、集中采购机构和政府采购评审专家提供任何形式的商业贿赂；对索取或接受商业贿赂的单位和个人，及时向财政部门或纪检监察机关举报。</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三、坚决做到不提供虚假资质文件和虚假材料谋取中标。</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四、不采取不正当手段诋毁、排挤其他投标人，与其他投标人保持公平的竞争关系。</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五、不与采购单位、集中采购机构和政府采购评审专家串通，自觉维护政府采购公平竞争的市场秩序。</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六、不与其他投标人串通采取围标、陪标等商业欺诈手段谋取中标，积极维护国家利益、社会公共利益和采购单位的合法权益。</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七、严格履行政府采购合同约定的责任和义务，保质保量地完成采购合同规定的任务，准确兑现售后服务承诺。</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八、自觉接受并积极配合财政部门和纪检监察机关依法实施的监督检查，如实反映情况，及时提供有关证明材料。</w:t>
      </w:r>
    </w:p>
    <w:p>
      <w:pPr>
        <w:spacing w:line="360" w:lineRule="auto"/>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投标单位全称：</w:t>
      </w:r>
    </w:p>
    <w:p>
      <w:pPr>
        <w:spacing w:line="360" w:lineRule="auto"/>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360" w:lineRule="auto"/>
        <w:ind w:firstLine="3240" w:firstLineChars="135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签署日期：      年     月     日</w:t>
      </w: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p>
    <w:p>
      <w:pPr>
        <w:pStyle w:val="5"/>
      </w:pP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p>
    <w:p>
      <w:pPr>
        <w:spacing w:line="380" w:lineRule="exac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附件3</w:t>
      </w:r>
    </w:p>
    <w:p>
      <w:pPr>
        <w:rPr>
          <w:rFonts w:asciiTheme="minorEastAsia" w:hAnsiTheme="minorEastAsia" w:eastAsiaTheme="minorEastAsia" w:cstheme="minorEastAsia"/>
          <w:sz w:val="24"/>
        </w:rPr>
      </w:pPr>
    </w:p>
    <w:p>
      <w:pPr>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法定代表人资格证明文件</w:t>
      </w:r>
    </w:p>
    <w:p>
      <w:pPr>
        <w:spacing w:line="360" w:lineRule="auto"/>
        <w:rPr>
          <w:rFonts w:asciiTheme="minorEastAsia" w:hAnsiTheme="minorEastAsia" w:eastAsiaTheme="minorEastAsia" w:cstheme="minorEastAsia"/>
          <w:sz w:val="24"/>
        </w:rPr>
      </w:pP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我是</w:t>
      </w:r>
      <w:r>
        <w:rPr>
          <w:rFonts w:hint="eastAsia" w:asciiTheme="minorEastAsia" w:hAnsiTheme="minorEastAsia" w:eastAsiaTheme="minorEastAsia" w:cstheme="minorEastAsia"/>
          <w:sz w:val="24"/>
          <w:u w:val="single"/>
        </w:rPr>
        <w:t xml:space="preserve"> 投标单位全称                </w:t>
      </w:r>
      <w:r>
        <w:rPr>
          <w:rFonts w:hint="eastAsia" w:asciiTheme="minorEastAsia" w:hAnsiTheme="minorEastAsia" w:eastAsiaTheme="minorEastAsia" w:cstheme="minorEastAsia"/>
          <w:sz w:val="24"/>
        </w:rPr>
        <w:t>的法定代表人。参加阿克苏XX单位组织的</w:t>
      </w:r>
      <w:r>
        <w:rPr>
          <w:rFonts w:hint="eastAsia" w:asciiTheme="minorEastAsia" w:hAnsiTheme="minorEastAsia" w:eastAsiaTheme="minorEastAsia" w:cstheme="minorEastAsia"/>
          <w:sz w:val="24"/>
          <w:u w:val="single"/>
        </w:rPr>
        <w:t xml:space="preserve">     招标项目名称、招标编号         </w:t>
      </w:r>
      <w:r>
        <w:rPr>
          <w:rFonts w:hint="eastAsia" w:asciiTheme="minorEastAsia" w:hAnsiTheme="minorEastAsia" w:eastAsiaTheme="minorEastAsia" w:cstheme="minorEastAsia"/>
          <w:sz w:val="24"/>
        </w:rPr>
        <w:t>，负责签署本次投标文件、并全权处理开标、评标、澄清事项过程中的一切文件和签署合同以及处理与本次招标项目有关的一切事务。</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特此证明。</w:t>
      </w:r>
    </w:p>
    <w:p>
      <w:pPr>
        <w:spacing w:line="360" w:lineRule="auto"/>
        <w:ind w:firstLine="480" w:firstLineChars="200"/>
        <w:rPr>
          <w:rFonts w:asciiTheme="minorEastAsia" w:hAnsiTheme="minorEastAsia" w:eastAsiaTheme="minorEastAsia" w:cstheme="minorEastAsia"/>
          <w:sz w:val="24"/>
        </w:rPr>
      </w:pPr>
    </w:p>
    <w:p>
      <w:pPr>
        <w:spacing w:line="360" w:lineRule="auto"/>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投标单位全称：</w:t>
      </w:r>
    </w:p>
    <w:p>
      <w:pPr>
        <w:spacing w:line="360" w:lineRule="auto"/>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360" w:lineRule="auto"/>
        <w:ind w:firstLine="3240" w:firstLineChars="13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spacing w:line="360" w:lineRule="auto"/>
        <w:ind w:firstLine="3240" w:firstLineChars="1350"/>
        <w:rPr>
          <w:rFonts w:asciiTheme="minorEastAsia" w:hAnsiTheme="minorEastAsia" w:eastAsiaTheme="minorEastAsia" w:cstheme="minorEastAsia"/>
          <w:sz w:val="24"/>
        </w:rPr>
      </w:pP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注：1、法定代表人参加本次投标的应签署本文件并附本人身份证复印件；</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2、如法定代表人不参加本次投标，应签署《授权委托书》。</w:t>
      </w:r>
    </w:p>
    <w:tbl>
      <w:tblPr>
        <w:tblStyle w:val="19"/>
        <w:tblW w:w="5040" w:type="dxa"/>
        <w:tblInd w:w="1728" w:type="dxa"/>
        <w:tblLayout w:type="fixed"/>
        <w:tblCellMar>
          <w:top w:w="0" w:type="dxa"/>
          <w:left w:w="108" w:type="dxa"/>
          <w:bottom w:w="0" w:type="dxa"/>
          <w:right w:w="108" w:type="dxa"/>
        </w:tblCellMar>
      </w:tblPr>
      <w:tblGrid>
        <w:gridCol w:w="5040"/>
      </w:tblGrid>
      <w:tr>
        <w:tblPrEx>
          <w:tblCellMar>
            <w:top w:w="0" w:type="dxa"/>
            <w:left w:w="108" w:type="dxa"/>
            <w:bottom w:w="0" w:type="dxa"/>
            <w:right w:w="108" w:type="dxa"/>
          </w:tblCellMar>
        </w:tblPrEx>
        <w:trPr>
          <w:trHeight w:val="3622" w:hRule="atLeast"/>
        </w:trPr>
        <w:tc>
          <w:tcPr>
            <w:tcW w:w="5040" w:type="dxa"/>
            <w:noWrap/>
            <w:vAlign w:val="center"/>
          </w:tcPr>
          <w:p>
            <w:pPr>
              <w:pBdr>
                <w:left w:val="single" w:color="auto" w:sz="4" w:space="0"/>
                <w:bottom w:val="single" w:color="auto" w:sz="4" w:space="0"/>
                <w:right w:val="single" w:color="auto" w:sz="4" w:space="0"/>
              </w:pBdr>
              <w:spacing w:line="360" w:lineRule="auto"/>
              <w:rPr>
                <w:rFonts w:asciiTheme="minorEastAsia" w:hAnsiTheme="minorEastAsia" w:eastAsiaTheme="minorEastAsia" w:cstheme="minorEastAsia"/>
                <w:sz w:val="24"/>
              </w:rPr>
            </w:pPr>
          </w:p>
          <w:p>
            <w:pPr>
              <w:pBdr>
                <w:left w:val="single" w:color="auto" w:sz="4" w:space="0"/>
                <w:bottom w:val="single" w:color="auto" w:sz="4" w:space="0"/>
                <w:right w:val="single" w:color="auto" w:sz="4" w:space="0"/>
              </w:pBdr>
              <w:spacing w:line="360" w:lineRule="auto"/>
              <w:rPr>
                <w:rFonts w:asciiTheme="minorEastAsia" w:hAnsiTheme="minorEastAsia" w:eastAsiaTheme="minorEastAsia" w:cstheme="minorEastAsia"/>
                <w:sz w:val="24"/>
              </w:rPr>
            </w:pPr>
          </w:p>
          <w:p>
            <w:pPr>
              <w:pBdr>
                <w:left w:val="single" w:color="auto" w:sz="4" w:space="0"/>
                <w:bottom w:val="single" w:color="auto" w:sz="4" w:space="0"/>
                <w:right w:val="single" w:color="auto" w:sz="4" w:space="0"/>
              </w:pBdr>
              <w:spacing w:line="360" w:lineRule="auto"/>
              <w:ind w:firstLine="360" w:firstLineChars="1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法定代表人身份证复印件粘贴处</w:t>
            </w:r>
          </w:p>
          <w:p>
            <w:pPr>
              <w:pBdr>
                <w:left w:val="single" w:color="auto" w:sz="4" w:space="0"/>
                <w:bottom w:val="single" w:color="auto" w:sz="4" w:space="0"/>
                <w:right w:val="single" w:color="auto" w:sz="4" w:space="0"/>
              </w:pBdr>
              <w:spacing w:line="360" w:lineRule="auto"/>
              <w:rPr>
                <w:rFonts w:asciiTheme="minorEastAsia" w:hAnsiTheme="minorEastAsia" w:eastAsiaTheme="minorEastAsia" w:cstheme="minorEastAsia"/>
                <w:sz w:val="24"/>
              </w:rPr>
            </w:pPr>
          </w:p>
          <w:p>
            <w:pPr>
              <w:pBdr>
                <w:left w:val="single" w:color="auto" w:sz="4" w:space="0"/>
                <w:bottom w:val="single" w:color="auto" w:sz="4" w:space="0"/>
                <w:right w:val="single" w:color="auto" w:sz="4" w:space="0"/>
              </w:pBdr>
              <w:spacing w:line="360" w:lineRule="auto"/>
              <w:rPr>
                <w:rFonts w:asciiTheme="minorEastAsia" w:hAnsiTheme="minorEastAsia" w:eastAsiaTheme="minorEastAsia" w:cstheme="minorEastAsia"/>
                <w:sz w:val="24"/>
              </w:rPr>
            </w:pPr>
          </w:p>
        </w:tc>
      </w:tr>
    </w:tbl>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授权委托书</w:t>
      </w:r>
    </w:p>
    <w:p>
      <w:pPr>
        <w:widowControl/>
        <w:autoSpaceDE w:val="0"/>
        <w:autoSpaceDN w:val="0"/>
        <w:spacing w:line="360" w:lineRule="auto"/>
        <w:ind w:firstLine="480" w:firstLineChars="200"/>
        <w:textAlignment w:val="bottom"/>
        <w:rPr>
          <w:rFonts w:asciiTheme="minorEastAsia" w:hAnsiTheme="minorEastAsia" w:eastAsiaTheme="minorEastAsia" w:cstheme="minorEastAsia"/>
          <w:sz w:val="24"/>
        </w:rPr>
      </w:pPr>
    </w:p>
    <w:p>
      <w:pPr>
        <w:widowControl/>
        <w:autoSpaceDE w:val="0"/>
        <w:autoSpaceDN w:val="0"/>
        <w:spacing w:line="360" w:lineRule="auto"/>
        <w:ind w:firstLine="480" w:firstLineChars="200"/>
        <w:textAlignment w:val="bottom"/>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我</w:t>
      </w:r>
      <w:r>
        <w:rPr>
          <w:rFonts w:hint="eastAsia" w:asciiTheme="minorEastAsia" w:hAnsiTheme="minorEastAsia" w:eastAsiaTheme="minorEastAsia" w:cstheme="minorEastAsia"/>
          <w:sz w:val="24"/>
          <w:u w:val="single"/>
        </w:rPr>
        <w:t xml:space="preserve">   姓名   </w:t>
      </w:r>
      <w:r>
        <w:rPr>
          <w:rFonts w:hint="eastAsia" w:asciiTheme="minorEastAsia" w:hAnsiTheme="minorEastAsia" w:eastAsiaTheme="minorEastAsia" w:cstheme="minorEastAsia"/>
          <w:sz w:val="24"/>
        </w:rPr>
        <w:t>是</w:t>
      </w:r>
      <w:r>
        <w:rPr>
          <w:rFonts w:hint="eastAsia" w:asciiTheme="minorEastAsia" w:hAnsiTheme="minorEastAsia" w:eastAsiaTheme="minorEastAsia" w:cstheme="minorEastAsia"/>
          <w:sz w:val="24"/>
          <w:u w:val="single"/>
        </w:rPr>
        <w:t xml:space="preserve">        投标单位名称       </w:t>
      </w:r>
      <w:r>
        <w:rPr>
          <w:rFonts w:hint="eastAsia" w:asciiTheme="minorEastAsia" w:hAnsiTheme="minorEastAsia" w:eastAsiaTheme="minorEastAsia" w:cstheme="minorEastAsia"/>
          <w:sz w:val="24"/>
        </w:rPr>
        <w:t>的法定代表人，现授权</w:t>
      </w:r>
      <w:r>
        <w:rPr>
          <w:rFonts w:hint="eastAsia" w:asciiTheme="minorEastAsia" w:hAnsiTheme="minorEastAsia" w:eastAsiaTheme="minorEastAsia" w:cstheme="minorEastAsia"/>
          <w:sz w:val="24"/>
          <w:u w:val="single"/>
        </w:rPr>
        <w:t xml:space="preserve">       单位全称       </w:t>
      </w:r>
      <w:r>
        <w:rPr>
          <w:rFonts w:hint="eastAsia" w:asciiTheme="minorEastAsia" w:hAnsiTheme="minorEastAsia" w:eastAsiaTheme="minorEastAsia" w:cstheme="minorEastAsia"/>
          <w:sz w:val="24"/>
        </w:rPr>
        <w:t>的</w:t>
      </w:r>
      <w:r>
        <w:rPr>
          <w:rFonts w:hint="eastAsia" w:asciiTheme="minorEastAsia" w:hAnsiTheme="minorEastAsia" w:eastAsiaTheme="minorEastAsia" w:cstheme="minorEastAsia"/>
          <w:sz w:val="24"/>
          <w:u w:val="single"/>
        </w:rPr>
        <w:t xml:space="preserve">    姓名    </w:t>
      </w:r>
      <w:r>
        <w:rPr>
          <w:rFonts w:hint="eastAsia" w:asciiTheme="minorEastAsia" w:hAnsiTheme="minorEastAsia" w:eastAsiaTheme="minorEastAsia" w:cstheme="minorEastAsia"/>
          <w:sz w:val="24"/>
        </w:rPr>
        <w:t>为我公司全权代理人，以我单位名誉参加阿克苏XX单位组织的</w:t>
      </w:r>
      <w:r>
        <w:rPr>
          <w:rFonts w:hint="eastAsia" w:asciiTheme="minorEastAsia" w:hAnsiTheme="minorEastAsia" w:eastAsiaTheme="minorEastAsia" w:cstheme="minorEastAsia"/>
          <w:sz w:val="24"/>
          <w:u w:val="single"/>
        </w:rPr>
        <w:t xml:space="preserve">     招标项目名称、招标编号         </w:t>
      </w:r>
      <w:r>
        <w:rPr>
          <w:rFonts w:hint="eastAsia" w:asciiTheme="minorEastAsia" w:hAnsiTheme="minorEastAsia" w:eastAsiaTheme="minorEastAsia" w:cstheme="minorEastAsia"/>
          <w:sz w:val="24"/>
        </w:rPr>
        <w:t>的投标活动。代理人可全权代表我负责签署本次投标文件，并全权处理开标、评标、澄清事项过程中的一切文件和签署合同。其全权代理人在处理与本次招标项目有关的一切事务，我均予以承认。</w:t>
      </w:r>
    </w:p>
    <w:p>
      <w:pPr>
        <w:widowControl/>
        <w:autoSpaceDE w:val="0"/>
        <w:autoSpaceDN w:val="0"/>
        <w:spacing w:line="360" w:lineRule="auto"/>
        <w:ind w:firstLine="480" w:firstLineChars="200"/>
        <w:textAlignment w:val="bottom"/>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全权代理人无转委托权。</w:t>
      </w:r>
    </w:p>
    <w:p>
      <w:pPr>
        <w:spacing w:line="360" w:lineRule="auto"/>
        <w:ind w:firstLine="720" w:firstLineChars="3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特此声明。</w:t>
      </w:r>
    </w:p>
    <w:p>
      <w:pPr>
        <w:spacing w:line="360" w:lineRule="auto"/>
        <w:ind w:firstLine="480" w:firstLineChars="200"/>
        <w:rPr>
          <w:rFonts w:asciiTheme="minorEastAsia" w:hAnsiTheme="minorEastAsia" w:eastAsiaTheme="minorEastAsia" w:cstheme="minorEastAsia"/>
          <w:sz w:val="24"/>
        </w:rPr>
      </w:pPr>
    </w:p>
    <w:p>
      <w:pPr>
        <w:spacing w:line="360" w:lineRule="auto"/>
        <w:ind w:firstLine="240" w:firstLineChars="1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法定代表人：</w:t>
      </w:r>
      <w:r>
        <w:rPr>
          <w:rFonts w:hint="eastAsia" w:asciiTheme="minorEastAsia" w:hAnsiTheme="minorEastAsia" w:eastAsiaTheme="minorEastAsia" w:cstheme="minorEastAsia"/>
          <w:sz w:val="24"/>
          <w:u w:val="single"/>
        </w:rPr>
        <w:t xml:space="preserve">  （签字）   </w:t>
      </w:r>
    </w:p>
    <w:p>
      <w:pPr>
        <w:spacing w:line="360" w:lineRule="auto"/>
        <w:ind w:firstLine="2040" w:firstLineChars="850"/>
        <w:rPr>
          <w:rFonts w:asciiTheme="minorEastAsia" w:hAnsiTheme="minorEastAsia" w:eastAsiaTheme="minorEastAsia" w:cstheme="minorEastAsia"/>
          <w:sz w:val="24"/>
        </w:rPr>
      </w:pPr>
    </w:p>
    <w:p>
      <w:pPr>
        <w:spacing w:line="360" w:lineRule="auto"/>
        <w:ind w:firstLine="120" w:firstLineChars="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投标单位全称：</w:t>
      </w:r>
    </w:p>
    <w:p>
      <w:pPr>
        <w:spacing w:line="360" w:lineRule="auto"/>
        <w:ind w:firstLine="2040" w:firstLineChars="8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360" w:lineRule="auto"/>
        <w:ind w:firstLine="24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spacing w:line="360" w:lineRule="auto"/>
        <w:ind w:firstLine="360" w:firstLineChars="1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说明：应附法定代表人和全权代理人身份证复印件</w:t>
      </w:r>
    </w:p>
    <w:tbl>
      <w:tblPr>
        <w:tblStyle w:val="19"/>
        <w:tblW w:w="9000"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60"/>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9" w:hRule="atLeast"/>
        </w:trPr>
        <w:tc>
          <w:tcPr>
            <w:tcW w:w="4320" w:type="dxa"/>
            <w:noWrap/>
            <w:vAlign w:val="center"/>
          </w:tcPr>
          <w:p>
            <w:pPr>
              <w:spacing w:line="360" w:lineRule="exact"/>
              <w:ind w:firstLine="24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法定代表人身份证</w:t>
            </w:r>
          </w:p>
          <w:p>
            <w:pPr>
              <w:spacing w:line="360" w:lineRule="exact"/>
              <w:ind w:firstLine="240" w:firstLineChars="10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复印件粘贴处</w:t>
            </w:r>
          </w:p>
        </w:tc>
        <w:tc>
          <w:tcPr>
            <w:tcW w:w="360" w:type="dxa"/>
            <w:tcBorders>
              <w:top w:val="nil"/>
              <w:bottom w:val="nil"/>
            </w:tcBorders>
            <w:noWrap/>
            <w:vAlign w:val="center"/>
          </w:tcPr>
          <w:p>
            <w:pPr>
              <w:widowControl/>
              <w:rPr>
                <w:rFonts w:asciiTheme="minorEastAsia" w:hAnsiTheme="minorEastAsia" w:eastAsiaTheme="minorEastAsia" w:cstheme="minorEastAsia"/>
                <w:b/>
                <w:sz w:val="24"/>
              </w:rPr>
            </w:pPr>
          </w:p>
        </w:tc>
        <w:tc>
          <w:tcPr>
            <w:tcW w:w="4320" w:type="dxa"/>
            <w:noWrap/>
            <w:vAlign w:val="center"/>
          </w:tcPr>
          <w:p>
            <w:pPr>
              <w:widowControl/>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全权代理人身份证</w:t>
            </w:r>
          </w:p>
          <w:p>
            <w:pPr>
              <w:widowControl/>
              <w:rPr>
                <w:rFonts w:asciiTheme="minorEastAsia" w:hAnsiTheme="minorEastAsia" w:eastAsiaTheme="minorEastAsia" w:cstheme="minorEastAsia"/>
                <w:sz w:val="24"/>
              </w:rPr>
            </w:pPr>
          </w:p>
          <w:p>
            <w:pPr>
              <w:widowControl/>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复印件粘贴处</w:t>
            </w:r>
          </w:p>
        </w:tc>
      </w:tr>
    </w:tbl>
    <w:p>
      <w:pP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br w:type="page"/>
      </w:r>
    </w:p>
    <w:p>
      <w:pPr>
        <w:widowControl/>
        <w:ind w:firstLine="241"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 xml:space="preserve">附件4   </w:t>
      </w:r>
    </w:p>
    <w:p>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投标人资格声明函</w:t>
      </w:r>
    </w:p>
    <w:p>
      <w:pPr>
        <w:spacing w:line="360" w:lineRule="auto"/>
        <w:ind w:firstLine="480" w:firstLineChars="200"/>
        <w:rPr>
          <w:rFonts w:asciiTheme="minorEastAsia" w:hAnsiTheme="minorEastAsia" w:eastAsiaTheme="minorEastAsia" w:cstheme="minorEastAsia"/>
          <w:sz w:val="24"/>
        </w:rPr>
      </w:pP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一、供应商概况：</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1、注册地址：</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2、成立日期：</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3、注册资金：</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4、单位性质：</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5、开户银行的名称和地址：</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6、隶属关系：</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7、服务体系设置情况简介：</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8、目前生产（销售）的主要产品简介：</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9、年生产（销售）能力</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10、职工（雇员）人数：</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其中：（1）高级技术人员人数：</w:t>
      </w:r>
    </w:p>
    <w:p>
      <w:pPr>
        <w:spacing w:line="360" w:lineRule="auto"/>
        <w:ind w:firstLine="1084" w:firstLineChars="452"/>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（2）中级技术人员人数：</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二、财务状况统计表</w:t>
      </w:r>
    </w:p>
    <w:tbl>
      <w:tblPr>
        <w:tblStyle w:val="19"/>
        <w:tblW w:w="90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9"/>
        <w:gridCol w:w="1822"/>
        <w:gridCol w:w="2039"/>
        <w:gridCol w:w="1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项目年份</w:t>
            </w:r>
          </w:p>
        </w:tc>
        <w:tc>
          <w:tcPr>
            <w:tcW w:w="1822"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201</w:t>
            </w:r>
            <w:r>
              <w:rPr>
                <w:rFonts w:hint="eastAsia" w:asciiTheme="minorEastAsia" w:hAnsiTheme="minorEastAsia" w:eastAsiaTheme="minorEastAsia" w:cstheme="minorEastAsia"/>
                <w:sz w:val="24"/>
                <w:lang w:val="en-US" w:eastAsia="zh-CN"/>
              </w:rPr>
              <w:t>9</w:t>
            </w:r>
            <w:r>
              <w:rPr>
                <w:rFonts w:hint="eastAsia" w:asciiTheme="minorEastAsia" w:hAnsiTheme="minorEastAsia" w:eastAsiaTheme="minorEastAsia" w:cstheme="minorEastAsia"/>
                <w:sz w:val="24"/>
              </w:rPr>
              <w:t>年度</w:t>
            </w:r>
          </w:p>
        </w:tc>
        <w:tc>
          <w:tcPr>
            <w:tcW w:w="203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w:t>
            </w:r>
            <w:r>
              <w:rPr>
                <w:rFonts w:hint="eastAsia" w:asciiTheme="minorEastAsia" w:hAnsiTheme="minorEastAsia" w:eastAsiaTheme="minorEastAsia" w:cstheme="minorEastAsia"/>
                <w:sz w:val="24"/>
                <w:lang w:val="en-US" w:eastAsia="zh-CN"/>
              </w:rPr>
              <w:t>20</w:t>
            </w:r>
            <w:r>
              <w:rPr>
                <w:rFonts w:hint="eastAsia" w:asciiTheme="minorEastAsia" w:hAnsiTheme="minorEastAsia" w:eastAsiaTheme="minorEastAsia" w:cstheme="minorEastAsia"/>
                <w:sz w:val="24"/>
              </w:rPr>
              <w:t>年度</w:t>
            </w:r>
          </w:p>
        </w:tc>
        <w:tc>
          <w:tcPr>
            <w:tcW w:w="1907"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202</w:t>
            </w:r>
            <w:r>
              <w:rPr>
                <w:rFonts w:hint="eastAsia" w:asciiTheme="minorEastAsia" w:hAnsiTheme="minorEastAsia" w:eastAsiaTheme="minorEastAsia" w:cstheme="minorEastAsia"/>
                <w:sz w:val="24"/>
                <w:lang w:val="en-US" w:eastAsia="zh-CN"/>
              </w:rPr>
              <w:t>1</w:t>
            </w:r>
            <w:r>
              <w:rPr>
                <w:rFonts w:hint="eastAsia" w:asciiTheme="minorEastAsia" w:hAnsiTheme="minorEastAsia" w:eastAsiaTheme="minorEastAsia" w:cstheme="minorEastAsia"/>
                <w:sz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总 资 产（元）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流动资产（元）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固定资产净值（元）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总负债（元）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短期借款（元）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销售收入（元）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3309" w:type="dxa"/>
            <w:noWrap/>
            <w:vAlign w:val="center"/>
          </w:tcPr>
          <w:p>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利润总额（元）</w:t>
            </w:r>
          </w:p>
        </w:tc>
        <w:tc>
          <w:tcPr>
            <w:tcW w:w="1822" w:type="dxa"/>
            <w:noWrap/>
            <w:vAlign w:val="center"/>
          </w:tcPr>
          <w:p>
            <w:pPr>
              <w:rPr>
                <w:rFonts w:asciiTheme="minorEastAsia" w:hAnsiTheme="minorEastAsia" w:eastAsiaTheme="minorEastAsia" w:cstheme="minorEastAsia"/>
                <w:sz w:val="24"/>
              </w:rPr>
            </w:pPr>
          </w:p>
        </w:tc>
        <w:tc>
          <w:tcPr>
            <w:tcW w:w="2039" w:type="dxa"/>
            <w:noWrap/>
            <w:vAlign w:val="center"/>
          </w:tcPr>
          <w:p>
            <w:pPr>
              <w:rPr>
                <w:rFonts w:asciiTheme="minorEastAsia" w:hAnsiTheme="minorEastAsia" w:eastAsiaTheme="minorEastAsia" w:cstheme="minorEastAsia"/>
                <w:sz w:val="24"/>
              </w:rPr>
            </w:pPr>
          </w:p>
        </w:tc>
        <w:tc>
          <w:tcPr>
            <w:tcW w:w="1907" w:type="dxa"/>
            <w:noWrap/>
            <w:vAlign w:val="center"/>
          </w:tcPr>
          <w:p>
            <w:pPr>
              <w:rPr>
                <w:rFonts w:asciiTheme="minorEastAsia" w:hAnsiTheme="minorEastAsia" w:eastAsiaTheme="minorEastAsia" w:cstheme="minorEastAsia"/>
                <w:sz w:val="24"/>
              </w:rPr>
            </w:pPr>
          </w:p>
        </w:tc>
      </w:tr>
    </w:tbl>
    <w:p>
      <w:pPr>
        <w:spacing w:line="360" w:lineRule="auto"/>
        <w:ind w:firstLine="480" w:firstLineChars="200"/>
        <w:rPr>
          <w:rFonts w:asciiTheme="minorEastAsia" w:hAnsiTheme="minorEastAsia" w:eastAsiaTheme="minorEastAsia" w:cstheme="minorEastAsia"/>
          <w:sz w:val="24"/>
        </w:rPr>
      </w:pP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三、提供201</w:t>
      </w:r>
      <w:r>
        <w:rPr>
          <w:rFonts w:hint="eastAsia" w:asciiTheme="minorEastAsia" w:hAnsiTheme="minorEastAsia" w:eastAsiaTheme="minorEastAsia" w:cstheme="minorEastAsia"/>
          <w:sz w:val="24"/>
          <w:lang w:val="en-US" w:eastAsia="zh-CN"/>
        </w:rPr>
        <w:t>9</w:t>
      </w:r>
      <w:r>
        <w:rPr>
          <w:rFonts w:hint="eastAsia" w:asciiTheme="minorEastAsia" w:hAnsiTheme="minorEastAsia" w:eastAsiaTheme="minorEastAsia" w:cstheme="minorEastAsia"/>
          <w:sz w:val="24"/>
        </w:rPr>
        <w:t>年或202</w:t>
      </w:r>
      <w:r>
        <w:rPr>
          <w:rFonts w:hint="eastAsia" w:asciiTheme="minorEastAsia" w:hAnsiTheme="minorEastAsia" w:eastAsiaTheme="minorEastAsia" w:cstheme="minorEastAsia"/>
          <w:sz w:val="24"/>
          <w:lang w:val="en-US" w:eastAsia="zh-CN"/>
        </w:rPr>
        <w:t>1</w:t>
      </w:r>
      <w:r>
        <w:rPr>
          <w:rFonts w:hint="eastAsia" w:asciiTheme="minorEastAsia" w:hAnsiTheme="minorEastAsia" w:eastAsiaTheme="minorEastAsia" w:cstheme="minorEastAsia"/>
          <w:sz w:val="24"/>
        </w:rPr>
        <w:t>年度财务审计报告及本年度近期的资产负债表、损益表。</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就我方全部所知，兹保证上述声明是真实、准确的。若有不实，我单位愿意承担由此而产生的一切经济责任和法律责任。</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四、投标人认为需要声明的其他情况</w:t>
      </w:r>
    </w:p>
    <w:p>
      <w:pPr>
        <w:spacing w:line="400" w:lineRule="exact"/>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投标单位全称：</w:t>
      </w:r>
    </w:p>
    <w:p>
      <w:pPr>
        <w:spacing w:line="400" w:lineRule="exact"/>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400" w:lineRule="exact"/>
        <w:rPr>
          <w:rFonts w:asciiTheme="minorEastAsia" w:hAnsiTheme="minorEastAsia" w:eastAsiaTheme="minorEastAsia" w:cstheme="minorEastAsia"/>
          <w:sz w:val="24"/>
        </w:rPr>
      </w:pPr>
    </w:p>
    <w:p>
      <w:pPr>
        <w:spacing w:line="400" w:lineRule="exact"/>
        <w:ind w:firstLine="3240" w:firstLineChars="13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br w:type="page"/>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附件5</w:t>
      </w: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投标人对《采购合同条款》的意见</w:t>
      </w:r>
    </w:p>
    <w:p>
      <w:pPr>
        <w:spacing w:line="360" w:lineRule="auto"/>
        <w:ind w:firstLine="1080" w:firstLineChars="450"/>
        <w:rPr>
          <w:rFonts w:asciiTheme="minorEastAsia" w:hAnsiTheme="minorEastAsia" w:eastAsiaTheme="minorEastAsia" w:cstheme="minorEastAsia"/>
          <w:sz w:val="24"/>
        </w:rPr>
      </w:pPr>
    </w:p>
    <w:p>
      <w:pPr>
        <w:tabs>
          <w:tab w:val="left" w:pos="7950"/>
        </w:tabs>
        <w:adjustRightInd w:val="0"/>
        <w:spacing w:line="360" w:lineRule="auto"/>
        <w:ind w:firstLine="480" w:firstLineChars="200"/>
        <w:rPr>
          <w:rFonts w:asciiTheme="minorEastAsia" w:hAnsiTheme="minorEastAsia" w:eastAsiaTheme="minorEastAsia" w:cstheme="minorEastAsia"/>
          <w:bCs/>
          <w:sz w:val="24"/>
        </w:rPr>
      </w:pPr>
      <w:r>
        <w:rPr>
          <w:rFonts w:hint="eastAsia" w:asciiTheme="minorEastAsia" w:hAnsiTheme="minorEastAsia" w:eastAsiaTheme="minorEastAsia" w:cstheme="minorEastAsia"/>
          <w:sz w:val="24"/>
        </w:rPr>
        <w:t>1、投标人如对此次《</w:t>
      </w:r>
      <w:r>
        <w:rPr>
          <w:rFonts w:hint="eastAsia" w:asciiTheme="minorEastAsia" w:hAnsiTheme="minorEastAsia" w:eastAsiaTheme="minorEastAsia" w:cstheme="minorEastAsia"/>
          <w:bCs/>
          <w:sz w:val="24"/>
        </w:rPr>
        <w:t>采购合同条款》没有歧异，请在本页填写无意见；如有歧异，请填写具体意见</w:t>
      </w:r>
      <w:r>
        <w:rPr>
          <w:rFonts w:hint="eastAsia" w:asciiTheme="minorEastAsia" w:hAnsiTheme="minorEastAsia" w:eastAsiaTheme="minorEastAsia" w:cstheme="minorEastAsia"/>
          <w:sz w:val="24"/>
        </w:rPr>
        <w:t>（请投标人选择其一）</w:t>
      </w:r>
      <w:r>
        <w:rPr>
          <w:rFonts w:hint="eastAsia" w:asciiTheme="minorEastAsia" w:hAnsiTheme="minorEastAsia" w:eastAsiaTheme="minorEastAsia" w:cstheme="minorEastAsia"/>
          <w:bCs/>
          <w:sz w:val="24"/>
        </w:rPr>
        <w:t>：</w:t>
      </w:r>
    </w:p>
    <w:p>
      <w:pPr>
        <w:spacing w:line="360" w:lineRule="auto"/>
        <w:ind w:firstLine="1200" w:firstLineChars="500"/>
        <w:rPr>
          <w:rFonts w:asciiTheme="minorEastAsia" w:hAnsiTheme="minorEastAsia" w:eastAsiaTheme="minorEastAsia" w:cstheme="minorEastAsia"/>
          <w:b/>
          <w:bCs/>
          <w:sz w:val="24"/>
        </w:rPr>
      </w:pPr>
      <w:r>
        <w:rPr>
          <w:rFonts w:hint="eastAsia" w:asciiTheme="minorEastAsia" w:hAnsiTheme="minorEastAsia" w:eastAsiaTheme="minorEastAsia" w:cstheme="minorEastAsia"/>
          <w:bCs/>
          <w:sz w:val="24"/>
        </w:rPr>
        <w:t>有意见</w:t>
      </w:r>
      <w:r>
        <w:rPr>
          <w:rFonts w:hint="eastAsia" w:asciiTheme="minorEastAsia" w:hAnsiTheme="minorEastAsia" w:eastAsiaTheme="minorEastAsia" w:cstheme="minorEastAsia"/>
          <w:b/>
          <w:bCs/>
          <w:sz w:val="24"/>
        </w:rPr>
        <w:t xml:space="preserve"> □  </w:t>
      </w:r>
      <w:r>
        <w:rPr>
          <w:rFonts w:hint="eastAsia" w:asciiTheme="minorEastAsia" w:hAnsiTheme="minorEastAsia" w:eastAsiaTheme="minorEastAsia" w:cstheme="minorEastAsia"/>
          <w:bCs/>
          <w:sz w:val="24"/>
        </w:rPr>
        <w:t xml:space="preserve">         无意见 </w:t>
      </w:r>
      <w:r>
        <w:rPr>
          <w:rFonts w:hint="eastAsia" w:asciiTheme="minorEastAsia" w:hAnsiTheme="minorEastAsia" w:eastAsiaTheme="minorEastAsia" w:cstheme="minorEastAsia"/>
          <w:b/>
          <w:bCs/>
          <w:sz w:val="24"/>
        </w:rPr>
        <w:t>□</w:t>
      </w:r>
    </w:p>
    <w:p>
      <w:pPr>
        <w:tabs>
          <w:tab w:val="left" w:pos="7950"/>
        </w:tabs>
        <w:adjustRightIn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bCs/>
          <w:sz w:val="24"/>
        </w:rPr>
        <w:t>解决合同纠纷方式</w:t>
      </w:r>
      <w:r>
        <w:rPr>
          <w:rFonts w:hint="eastAsia" w:asciiTheme="minorEastAsia" w:hAnsiTheme="minorEastAsia" w:eastAsiaTheme="minorEastAsia" w:cstheme="minorEastAsia"/>
          <w:b/>
          <w:sz w:val="24"/>
        </w:rPr>
        <w:t>：</w:t>
      </w:r>
      <w:r>
        <w:rPr>
          <w:rFonts w:hint="eastAsia" w:asciiTheme="minorEastAsia" w:hAnsiTheme="minorEastAsia" w:eastAsiaTheme="minorEastAsia" w:cstheme="minorEastAsia"/>
          <w:sz w:val="24"/>
        </w:rPr>
        <w:t>（请投标人选择其一）</w:t>
      </w:r>
    </w:p>
    <w:p>
      <w:pPr>
        <w:tabs>
          <w:tab w:val="left" w:pos="7950"/>
        </w:tabs>
        <w:adjustRightIn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(1)向合同签署地仲裁委员会提请仲裁（   ）； </w:t>
      </w:r>
    </w:p>
    <w:p>
      <w:pPr>
        <w:tabs>
          <w:tab w:val="left" w:pos="7950"/>
        </w:tabs>
        <w:adjustRightIn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(2)向合同签署地人民法院提起诉讼（   ）。</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3、对本合同有无意见必须表明意见，按规定签署并加盖公章，否则作为废标。</w:t>
      </w:r>
    </w:p>
    <w:p>
      <w:pPr>
        <w:spacing w:line="360" w:lineRule="auto"/>
        <w:ind w:firstLine="480" w:firstLineChars="200"/>
        <w:rPr>
          <w:rFonts w:asciiTheme="minorEastAsia" w:hAnsiTheme="minorEastAsia" w:eastAsiaTheme="minorEastAsia" w:cstheme="minorEastAsia"/>
          <w:sz w:val="24"/>
        </w:rPr>
      </w:pPr>
    </w:p>
    <w:p>
      <w:pPr>
        <w:spacing w:line="400" w:lineRule="exact"/>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投标单位全称：</w:t>
      </w:r>
    </w:p>
    <w:p>
      <w:pPr>
        <w:spacing w:line="400" w:lineRule="exact"/>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400" w:lineRule="exact"/>
        <w:ind w:firstLine="3240" w:firstLineChars="13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br w:type="page"/>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附件6</w:t>
      </w: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投标人近三年有无违法、违规记录承诺书</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（投标人自行填写）</w:t>
      </w:r>
    </w:p>
    <w:p>
      <w:pPr>
        <w:spacing w:line="360" w:lineRule="auto"/>
        <w:ind w:left="1536" w:hanging="1536" w:hangingChars="640"/>
        <w:rPr>
          <w:rFonts w:asciiTheme="minorEastAsia" w:hAnsiTheme="minorEastAsia" w:eastAsiaTheme="minorEastAsia" w:cstheme="minorEastAsia"/>
          <w:sz w:val="24"/>
        </w:rPr>
      </w:pPr>
    </w:p>
    <w:p>
      <w:pPr>
        <w:spacing w:line="360" w:lineRule="auto"/>
        <w:ind w:left="1536" w:hanging="1536" w:hangingChars="64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内容应包括：说明现在有无正在诉讼的案件和有无不良记录以及是否依法缴纳税收和社会保障资金。</w:t>
      </w:r>
    </w:p>
    <w:p>
      <w:pPr>
        <w:spacing w:line="360" w:lineRule="auto"/>
        <w:ind w:left="216" w:hanging="216" w:hangingChars="9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（有无必须说明，否则作为废标）</w:t>
      </w:r>
    </w:p>
    <w:p>
      <w:pPr>
        <w:spacing w:line="360" w:lineRule="auto"/>
        <w:rPr>
          <w:rFonts w:asciiTheme="minorEastAsia" w:hAnsiTheme="minorEastAsia" w:eastAsiaTheme="minorEastAsia" w:cstheme="minorEastAsia"/>
          <w:sz w:val="24"/>
        </w:rPr>
      </w:pPr>
    </w:p>
    <w:p>
      <w:pPr>
        <w:spacing w:line="360" w:lineRule="auto"/>
        <w:rPr>
          <w:rFonts w:asciiTheme="minorEastAsia" w:hAnsiTheme="minorEastAsia" w:eastAsiaTheme="minorEastAsia" w:cstheme="minorEastAsia"/>
          <w:sz w:val="24"/>
        </w:rPr>
      </w:pPr>
    </w:p>
    <w:p>
      <w:pPr>
        <w:spacing w:line="360" w:lineRule="auto"/>
        <w:ind w:firstLine="2880" w:firstLineChars="12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法定代表人：</w:t>
      </w:r>
      <w:r>
        <w:rPr>
          <w:rFonts w:hint="eastAsia" w:asciiTheme="minorEastAsia" w:hAnsiTheme="minorEastAsia" w:eastAsiaTheme="minorEastAsia" w:cstheme="minorEastAsia"/>
          <w:sz w:val="24"/>
          <w:u w:val="single"/>
        </w:rPr>
        <w:t xml:space="preserve"> （签字） </w:t>
      </w:r>
    </w:p>
    <w:p>
      <w:pPr>
        <w:spacing w:line="360" w:lineRule="auto"/>
        <w:ind w:firstLine="3360" w:firstLineChars="1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或</w:t>
      </w:r>
    </w:p>
    <w:p>
      <w:pPr>
        <w:spacing w:line="360" w:lineRule="auto"/>
        <w:ind w:firstLine="2880" w:firstLineChars="1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w:t>
      </w:r>
      <w:r>
        <w:rPr>
          <w:rFonts w:hint="eastAsia" w:asciiTheme="minorEastAsia" w:hAnsiTheme="minorEastAsia" w:eastAsiaTheme="minorEastAsia" w:cstheme="minorEastAsia"/>
          <w:sz w:val="24"/>
          <w:u w:val="single"/>
        </w:rPr>
        <w:t xml:space="preserve"> （签字） </w:t>
      </w:r>
    </w:p>
    <w:p>
      <w:pPr>
        <w:spacing w:line="360" w:lineRule="auto"/>
        <w:ind w:firstLine="3000" w:firstLineChars="1250"/>
        <w:rPr>
          <w:rFonts w:asciiTheme="minorEastAsia" w:hAnsiTheme="minorEastAsia" w:eastAsiaTheme="minorEastAsia" w:cstheme="minorEastAsia"/>
          <w:sz w:val="24"/>
        </w:rPr>
      </w:pPr>
    </w:p>
    <w:p>
      <w:pPr>
        <w:spacing w:line="360" w:lineRule="auto"/>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投标单位全称：</w:t>
      </w:r>
    </w:p>
    <w:p>
      <w:pPr>
        <w:spacing w:line="360" w:lineRule="auto"/>
        <w:ind w:firstLine="4920" w:firstLineChars="20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（加盖单位公章）</w:t>
      </w:r>
    </w:p>
    <w:p>
      <w:pPr>
        <w:spacing w:line="360" w:lineRule="auto"/>
        <w:ind w:firstLine="3000" w:firstLineChars="12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rPr>
          <w:rFonts w:asciiTheme="minorEastAsia" w:hAnsiTheme="minorEastAsia" w:eastAsiaTheme="minorEastAsia" w:cstheme="minorEastAsia"/>
          <w:sz w:val="24"/>
        </w:rPr>
        <w:sectPr>
          <w:headerReference r:id="rId3" w:type="default"/>
          <w:pgSz w:w="11906" w:h="16838"/>
          <w:pgMar w:top="2098" w:right="1440" w:bottom="1440" w:left="1440" w:header="851" w:footer="992" w:gutter="0"/>
          <w:pgNumType w:fmt="decimal" w:start="1"/>
          <w:cols w:space="0" w:num="1"/>
          <w:docGrid w:linePitch="312" w:charSpace="0"/>
        </w:sectPr>
      </w:pPr>
    </w:p>
    <w:p>
      <w:pPr>
        <w:spacing w:line="400" w:lineRule="exact"/>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附件7</w:t>
      </w:r>
      <w:bookmarkStart w:id="383" w:name="投标报价表"/>
      <w:r>
        <w:rPr>
          <w:rFonts w:hint="eastAsia" w:asciiTheme="minorEastAsia" w:hAnsiTheme="minorEastAsia" w:eastAsiaTheme="minorEastAsia" w:cstheme="minorEastAsia"/>
          <w:b/>
          <w:bCs/>
          <w:sz w:val="24"/>
        </w:rPr>
        <w:t>：</w:t>
      </w:r>
      <w:bookmarkEnd w:id="383"/>
      <w:r>
        <w:rPr>
          <w:rFonts w:hint="eastAsia" w:asciiTheme="minorEastAsia" w:hAnsiTheme="minorEastAsia" w:eastAsiaTheme="minorEastAsia" w:cstheme="minorEastAsia"/>
          <w:b/>
          <w:bCs/>
          <w:sz w:val="24"/>
        </w:rPr>
        <w:t>开标一览表、投标报价明细表</w:t>
      </w: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开标一览表（格式）</w:t>
      </w:r>
    </w:p>
    <w:p>
      <w:pPr>
        <w:spacing w:line="440" w:lineRule="exact"/>
        <w:rPr>
          <w:rFonts w:asciiTheme="minorEastAsia" w:hAnsiTheme="minorEastAsia" w:eastAsiaTheme="minorEastAsia" w:cstheme="minorEastAsia"/>
          <w:b/>
          <w:sz w:val="24"/>
        </w:rPr>
      </w:pPr>
    </w:p>
    <w:tbl>
      <w:tblPr>
        <w:tblStyle w:val="19"/>
        <w:tblW w:w="89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10"/>
        <w:gridCol w:w="3848"/>
        <w:gridCol w:w="1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trPr>
        <w:tc>
          <w:tcPr>
            <w:tcW w:w="3310" w:type="dxa"/>
            <w:noWrap/>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项目名称</w:t>
            </w:r>
          </w:p>
        </w:tc>
        <w:tc>
          <w:tcPr>
            <w:tcW w:w="3848" w:type="dxa"/>
            <w:noWrap/>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投标总价（元）</w:t>
            </w:r>
          </w:p>
        </w:tc>
        <w:tc>
          <w:tcPr>
            <w:tcW w:w="1827" w:type="dxa"/>
            <w:noWrap/>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供</w:t>
            </w:r>
            <w:r>
              <w:rPr>
                <w:rFonts w:hint="eastAsia" w:asciiTheme="minorEastAsia" w:hAnsiTheme="minorEastAsia" w:eastAsiaTheme="minorEastAsia" w:cstheme="minorEastAsia"/>
                <w:sz w:val="24"/>
              </w:rPr>
              <w:t>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3310" w:type="dxa"/>
            <w:noWrap/>
            <w:vAlign w:val="center"/>
          </w:tcPr>
          <w:p>
            <w:pPr>
              <w:spacing w:line="440" w:lineRule="exact"/>
              <w:jc w:val="center"/>
              <w:rPr>
                <w:rFonts w:asciiTheme="minorEastAsia" w:hAnsiTheme="minorEastAsia" w:eastAsiaTheme="minorEastAsia" w:cstheme="minorEastAsia"/>
                <w:sz w:val="24"/>
              </w:rPr>
            </w:pPr>
          </w:p>
        </w:tc>
        <w:tc>
          <w:tcPr>
            <w:tcW w:w="3848" w:type="dxa"/>
            <w:noWrap/>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小写：            大写：</w:t>
            </w:r>
          </w:p>
        </w:tc>
        <w:tc>
          <w:tcPr>
            <w:tcW w:w="1827" w:type="dxa"/>
            <w:noWrap/>
            <w:vAlign w:val="center"/>
          </w:tcPr>
          <w:p>
            <w:pPr>
              <w:spacing w:line="440" w:lineRule="exact"/>
              <w:jc w:val="center"/>
              <w:rPr>
                <w:rFonts w:asciiTheme="minorEastAsia" w:hAnsiTheme="minorEastAsia" w:eastAsiaTheme="minorEastAsia" w:cstheme="minorEastAsia"/>
                <w:sz w:val="24"/>
              </w:rPr>
            </w:pPr>
          </w:p>
        </w:tc>
      </w:tr>
    </w:tbl>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投标方：（单位盖章）</w:t>
      </w: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法定代表人或代理人：（签字或盖章）</w:t>
      </w: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年  月  日</w:t>
      </w:r>
    </w:p>
    <w:p>
      <w:pPr>
        <w:spacing w:line="400" w:lineRule="exact"/>
        <w:rPr>
          <w:rFonts w:asciiTheme="minorEastAsia" w:hAnsiTheme="minorEastAsia" w:eastAsiaTheme="minorEastAsia" w:cstheme="minorEastAsia"/>
          <w:b/>
          <w:bCs/>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p>
    <w:p>
      <w:pPr>
        <w:spacing w:line="440" w:lineRule="exact"/>
        <w:rPr>
          <w:rFonts w:asciiTheme="minorEastAsia" w:hAnsiTheme="minorEastAsia" w:eastAsiaTheme="minorEastAsia" w:cstheme="minorEastAsia"/>
          <w:b/>
          <w:sz w:val="24"/>
        </w:rPr>
      </w:pPr>
    </w:p>
    <w:p>
      <w:pPr>
        <w:spacing w:line="440" w:lineRule="exact"/>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 标 报 价</w:t>
      </w:r>
      <w:r>
        <w:rPr>
          <w:rFonts w:hint="eastAsia" w:asciiTheme="minorEastAsia" w:hAnsiTheme="minorEastAsia" w:eastAsiaTheme="minorEastAsia" w:cstheme="minorEastAsia"/>
          <w:b/>
          <w:sz w:val="24"/>
          <w:lang w:val="en-US" w:eastAsia="zh-CN"/>
        </w:rPr>
        <w:t xml:space="preserve"> </w:t>
      </w:r>
      <w:r>
        <w:rPr>
          <w:rFonts w:hint="eastAsia" w:asciiTheme="minorEastAsia" w:hAnsiTheme="minorEastAsia" w:eastAsiaTheme="minorEastAsia" w:cstheme="minorEastAsia"/>
          <w:b/>
          <w:sz w:val="24"/>
        </w:rPr>
        <w:t>明</w:t>
      </w:r>
      <w:r>
        <w:rPr>
          <w:rFonts w:hint="eastAsia" w:asciiTheme="minorEastAsia" w:hAnsiTheme="minorEastAsia" w:eastAsiaTheme="minorEastAsia" w:cstheme="minorEastAsia"/>
          <w:b/>
          <w:sz w:val="24"/>
          <w:lang w:val="en-US" w:eastAsia="zh-CN"/>
        </w:rPr>
        <w:t xml:space="preserve"> </w:t>
      </w:r>
      <w:r>
        <w:rPr>
          <w:rFonts w:hint="eastAsia" w:asciiTheme="minorEastAsia" w:hAnsiTheme="minorEastAsia" w:eastAsiaTheme="minorEastAsia" w:cstheme="minorEastAsia"/>
          <w:b/>
          <w:sz w:val="24"/>
        </w:rPr>
        <w:t>细</w:t>
      </w:r>
      <w:r>
        <w:rPr>
          <w:rFonts w:hint="eastAsia" w:asciiTheme="minorEastAsia" w:hAnsiTheme="minorEastAsia" w:eastAsiaTheme="minorEastAsia" w:cstheme="minorEastAsia"/>
          <w:b/>
          <w:sz w:val="24"/>
          <w:lang w:val="en-US" w:eastAsia="zh-CN"/>
        </w:rPr>
        <w:t xml:space="preserve"> </w:t>
      </w:r>
      <w:r>
        <w:rPr>
          <w:rFonts w:hint="eastAsia" w:asciiTheme="minorEastAsia" w:hAnsiTheme="minorEastAsia" w:eastAsiaTheme="minorEastAsia" w:cstheme="minorEastAsia"/>
          <w:b/>
          <w:sz w:val="24"/>
        </w:rPr>
        <w:t>表</w:t>
      </w:r>
    </w:p>
    <w:p>
      <w:pPr>
        <w:spacing w:line="440" w:lineRule="exact"/>
        <w:rPr>
          <w:rFonts w:asciiTheme="minorEastAsia" w:hAnsiTheme="minorEastAsia" w:eastAsiaTheme="minorEastAsia" w:cstheme="minorEastAsia"/>
          <w:bCs/>
          <w:sz w:val="24"/>
        </w:rPr>
      </w:pPr>
    </w:p>
    <w:p>
      <w:pPr>
        <w:spacing w:line="440" w:lineRule="exact"/>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投标编号</w:t>
      </w:r>
      <w:r>
        <w:rPr>
          <w:rFonts w:hint="eastAsia" w:asciiTheme="minorEastAsia" w:hAnsiTheme="minorEastAsia" w:eastAsiaTheme="minorEastAsia" w:cstheme="minorEastAsia"/>
          <w:b/>
          <w:bCs/>
          <w:sz w:val="24"/>
        </w:rPr>
        <w:t>：</w:t>
      </w:r>
    </w:p>
    <w:tbl>
      <w:tblPr>
        <w:tblStyle w:val="19"/>
        <w:tblW w:w="94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1308"/>
        <w:gridCol w:w="957"/>
        <w:gridCol w:w="1132"/>
        <w:gridCol w:w="1581"/>
        <w:gridCol w:w="690"/>
        <w:gridCol w:w="705"/>
        <w:gridCol w:w="885"/>
        <w:gridCol w:w="765"/>
        <w:gridCol w:w="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747"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1308"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品牌</w:t>
            </w:r>
          </w:p>
        </w:tc>
        <w:tc>
          <w:tcPr>
            <w:tcW w:w="957"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型号</w:t>
            </w:r>
          </w:p>
        </w:tc>
        <w:tc>
          <w:tcPr>
            <w:tcW w:w="1132"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设备名称</w:t>
            </w:r>
          </w:p>
        </w:tc>
        <w:tc>
          <w:tcPr>
            <w:tcW w:w="1581"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设备性能参数</w:t>
            </w:r>
          </w:p>
        </w:tc>
        <w:tc>
          <w:tcPr>
            <w:tcW w:w="690"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tc>
        <w:tc>
          <w:tcPr>
            <w:tcW w:w="705"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数量</w:t>
            </w:r>
          </w:p>
        </w:tc>
        <w:tc>
          <w:tcPr>
            <w:tcW w:w="885"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单价</w:t>
            </w:r>
          </w:p>
        </w:tc>
        <w:tc>
          <w:tcPr>
            <w:tcW w:w="765" w:type="dxa"/>
            <w:noWrap/>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总价</w:t>
            </w:r>
          </w:p>
        </w:tc>
        <w:tc>
          <w:tcPr>
            <w:tcW w:w="690" w:type="dxa"/>
            <w:noWrap/>
          </w:tcPr>
          <w:p>
            <w:pPr>
              <w:spacing w:line="440" w:lineRule="exact"/>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747" w:type="dxa"/>
            <w:noWrap/>
          </w:tcPr>
          <w:p>
            <w:pPr>
              <w:spacing w:line="440" w:lineRule="exact"/>
              <w:rPr>
                <w:rFonts w:asciiTheme="minorEastAsia" w:hAnsiTheme="minorEastAsia" w:eastAsiaTheme="minorEastAsia" w:cstheme="minorEastAsia"/>
                <w:sz w:val="24"/>
              </w:rPr>
            </w:pPr>
          </w:p>
        </w:tc>
        <w:tc>
          <w:tcPr>
            <w:tcW w:w="1308" w:type="dxa"/>
            <w:noWrap/>
          </w:tcPr>
          <w:p>
            <w:pPr>
              <w:spacing w:line="440" w:lineRule="exact"/>
              <w:rPr>
                <w:rFonts w:asciiTheme="minorEastAsia" w:hAnsiTheme="minorEastAsia" w:eastAsiaTheme="minorEastAsia" w:cstheme="minorEastAsia"/>
                <w:sz w:val="24"/>
              </w:rPr>
            </w:pPr>
          </w:p>
        </w:tc>
        <w:tc>
          <w:tcPr>
            <w:tcW w:w="957" w:type="dxa"/>
            <w:noWrap/>
          </w:tcPr>
          <w:p>
            <w:pPr>
              <w:spacing w:line="440" w:lineRule="exact"/>
              <w:rPr>
                <w:rFonts w:asciiTheme="minorEastAsia" w:hAnsiTheme="minorEastAsia" w:eastAsiaTheme="minorEastAsia" w:cstheme="minorEastAsia"/>
                <w:sz w:val="24"/>
              </w:rPr>
            </w:pPr>
          </w:p>
        </w:tc>
        <w:tc>
          <w:tcPr>
            <w:tcW w:w="1132" w:type="dxa"/>
            <w:noWrap/>
          </w:tcPr>
          <w:p>
            <w:pPr>
              <w:spacing w:line="440" w:lineRule="exact"/>
              <w:rPr>
                <w:rFonts w:asciiTheme="minorEastAsia" w:hAnsiTheme="minorEastAsia" w:eastAsiaTheme="minorEastAsia" w:cstheme="minorEastAsia"/>
                <w:sz w:val="24"/>
              </w:rPr>
            </w:pPr>
          </w:p>
        </w:tc>
        <w:tc>
          <w:tcPr>
            <w:tcW w:w="1581"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c>
          <w:tcPr>
            <w:tcW w:w="705" w:type="dxa"/>
            <w:noWrap/>
          </w:tcPr>
          <w:p>
            <w:pPr>
              <w:spacing w:line="440" w:lineRule="exact"/>
              <w:rPr>
                <w:rFonts w:asciiTheme="minorEastAsia" w:hAnsiTheme="minorEastAsia" w:eastAsiaTheme="minorEastAsia" w:cstheme="minorEastAsia"/>
                <w:sz w:val="24"/>
              </w:rPr>
            </w:pPr>
          </w:p>
        </w:tc>
        <w:tc>
          <w:tcPr>
            <w:tcW w:w="885" w:type="dxa"/>
            <w:noWrap/>
          </w:tcPr>
          <w:p>
            <w:pPr>
              <w:spacing w:line="440" w:lineRule="exact"/>
              <w:rPr>
                <w:rFonts w:asciiTheme="minorEastAsia" w:hAnsiTheme="minorEastAsia" w:eastAsiaTheme="minorEastAsia" w:cstheme="minorEastAsia"/>
                <w:sz w:val="24"/>
              </w:rPr>
            </w:pPr>
          </w:p>
        </w:tc>
        <w:tc>
          <w:tcPr>
            <w:tcW w:w="765"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747" w:type="dxa"/>
            <w:noWrap/>
          </w:tcPr>
          <w:p>
            <w:pPr>
              <w:spacing w:line="440" w:lineRule="exact"/>
              <w:rPr>
                <w:rFonts w:asciiTheme="minorEastAsia" w:hAnsiTheme="minorEastAsia" w:eastAsiaTheme="minorEastAsia" w:cstheme="minorEastAsia"/>
                <w:sz w:val="24"/>
              </w:rPr>
            </w:pPr>
          </w:p>
        </w:tc>
        <w:tc>
          <w:tcPr>
            <w:tcW w:w="1308" w:type="dxa"/>
            <w:noWrap/>
          </w:tcPr>
          <w:p>
            <w:pPr>
              <w:spacing w:line="440" w:lineRule="exact"/>
              <w:rPr>
                <w:rFonts w:asciiTheme="minorEastAsia" w:hAnsiTheme="minorEastAsia" w:eastAsiaTheme="minorEastAsia" w:cstheme="minorEastAsia"/>
                <w:sz w:val="24"/>
              </w:rPr>
            </w:pPr>
          </w:p>
        </w:tc>
        <w:tc>
          <w:tcPr>
            <w:tcW w:w="957" w:type="dxa"/>
            <w:noWrap/>
          </w:tcPr>
          <w:p>
            <w:pPr>
              <w:spacing w:line="440" w:lineRule="exact"/>
              <w:rPr>
                <w:rFonts w:asciiTheme="minorEastAsia" w:hAnsiTheme="minorEastAsia" w:eastAsiaTheme="minorEastAsia" w:cstheme="minorEastAsia"/>
                <w:sz w:val="24"/>
              </w:rPr>
            </w:pPr>
          </w:p>
        </w:tc>
        <w:tc>
          <w:tcPr>
            <w:tcW w:w="1132" w:type="dxa"/>
            <w:noWrap/>
          </w:tcPr>
          <w:p>
            <w:pPr>
              <w:spacing w:line="440" w:lineRule="exact"/>
              <w:rPr>
                <w:rFonts w:asciiTheme="minorEastAsia" w:hAnsiTheme="minorEastAsia" w:eastAsiaTheme="minorEastAsia" w:cstheme="minorEastAsia"/>
                <w:sz w:val="24"/>
              </w:rPr>
            </w:pPr>
          </w:p>
        </w:tc>
        <w:tc>
          <w:tcPr>
            <w:tcW w:w="1581"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c>
          <w:tcPr>
            <w:tcW w:w="705" w:type="dxa"/>
            <w:noWrap/>
          </w:tcPr>
          <w:p>
            <w:pPr>
              <w:spacing w:line="440" w:lineRule="exact"/>
              <w:rPr>
                <w:rFonts w:asciiTheme="minorEastAsia" w:hAnsiTheme="minorEastAsia" w:eastAsiaTheme="minorEastAsia" w:cstheme="minorEastAsia"/>
                <w:sz w:val="24"/>
              </w:rPr>
            </w:pPr>
          </w:p>
        </w:tc>
        <w:tc>
          <w:tcPr>
            <w:tcW w:w="885" w:type="dxa"/>
            <w:noWrap/>
          </w:tcPr>
          <w:p>
            <w:pPr>
              <w:spacing w:line="440" w:lineRule="exact"/>
              <w:rPr>
                <w:rFonts w:asciiTheme="minorEastAsia" w:hAnsiTheme="minorEastAsia" w:eastAsiaTheme="minorEastAsia" w:cstheme="minorEastAsia"/>
                <w:sz w:val="24"/>
              </w:rPr>
            </w:pPr>
          </w:p>
        </w:tc>
        <w:tc>
          <w:tcPr>
            <w:tcW w:w="765"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747" w:type="dxa"/>
            <w:noWrap/>
          </w:tcPr>
          <w:p>
            <w:pPr>
              <w:spacing w:line="440" w:lineRule="exact"/>
              <w:rPr>
                <w:rFonts w:asciiTheme="minorEastAsia" w:hAnsiTheme="minorEastAsia" w:eastAsiaTheme="minorEastAsia" w:cstheme="minorEastAsia"/>
                <w:sz w:val="24"/>
              </w:rPr>
            </w:pPr>
          </w:p>
        </w:tc>
        <w:tc>
          <w:tcPr>
            <w:tcW w:w="1308" w:type="dxa"/>
            <w:noWrap/>
          </w:tcPr>
          <w:p>
            <w:pPr>
              <w:spacing w:line="440" w:lineRule="exact"/>
              <w:rPr>
                <w:rFonts w:asciiTheme="minorEastAsia" w:hAnsiTheme="minorEastAsia" w:eastAsiaTheme="minorEastAsia" w:cstheme="minorEastAsia"/>
                <w:sz w:val="24"/>
              </w:rPr>
            </w:pPr>
          </w:p>
        </w:tc>
        <w:tc>
          <w:tcPr>
            <w:tcW w:w="957" w:type="dxa"/>
            <w:noWrap/>
          </w:tcPr>
          <w:p>
            <w:pPr>
              <w:spacing w:line="440" w:lineRule="exact"/>
              <w:rPr>
                <w:rFonts w:asciiTheme="minorEastAsia" w:hAnsiTheme="minorEastAsia" w:eastAsiaTheme="minorEastAsia" w:cstheme="minorEastAsia"/>
                <w:sz w:val="24"/>
              </w:rPr>
            </w:pPr>
          </w:p>
        </w:tc>
        <w:tc>
          <w:tcPr>
            <w:tcW w:w="1132" w:type="dxa"/>
            <w:noWrap/>
          </w:tcPr>
          <w:p>
            <w:pPr>
              <w:spacing w:line="440" w:lineRule="exact"/>
              <w:rPr>
                <w:rFonts w:asciiTheme="minorEastAsia" w:hAnsiTheme="minorEastAsia" w:eastAsiaTheme="minorEastAsia" w:cstheme="minorEastAsia"/>
                <w:sz w:val="24"/>
              </w:rPr>
            </w:pPr>
          </w:p>
        </w:tc>
        <w:tc>
          <w:tcPr>
            <w:tcW w:w="1581"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c>
          <w:tcPr>
            <w:tcW w:w="705" w:type="dxa"/>
            <w:noWrap/>
          </w:tcPr>
          <w:p>
            <w:pPr>
              <w:spacing w:line="440" w:lineRule="exact"/>
              <w:rPr>
                <w:rFonts w:asciiTheme="minorEastAsia" w:hAnsiTheme="minorEastAsia" w:eastAsiaTheme="minorEastAsia" w:cstheme="minorEastAsia"/>
                <w:sz w:val="24"/>
              </w:rPr>
            </w:pPr>
          </w:p>
        </w:tc>
        <w:tc>
          <w:tcPr>
            <w:tcW w:w="885" w:type="dxa"/>
            <w:noWrap/>
          </w:tcPr>
          <w:p>
            <w:pPr>
              <w:spacing w:line="440" w:lineRule="exact"/>
              <w:rPr>
                <w:rFonts w:asciiTheme="minorEastAsia" w:hAnsiTheme="minorEastAsia" w:eastAsiaTheme="minorEastAsia" w:cstheme="minorEastAsia"/>
                <w:sz w:val="24"/>
              </w:rPr>
            </w:pPr>
          </w:p>
        </w:tc>
        <w:tc>
          <w:tcPr>
            <w:tcW w:w="765"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747" w:type="dxa"/>
            <w:noWrap/>
          </w:tcPr>
          <w:p>
            <w:pPr>
              <w:spacing w:line="440" w:lineRule="exact"/>
              <w:rPr>
                <w:rFonts w:asciiTheme="minorEastAsia" w:hAnsiTheme="minorEastAsia" w:eastAsiaTheme="minorEastAsia" w:cstheme="minorEastAsia"/>
                <w:sz w:val="24"/>
              </w:rPr>
            </w:pPr>
          </w:p>
        </w:tc>
        <w:tc>
          <w:tcPr>
            <w:tcW w:w="1308" w:type="dxa"/>
            <w:noWrap/>
          </w:tcPr>
          <w:p>
            <w:pPr>
              <w:spacing w:line="440" w:lineRule="exact"/>
              <w:rPr>
                <w:rFonts w:asciiTheme="minorEastAsia" w:hAnsiTheme="minorEastAsia" w:eastAsiaTheme="minorEastAsia" w:cstheme="minorEastAsia"/>
                <w:sz w:val="24"/>
              </w:rPr>
            </w:pPr>
          </w:p>
        </w:tc>
        <w:tc>
          <w:tcPr>
            <w:tcW w:w="957" w:type="dxa"/>
            <w:noWrap/>
          </w:tcPr>
          <w:p>
            <w:pPr>
              <w:spacing w:line="440" w:lineRule="exact"/>
              <w:rPr>
                <w:rFonts w:asciiTheme="minorEastAsia" w:hAnsiTheme="minorEastAsia" w:eastAsiaTheme="minorEastAsia" w:cstheme="minorEastAsia"/>
                <w:sz w:val="24"/>
              </w:rPr>
            </w:pPr>
          </w:p>
        </w:tc>
        <w:tc>
          <w:tcPr>
            <w:tcW w:w="1132" w:type="dxa"/>
            <w:noWrap/>
          </w:tcPr>
          <w:p>
            <w:pPr>
              <w:spacing w:line="440" w:lineRule="exact"/>
              <w:rPr>
                <w:rFonts w:asciiTheme="minorEastAsia" w:hAnsiTheme="minorEastAsia" w:eastAsiaTheme="minorEastAsia" w:cstheme="minorEastAsia"/>
                <w:sz w:val="24"/>
              </w:rPr>
            </w:pPr>
          </w:p>
        </w:tc>
        <w:tc>
          <w:tcPr>
            <w:tcW w:w="1581"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c>
          <w:tcPr>
            <w:tcW w:w="705" w:type="dxa"/>
            <w:noWrap/>
          </w:tcPr>
          <w:p>
            <w:pPr>
              <w:spacing w:line="440" w:lineRule="exact"/>
              <w:rPr>
                <w:rFonts w:asciiTheme="minorEastAsia" w:hAnsiTheme="minorEastAsia" w:eastAsiaTheme="minorEastAsia" w:cstheme="minorEastAsia"/>
                <w:sz w:val="24"/>
              </w:rPr>
            </w:pPr>
          </w:p>
        </w:tc>
        <w:tc>
          <w:tcPr>
            <w:tcW w:w="885" w:type="dxa"/>
            <w:noWrap/>
          </w:tcPr>
          <w:p>
            <w:pPr>
              <w:spacing w:line="440" w:lineRule="exact"/>
              <w:rPr>
                <w:rFonts w:asciiTheme="minorEastAsia" w:hAnsiTheme="minorEastAsia" w:eastAsiaTheme="minorEastAsia" w:cstheme="minorEastAsia"/>
                <w:sz w:val="24"/>
              </w:rPr>
            </w:pPr>
          </w:p>
        </w:tc>
        <w:tc>
          <w:tcPr>
            <w:tcW w:w="765" w:type="dxa"/>
            <w:noWrap/>
          </w:tcPr>
          <w:p>
            <w:pPr>
              <w:spacing w:line="440" w:lineRule="exact"/>
              <w:rPr>
                <w:rFonts w:asciiTheme="minorEastAsia" w:hAnsiTheme="minorEastAsia" w:eastAsiaTheme="minorEastAsia" w:cstheme="minorEastAsia"/>
                <w:sz w:val="24"/>
              </w:rPr>
            </w:pPr>
          </w:p>
        </w:tc>
        <w:tc>
          <w:tcPr>
            <w:tcW w:w="690" w:type="dxa"/>
            <w:noWrap/>
          </w:tcPr>
          <w:p>
            <w:pPr>
              <w:spacing w:line="440" w:lineRule="exact"/>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2055" w:type="dxa"/>
            <w:gridSpan w:val="2"/>
            <w:noWrap/>
          </w:tcPr>
          <w:p>
            <w:pPr>
              <w:spacing w:line="44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投标总价</w:t>
            </w:r>
          </w:p>
        </w:tc>
        <w:tc>
          <w:tcPr>
            <w:tcW w:w="6715" w:type="dxa"/>
            <w:gridSpan w:val="7"/>
            <w:tcBorders>
              <w:bottom w:val="single" w:color="auto" w:sz="4" w:space="0"/>
            </w:tcBorders>
            <w:noWrap/>
          </w:tcPr>
          <w:p>
            <w:pPr>
              <w:spacing w:line="440" w:lineRule="exact"/>
              <w:ind w:firstLine="2400" w:firstLineChars="10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金额（大写）                    元</w:t>
            </w:r>
          </w:p>
        </w:tc>
        <w:tc>
          <w:tcPr>
            <w:tcW w:w="690" w:type="dxa"/>
            <w:tcBorders>
              <w:bottom w:val="single" w:color="auto" w:sz="4" w:space="0"/>
            </w:tcBorders>
            <w:noWrap/>
          </w:tcPr>
          <w:p>
            <w:pPr>
              <w:spacing w:line="440" w:lineRule="exact"/>
              <w:ind w:firstLine="2400" w:firstLineChars="1000"/>
              <w:rPr>
                <w:rFonts w:hint="eastAsia" w:asciiTheme="minorEastAsia" w:hAnsiTheme="minorEastAsia" w:eastAsiaTheme="minorEastAsia" w:cstheme="minorEastAsia"/>
                <w:sz w:val="24"/>
              </w:rPr>
            </w:pPr>
          </w:p>
        </w:tc>
      </w:tr>
    </w:tbl>
    <w:p>
      <w:pPr>
        <w:spacing w:line="440" w:lineRule="exact"/>
        <w:ind w:firstLine="482" w:firstLineChars="200"/>
        <w:rPr>
          <w:rFonts w:asciiTheme="minorEastAsia" w:hAnsiTheme="minorEastAsia" w:eastAsiaTheme="minorEastAsia" w:cstheme="minorEastAsia"/>
          <w:b/>
          <w:bCs/>
          <w:sz w:val="24"/>
        </w:rPr>
      </w:pPr>
    </w:p>
    <w:p>
      <w:pPr>
        <w:spacing w:line="440" w:lineRule="exact"/>
        <w:ind w:firstLine="482" w:firstLineChars="200"/>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注：投标报价明细表须按招标文件中提供的采购清单填写并报价，不得改变清单顺序以及清单中设备名称、单位和数量等内容。</w:t>
      </w: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投标方：（单位盖章）</w:t>
      </w: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法定代表人或代理人：（签字或盖章）</w:t>
      </w:r>
    </w:p>
    <w:p>
      <w:pPr>
        <w:spacing w:line="440" w:lineRule="exact"/>
        <w:ind w:firstLine="480" w:firstLineChars="200"/>
        <w:rPr>
          <w:rFonts w:asciiTheme="minorEastAsia" w:hAnsiTheme="minorEastAsia" w:eastAsiaTheme="minorEastAsia" w:cstheme="minorEastAsia"/>
          <w:sz w:val="24"/>
        </w:rPr>
      </w:pPr>
    </w:p>
    <w:p>
      <w:pPr>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年  月  日</w:t>
      </w:r>
    </w:p>
    <w:p>
      <w:pPr>
        <w:spacing w:line="440" w:lineRule="exact"/>
        <w:rPr>
          <w:rFonts w:asciiTheme="minorEastAsia" w:hAnsiTheme="minorEastAsia" w:eastAsiaTheme="minorEastAsia" w:cstheme="minorEastAsia"/>
          <w:sz w:val="24"/>
        </w:rPr>
      </w:pPr>
    </w:p>
    <w:p>
      <w:pPr>
        <w:spacing w:line="440" w:lineRule="exact"/>
        <w:rPr>
          <w:rFonts w:asciiTheme="minorEastAsia" w:hAnsiTheme="minorEastAsia" w:eastAsiaTheme="minorEastAsia" w:cstheme="minorEastAsia"/>
          <w:sz w:val="24"/>
        </w:rPr>
      </w:pPr>
    </w:p>
    <w:p>
      <w:pPr>
        <w:spacing w:line="440" w:lineRule="exact"/>
        <w:rPr>
          <w:rFonts w:asciiTheme="minorEastAsia" w:hAnsiTheme="minorEastAsia" w:eastAsiaTheme="minorEastAsia" w:cstheme="minorEastAsia"/>
          <w:sz w:val="24"/>
        </w:rPr>
      </w:pPr>
    </w:p>
    <w:p>
      <w:pPr>
        <w:rPr>
          <w:rFonts w:asciiTheme="minorEastAsia" w:hAnsiTheme="minorEastAsia" w:eastAsiaTheme="minorEastAsia" w:cstheme="minorEastAsia"/>
          <w:b/>
          <w:bCs/>
          <w:sz w:val="24"/>
        </w:rPr>
      </w:pPr>
    </w:p>
    <w:p>
      <w:pPr>
        <w:rPr>
          <w:rFonts w:asciiTheme="minorEastAsia" w:hAnsiTheme="minorEastAsia" w:eastAsiaTheme="minorEastAsia" w:cstheme="minorEastAsia"/>
          <w:b/>
          <w:bCs/>
          <w:sz w:val="24"/>
        </w:rPr>
      </w:pPr>
    </w:p>
    <w:p>
      <w:pPr>
        <w:rPr>
          <w:rFonts w:asciiTheme="minorEastAsia" w:hAnsiTheme="minorEastAsia" w:eastAsiaTheme="minorEastAsia" w:cstheme="minorEastAsia"/>
          <w:sz w:val="24"/>
        </w:rPr>
        <w:sectPr>
          <w:footerReference r:id="rId4" w:type="default"/>
          <w:footerReference r:id="rId5" w:type="even"/>
          <w:pgSz w:w="11906" w:h="16838"/>
          <w:pgMar w:top="2098" w:right="1440" w:bottom="1440" w:left="1440" w:header="851" w:footer="992" w:gutter="0"/>
          <w:pgNumType w:fmt="decimal"/>
          <w:cols w:space="720" w:num="1"/>
          <w:docGrid w:linePitch="312" w:charSpace="0"/>
        </w:sectPr>
      </w:pPr>
    </w:p>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附表8</w:t>
      </w:r>
    </w:p>
    <w:p>
      <w:pPr>
        <w:rPr>
          <w:rFonts w:asciiTheme="minorEastAsia" w:hAnsiTheme="minorEastAsia" w:eastAsiaTheme="minorEastAsia" w:cstheme="minorEastAsia"/>
          <w:b/>
          <w:bCs/>
          <w:sz w:val="24"/>
        </w:rPr>
      </w:pPr>
    </w:p>
    <w:p>
      <w:pPr>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投标货物（设备）技术、性能、质量具体明细及偏离表</w:t>
      </w:r>
    </w:p>
    <w:p>
      <w:pPr>
        <w:jc w:val="center"/>
        <w:rPr>
          <w:rFonts w:asciiTheme="minorEastAsia" w:hAnsiTheme="minorEastAsia" w:eastAsiaTheme="minorEastAsia" w:cstheme="minorEastAsia"/>
          <w:b/>
          <w:bCs/>
          <w:sz w:val="24"/>
        </w:rPr>
      </w:pPr>
    </w:p>
    <w:tbl>
      <w:tblPr>
        <w:tblStyle w:val="19"/>
        <w:tblW w:w="145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747"/>
        <w:gridCol w:w="588"/>
        <w:gridCol w:w="2900"/>
        <w:gridCol w:w="588"/>
        <w:gridCol w:w="1053"/>
        <w:gridCol w:w="1360"/>
        <w:gridCol w:w="743"/>
        <w:gridCol w:w="897"/>
        <w:gridCol w:w="897"/>
        <w:gridCol w:w="901"/>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6" w:hRule="atLeast"/>
        </w:trPr>
        <w:tc>
          <w:tcPr>
            <w:tcW w:w="739"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3335" w:type="dxa"/>
            <w:gridSpan w:val="2"/>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招标货物（设备）要求</w:t>
            </w:r>
          </w:p>
        </w:tc>
        <w:tc>
          <w:tcPr>
            <w:tcW w:w="3488" w:type="dxa"/>
            <w:gridSpan w:val="2"/>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投标货物（设备）状况</w:t>
            </w:r>
          </w:p>
        </w:tc>
        <w:tc>
          <w:tcPr>
            <w:tcW w:w="1053"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免费质保期</w:t>
            </w:r>
          </w:p>
        </w:tc>
        <w:tc>
          <w:tcPr>
            <w:tcW w:w="1360"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免费质保期外服务年限</w:t>
            </w:r>
          </w:p>
        </w:tc>
        <w:tc>
          <w:tcPr>
            <w:tcW w:w="3438" w:type="dxa"/>
            <w:gridSpan w:val="4"/>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投标货物（设备）符合程度</w:t>
            </w:r>
          </w:p>
        </w:tc>
        <w:tc>
          <w:tcPr>
            <w:tcW w:w="1176"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trPr>
        <w:tc>
          <w:tcPr>
            <w:tcW w:w="739"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2747"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型号、规格、质量、技术性能及参数要求</w:t>
            </w:r>
          </w:p>
        </w:tc>
        <w:tc>
          <w:tcPr>
            <w:tcW w:w="588"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数量</w:t>
            </w:r>
          </w:p>
        </w:tc>
        <w:tc>
          <w:tcPr>
            <w:tcW w:w="2900"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型号、规格、质量、技术性能及参数要求</w:t>
            </w:r>
          </w:p>
        </w:tc>
        <w:tc>
          <w:tcPr>
            <w:tcW w:w="588" w:type="dxa"/>
            <w:vMerge w:val="restart"/>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数量</w:t>
            </w:r>
          </w:p>
        </w:tc>
        <w:tc>
          <w:tcPr>
            <w:tcW w:w="1053"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1360"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3438" w:type="dxa"/>
            <w:gridSpan w:val="4"/>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1176"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 w:hRule="atLeast"/>
        </w:trPr>
        <w:tc>
          <w:tcPr>
            <w:tcW w:w="739"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2747"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588"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2900"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588"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1053"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1360"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c>
          <w:tcPr>
            <w:tcW w:w="743"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符合要求</w:t>
            </w: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高于要求</w:t>
            </w: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低于要求</w:t>
            </w:r>
          </w:p>
        </w:tc>
        <w:tc>
          <w:tcPr>
            <w:tcW w:w="901"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不能确定</w:t>
            </w:r>
          </w:p>
        </w:tc>
        <w:tc>
          <w:tcPr>
            <w:tcW w:w="1176" w:type="dxa"/>
            <w:vMerge w:val="continue"/>
            <w:tcBorders>
              <w:top w:val="single" w:color="auto" w:sz="4" w:space="0"/>
              <w:left w:val="single" w:color="auto" w:sz="4" w:space="0"/>
              <w:bottom w:val="single" w:color="auto" w:sz="4" w:space="0"/>
              <w:right w:val="single" w:color="auto" w:sz="4" w:space="0"/>
            </w:tcBorders>
            <w:noWrap/>
            <w:vAlign w:val="center"/>
          </w:tcPr>
          <w:p>
            <w:pPr>
              <w:widowControl/>
              <w:rPr>
                <w:rFonts w:asciiTheme="minorEastAsia" w:hAnsiTheme="minorEastAsia" w:eastAsiaTheme="minorEastAsia" w:cstheme="minorEastAsia"/>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739"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274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588"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2900"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588"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053"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360"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743"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901"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176"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739"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274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588"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2900"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588"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053"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360"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743"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897"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901"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c>
          <w:tcPr>
            <w:tcW w:w="1176" w:type="dxa"/>
            <w:tcBorders>
              <w:top w:val="single" w:color="auto" w:sz="4" w:space="0"/>
              <w:left w:val="single" w:color="auto" w:sz="4" w:space="0"/>
              <w:bottom w:val="single" w:color="auto" w:sz="4" w:space="0"/>
              <w:right w:val="single" w:color="auto" w:sz="4" w:space="0"/>
            </w:tcBorders>
            <w:noWrap/>
            <w:vAlign w:val="center"/>
          </w:tcPr>
          <w:p>
            <w:pPr>
              <w:rPr>
                <w:rFonts w:asciiTheme="minorEastAsia" w:hAnsiTheme="minorEastAsia" w:eastAsiaTheme="minorEastAsia" w:cstheme="minorEastAsia"/>
                <w:b/>
                <w:bCs/>
                <w:sz w:val="24"/>
              </w:rPr>
            </w:pPr>
          </w:p>
        </w:tc>
      </w:tr>
    </w:tbl>
    <w:p>
      <w:pPr>
        <w:ind w:firstLine="9600" w:firstLineChars="40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投标单位(公章)：</w:t>
      </w:r>
    </w:p>
    <w:p>
      <w:pPr>
        <w:ind w:firstLine="9600" w:firstLineChars="4000"/>
        <w:rPr>
          <w:rFonts w:asciiTheme="minorEastAsia" w:hAnsiTheme="minorEastAsia" w:eastAsiaTheme="minorEastAsia" w:cstheme="minorEastAsia"/>
          <w:sz w:val="24"/>
        </w:rPr>
      </w:pPr>
    </w:p>
    <w:p>
      <w:pPr>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投标单位联系人：                                投标单位联系电话：            法人代表(签字):</w:t>
      </w:r>
    </w:p>
    <w:p>
      <w:pPr>
        <w:ind w:firstLine="480" w:firstLineChars="200"/>
        <w:rPr>
          <w:rFonts w:asciiTheme="minorEastAsia" w:hAnsiTheme="minorEastAsia" w:eastAsiaTheme="minorEastAsia" w:cstheme="minorEastAsia"/>
          <w:sz w:val="24"/>
        </w:rPr>
      </w:pPr>
    </w:p>
    <w:p>
      <w:pPr>
        <w:spacing w:line="400" w:lineRule="exact"/>
        <w:ind w:left="1080" w:hanging="1080" w:hangingChars="4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备注：1、投标人应对照招标货物（设备）技术、质量及要求，审慎准确填写此表，详细列明投标货物（设备）技术、质量状况全面披露各项符合程度并标注确定字样。如不能确定的请在不能确定栏内填写不确定字样。</w:t>
      </w:r>
    </w:p>
    <w:p>
      <w:pPr>
        <w:spacing w:line="400" w:lineRule="exact"/>
        <w:ind w:left="1198" w:leftChars="342" w:hanging="480" w:hanging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2、如果投标货物有偏离而不标注偏离，一旦在评审中被发现存在偏离或认定为偏离，评审人员有权视具体情况按照评审标准扣分。</w:t>
      </w:r>
    </w:p>
    <w:p>
      <w:pPr>
        <w:rPr>
          <w:rFonts w:asciiTheme="minorEastAsia" w:hAnsiTheme="minorEastAsia" w:eastAsiaTheme="minorEastAsia" w:cstheme="minorEastAsia"/>
          <w:b/>
          <w:bCs/>
          <w:sz w:val="24"/>
        </w:rPr>
      </w:pPr>
    </w:p>
    <w:p>
      <w:pPr>
        <w:snapToGrid w:val="0"/>
        <w:rPr>
          <w:rFonts w:asciiTheme="minorEastAsia" w:hAnsiTheme="minorEastAsia" w:eastAsiaTheme="minorEastAsia" w:cstheme="minorEastAsia"/>
          <w:b/>
          <w:bCs/>
          <w:sz w:val="24"/>
        </w:rPr>
        <w:sectPr>
          <w:pgSz w:w="16838" w:h="11906" w:orient="landscape"/>
          <w:pgMar w:top="1440" w:right="2098" w:bottom="1440" w:left="1440" w:header="851" w:footer="992" w:gutter="0"/>
          <w:pgNumType w:fmt="decimal"/>
          <w:cols w:space="720" w:num="1"/>
          <w:docGrid w:linePitch="312" w:charSpace="0"/>
        </w:sectPr>
      </w:pPr>
    </w:p>
    <w:p>
      <w:pPr>
        <w:snapToGrid w:val="0"/>
        <w:rPr>
          <w:rFonts w:asciiTheme="minorEastAsia" w:hAnsiTheme="minorEastAsia" w:eastAsiaTheme="minorEastAsia" w:cstheme="minorEastAsia"/>
          <w:sz w:val="24"/>
        </w:rPr>
      </w:pPr>
      <w:r>
        <w:rPr>
          <w:rFonts w:hint="eastAsia" w:asciiTheme="minorEastAsia" w:hAnsiTheme="minorEastAsia" w:eastAsiaTheme="minorEastAsia" w:cstheme="minorEastAsia"/>
          <w:b/>
          <w:bCs/>
          <w:sz w:val="24"/>
        </w:rPr>
        <w:t>附件9</w:t>
      </w:r>
    </w:p>
    <w:p>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投标产品质量承诺书</w:t>
      </w:r>
    </w:p>
    <w:p>
      <w:pPr>
        <w:spacing w:line="360" w:lineRule="auto"/>
        <w:rPr>
          <w:rFonts w:asciiTheme="minorEastAsia" w:hAnsiTheme="minorEastAsia" w:eastAsiaTheme="minorEastAsia" w:cstheme="minorEastAsia"/>
          <w:b/>
          <w:bCs/>
          <w:sz w:val="24"/>
        </w:rPr>
      </w:pPr>
    </w:p>
    <w:p>
      <w:pPr>
        <w:spacing w:line="360" w:lineRule="auto"/>
        <w:rPr>
          <w:rFonts w:asciiTheme="minorEastAsia" w:hAnsiTheme="minorEastAsia" w:eastAsiaTheme="minorEastAsia" w:cstheme="minorEastAsia"/>
          <w:bCs/>
          <w:sz w:val="24"/>
        </w:rPr>
      </w:pPr>
      <w:r>
        <w:rPr>
          <w:rFonts w:hint="eastAsia" w:asciiTheme="minorEastAsia" w:hAnsiTheme="minorEastAsia" w:eastAsiaTheme="minorEastAsia" w:cstheme="minorEastAsia"/>
          <w:sz w:val="24"/>
        </w:rPr>
        <w:t>投标产品(设备)的全称</w:t>
      </w:r>
      <w:r>
        <w:rPr>
          <w:rFonts w:hint="eastAsia" w:asciiTheme="minorEastAsia" w:hAnsiTheme="minorEastAsia" w:eastAsiaTheme="minorEastAsia" w:cstheme="minorEastAsia"/>
          <w:sz w:val="24"/>
          <w:u w:val="single"/>
        </w:rPr>
        <w:t xml:space="preserve">       同时应编写品牌、型号     </w:t>
      </w:r>
      <w:r>
        <w:rPr>
          <w:rFonts w:hint="eastAsia" w:asciiTheme="minorEastAsia" w:hAnsiTheme="minorEastAsia" w:eastAsiaTheme="minorEastAsia" w:cstheme="minorEastAsia"/>
          <w:sz w:val="24"/>
        </w:rPr>
        <w:t>：</w:t>
      </w:r>
    </w:p>
    <w:p>
      <w:pPr>
        <w:spacing w:line="360" w:lineRule="auto"/>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投标人应按所投产品（设备、软件）质量状况实事求是地填写，但不限以下内容：</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1、产品（设备）出厂前是否执行检验检测；</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2、产品（设备）质量保证期（三包）期限（年、月），执行规范和内容；</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3、产品（设备）质量缺陷、瑕疵补救方案和处理方式、方法（如果实行召回制度的产品必须说明）；</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4、投标产品（设备）达不到无故障时间和使用（寿命）年限应承担的责任；</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5、设备（软件）集成、安装、调试质量保证措施；</w:t>
      </w:r>
    </w:p>
    <w:p>
      <w:pPr>
        <w:spacing w:line="360" w:lineRule="auto"/>
        <w:ind w:firstLine="470" w:firstLineChars="196"/>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6、投标人对投标产品（设备）承诺的其它事项。</w:t>
      </w:r>
    </w:p>
    <w:p>
      <w:pPr>
        <w:tabs>
          <w:tab w:val="left" w:pos="9180"/>
        </w:tabs>
        <w:rPr>
          <w:rFonts w:asciiTheme="minorEastAsia" w:hAnsiTheme="minorEastAsia" w:eastAsiaTheme="minorEastAsia" w:cstheme="minorEastAsia"/>
          <w:sz w:val="24"/>
        </w:rPr>
      </w:pPr>
    </w:p>
    <w:p>
      <w:pPr>
        <w:spacing w:line="360" w:lineRule="auto"/>
        <w:ind w:firstLine="3600" w:firstLineChars="15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法定代表人：</w:t>
      </w:r>
      <w:r>
        <w:rPr>
          <w:rFonts w:hint="eastAsia" w:asciiTheme="minorEastAsia" w:hAnsiTheme="minorEastAsia" w:eastAsiaTheme="minorEastAsia" w:cstheme="minorEastAsia"/>
          <w:sz w:val="24"/>
          <w:u w:val="single"/>
        </w:rPr>
        <w:t xml:space="preserve"> （签字） </w:t>
      </w:r>
    </w:p>
    <w:p>
      <w:pPr>
        <w:spacing w:line="360" w:lineRule="auto"/>
        <w:ind w:firstLine="4200" w:firstLineChars="17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或</w:t>
      </w:r>
    </w:p>
    <w:p>
      <w:pPr>
        <w:spacing w:line="360" w:lineRule="auto"/>
        <w:ind w:firstLine="3600" w:firstLineChars="15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w:t>
      </w:r>
      <w:r>
        <w:rPr>
          <w:rFonts w:hint="eastAsia" w:asciiTheme="minorEastAsia" w:hAnsiTheme="minorEastAsia" w:eastAsiaTheme="minorEastAsia" w:cstheme="minorEastAsia"/>
          <w:sz w:val="24"/>
          <w:u w:val="single"/>
        </w:rPr>
        <w:t xml:space="preserve"> （签字） </w:t>
      </w:r>
    </w:p>
    <w:p>
      <w:pPr>
        <w:spacing w:line="360" w:lineRule="auto"/>
        <w:ind w:firstLine="3576" w:firstLineChars="149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tabs>
          <w:tab w:val="left" w:pos="9180"/>
        </w:tabs>
        <w:spacing w:line="360" w:lineRule="auto"/>
        <w:rPr>
          <w:rFonts w:asciiTheme="minorEastAsia" w:hAnsiTheme="minorEastAsia" w:eastAsiaTheme="minorEastAsia" w:cstheme="minorEastAsia"/>
          <w:sz w:val="24"/>
        </w:rPr>
      </w:pPr>
    </w:p>
    <w:p>
      <w:pPr>
        <w:tabs>
          <w:tab w:val="left" w:pos="9180"/>
        </w:tabs>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br w:type="page"/>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附件10</w:t>
      </w:r>
    </w:p>
    <w:p>
      <w:pPr>
        <w:spacing w:line="240" w:lineRule="atLeast"/>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投标人技术支持和售后服务承诺</w:t>
      </w:r>
    </w:p>
    <w:p>
      <w:pPr>
        <w:spacing w:line="240" w:lineRule="atLeast"/>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（投标人自行填写）</w:t>
      </w:r>
    </w:p>
    <w:p>
      <w:pPr>
        <w:spacing w:line="360" w:lineRule="auto"/>
        <w:rPr>
          <w:rFonts w:asciiTheme="minorEastAsia" w:hAnsiTheme="minorEastAsia" w:eastAsiaTheme="minorEastAsia" w:cstheme="minorEastAsia"/>
          <w:b/>
          <w:sz w:val="24"/>
        </w:rPr>
      </w:pPr>
    </w:p>
    <w:p>
      <w:pPr>
        <w:spacing w:line="50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主要内容应包括（不仅限于下列内容）：</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投标人应当分别列明投标货物免费质量保证期限_____年，在免费质量保证期（包修、包换、包退）内能够提供的技术支持办法和服务方式、服务内容以及维护维修的解决方式（上门维修、报修、送修等），如果招标人需要增加投标货物免费质量保证期，其续保价格元。</w:t>
      </w:r>
    </w:p>
    <w:p>
      <w:pPr>
        <w:spacing w:line="500" w:lineRule="exact"/>
        <w:ind w:firstLine="475" w:firstLineChars="198"/>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2、投标人应分别列明免费质量保证期外的服务年限</w:t>
      </w:r>
      <w:r>
        <w:rPr>
          <w:rFonts w:hint="eastAsia" w:asciiTheme="minorEastAsia" w:hAnsiTheme="minorEastAsia" w:eastAsiaTheme="minorEastAsia" w:cstheme="minorEastAsia"/>
          <w:sz w:val="24"/>
          <w:u w:val="single"/>
        </w:rPr>
        <w:t>_____</w:t>
      </w:r>
      <w:r>
        <w:rPr>
          <w:rFonts w:hint="eastAsia" w:asciiTheme="minorEastAsia" w:hAnsiTheme="minorEastAsia" w:eastAsiaTheme="minorEastAsia" w:cstheme="minorEastAsia"/>
          <w:sz w:val="24"/>
        </w:rPr>
        <w:t>年；维护维修的电话、联系人、响应服务时间、到达现场时间以及维护维修完成时限（天）。</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3、投标人应列明在货物免费质量保证期外技术支持和相关服务收费标准；零 (部)备件取得方式及取费标准。</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4、投标人应列明生产厂家现在实行的售后服务和技术支持的方式、方法、内容，以及售后服务网点、地址、联系电话等。</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5、投标人应分别列明投标物品的装箱清单及物品；以及产品开箱不合格处理方法。</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6、投标人应列明违反售后服务承诺的赔偿责任。</w:t>
      </w:r>
    </w:p>
    <w:p>
      <w:pPr>
        <w:spacing w:line="50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7、投标人应列明产品的质量或服务投诉电话（公司/厂方）。</w:t>
      </w:r>
    </w:p>
    <w:p>
      <w:pPr>
        <w:spacing w:line="200" w:lineRule="exact"/>
        <w:ind w:firstLine="3600" w:firstLineChars="1500"/>
        <w:rPr>
          <w:rFonts w:asciiTheme="minorEastAsia" w:hAnsiTheme="minorEastAsia" w:eastAsiaTheme="minorEastAsia" w:cstheme="minorEastAsia"/>
          <w:sz w:val="24"/>
        </w:rPr>
      </w:pPr>
    </w:p>
    <w:p>
      <w:pPr>
        <w:spacing w:line="200" w:lineRule="exact"/>
        <w:ind w:firstLine="3600" w:firstLineChars="1500"/>
        <w:rPr>
          <w:rFonts w:asciiTheme="minorEastAsia" w:hAnsiTheme="minorEastAsia" w:eastAsiaTheme="minorEastAsia" w:cstheme="minorEastAsia"/>
          <w:sz w:val="24"/>
        </w:rPr>
      </w:pPr>
    </w:p>
    <w:p>
      <w:pPr>
        <w:spacing w:line="200" w:lineRule="exact"/>
        <w:ind w:firstLine="3600" w:firstLineChars="1500"/>
        <w:rPr>
          <w:rFonts w:asciiTheme="minorEastAsia" w:hAnsiTheme="minorEastAsia" w:eastAsiaTheme="minorEastAsia" w:cstheme="minorEastAsia"/>
          <w:sz w:val="24"/>
        </w:rPr>
      </w:pPr>
    </w:p>
    <w:p>
      <w:pPr>
        <w:spacing w:line="200" w:lineRule="exact"/>
        <w:ind w:firstLine="3600" w:firstLineChars="1500"/>
        <w:rPr>
          <w:rFonts w:asciiTheme="minorEastAsia" w:hAnsiTheme="minorEastAsia" w:eastAsiaTheme="minorEastAsia" w:cstheme="minorEastAsia"/>
          <w:sz w:val="24"/>
        </w:rPr>
      </w:pPr>
    </w:p>
    <w:p>
      <w:pPr>
        <w:spacing w:line="400" w:lineRule="exact"/>
        <w:ind w:firstLine="3600" w:firstLineChars="15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法定代表人：</w:t>
      </w:r>
      <w:r>
        <w:rPr>
          <w:rFonts w:hint="eastAsia" w:asciiTheme="minorEastAsia" w:hAnsiTheme="minorEastAsia" w:eastAsiaTheme="minorEastAsia" w:cstheme="minorEastAsia"/>
          <w:sz w:val="24"/>
          <w:u w:val="single"/>
        </w:rPr>
        <w:t xml:space="preserve"> （签字） </w:t>
      </w:r>
    </w:p>
    <w:p>
      <w:pPr>
        <w:spacing w:line="300" w:lineRule="exact"/>
        <w:ind w:firstLine="4200" w:firstLineChars="17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或</w:t>
      </w:r>
    </w:p>
    <w:p>
      <w:pPr>
        <w:spacing w:line="300" w:lineRule="exact"/>
        <w:ind w:firstLine="3600" w:firstLineChars="15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全权代理人：</w:t>
      </w:r>
      <w:r>
        <w:rPr>
          <w:rFonts w:hint="eastAsia" w:asciiTheme="minorEastAsia" w:hAnsiTheme="minorEastAsia" w:eastAsiaTheme="minorEastAsia" w:cstheme="minorEastAsia"/>
          <w:sz w:val="24"/>
          <w:u w:val="single"/>
        </w:rPr>
        <w:t xml:space="preserve"> （签字） </w:t>
      </w:r>
    </w:p>
    <w:p>
      <w:pPr>
        <w:spacing w:line="300" w:lineRule="exact"/>
        <w:ind w:firstLine="3576" w:firstLineChars="149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签署日期：    年   月   日</w:t>
      </w:r>
    </w:p>
    <w:p>
      <w:pPr>
        <w:spacing w:line="240" w:lineRule="atLeast"/>
        <w:rPr>
          <w:rFonts w:asciiTheme="minorEastAsia" w:hAnsiTheme="minorEastAsia" w:eastAsiaTheme="minorEastAsia" w:cstheme="minorEastAsia"/>
          <w:b/>
          <w:sz w:val="24"/>
        </w:rPr>
        <w:sectPr>
          <w:pgSz w:w="11906" w:h="16838"/>
          <w:pgMar w:top="2098" w:right="1440" w:bottom="1440" w:left="1440" w:header="851" w:footer="992" w:gutter="0"/>
          <w:pgNumType w:fmt="decimal"/>
          <w:cols w:space="720" w:num="1"/>
          <w:docGrid w:linePitch="312" w:charSpace="0"/>
        </w:sectPr>
      </w:pP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附件11</w:t>
      </w: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近 </w:t>
      </w:r>
      <w:r>
        <w:rPr>
          <w:rFonts w:hint="eastAsia" w:asciiTheme="minorEastAsia" w:hAnsiTheme="minorEastAsia" w:eastAsiaTheme="minorEastAsia" w:cstheme="minorEastAsia"/>
          <w:b/>
          <w:sz w:val="24"/>
          <w:lang w:val="en-US" w:eastAsia="zh-CN"/>
        </w:rPr>
        <w:t>一</w:t>
      </w:r>
      <w:r>
        <w:rPr>
          <w:rFonts w:hint="eastAsia" w:asciiTheme="minorEastAsia" w:hAnsiTheme="minorEastAsia" w:eastAsiaTheme="minorEastAsia" w:cstheme="minorEastAsia"/>
          <w:b/>
          <w:sz w:val="24"/>
        </w:rPr>
        <w:t xml:space="preserve"> 年 业 绩 一 览 表</w:t>
      </w:r>
    </w:p>
    <w:p>
      <w:pPr>
        <w:spacing w:line="360" w:lineRule="auto"/>
        <w:rPr>
          <w:rFonts w:asciiTheme="minorEastAsia" w:hAnsiTheme="minorEastAsia" w:eastAsiaTheme="minorEastAsia" w:cstheme="minorEastAsia"/>
          <w:b/>
          <w:sz w:val="24"/>
        </w:rPr>
      </w:pPr>
    </w:p>
    <w:tbl>
      <w:tblPr>
        <w:tblStyle w:val="19"/>
        <w:tblW w:w="913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2056"/>
        <w:gridCol w:w="1412"/>
        <w:gridCol w:w="1412"/>
        <w:gridCol w:w="1362"/>
        <w:gridCol w:w="2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2056"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使用单位全称</w:t>
            </w:r>
          </w:p>
        </w:tc>
        <w:tc>
          <w:tcPr>
            <w:tcW w:w="1412"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合同金额</w:t>
            </w:r>
          </w:p>
        </w:tc>
        <w:tc>
          <w:tcPr>
            <w:tcW w:w="1412"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完成时间</w:t>
            </w:r>
          </w:p>
        </w:tc>
        <w:tc>
          <w:tcPr>
            <w:tcW w:w="1362"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联系人</w:t>
            </w:r>
          </w:p>
        </w:tc>
        <w:tc>
          <w:tcPr>
            <w:tcW w:w="2173"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w:t>
            </w:r>
          </w:p>
        </w:tc>
        <w:tc>
          <w:tcPr>
            <w:tcW w:w="2056" w:type="dxa"/>
            <w:noWrap/>
          </w:tcPr>
          <w:p>
            <w:pPr>
              <w:rPr>
                <w:rFonts w:asciiTheme="minorEastAsia" w:hAnsiTheme="minorEastAsia" w:eastAsiaTheme="minorEastAsia" w:cstheme="minorEastAsia"/>
                <w:b/>
                <w:bCs/>
                <w:sz w:val="24"/>
              </w:rPr>
            </w:pPr>
          </w:p>
        </w:tc>
        <w:tc>
          <w:tcPr>
            <w:tcW w:w="1412" w:type="dxa"/>
            <w:noWrap/>
          </w:tcPr>
          <w:p>
            <w:pPr>
              <w:rPr>
                <w:rFonts w:asciiTheme="minorEastAsia" w:hAnsiTheme="minorEastAsia" w:eastAsiaTheme="minorEastAsia" w:cstheme="minorEastAsia"/>
                <w:b/>
                <w:bCs/>
                <w:sz w:val="24"/>
              </w:rPr>
            </w:pPr>
          </w:p>
        </w:tc>
        <w:tc>
          <w:tcPr>
            <w:tcW w:w="1412" w:type="dxa"/>
            <w:noWrap/>
          </w:tcPr>
          <w:p>
            <w:pPr>
              <w:rPr>
                <w:rFonts w:asciiTheme="minorEastAsia" w:hAnsiTheme="minorEastAsia" w:eastAsiaTheme="minorEastAsia" w:cstheme="minorEastAsia"/>
                <w:b/>
                <w:bCs/>
                <w:sz w:val="24"/>
              </w:rPr>
            </w:pPr>
          </w:p>
        </w:tc>
        <w:tc>
          <w:tcPr>
            <w:tcW w:w="1362" w:type="dxa"/>
            <w:noWrap/>
          </w:tcPr>
          <w:p>
            <w:pPr>
              <w:rPr>
                <w:rFonts w:asciiTheme="minorEastAsia" w:hAnsiTheme="minorEastAsia" w:eastAsiaTheme="minorEastAsia" w:cstheme="minorEastAsia"/>
                <w:b/>
                <w:bCs/>
                <w:sz w:val="24"/>
              </w:rPr>
            </w:pPr>
          </w:p>
        </w:tc>
        <w:tc>
          <w:tcPr>
            <w:tcW w:w="2173" w:type="dxa"/>
            <w:noWrap/>
          </w:tcPr>
          <w:p>
            <w:pPr>
              <w:rPr>
                <w:rFonts w:asciiTheme="minorEastAsia" w:hAnsiTheme="minorEastAsia" w:eastAsiaTheme="minorEastAsia" w:cstheme="minorEastAsia"/>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2</w:t>
            </w:r>
          </w:p>
        </w:tc>
        <w:tc>
          <w:tcPr>
            <w:tcW w:w="2056"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362" w:type="dxa"/>
            <w:noWrap/>
          </w:tcPr>
          <w:p>
            <w:pPr>
              <w:rPr>
                <w:rFonts w:asciiTheme="minorEastAsia" w:hAnsiTheme="minorEastAsia" w:eastAsiaTheme="minorEastAsia" w:cstheme="minorEastAsia"/>
                <w:b/>
                <w:bCs/>
                <w:sz w:val="24"/>
                <w:u w:val="single"/>
              </w:rPr>
            </w:pPr>
          </w:p>
        </w:tc>
        <w:tc>
          <w:tcPr>
            <w:tcW w:w="2173" w:type="dxa"/>
            <w:noWrap/>
          </w:tcPr>
          <w:p>
            <w:pPr>
              <w:rPr>
                <w:rFonts w:asciiTheme="minorEastAsia" w:hAnsiTheme="minorEastAsia" w:eastAsiaTheme="minorEastAsia" w:cstheme="minorEastAsia"/>
                <w:b/>
                <w:bCs/>
                <w:sz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3</w:t>
            </w:r>
          </w:p>
        </w:tc>
        <w:tc>
          <w:tcPr>
            <w:tcW w:w="2056"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362" w:type="dxa"/>
            <w:noWrap/>
          </w:tcPr>
          <w:p>
            <w:pPr>
              <w:rPr>
                <w:rFonts w:asciiTheme="minorEastAsia" w:hAnsiTheme="minorEastAsia" w:eastAsiaTheme="minorEastAsia" w:cstheme="minorEastAsia"/>
                <w:b/>
                <w:bCs/>
                <w:sz w:val="24"/>
                <w:u w:val="single"/>
              </w:rPr>
            </w:pPr>
          </w:p>
        </w:tc>
        <w:tc>
          <w:tcPr>
            <w:tcW w:w="2173" w:type="dxa"/>
            <w:noWrap/>
          </w:tcPr>
          <w:p>
            <w:pPr>
              <w:rPr>
                <w:rFonts w:asciiTheme="minorEastAsia" w:hAnsiTheme="minorEastAsia" w:eastAsiaTheme="minorEastAsia" w:cstheme="minorEastAsia"/>
                <w:b/>
                <w:bCs/>
                <w:sz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4</w:t>
            </w:r>
          </w:p>
        </w:tc>
        <w:tc>
          <w:tcPr>
            <w:tcW w:w="2056"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362" w:type="dxa"/>
            <w:noWrap/>
          </w:tcPr>
          <w:p>
            <w:pPr>
              <w:rPr>
                <w:rFonts w:asciiTheme="minorEastAsia" w:hAnsiTheme="minorEastAsia" w:eastAsiaTheme="minorEastAsia" w:cstheme="minorEastAsia"/>
                <w:b/>
                <w:bCs/>
                <w:sz w:val="24"/>
                <w:u w:val="single"/>
              </w:rPr>
            </w:pPr>
          </w:p>
        </w:tc>
        <w:tc>
          <w:tcPr>
            <w:tcW w:w="2173" w:type="dxa"/>
            <w:noWrap/>
          </w:tcPr>
          <w:p>
            <w:pPr>
              <w:rPr>
                <w:rFonts w:asciiTheme="minorEastAsia" w:hAnsiTheme="minorEastAsia" w:eastAsiaTheme="minorEastAsia" w:cstheme="minorEastAsia"/>
                <w:b/>
                <w:bCs/>
                <w:sz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19" w:type="dxa"/>
            <w:noWrap/>
            <w:vAlign w:val="center"/>
          </w:tcPr>
          <w:p>
            <w:pP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5</w:t>
            </w:r>
          </w:p>
        </w:tc>
        <w:tc>
          <w:tcPr>
            <w:tcW w:w="2056"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362" w:type="dxa"/>
            <w:noWrap/>
          </w:tcPr>
          <w:p>
            <w:pPr>
              <w:rPr>
                <w:rFonts w:asciiTheme="minorEastAsia" w:hAnsiTheme="minorEastAsia" w:eastAsiaTheme="minorEastAsia" w:cstheme="minorEastAsia"/>
                <w:b/>
                <w:bCs/>
                <w:sz w:val="24"/>
                <w:u w:val="single"/>
              </w:rPr>
            </w:pPr>
          </w:p>
        </w:tc>
        <w:tc>
          <w:tcPr>
            <w:tcW w:w="2173" w:type="dxa"/>
            <w:noWrap/>
          </w:tcPr>
          <w:p>
            <w:pPr>
              <w:rPr>
                <w:rFonts w:asciiTheme="minorEastAsia" w:hAnsiTheme="minorEastAsia" w:eastAsiaTheme="minorEastAsia" w:cstheme="minorEastAsia"/>
                <w:b/>
                <w:bCs/>
                <w:sz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9" w:type="dxa"/>
            <w:noWrap/>
            <w:vAlign w:val="center"/>
          </w:tcPr>
          <w:p>
            <w:pPr>
              <w:rPr>
                <w:rFonts w:asciiTheme="minorEastAsia" w:hAnsiTheme="minorEastAsia" w:eastAsiaTheme="minorEastAsia" w:cstheme="minorEastAsia"/>
                <w:b/>
                <w:bCs/>
                <w:sz w:val="24"/>
                <w:u w:val="single"/>
              </w:rPr>
            </w:pPr>
            <w:r>
              <w:rPr>
                <w:rFonts w:hint="eastAsia" w:asciiTheme="minorEastAsia" w:hAnsiTheme="minorEastAsia" w:eastAsiaTheme="minorEastAsia" w:cstheme="minorEastAsia"/>
                <w:b/>
                <w:bCs/>
                <w:sz w:val="24"/>
              </w:rPr>
              <w:t>…</w:t>
            </w:r>
          </w:p>
        </w:tc>
        <w:tc>
          <w:tcPr>
            <w:tcW w:w="2056"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412" w:type="dxa"/>
            <w:noWrap/>
          </w:tcPr>
          <w:p>
            <w:pPr>
              <w:rPr>
                <w:rFonts w:asciiTheme="minorEastAsia" w:hAnsiTheme="minorEastAsia" w:eastAsiaTheme="minorEastAsia" w:cstheme="minorEastAsia"/>
                <w:b/>
                <w:bCs/>
                <w:sz w:val="24"/>
                <w:u w:val="single"/>
              </w:rPr>
            </w:pPr>
          </w:p>
        </w:tc>
        <w:tc>
          <w:tcPr>
            <w:tcW w:w="1362" w:type="dxa"/>
            <w:noWrap/>
          </w:tcPr>
          <w:p>
            <w:pPr>
              <w:rPr>
                <w:rFonts w:asciiTheme="minorEastAsia" w:hAnsiTheme="minorEastAsia" w:eastAsiaTheme="minorEastAsia" w:cstheme="minorEastAsia"/>
                <w:b/>
                <w:bCs/>
                <w:sz w:val="24"/>
                <w:u w:val="single"/>
              </w:rPr>
            </w:pPr>
          </w:p>
        </w:tc>
        <w:tc>
          <w:tcPr>
            <w:tcW w:w="2173" w:type="dxa"/>
            <w:noWrap/>
          </w:tcPr>
          <w:p>
            <w:pPr>
              <w:rPr>
                <w:rFonts w:asciiTheme="minorEastAsia" w:hAnsiTheme="minorEastAsia" w:eastAsiaTheme="minorEastAsia" w:cstheme="minorEastAsia"/>
                <w:b/>
                <w:bCs/>
                <w:sz w:val="24"/>
                <w:u w:val="single"/>
              </w:rPr>
            </w:pPr>
          </w:p>
        </w:tc>
      </w:tr>
    </w:tbl>
    <w:p>
      <w:pPr>
        <w:spacing w:line="360" w:lineRule="auto"/>
        <w:ind w:left="1084" w:hanging="1084" w:hangingChars="45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备注：1、投标人应填写与招标项目相一致的销售业绩，填写与本项目不一致或相类似的业绩无效。所有业绩应提供《买卖合同》复印件并附在此业绩表之后。</w:t>
      </w:r>
    </w:p>
    <w:p>
      <w:pPr>
        <w:spacing w:line="360" w:lineRule="auto"/>
        <w:ind w:firstLine="723" w:firstLineChars="30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2、业绩不实而造成的废标，由投标人自行承担</w:t>
      </w:r>
    </w:p>
    <w:p>
      <w:pPr>
        <w:spacing w:line="360" w:lineRule="auto"/>
        <w:ind w:firstLine="723" w:firstLineChars="30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3、此表如填写不下，可另附页。</w:t>
      </w:r>
    </w:p>
    <w:p>
      <w:pPr>
        <w:spacing w:line="200" w:lineRule="exact"/>
        <w:ind w:firstLine="3614" w:firstLineChars="1500"/>
        <w:rPr>
          <w:rFonts w:asciiTheme="minorEastAsia" w:hAnsiTheme="minorEastAsia" w:eastAsiaTheme="minorEastAsia" w:cstheme="minorEastAsia"/>
          <w:b/>
          <w:sz w:val="24"/>
        </w:rPr>
      </w:pPr>
    </w:p>
    <w:p>
      <w:pPr>
        <w:spacing w:line="400" w:lineRule="exact"/>
        <w:ind w:firstLine="3614" w:firstLineChars="1500"/>
        <w:rPr>
          <w:rFonts w:asciiTheme="minorEastAsia" w:hAnsiTheme="minorEastAsia" w:eastAsiaTheme="minorEastAsia" w:cstheme="minorEastAsia"/>
          <w:b/>
          <w:sz w:val="24"/>
        </w:rPr>
      </w:pPr>
    </w:p>
    <w:p>
      <w:pPr>
        <w:spacing w:line="400" w:lineRule="exact"/>
        <w:ind w:firstLine="3614" w:firstLineChars="1500"/>
        <w:rPr>
          <w:rFonts w:asciiTheme="minorEastAsia" w:hAnsiTheme="minorEastAsia" w:eastAsiaTheme="minorEastAsia" w:cstheme="minorEastAsia"/>
          <w:b/>
          <w:sz w:val="24"/>
        </w:rPr>
      </w:pPr>
    </w:p>
    <w:p>
      <w:pPr>
        <w:spacing w:line="400" w:lineRule="exact"/>
        <w:ind w:firstLine="3614" w:firstLineChars="1500"/>
        <w:rPr>
          <w:rFonts w:asciiTheme="minorEastAsia" w:hAnsiTheme="minorEastAsia" w:eastAsiaTheme="minorEastAsia" w:cstheme="minorEastAsia"/>
          <w:b/>
          <w:sz w:val="24"/>
          <w:u w:val="single"/>
        </w:rPr>
      </w:pPr>
      <w:r>
        <w:rPr>
          <w:rFonts w:hint="eastAsia" w:asciiTheme="minorEastAsia" w:hAnsiTheme="minorEastAsia" w:eastAsiaTheme="minorEastAsia" w:cstheme="minorEastAsia"/>
          <w:b/>
          <w:sz w:val="24"/>
        </w:rPr>
        <w:t>法定代表人：</w:t>
      </w:r>
      <w:r>
        <w:rPr>
          <w:rFonts w:hint="eastAsia" w:asciiTheme="minorEastAsia" w:hAnsiTheme="minorEastAsia" w:eastAsiaTheme="minorEastAsia" w:cstheme="minorEastAsia"/>
          <w:b/>
          <w:sz w:val="24"/>
          <w:u w:val="single"/>
        </w:rPr>
        <w:t xml:space="preserve"> （签字） </w:t>
      </w:r>
    </w:p>
    <w:p>
      <w:pPr>
        <w:spacing w:line="400" w:lineRule="exact"/>
        <w:ind w:firstLine="4072" w:firstLineChars="169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或</w:t>
      </w:r>
    </w:p>
    <w:p>
      <w:pPr>
        <w:spacing w:line="300" w:lineRule="exact"/>
        <w:ind w:firstLine="3614" w:firstLineChars="150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全权代理人：</w:t>
      </w:r>
      <w:r>
        <w:rPr>
          <w:rFonts w:hint="eastAsia" w:asciiTheme="minorEastAsia" w:hAnsiTheme="minorEastAsia" w:eastAsiaTheme="minorEastAsia" w:cstheme="minorEastAsia"/>
          <w:b/>
          <w:sz w:val="24"/>
          <w:u w:val="single"/>
        </w:rPr>
        <w:t xml:space="preserve"> （签字） </w:t>
      </w:r>
    </w:p>
    <w:p>
      <w:pPr>
        <w:spacing w:line="300" w:lineRule="exact"/>
        <w:ind w:firstLine="3735" w:firstLineChars="1550"/>
        <w:rPr>
          <w:rFonts w:asciiTheme="minorEastAsia" w:hAnsiTheme="minorEastAsia" w:eastAsiaTheme="minorEastAsia" w:cstheme="minorEastAsia"/>
          <w:b/>
          <w:sz w:val="24"/>
        </w:rPr>
      </w:pPr>
    </w:p>
    <w:p>
      <w:pPr>
        <w:spacing w:line="300" w:lineRule="exact"/>
        <w:ind w:firstLine="3735" w:firstLineChars="155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签署日期：   年    月     日</w:t>
      </w: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pStyle w:val="17"/>
        <w:ind w:firstLine="241"/>
        <w:rPr>
          <w:rFonts w:asciiTheme="minorEastAsia" w:hAnsiTheme="minorEastAsia" w:eastAsiaTheme="minorEastAsia" w:cstheme="minorEastAsia"/>
          <w:b/>
          <w:sz w:val="24"/>
          <w:szCs w:val="24"/>
        </w:rPr>
      </w:pPr>
    </w:p>
    <w:p>
      <w:pPr>
        <w:pStyle w:val="17"/>
        <w:ind w:firstLine="241"/>
        <w:rPr>
          <w:rFonts w:asciiTheme="minorEastAsia" w:hAnsiTheme="minorEastAsia" w:eastAsiaTheme="minorEastAsia" w:cstheme="minorEastAsia"/>
          <w:b/>
          <w:sz w:val="24"/>
          <w:szCs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附件12</w:t>
      </w:r>
    </w:p>
    <w:p>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近两年及本年度近期的资产负债表、损益表</w:t>
      </w:r>
    </w:p>
    <w:p>
      <w:pPr>
        <w:spacing w:line="360" w:lineRule="auto"/>
        <w:rPr>
          <w:rFonts w:asciiTheme="minorEastAsia" w:hAnsiTheme="minorEastAsia" w:eastAsiaTheme="minorEastAsia" w:cstheme="minorEastAsia"/>
          <w:b/>
          <w:sz w:val="24"/>
        </w:rPr>
      </w:pPr>
    </w:p>
    <w:p>
      <w:pPr>
        <w:spacing w:line="360" w:lineRule="auto"/>
        <w:ind w:firstLine="482" w:firstLineChars="200"/>
        <w:rPr>
          <w:rFonts w:asciiTheme="minorEastAsia" w:hAnsiTheme="minorEastAsia" w:eastAsiaTheme="minorEastAsia" w:cstheme="minorEastAsia"/>
          <w:b/>
          <w:sz w:val="24"/>
        </w:rPr>
      </w:pPr>
    </w:p>
    <w:p>
      <w:pPr>
        <w:spacing w:line="360" w:lineRule="auto"/>
        <w:ind w:firstLine="482" w:firstLineChars="200"/>
        <w:rPr>
          <w:rFonts w:asciiTheme="minorEastAsia" w:hAnsiTheme="minorEastAsia" w:eastAsiaTheme="minorEastAsia" w:cstheme="minorEastAsia"/>
          <w:b/>
          <w:sz w:val="24"/>
        </w:rPr>
      </w:pPr>
    </w:p>
    <w:p>
      <w:pPr>
        <w:spacing w:line="360" w:lineRule="auto"/>
        <w:ind w:firstLine="482" w:firstLineChars="200"/>
        <w:rPr>
          <w:rFonts w:asciiTheme="minorEastAsia" w:hAnsiTheme="minorEastAsia" w:eastAsiaTheme="minorEastAsia" w:cstheme="minorEastAsia"/>
          <w:b/>
          <w:sz w:val="24"/>
        </w:rPr>
      </w:pPr>
    </w:p>
    <w:p>
      <w:pPr>
        <w:spacing w:line="360" w:lineRule="auto"/>
        <w:ind w:firstLine="482" w:firstLineChars="200"/>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br w:type="page"/>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附件13</w:t>
      </w:r>
    </w:p>
    <w:p>
      <w:pPr>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投标人认为需补充的其它资料或说明</w:t>
      </w: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360" w:lineRule="auto"/>
        <w:rPr>
          <w:rFonts w:asciiTheme="minorEastAsia" w:hAnsiTheme="minorEastAsia" w:eastAsiaTheme="minorEastAsia" w:cstheme="minorEastAsia"/>
          <w:b/>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pStyle w:val="17"/>
        <w:ind w:firstLine="240"/>
        <w:rPr>
          <w:rFonts w:asciiTheme="minorEastAsia" w:hAnsiTheme="minorEastAsia" w:eastAsiaTheme="minorEastAsia" w:cstheme="minorEastAsia"/>
          <w:sz w:val="24"/>
          <w:szCs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240" w:lineRule="exact"/>
        <w:outlineLvl w:val="2"/>
        <w:rPr>
          <w:rFonts w:asciiTheme="minorEastAsia" w:hAnsiTheme="minorEastAsia" w:eastAsiaTheme="minorEastAsia" w:cstheme="minorEastAsia"/>
          <w:bCs/>
          <w:sz w:val="24"/>
        </w:rPr>
      </w:pPr>
    </w:p>
    <w:p>
      <w:pPr>
        <w:spacing w:line="500" w:lineRule="exact"/>
        <w:rPr>
          <w:rFonts w:asciiTheme="minorEastAsia" w:hAnsiTheme="minorEastAsia" w:eastAsiaTheme="minorEastAsia" w:cstheme="minorEastAsia"/>
          <w:b/>
          <w:bCs/>
          <w:sz w:val="24"/>
        </w:rPr>
      </w:pPr>
    </w:p>
    <w:p>
      <w:pPr>
        <w:pStyle w:val="3"/>
        <w:tabs>
          <w:tab w:val="left" w:pos="933"/>
        </w:tabs>
        <w:spacing w:before="162" w:line="360" w:lineRule="auto"/>
        <w:jc w:val="both"/>
        <w:rPr>
          <w:rFonts w:asciiTheme="minorEastAsia" w:hAnsiTheme="minorEastAsia" w:eastAsiaTheme="minorEastAsia" w:cstheme="minorEastAsia"/>
          <w:sz w:val="24"/>
          <w:szCs w:val="24"/>
        </w:rPr>
      </w:pPr>
      <w:bookmarkStart w:id="384" w:name="_Toc21305"/>
    </w:p>
    <w:p>
      <w:pPr>
        <w:rPr>
          <w:rFonts w:asciiTheme="minorEastAsia" w:hAnsiTheme="minorEastAsia" w:eastAsiaTheme="minorEastAsia" w:cstheme="minorEastAsia"/>
          <w:sz w:val="24"/>
        </w:rPr>
      </w:pPr>
    </w:p>
    <w:p>
      <w:pPr>
        <w:pStyle w:val="3"/>
        <w:tabs>
          <w:tab w:val="left" w:pos="933"/>
        </w:tabs>
        <w:spacing w:before="162" w:line="360" w:lineRule="auto"/>
        <w:rPr>
          <w:rFonts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一</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rPr>
        <w:t>中小企业声明函（货物）</w:t>
      </w:r>
      <w:bookmarkEnd w:id="384"/>
    </w:p>
    <w:p>
      <w:pPr>
        <w:spacing w:line="302" w:lineRule="auto"/>
        <w:ind w:left="220" w:right="415" w:firstLine="480" w:firstLineChars="20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本公司郑重声明，根据《政府采购促进中小企业发展管理办法》（财库﹝2020﹞46 号）的规定，本公司参加（</w:t>
      </w:r>
      <w:r>
        <w:rPr>
          <w:rFonts w:hint="eastAsia" w:asciiTheme="minorEastAsia" w:hAnsiTheme="minorEastAsia" w:eastAsiaTheme="minorEastAsia" w:cstheme="minorEastAsia"/>
          <w:sz w:val="24"/>
          <w:u w:val="single"/>
        </w:rPr>
        <w:t xml:space="preserve">单位名称）    </w:t>
      </w:r>
      <w:r>
        <w:rPr>
          <w:rFonts w:hint="eastAsia" w:asciiTheme="minorEastAsia" w:hAnsiTheme="minorEastAsia" w:eastAsiaTheme="minorEastAsia" w:cstheme="minorEastAsia"/>
          <w:sz w:val="24"/>
        </w:rPr>
        <w:t>的</w:t>
      </w:r>
      <w:r>
        <w:rPr>
          <w:rFonts w:hint="eastAsia" w:asciiTheme="minorEastAsia" w:hAnsiTheme="minorEastAsia" w:eastAsiaTheme="minorEastAsia" w:cstheme="minorEastAsia"/>
          <w:sz w:val="24"/>
          <w:u w:val="single"/>
        </w:rPr>
        <w:t xml:space="preserve">（项目名称）     </w:t>
      </w:r>
      <w:r>
        <w:rPr>
          <w:rFonts w:hint="eastAsia" w:asciiTheme="minorEastAsia" w:hAnsiTheme="minorEastAsia" w:eastAsiaTheme="minorEastAsia" w:cstheme="minorEastAsia"/>
          <w:sz w:val="24"/>
        </w:rPr>
        <w:t>采购活动，提供的货物全部由符合政策要求的中小企业制造。相关企业（含联合体中的中小企业、签订分包意向协议的中小企业） 的具体情况如下：</w:t>
      </w:r>
    </w:p>
    <w:p>
      <w:pPr>
        <w:pStyle w:val="23"/>
        <w:numPr>
          <w:ilvl w:val="1"/>
          <w:numId w:val="9"/>
        </w:numPr>
        <w:tabs>
          <w:tab w:val="left" w:pos="1183"/>
          <w:tab w:val="left" w:pos="1484"/>
          <w:tab w:val="left" w:pos="4662"/>
          <w:tab w:val="left" w:pos="6903"/>
        </w:tabs>
        <w:spacing w:line="295" w:lineRule="auto"/>
        <w:ind w:right="169" w:firstLine="48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sz w:val="24"/>
          <w:u w:val="single"/>
        </w:rPr>
        <w:t>（</w:t>
      </w:r>
      <w:r>
        <w:rPr>
          <w:rFonts w:hint="eastAsia" w:asciiTheme="minorEastAsia" w:hAnsiTheme="minorEastAsia" w:eastAsiaTheme="minorEastAsia" w:cstheme="minorEastAsia"/>
          <w:sz w:val="24"/>
          <w:u w:val="single"/>
          <w:lang w:val="en-US" w:eastAsia="zh-CN"/>
        </w:rPr>
        <w:t>食品安全检验中心食品类检测设备购置</w:t>
      </w:r>
      <w:r>
        <w:rPr>
          <w:rFonts w:hint="eastAsia" w:asciiTheme="minorEastAsia" w:hAnsiTheme="minorEastAsia" w:eastAsiaTheme="minorEastAsia" w:cstheme="minorEastAsia"/>
          <w:sz w:val="24"/>
        </w:rPr>
        <w:t xml:space="preserve"> ， 属 于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lang w:eastAsia="zh-CN"/>
        </w:rPr>
        <w:t>制造业</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行业；</w:t>
      </w:r>
      <w:r>
        <w:rPr>
          <w:rFonts w:hint="eastAsia" w:asciiTheme="minorEastAsia" w:hAnsiTheme="minorEastAsia" w:eastAsiaTheme="minorEastAsia" w:cstheme="minorEastAsia"/>
          <w:b/>
          <w:bCs/>
          <w:sz w:val="24"/>
        </w:rPr>
        <w:t>制造商</w:t>
      </w:r>
      <w:r>
        <w:rPr>
          <w:rFonts w:hint="eastAsia" w:asciiTheme="minorEastAsia" w:hAnsiTheme="minorEastAsia" w:eastAsiaTheme="minorEastAsia" w:cstheme="minorEastAsia"/>
          <w:sz w:val="24"/>
        </w:rPr>
        <w:t>为</w:t>
      </w:r>
      <w:r>
        <w:rPr>
          <w:rFonts w:hint="eastAsia" w:asciiTheme="minorEastAsia" w:hAnsiTheme="minorEastAsia" w:eastAsiaTheme="minorEastAsia" w:cstheme="minorEastAsia"/>
          <w:sz w:val="24"/>
          <w:u w:val="single"/>
        </w:rPr>
        <w:t xml:space="preserve">（企业名称） </w:t>
      </w:r>
      <w:r>
        <w:rPr>
          <w:rFonts w:hint="eastAsia" w:asciiTheme="minorEastAsia" w:hAnsiTheme="minorEastAsia" w:eastAsiaTheme="minorEastAsia" w:cstheme="minorEastAsia"/>
          <w:sz w:val="24"/>
        </w:rPr>
        <w:t>，从业人员</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人，营业收入为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万元，资产总额为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万元，属于</w:t>
      </w:r>
      <w:r>
        <w:rPr>
          <w:rFonts w:hint="eastAsia" w:asciiTheme="minorEastAsia" w:hAnsiTheme="minorEastAsia" w:eastAsiaTheme="minorEastAsia" w:cstheme="minorEastAsia"/>
          <w:sz w:val="24"/>
          <w:u w:val="single"/>
        </w:rPr>
        <w:t>（中型企业、小型企业、微型企业）</w:t>
      </w:r>
      <w:r>
        <w:rPr>
          <w:rFonts w:hint="eastAsia" w:asciiTheme="minorEastAsia" w:hAnsiTheme="minorEastAsia" w:eastAsiaTheme="minorEastAsia" w:cstheme="minorEastAsia"/>
          <w:sz w:val="24"/>
        </w:rPr>
        <w:t>；</w:t>
      </w:r>
    </w:p>
    <w:p>
      <w:pPr>
        <w:pStyle w:val="23"/>
        <w:numPr>
          <w:ilvl w:val="1"/>
          <w:numId w:val="9"/>
        </w:numPr>
        <w:tabs>
          <w:tab w:val="left" w:pos="1165"/>
          <w:tab w:val="left" w:pos="1183"/>
          <w:tab w:val="left" w:pos="4362"/>
          <w:tab w:val="left" w:pos="6577"/>
        </w:tabs>
        <w:spacing w:line="295" w:lineRule="auto"/>
        <w:ind w:right="169" w:firstLine="48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sz w:val="24"/>
          <w:u w:val="single"/>
        </w:rPr>
        <w:t xml:space="preserve">（标的名称） </w:t>
      </w:r>
      <w:r>
        <w:rPr>
          <w:rFonts w:hint="eastAsia" w:asciiTheme="minorEastAsia" w:hAnsiTheme="minorEastAsia" w:eastAsiaTheme="minorEastAsia" w:cstheme="minorEastAsia"/>
          <w:sz w:val="24"/>
        </w:rPr>
        <w:t>，属于</w:t>
      </w:r>
      <w:r>
        <w:rPr>
          <w:rFonts w:hint="eastAsia" w:asciiTheme="minorEastAsia" w:hAnsiTheme="minorEastAsia" w:eastAsiaTheme="minorEastAsia" w:cstheme="minorEastAsia"/>
          <w:sz w:val="24"/>
          <w:u w:val="single"/>
        </w:rPr>
        <w:t>（采购文件中明确的所属行业）</w:t>
      </w:r>
      <w:r>
        <w:rPr>
          <w:rFonts w:hint="eastAsia" w:asciiTheme="minorEastAsia" w:hAnsiTheme="minorEastAsia" w:eastAsiaTheme="minorEastAsia" w:cstheme="minorEastAsia"/>
          <w:sz w:val="24"/>
        </w:rPr>
        <w:t>行业；制造商为</w:t>
      </w:r>
      <w:r>
        <w:rPr>
          <w:rFonts w:hint="eastAsia" w:asciiTheme="minorEastAsia" w:hAnsiTheme="minorEastAsia" w:eastAsiaTheme="minorEastAsia" w:cstheme="minorEastAsia"/>
          <w:sz w:val="24"/>
          <w:u w:val="single"/>
        </w:rPr>
        <w:t>（企业名称）</w:t>
      </w:r>
      <w:r>
        <w:rPr>
          <w:rFonts w:hint="eastAsia" w:asciiTheme="minorEastAsia" w:hAnsiTheme="minorEastAsia" w:eastAsiaTheme="minorEastAsia" w:cstheme="minorEastAsia"/>
          <w:sz w:val="24"/>
        </w:rPr>
        <w:t>，从业人员</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 xml:space="preserve">人，营业收入为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万元，资产总额为</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rPr>
        <w:tab/>
      </w:r>
      <w:r>
        <w:rPr>
          <w:rFonts w:hint="eastAsia" w:asciiTheme="minorEastAsia" w:hAnsiTheme="minorEastAsia" w:eastAsiaTheme="minorEastAsia" w:cstheme="minorEastAsia"/>
          <w:sz w:val="24"/>
        </w:rPr>
        <w:t>万元，属于</w:t>
      </w:r>
      <w:r>
        <w:rPr>
          <w:rFonts w:hint="eastAsia" w:asciiTheme="minorEastAsia" w:hAnsiTheme="minorEastAsia" w:eastAsiaTheme="minorEastAsia" w:cstheme="minorEastAsia"/>
          <w:sz w:val="24"/>
          <w:u w:val="single"/>
        </w:rPr>
        <w:t>（中型企业、小型企业、微型企业）</w:t>
      </w:r>
      <w:r>
        <w:rPr>
          <w:rFonts w:hint="eastAsia" w:asciiTheme="minorEastAsia" w:hAnsiTheme="minorEastAsia" w:eastAsiaTheme="minorEastAsia" w:cstheme="minorEastAsia"/>
          <w:sz w:val="24"/>
        </w:rPr>
        <w:t>；</w:t>
      </w:r>
    </w:p>
    <w:p>
      <w:pPr>
        <w:pStyle w:val="7"/>
        <w:ind w:left="86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p>
      <w:pPr>
        <w:pStyle w:val="7"/>
        <w:spacing w:before="105" w:line="304" w:lineRule="auto"/>
        <w:ind w:right="417" w:firstLine="645"/>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pPr>
        <w:pStyle w:val="7"/>
        <w:spacing w:line="302" w:lineRule="auto"/>
        <w:ind w:right="372" w:firstLine="645"/>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本企业对上述声明内容的真实性负责。如有虚假，将依法承担相应责任。</w:t>
      </w:r>
    </w:p>
    <w:p>
      <w:pPr>
        <w:pStyle w:val="7"/>
        <w:wordWrap w:val="0"/>
        <w:ind w:left="860"/>
        <w:jc w:val="righ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企业名称（盖章）：      </w:t>
      </w:r>
    </w:p>
    <w:p>
      <w:pPr>
        <w:spacing w:line="480" w:lineRule="auto"/>
        <w:ind w:firstLine="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日期：     </w:t>
      </w:r>
    </w:p>
    <w:p>
      <w:pPr>
        <w:spacing w:line="480" w:lineRule="auto"/>
        <w:ind w:firstLine="200"/>
        <w:rPr>
          <w:rFonts w:ascii="宋体" w:hAnsi="宋体"/>
          <w:sz w:val="18"/>
          <w:szCs w:val="18"/>
        </w:rPr>
      </w:pPr>
    </w:p>
    <w:p>
      <w:pPr>
        <w:spacing w:line="360" w:lineRule="auto"/>
        <w:rPr>
          <w:rFonts w:ascii="宋体" w:hAnsi="宋体"/>
          <w:bCs/>
          <w:sz w:val="28"/>
          <w:szCs w:val="32"/>
        </w:rPr>
      </w:pPr>
    </w:p>
    <w:p>
      <w:pPr>
        <w:pStyle w:val="7"/>
        <w:rPr>
          <w:rFonts w:ascii="宋体" w:hAnsi="宋体"/>
          <w:bCs/>
          <w:szCs w:val="32"/>
        </w:rPr>
      </w:pPr>
    </w:p>
    <w:p>
      <w:pPr>
        <w:rPr>
          <w:rFonts w:ascii="宋体" w:hAnsi="宋体"/>
          <w:bCs/>
          <w:sz w:val="28"/>
          <w:szCs w:val="32"/>
        </w:rPr>
      </w:pPr>
    </w:p>
    <w:p>
      <w:pPr>
        <w:pStyle w:val="7"/>
        <w:wordWrap/>
        <w:jc w:val="left"/>
        <w:rPr>
          <w:rFonts w:hint="eastAsia" w:ascii="仿宋" w:hAnsi="仿宋" w:eastAsia="仿宋" w:cs="仿宋"/>
          <w:color w:val="auto"/>
          <w:kern w:val="2"/>
          <w:sz w:val="32"/>
          <w:szCs w:val="32"/>
          <w:lang w:val="en-US" w:eastAsia="zh-CN" w:bidi="ar-SA"/>
        </w:rPr>
      </w:pPr>
      <w:r>
        <w:rPr>
          <w:rFonts w:hint="eastAsia" w:ascii="宋体" w:hAnsi="宋体" w:eastAsia="宋体" w:cs="Times New Roman"/>
          <w:b/>
          <w:bCs/>
          <w:color w:val="auto"/>
          <w:kern w:val="2"/>
          <w:sz w:val="18"/>
          <w:szCs w:val="18"/>
          <w:highlight w:val="none"/>
          <w:lang w:val="en-US" w:eastAsia="zh-CN" w:bidi="ar-SA"/>
        </w:rPr>
        <w:t>说明</w:t>
      </w:r>
      <w:r>
        <w:rPr>
          <w:rFonts w:hint="eastAsia" w:ascii="宋体" w:hAnsi="宋体" w:eastAsia="宋体" w:cs="Times New Roman"/>
          <w:b w:val="0"/>
          <w:color w:val="auto"/>
          <w:kern w:val="2"/>
          <w:sz w:val="18"/>
          <w:szCs w:val="18"/>
          <w:highlight w:val="none"/>
          <w:lang w:val="en-US" w:eastAsia="zh-CN" w:bidi="ar-SA"/>
        </w:rPr>
        <w:t>：1、以上内容根据上年度</w:t>
      </w:r>
      <w:r>
        <w:rPr>
          <w:rFonts w:hint="eastAsia" w:ascii="宋体" w:hAnsi="宋体" w:eastAsia="宋体" w:cs="Times New Roman"/>
          <w:b w:val="0"/>
          <w:bCs w:val="0"/>
          <w:color w:val="auto"/>
          <w:kern w:val="2"/>
          <w:sz w:val="18"/>
          <w:szCs w:val="18"/>
          <w:highlight w:val="none"/>
          <w:lang w:val="en-US" w:eastAsia="zh-CN" w:bidi="ar-SA"/>
        </w:rPr>
        <w:t>制造商</w:t>
      </w:r>
      <w:r>
        <w:rPr>
          <w:rFonts w:hint="eastAsia" w:ascii="宋体" w:hAnsi="宋体" w:eastAsia="宋体" w:cs="Times New Roman"/>
          <w:b w:val="0"/>
          <w:color w:val="auto"/>
          <w:kern w:val="2"/>
          <w:sz w:val="18"/>
          <w:szCs w:val="18"/>
          <w:highlight w:val="none"/>
          <w:lang w:val="en-US" w:eastAsia="zh-CN" w:bidi="ar-SA"/>
        </w:rPr>
        <w:t>财务状况如实填写，符合中小企业划分标准按《关于印发中小企业划型标准规定的通知》（工信部联企业〔2011〕300号）执行，中小企业划型标准规定自行填写属于（中型企业、小型企业、微型企业）</w:t>
      </w:r>
    </w:p>
    <w:p>
      <w:pPr>
        <w:pStyle w:val="7"/>
        <w:wordWrap w:val="0"/>
        <w:ind w:left="860"/>
        <w:jc w:val="right"/>
        <w:rPr>
          <w:rFonts w:hint="eastAsia" w:ascii="仿宋" w:hAnsi="仿宋" w:eastAsia="仿宋" w:cs="仿宋"/>
          <w:color w:val="auto"/>
          <w:kern w:val="2"/>
          <w:sz w:val="32"/>
          <w:szCs w:val="32"/>
          <w:lang w:val="en-US" w:eastAsia="zh-CN" w:bidi="ar-SA"/>
        </w:rPr>
      </w:pPr>
    </w:p>
    <w:p>
      <w:pPr>
        <w:pStyle w:val="7"/>
        <w:wordWrap/>
        <w:ind w:left="860"/>
        <w:jc w:val="left"/>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 xml:space="preserve">   </w:t>
      </w:r>
    </w:p>
    <w:p>
      <w:pPr>
        <w:rPr>
          <w:rFonts w:hint="eastAsia" w:ascii="仿宋" w:hAnsi="仿宋" w:eastAsia="仿宋" w:cs="仿宋"/>
          <w:color w:val="auto"/>
          <w:kern w:val="2"/>
          <w:sz w:val="32"/>
          <w:szCs w:val="32"/>
          <w:lang w:val="en-US" w:eastAsia="zh-CN" w:bidi="ar-SA"/>
        </w:rPr>
      </w:pPr>
    </w:p>
    <w:p>
      <w:pPr>
        <w:rPr>
          <w:rFonts w:hint="eastAsia" w:ascii="仿宋" w:hAnsi="仿宋" w:eastAsia="仿宋" w:cs="仿宋"/>
          <w:color w:val="auto"/>
          <w:kern w:val="2"/>
          <w:sz w:val="32"/>
          <w:szCs w:val="32"/>
          <w:lang w:val="en-US" w:eastAsia="zh-CN" w:bidi="ar-SA"/>
        </w:rPr>
      </w:pPr>
    </w:p>
    <w:p>
      <w:pPr>
        <w:pStyle w:val="15"/>
        <w:spacing w:line="375" w:lineRule="atLeast"/>
        <w:jc w:val="center"/>
        <w:outlineLvl w:val="0"/>
        <w:rPr>
          <w:color w:val="auto"/>
          <w:highlight w:val="none"/>
        </w:rPr>
      </w:pPr>
      <w:r>
        <w:rPr>
          <w:rFonts w:hint="eastAsia"/>
          <w:color w:val="auto"/>
          <w:highlight w:val="none"/>
        </w:rPr>
        <w:t>（二）残疾人福利性单位声明函</w:t>
      </w:r>
    </w:p>
    <w:p>
      <w:pPr>
        <w:spacing w:line="588" w:lineRule="exact"/>
        <w:ind w:firstLine="444" w:firstLineChars="200"/>
        <w:rPr>
          <w:rFonts w:ascii="宋体" w:hAnsi="宋体"/>
          <w:color w:val="auto"/>
          <w:spacing w:val="6"/>
          <w:szCs w:val="21"/>
          <w:highlight w:val="none"/>
        </w:rPr>
      </w:pPr>
      <w:r>
        <w:rPr>
          <w:rFonts w:hint="eastAsia" w:ascii="宋体" w:hAnsi="宋体"/>
          <w:color w:val="auto"/>
          <w:spacing w:val="6"/>
          <w:szCs w:val="21"/>
          <w:highlight w:val="none"/>
        </w:rPr>
        <w:t>本单位郑重声明，根据《财政部民政部中国残疾人联合会关于促进残疾人就业政府采购政策的通知》（财库</w:t>
      </w:r>
      <w:r>
        <w:rPr>
          <w:rFonts w:hint="eastAsia" w:ascii="宋体" w:hAnsi="宋体"/>
          <w:color w:val="auto"/>
          <w:szCs w:val="21"/>
          <w:highlight w:val="none"/>
        </w:rPr>
        <w:t>〔2017〕 141</w:t>
      </w:r>
      <w:r>
        <w:rPr>
          <w:rFonts w:hint="eastAsia" w:ascii="宋体" w:hAnsi="宋体"/>
          <w:color w:val="auto"/>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ascii="宋体" w:hAnsi="宋体"/>
          <w:color w:val="auto"/>
          <w:spacing w:val="6"/>
          <w:szCs w:val="21"/>
          <w:highlight w:val="none"/>
        </w:rPr>
      </w:pPr>
      <w:r>
        <w:rPr>
          <w:rFonts w:hint="eastAsia" w:ascii="宋体" w:hAnsi="宋体"/>
          <w:color w:val="auto"/>
          <w:spacing w:val="6"/>
          <w:szCs w:val="21"/>
          <w:highlight w:val="none"/>
        </w:rPr>
        <w:t>本单位对上述声明的真实性负责。如有虚假，将依法承担相应责任。</w:t>
      </w:r>
    </w:p>
    <w:p>
      <w:pPr>
        <w:spacing w:line="588" w:lineRule="exact"/>
        <w:ind w:firstLine="624" w:firstLineChars="200"/>
        <w:rPr>
          <w:rFonts w:ascii="仿宋_GB2312" w:eastAsia="仿宋_GB2312"/>
          <w:color w:val="auto"/>
          <w:spacing w:val="6"/>
          <w:sz w:val="30"/>
          <w:szCs w:val="30"/>
          <w:highlight w:val="none"/>
        </w:rPr>
      </w:pPr>
    </w:p>
    <w:p>
      <w:pPr>
        <w:spacing w:line="588" w:lineRule="exact"/>
        <w:ind w:firstLine="624" w:firstLineChars="200"/>
        <w:rPr>
          <w:rFonts w:ascii="仿宋_GB2312" w:eastAsia="仿宋_GB2312"/>
          <w:color w:val="auto"/>
          <w:spacing w:val="6"/>
          <w:sz w:val="30"/>
          <w:szCs w:val="30"/>
          <w:highlight w:val="none"/>
        </w:rPr>
      </w:pPr>
    </w:p>
    <w:p>
      <w:pPr>
        <w:ind w:left="2604" w:leftChars="1240"/>
        <w:jc w:val="left"/>
        <w:rPr>
          <w:color w:val="auto"/>
          <w:szCs w:val="21"/>
          <w:highlight w:val="none"/>
        </w:rPr>
      </w:pPr>
      <w:r>
        <w:rPr>
          <w:rFonts w:hint="eastAsia"/>
          <w:color w:val="auto"/>
          <w:szCs w:val="21"/>
          <w:highlight w:val="none"/>
        </w:rPr>
        <w:t>投标人：（盖章）</w:t>
      </w:r>
      <w:r>
        <w:rPr>
          <w:rFonts w:hint="eastAsia" w:ascii="宋体" w:hAnsi="宋体"/>
          <w:color w:val="auto"/>
          <w:szCs w:val="21"/>
          <w:highlight w:val="none"/>
          <w:u w:val="single"/>
        </w:rPr>
        <w:t xml:space="preserve">                            </w:t>
      </w:r>
      <w:r>
        <w:rPr>
          <w:rFonts w:hint="eastAsia" w:ascii="宋体" w:hAnsi="宋体"/>
          <w:color w:val="auto"/>
          <w:szCs w:val="21"/>
          <w:highlight w:val="none"/>
        </w:rPr>
        <w:t>_</w:t>
      </w:r>
    </w:p>
    <w:p>
      <w:pPr>
        <w:ind w:left="2604" w:leftChars="1240"/>
        <w:jc w:val="left"/>
        <w:rPr>
          <w:color w:val="auto"/>
          <w:szCs w:val="21"/>
          <w:highlight w:val="none"/>
        </w:rPr>
      </w:pPr>
      <w:r>
        <w:rPr>
          <w:rFonts w:hint="eastAsia" w:ascii="宋体" w:hAnsi="宋体"/>
          <w:color w:val="auto"/>
          <w:szCs w:val="21"/>
          <w:highlight w:val="none"/>
        </w:rPr>
        <w:t>法定代表人或其授权委托人(签字)：</w:t>
      </w:r>
      <w:r>
        <w:rPr>
          <w:rFonts w:hint="eastAsia" w:ascii="宋体" w:hAnsi="宋体"/>
          <w:color w:val="auto"/>
          <w:szCs w:val="21"/>
          <w:highlight w:val="none"/>
          <w:u w:val="single"/>
        </w:rPr>
        <w:t xml:space="preserve">       </w:t>
      </w:r>
      <w:r>
        <w:rPr>
          <w:rFonts w:hint="eastAsia" w:ascii="宋体" w:hAnsi="宋体"/>
          <w:color w:val="auto"/>
          <w:szCs w:val="21"/>
          <w:highlight w:val="none"/>
        </w:rPr>
        <w:t>_</w:t>
      </w:r>
    </w:p>
    <w:p>
      <w:pPr>
        <w:ind w:left="3721" w:leftChars="1772"/>
        <w:jc w:val="left"/>
        <w:rPr>
          <w:color w:val="auto"/>
          <w:szCs w:val="21"/>
          <w:highlight w:val="none"/>
        </w:rPr>
      </w:pPr>
      <w:r>
        <w:rPr>
          <w:rFonts w:hint="eastAsia"/>
          <w:color w:val="auto"/>
          <w:szCs w:val="21"/>
          <w:highlight w:val="none"/>
          <w:u w:val="single"/>
        </w:rPr>
        <w:t xml:space="preserve">         </w:t>
      </w:r>
      <w:r>
        <w:rPr>
          <w:rFonts w:hint="eastAsia"/>
          <w:color w:val="auto"/>
          <w:szCs w:val="21"/>
          <w:highlight w:val="none"/>
        </w:rPr>
        <w:t>年</w:t>
      </w:r>
      <w:r>
        <w:rPr>
          <w:rFonts w:hint="eastAsia"/>
          <w:color w:val="auto"/>
          <w:szCs w:val="21"/>
          <w:highlight w:val="none"/>
          <w:u w:val="single"/>
        </w:rPr>
        <w:t xml:space="preserve">   </w:t>
      </w:r>
      <w:r>
        <w:rPr>
          <w:rFonts w:hint="eastAsia"/>
          <w:color w:val="auto"/>
          <w:szCs w:val="21"/>
          <w:highlight w:val="none"/>
        </w:rPr>
        <w:t>月</w:t>
      </w:r>
      <w:r>
        <w:rPr>
          <w:rFonts w:hint="eastAsia"/>
          <w:color w:val="auto"/>
          <w:szCs w:val="21"/>
          <w:highlight w:val="none"/>
          <w:u w:val="single"/>
        </w:rPr>
        <w:t xml:space="preserve">   </w:t>
      </w:r>
      <w:r>
        <w:rPr>
          <w:rFonts w:hint="eastAsia"/>
          <w:color w:val="auto"/>
          <w:szCs w:val="21"/>
          <w:highlight w:val="none"/>
        </w:rPr>
        <w:t>日</w:t>
      </w:r>
    </w:p>
    <w:p>
      <w:pPr>
        <w:tabs>
          <w:tab w:val="left" w:pos="4860"/>
        </w:tabs>
        <w:spacing w:line="588" w:lineRule="exact"/>
        <w:ind w:right="1560" w:firstLine="420" w:firstLineChars="200"/>
        <w:jc w:val="center"/>
        <w:rPr>
          <w:color w:val="auto"/>
          <w:highlight w:val="none"/>
        </w:rPr>
      </w:pPr>
    </w:p>
    <w:p>
      <w:pPr>
        <w:pStyle w:val="5"/>
        <w:rPr>
          <w:rFonts w:hint="eastAsia" w:ascii="宋体" w:hAnsi="宋体" w:eastAsia="宋体" w:cs="Times New Roman"/>
          <w:b w:val="0"/>
          <w:color w:val="auto"/>
          <w:kern w:val="2"/>
          <w:sz w:val="18"/>
          <w:szCs w:val="18"/>
          <w:highlight w:val="none"/>
          <w:lang w:val="en-US" w:eastAsia="zh-CN" w:bidi="ar-SA"/>
        </w:rPr>
      </w:pPr>
    </w:p>
    <w:p>
      <w:pPr>
        <w:pStyle w:val="5"/>
        <w:rPr>
          <w:rFonts w:hint="eastAsia" w:ascii="宋体" w:hAnsi="宋体" w:eastAsia="宋体" w:cs="Times New Roman"/>
          <w:b w:val="0"/>
          <w:color w:val="auto"/>
          <w:kern w:val="2"/>
          <w:sz w:val="18"/>
          <w:szCs w:val="18"/>
          <w:highlight w:val="none"/>
          <w:lang w:val="en-US" w:eastAsia="zh-CN" w:bidi="ar-SA"/>
        </w:rPr>
      </w:pPr>
      <w:r>
        <w:rPr>
          <w:rFonts w:hint="eastAsia" w:ascii="宋体" w:hAnsi="宋体" w:eastAsia="宋体" w:cs="Times New Roman"/>
          <w:b/>
          <w:bCs/>
          <w:color w:val="auto"/>
          <w:kern w:val="2"/>
          <w:sz w:val="18"/>
          <w:szCs w:val="18"/>
          <w:highlight w:val="none"/>
          <w:lang w:val="en-US" w:eastAsia="zh-CN" w:bidi="ar-SA"/>
        </w:rPr>
        <w:t>说明</w:t>
      </w:r>
      <w:r>
        <w:rPr>
          <w:rFonts w:hint="eastAsia" w:ascii="宋体" w:hAnsi="宋体" w:eastAsia="宋体" w:cs="Times New Roman"/>
          <w:b w:val="0"/>
          <w:color w:val="auto"/>
          <w:kern w:val="2"/>
          <w:sz w:val="18"/>
          <w:szCs w:val="18"/>
          <w:highlight w:val="none"/>
          <w:lang w:val="en-US" w:eastAsia="zh-CN" w:bidi="ar-SA"/>
        </w:rPr>
        <w:t>：填写本声明函时应详细阅读《财政部 民政部 中国残疾人联合会关于促进残疾人就业政府采购政策的通知》（财库〔2017〕 141号），投标人不满足此要求则无须提供，一旦提供将视为满足其要求，如有虚假，将依法承担相应责任。</w:t>
      </w:r>
    </w:p>
    <w:p>
      <w:pPr>
        <w:spacing w:line="588" w:lineRule="exact"/>
        <w:jc w:val="center"/>
        <w:rPr>
          <w:rFonts w:ascii="宋体" w:hAnsi="宋体"/>
          <w:color w:val="auto"/>
          <w:sz w:val="18"/>
          <w:szCs w:val="18"/>
          <w:highlight w:val="none"/>
        </w:rPr>
      </w:pPr>
    </w:p>
    <w:p>
      <w:pPr>
        <w:pStyle w:val="15"/>
        <w:spacing w:line="375" w:lineRule="atLeast"/>
        <w:jc w:val="center"/>
        <w:outlineLvl w:val="0"/>
        <w:rPr>
          <w:color w:val="auto"/>
          <w:highlight w:val="none"/>
        </w:rPr>
      </w:pPr>
      <w:r>
        <w:rPr>
          <w:color w:val="auto"/>
          <w:sz w:val="18"/>
          <w:szCs w:val="18"/>
          <w:highlight w:val="none"/>
        </w:rPr>
        <w:br w:type="page"/>
      </w:r>
      <w:bookmarkStart w:id="385" w:name="_Toc9221"/>
      <w:bookmarkStart w:id="386" w:name="_Toc10492"/>
      <w:bookmarkStart w:id="387" w:name="_Toc515570490"/>
      <w:bookmarkStart w:id="388" w:name="_Toc515520689"/>
      <w:bookmarkStart w:id="389" w:name="_Toc4534"/>
      <w:bookmarkStart w:id="390" w:name="_Toc17204506"/>
      <w:r>
        <w:rPr>
          <w:rFonts w:hint="eastAsia"/>
          <w:color w:val="auto"/>
          <w:highlight w:val="none"/>
        </w:rPr>
        <w:t>（三）监狱企业声明函</w:t>
      </w:r>
      <w:bookmarkEnd w:id="385"/>
      <w:bookmarkEnd w:id="386"/>
      <w:bookmarkEnd w:id="387"/>
      <w:bookmarkEnd w:id="388"/>
      <w:bookmarkEnd w:id="389"/>
      <w:bookmarkEnd w:id="390"/>
    </w:p>
    <w:p>
      <w:pPr>
        <w:spacing w:before="468" w:beforeLines="150" w:line="480" w:lineRule="auto"/>
        <w:ind w:firstLine="444" w:firstLineChars="200"/>
        <w:rPr>
          <w:rFonts w:ascii="宋体" w:hAnsi="宋体"/>
          <w:color w:val="auto"/>
          <w:spacing w:val="6"/>
          <w:szCs w:val="21"/>
          <w:highlight w:val="none"/>
        </w:rPr>
      </w:pPr>
      <w:r>
        <w:rPr>
          <w:rFonts w:hint="eastAsia" w:ascii="宋体" w:hAnsi="宋体"/>
          <w:color w:val="auto"/>
          <w:spacing w:val="6"/>
          <w:szCs w:val="21"/>
          <w:highlight w:val="none"/>
        </w:rPr>
        <w:t>本单位郑重声明，根据</w:t>
      </w:r>
      <w:r>
        <w:rPr>
          <w:rFonts w:hint="eastAsia" w:ascii="宋体" w:hAnsi="宋体" w:cs="仿宋"/>
          <w:color w:val="auto"/>
          <w:szCs w:val="21"/>
          <w:highlight w:val="none"/>
        </w:rPr>
        <w:t>《关于政府采购支持监狱企业发展有关问题的通知》</w:t>
      </w:r>
      <w:r>
        <w:rPr>
          <w:rFonts w:hint="eastAsia" w:ascii="宋体" w:hAnsi="宋体"/>
          <w:color w:val="auto"/>
          <w:spacing w:val="6"/>
          <w:szCs w:val="21"/>
          <w:highlight w:val="none"/>
        </w:rPr>
        <w:t>（财库</w:t>
      </w:r>
      <w:r>
        <w:rPr>
          <w:rFonts w:hint="eastAsia" w:ascii="宋体" w:hAnsi="宋体"/>
          <w:color w:val="auto"/>
          <w:szCs w:val="21"/>
          <w:highlight w:val="none"/>
        </w:rPr>
        <w:t>〔2014〕 68</w:t>
      </w:r>
      <w:r>
        <w:rPr>
          <w:rFonts w:hint="eastAsia" w:ascii="宋体" w:hAnsi="宋体"/>
          <w:color w:val="auto"/>
          <w:spacing w:val="6"/>
          <w:szCs w:val="21"/>
          <w:highlight w:val="none"/>
        </w:rPr>
        <w:t>号）的规定，本单位为符合条件的监狱单位，且本单位参加______单位的______项目采购活动提供本单位制造的货物（由本单位承担工程/提供服务）。</w:t>
      </w:r>
    </w:p>
    <w:p>
      <w:pPr>
        <w:spacing w:line="480" w:lineRule="auto"/>
        <w:ind w:firstLine="200"/>
        <w:rPr>
          <w:rFonts w:ascii="宋体" w:hAnsi="宋体"/>
          <w:color w:val="auto"/>
          <w:spacing w:val="6"/>
          <w:szCs w:val="21"/>
          <w:highlight w:val="none"/>
        </w:rPr>
      </w:pPr>
      <w:r>
        <w:rPr>
          <w:rFonts w:hint="eastAsia" w:ascii="宋体" w:hAnsi="宋体"/>
          <w:color w:val="auto"/>
          <w:spacing w:val="6"/>
          <w:szCs w:val="21"/>
          <w:highlight w:val="none"/>
        </w:rPr>
        <w:t>本单位对上述声明的真实性负责。如有虚假，将依法承担相应责任。</w:t>
      </w:r>
    </w:p>
    <w:p>
      <w:pPr>
        <w:spacing w:line="480" w:lineRule="auto"/>
        <w:ind w:firstLine="200"/>
        <w:rPr>
          <w:rFonts w:ascii="宋体" w:hAnsi="宋体"/>
          <w:color w:val="auto"/>
          <w:spacing w:val="6"/>
          <w:szCs w:val="21"/>
          <w:highlight w:val="none"/>
        </w:rPr>
      </w:pPr>
    </w:p>
    <w:p>
      <w:pPr>
        <w:spacing w:line="588" w:lineRule="exact"/>
        <w:ind w:firstLine="624" w:firstLineChars="200"/>
        <w:rPr>
          <w:rFonts w:ascii="仿宋_GB2312" w:eastAsia="仿宋_GB2312"/>
          <w:color w:val="auto"/>
          <w:spacing w:val="6"/>
          <w:sz w:val="30"/>
          <w:szCs w:val="30"/>
          <w:highlight w:val="none"/>
        </w:rPr>
      </w:pPr>
    </w:p>
    <w:p>
      <w:pPr>
        <w:spacing w:line="588" w:lineRule="exact"/>
        <w:ind w:firstLine="624" w:firstLineChars="200"/>
        <w:rPr>
          <w:rFonts w:ascii="仿宋_GB2312" w:eastAsia="仿宋_GB2312"/>
          <w:color w:val="auto"/>
          <w:spacing w:val="6"/>
          <w:sz w:val="30"/>
          <w:szCs w:val="30"/>
          <w:highlight w:val="none"/>
        </w:rPr>
      </w:pPr>
    </w:p>
    <w:p>
      <w:pPr>
        <w:ind w:left="2604" w:leftChars="1240"/>
        <w:jc w:val="left"/>
        <w:rPr>
          <w:color w:val="auto"/>
          <w:szCs w:val="21"/>
          <w:highlight w:val="none"/>
        </w:rPr>
      </w:pPr>
      <w:r>
        <w:rPr>
          <w:rFonts w:hint="eastAsia"/>
          <w:color w:val="auto"/>
          <w:szCs w:val="21"/>
          <w:highlight w:val="none"/>
        </w:rPr>
        <w:t>投标人：（盖章）</w:t>
      </w:r>
      <w:r>
        <w:rPr>
          <w:rFonts w:hint="eastAsia" w:ascii="宋体" w:hAnsi="宋体"/>
          <w:color w:val="auto"/>
          <w:szCs w:val="21"/>
          <w:highlight w:val="none"/>
          <w:u w:val="single"/>
        </w:rPr>
        <w:t xml:space="preserve">                            </w:t>
      </w:r>
      <w:r>
        <w:rPr>
          <w:rFonts w:hint="eastAsia" w:ascii="宋体" w:hAnsi="宋体"/>
          <w:color w:val="auto"/>
          <w:szCs w:val="21"/>
          <w:highlight w:val="none"/>
        </w:rPr>
        <w:t>_</w:t>
      </w:r>
    </w:p>
    <w:p>
      <w:pPr>
        <w:ind w:left="2604" w:leftChars="1240"/>
        <w:jc w:val="left"/>
        <w:rPr>
          <w:color w:val="auto"/>
          <w:szCs w:val="21"/>
          <w:highlight w:val="none"/>
        </w:rPr>
      </w:pPr>
      <w:r>
        <w:rPr>
          <w:rFonts w:hint="eastAsia" w:ascii="宋体" w:hAnsi="宋体"/>
          <w:color w:val="auto"/>
          <w:szCs w:val="21"/>
          <w:highlight w:val="none"/>
        </w:rPr>
        <w:t>法定代表人或其授权委托人(签字)：</w:t>
      </w:r>
      <w:r>
        <w:rPr>
          <w:rFonts w:hint="eastAsia" w:ascii="宋体" w:hAnsi="宋体"/>
          <w:color w:val="auto"/>
          <w:szCs w:val="21"/>
          <w:highlight w:val="none"/>
          <w:u w:val="single"/>
        </w:rPr>
        <w:t xml:space="preserve">       </w:t>
      </w:r>
      <w:r>
        <w:rPr>
          <w:rFonts w:hint="eastAsia" w:ascii="宋体" w:hAnsi="宋体"/>
          <w:color w:val="auto"/>
          <w:szCs w:val="21"/>
          <w:highlight w:val="none"/>
        </w:rPr>
        <w:t>_</w:t>
      </w:r>
    </w:p>
    <w:p>
      <w:pPr>
        <w:spacing w:line="480" w:lineRule="auto"/>
        <w:ind w:left="3349" w:leftChars="1595" w:firstLine="200"/>
        <w:rPr>
          <w:rFonts w:ascii="宋体" w:hAnsi="宋体"/>
          <w:color w:val="auto"/>
          <w:spacing w:val="6"/>
          <w:szCs w:val="21"/>
          <w:highlight w:val="none"/>
        </w:rPr>
      </w:pPr>
      <w:r>
        <w:rPr>
          <w:rFonts w:hint="eastAsia"/>
          <w:color w:val="auto"/>
          <w:szCs w:val="21"/>
          <w:highlight w:val="none"/>
          <w:u w:val="single"/>
        </w:rPr>
        <w:t xml:space="preserve">         </w:t>
      </w:r>
      <w:r>
        <w:rPr>
          <w:rFonts w:hint="eastAsia"/>
          <w:color w:val="auto"/>
          <w:szCs w:val="21"/>
          <w:highlight w:val="none"/>
        </w:rPr>
        <w:t>年</w:t>
      </w:r>
      <w:r>
        <w:rPr>
          <w:rFonts w:hint="eastAsia"/>
          <w:color w:val="auto"/>
          <w:szCs w:val="21"/>
          <w:highlight w:val="none"/>
          <w:u w:val="single"/>
        </w:rPr>
        <w:t xml:space="preserve">   </w:t>
      </w:r>
      <w:r>
        <w:rPr>
          <w:rFonts w:hint="eastAsia"/>
          <w:color w:val="auto"/>
          <w:szCs w:val="21"/>
          <w:highlight w:val="none"/>
        </w:rPr>
        <w:t>月</w:t>
      </w:r>
      <w:r>
        <w:rPr>
          <w:rFonts w:hint="eastAsia"/>
          <w:color w:val="auto"/>
          <w:szCs w:val="21"/>
          <w:highlight w:val="none"/>
          <w:u w:val="single"/>
        </w:rPr>
        <w:t xml:space="preserve">   </w:t>
      </w:r>
      <w:r>
        <w:rPr>
          <w:rFonts w:hint="eastAsia"/>
          <w:color w:val="auto"/>
          <w:szCs w:val="21"/>
          <w:highlight w:val="none"/>
        </w:rPr>
        <w:t>日</w:t>
      </w:r>
    </w:p>
    <w:p>
      <w:pPr>
        <w:spacing w:line="480" w:lineRule="auto"/>
        <w:ind w:firstLine="200"/>
        <w:rPr>
          <w:rFonts w:ascii="宋体" w:hAnsi="宋体"/>
          <w:color w:val="auto"/>
          <w:spacing w:val="6"/>
          <w:szCs w:val="21"/>
          <w:highlight w:val="none"/>
        </w:rPr>
      </w:pPr>
    </w:p>
    <w:p>
      <w:pPr>
        <w:spacing w:line="588" w:lineRule="exact"/>
        <w:ind w:firstLine="624" w:firstLineChars="200"/>
        <w:rPr>
          <w:rFonts w:ascii="仿宋_GB2312" w:eastAsia="仿宋_GB2312"/>
          <w:color w:val="auto"/>
          <w:spacing w:val="6"/>
          <w:sz w:val="30"/>
          <w:szCs w:val="30"/>
          <w:highlight w:val="none"/>
        </w:rPr>
      </w:pPr>
    </w:p>
    <w:p>
      <w:pPr>
        <w:spacing w:line="480" w:lineRule="auto"/>
        <w:ind w:firstLine="200"/>
        <w:rPr>
          <w:rFonts w:ascii="仿宋_GB2312" w:hAnsi="仿宋" w:eastAsia="仿宋_GB2312"/>
          <w:bCs/>
          <w:color w:val="auto"/>
          <w:sz w:val="28"/>
          <w:szCs w:val="28"/>
        </w:rPr>
      </w:pPr>
      <w:r>
        <w:rPr>
          <w:rFonts w:hint="eastAsia" w:ascii="宋体" w:hAnsi="宋体"/>
          <w:b/>
          <w:color w:val="auto"/>
          <w:sz w:val="18"/>
          <w:szCs w:val="18"/>
          <w:highlight w:val="none"/>
        </w:rPr>
        <w:t>说明</w:t>
      </w:r>
      <w:r>
        <w:rPr>
          <w:rFonts w:hint="eastAsia" w:ascii="宋体" w:hAnsi="宋体"/>
          <w:color w:val="auto"/>
          <w:sz w:val="18"/>
          <w:szCs w:val="18"/>
          <w:highlight w:val="none"/>
        </w:rPr>
        <w:t>：填写本声明函时应详细阅读《关于政府采购支持监狱企业发展有关问题的通知》（财库〔2014〕 68号），投标人不满足此要求则无须提供，一旦提供将视为满足其要求，如有虚假，将依法承担相应责任。</w:t>
      </w:r>
    </w:p>
    <w:p>
      <w:pPr>
        <w:pStyle w:val="7"/>
        <w:rPr>
          <w:rFonts w:ascii="宋体" w:hAnsi="宋体"/>
          <w:bCs/>
          <w:szCs w:val="32"/>
        </w:rPr>
      </w:pPr>
    </w:p>
    <w:p>
      <w:pPr>
        <w:rPr>
          <w:rFonts w:ascii="宋体" w:hAnsi="宋体"/>
          <w:bCs/>
          <w:sz w:val="28"/>
          <w:szCs w:val="32"/>
        </w:rPr>
      </w:pPr>
    </w:p>
    <w:p>
      <w:pPr>
        <w:pStyle w:val="7"/>
        <w:rPr>
          <w:rFonts w:ascii="宋体" w:hAnsi="宋体"/>
          <w:bCs/>
          <w:szCs w:val="32"/>
        </w:rPr>
      </w:pPr>
    </w:p>
    <w:p>
      <w:pPr>
        <w:rPr>
          <w:rFonts w:ascii="宋体" w:hAnsi="宋体"/>
          <w:bCs/>
          <w:sz w:val="28"/>
          <w:szCs w:val="32"/>
        </w:rPr>
      </w:pPr>
    </w:p>
    <w:p>
      <w:pPr>
        <w:pStyle w:val="7"/>
        <w:rPr>
          <w:rFonts w:ascii="宋体" w:hAnsi="宋体"/>
          <w:bCs/>
          <w:szCs w:val="32"/>
        </w:rPr>
      </w:pPr>
    </w:p>
    <w:p>
      <w:pPr>
        <w:rPr>
          <w:rFonts w:ascii="宋体" w:hAnsi="宋体"/>
          <w:bCs/>
          <w:sz w:val="28"/>
          <w:szCs w:val="32"/>
        </w:rPr>
      </w:pPr>
    </w:p>
    <w:p>
      <w:pPr>
        <w:pStyle w:val="7"/>
        <w:rPr>
          <w:rFonts w:ascii="宋体" w:hAnsi="宋体"/>
          <w:bCs/>
          <w:szCs w:val="32"/>
        </w:rPr>
      </w:pPr>
    </w:p>
    <w:p>
      <w:pPr>
        <w:spacing w:before="4800" w:beforeLines="2000"/>
        <w:jc w:val="center"/>
        <w:rPr>
          <w:rStyle w:val="26"/>
        </w:rPr>
      </w:pPr>
      <w:bookmarkStart w:id="391" w:name="_Toc32569"/>
      <w:bookmarkStart w:id="392" w:name="_Toc476758994"/>
      <w:bookmarkStart w:id="393" w:name="_Toc484102441"/>
      <w:bookmarkStart w:id="394" w:name="_Toc11072"/>
      <w:r>
        <w:rPr>
          <w:rStyle w:val="26"/>
          <w:rFonts w:hint="eastAsia"/>
        </w:rPr>
        <w:t>第六章  合同条款及合同格式</w:t>
      </w:r>
      <w:bookmarkEnd w:id="391"/>
      <w:bookmarkEnd w:id="392"/>
      <w:bookmarkEnd w:id="393"/>
    </w:p>
    <w:bookmarkEnd w:id="394"/>
    <w:p>
      <w:pPr>
        <w:spacing w:line="360" w:lineRule="auto"/>
        <w:rPr>
          <w:rFonts w:ascii="宋体" w:hAnsi="宋体"/>
        </w:rPr>
      </w:pPr>
      <w:r>
        <w:rPr>
          <w:rFonts w:hint="eastAsia" w:ascii="宋体" w:hAnsi="宋体"/>
        </w:rPr>
        <w:t>（本合同为合同样稿，最终稿由双方协商后确定）</w:t>
      </w:r>
    </w:p>
    <w:p>
      <w:pPr>
        <w:spacing w:line="360" w:lineRule="auto"/>
        <w:rPr>
          <w:rFonts w:ascii="宋体" w:hAnsi="宋体"/>
        </w:rPr>
      </w:pPr>
      <w:r>
        <w:rPr>
          <w:rFonts w:hint="eastAsia" w:ascii="宋体" w:hAnsi="宋体"/>
        </w:rPr>
        <w:t>编号：</w:t>
      </w:r>
    </w:p>
    <w:p>
      <w:pPr>
        <w:spacing w:line="360" w:lineRule="auto"/>
        <w:rPr>
          <w:rFonts w:ascii="宋体" w:hAnsi="宋体"/>
        </w:rPr>
      </w:pPr>
      <w:r>
        <w:rPr>
          <w:rFonts w:hint="eastAsia" w:ascii="宋体" w:hAnsi="宋体"/>
        </w:rPr>
        <w:t xml:space="preserve">甲方（使用单位）： </w:t>
      </w:r>
    </w:p>
    <w:p>
      <w:pPr>
        <w:spacing w:line="360" w:lineRule="auto"/>
        <w:rPr>
          <w:rFonts w:ascii="宋体" w:hAnsi="宋体"/>
        </w:rPr>
      </w:pPr>
      <w:r>
        <w:rPr>
          <w:rFonts w:hint="eastAsia" w:ascii="宋体" w:hAnsi="宋体"/>
        </w:rPr>
        <w:t xml:space="preserve">乙方（供应商）： </w:t>
      </w:r>
    </w:p>
    <w:p>
      <w:pPr>
        <w:spacing w:line="360" w:lineRule="auto"/>
        <w:rPr>
          <w:rFonts w:ascii="宋体" w:hAnsi="宋体"/>
        </w:rPr>
      </w:pPr>
    </w:p>
    <w:p>
      <w:pPr>
        <w:spacing w:line="360" w:lineRule="auto"/>
        <w:rPr>
          <w:rFonts w:ascii="宋体" w:hAnsi="宋体"/>
        </w:rPr>
      </w:pPr>
      <w:r>
        <w:rPr>
          <w:rFonts w:hint="eastAsia" w:ascii="宋体" w:hAnsi="宋体"/>
        </w:rPr>
        <w:t xml:space="preserve"> 项目经公开招标，确定         中标单位，经双方协商，达成以下条款。具体如下：</w:t>
      </w:r>
    </w:p>
    <w:p>
      <w:pPr>
        <w:spacing w:line="360" w:lineRule="auto"/>
        <w:rPr>
          <w:rFonts w:ascii="宋体" w:hAnsi="宋体"/>
        </w:rPr>
      </w:pPr>
      <w:r>
        <w:rPr>
          <w:rFonts w:hint="eastAsia" w:ascii="宋体" w:hAnsi="宋体"/>
        </w:rPr>
        <w:t>采购商品清单及合同价格</w:t>
      </w:r>
    </w:p>
    <w:p>
      <w:pPr>
        <w:spacing w:line="360" w:lineRule="auto"/>
        <w:rPr>
          <w:rFonts w:ascii="宋体" w:hAnsi="宋体"/>
        </w:rPr>
      </w:pPr>
      <w:r>
        <w:rPr>
          <w:rFonts w:hint="eastAsia" w:ascii="宋体" w:hAnsi="宋体"/>
        </w:rPr>
        <w:t xml:space="preserve">金额单位：元 </w:t>
      </w:r>
    </w:p>
    <w:tbl>
      <w:tblPr>
        <w:tblStyle w:val="19"/>
        <w:tblW w:w="882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1260"/>
        <w:gridCol w:w="2700"/>
        <w:gridCol w:w="90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1800" w:type="dxa"/>
            <w:noWrap/>
            <w:vAlign w:val="center"/>
          </w:tcPr>
          <w:p>
            <w:pPr>
              <w:spacing w:line="360" w:lineRule="auto"/>
              <w:rPr>
                <w:rFonts w:ascii="宋体" w:hAnsi="宋体"/>
              </w:rPr>
            </w:pPr>
            <w:r>
              <w:rPr>
                <w:rFonts w:hint="eastAsia" w:ascii="宋体" w:hAnsi="宋体"/>
              </w:rPr>
              <w:t>使用单位</w:t>
            </w:r>
          </w:p>
        </w:tc>
        <w:tc>
          <w:tcPr>
            <w:tcW w:w="1260" w:type="dxa"/>
            <w:noWrap/>
            <w:vAlign w:val="center"/>
          </w:tcPr>
          <w:p>
            <w:pPr>
              <w:spacing w:line="360" w:lineRule="auto"/>
              <w:rPr>
                <w:rFonts w:ascii="宋体" w:hAnsi="宋体"/>
              </w:rPr>
            </w:pPr>
            <w:r>
              <w:rPr>
                <w:rFonts w:hint="eastAsia" w:ascii="宋体" w:hAnsi="宋体"/>
              </w:rPr>
              <w:t>商品名称</w:t>
            </w:r>
          </w:p>
        </w:tc>
        <w:tc>
          <w:tcPr>
            <w:tcW w:w="2700" w:type="dxa"/>
            <w:noWrap/>
            <w:vAlign w:val="center"/>
          </w:tcPr>
          <w:p>
            <w:pPr>
              <w:spacing w:line="360" w:lineRule="auto"/>
              <w:rPr>
                <w:rFonts w:ascii="宋体" w:hAnsi="宋体"/>
              </w:rPr>
            </w:pPr>
            <w:r>
              <w:rPr>
                <w:rFonts w:hint="eastAsia" w:ascii="宋体" w:hAnsi="宋体"/>
              </w:rPr>
              <w:t>配置要求</w:t>
            </w:r>
          </w:p>
        </w:tc>
        <w:tc>
          <w:tcPr>
            <w:tcW w:w="900" w:type="dxa"/>
            <w:noWrap/>
            <w:vAlign w:val="center"/>
          </w:tcPr>
          <w:p>
            <w:pPr>
              <w:spacing w:line="360" w:lineRule="auto"/>
              <w:rPr>
                <w:rFonts w:ascii="宋体" w:hAnsi="宋体"/>
              </w:rPr>
            </w:pPr>
            <w:r>
              <w:rPr>
                <w:rFonts w:hint="eastAsia" w:ascii="宋体" w:hAnsi="宋体"/>
              </w:rPr>
              <w:t>数量</w:t>
            </w:r>
          </w:p>
        </w:tc>
        <w:tc>
          <w:tcPr>
            <w:tcW w:w="1080" w:type="dxa"/>
            <w:noWrap/>
            <w:vAlign w:val="center"/>
          </w:tcPr>
          <w:p>
            <w:pPr>
              <w:spacing w:line="360" w:lineRule="auto"/>
              <w:rPr>
                <w:rFonts w:ascii="宋体" w:hAnsi="宋体"/>
              </w:rPr>
            </w:pPr>
            <w:r>
              <w:rPr>
                <w:rFonts w:hint="eastAsia" w:ascii="宋体" w:hAnsi="宋体"/>
              </w:rPr>
              <w:t>单价</w:t>
            </w:r>
          </w:p>
        </w:tc>
        <w:tc>
          <w:tcPr>
            <w:tcW w:w="1080" w:type="dxa"/>
            <w:noWrap/>
            <w:vAlign w:val="center"/>
          </w:tcPr>
          <w:p>
            <w:pPr>
              <w:spacing w:line="360" w:lineRule="auto"/>
              <w:rPr>
                <w:rFonts w:ascii="宋体" w:hAnsi="宋体"/>
              </w:rPr>
            </w:pPr>
            <w:r>
              <w:rPr>
                <w:rFonts w:hint="eastAsia" w:ascii="宋体" w:hAnsi="宋体"/>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800" w:type="dxa"/>
            <w:noWrap/>
            <w:vAlign w:val="center"/>
          </w:tcPr>
          <w:p>
            <w:pPr>
              <w:spacing w:line="360" w:lineRule="auto"/>
              <w:rPr>
                <w:rFonts w:ascii="宋体" w:hAnsi="宋体"/>
              </w:rPr>
            </w:pPr>
          </w:p>
        </w:tc>
        <w:tc>
          <w:tcPr>
            <w:tcW w:w="1260" w:type="dxa"/>
            <w:noWrap/>
            <w:vAlign w:val="center"/>
          </w:tcPr>
          <w:p>
            <w:pPr>
              <w:spacing w:line="360" w:lineRule="auto"/>
              <w:rPr>
                <w:rFonts w:ascii="宋体" w:hAnsi="宋体"/>
              </w:rPr>
            </w:pPr>
          </w:p>
        </w:tc>
        <w:tc>
          <w:tcPr>
            <w:tcW w:w="2700" w:type="dxa"/>
            <w:noWrap/>
            <w:vAlign w:val="center"/>
          </w:tcPr>
          <w:p>
            <w:pPr>
              <w:spacing w:line="360" w:lineRule="auto"/>
              <w:rPr>
                <w:rFonts w:ascii="宋体" w:hAnsi="宋体"/>
              </w:rPr>
            </w:pPr>
          </w:p>
        </w:tc>
        <w:tc>
          <w:tcPr>
            <w:tcW w:w="900" w:type="dxa"/>
            <w:noWrap/>
            <w:vAlign w:val="center"/>
          </w:tcPr>
          <w:p>
            <w:pPr>
              <w:spacing w:line="360" w:lineRule="auto"/>
              <w:rPr>
                <w:rFonts w:ascii="宋体" w:hAnsi="宋体"/>
              </w:rPr>
            </w:pPr>
          </w:p>
        </w:tc>
        <w:tc>
          <w:tcPr>
            <w:tcW w:w="1080" w:type="dxa"/>
            <w:noWrap/>
            <w:vAlign w:val="center"/>
          </w:tcPr>
          <w:p>
            <w:pPr>
              <w:spacing w:line="360" w:lineRule="auto"/>
              <w:rPr>
                <w:rFonts w:ascii="宋体" w:hAnsi="宋体"/>
              </w:rPr>
            </w:pPr>
          </w:p>
        </w:tc>
        <w:tc>
          <w:tcPr>
            <w:tcW w:w="1080" w:type="dxa"/>
            <w:noWrap/>
            <w:vAlign w:val="center"/>
          </w:tcPr>
          <w:p>
            <w:pPr>
              <w:spacing w:line="360" w:lineRule="auto"/>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1800" w:type="dxa"/>
            <w:noWrap/>
            <w:vAlign w:val="center"/>
          </w:tcPr>
          <w:p>
            <w:pPr>
              <w:spacing w:line="360" w:lineRule="auto"/>
              <w:rPr>
                <w:rFonts w:ascii="宋体" w:hAnsi="宋体"/>
              </w:rPr>
            </w:pPr>
          </w:p>
        </w:tc>
        <w:tc>
          <w:tcPr>
            <w:tcW w:w="1260" w:type="dxa"/>
            <w:noWrap/>
            <w:vAlign w:val="center"/>
          </w:tcPr>
          <w:p>
            <w:pPr>
              <w:spacing w:line="360" w:lineRule="auto"/>
              <w:rPr>
                <w:rFonts w:ascii="宋体" w:hAnsi="宋体"/>
              </w:rPr>
            </w:pPr>
          </w:p>
        </w:tc>
        <w:tc>
          <w:tcPr>
            <w:tcW w:w="2700" w:type="dxa"/>
            <w:noWrap/>
            <w:vAlign w:val="center"/>
          </w:tcPr>
          <w:p>
            <w:pPr>
              <w:spacing w:line="360" w:lineRule="auto"/>
              <w:rPr>
                <w:rFonts w:ascii="宋体" w:hAnsi="宋体"/>
              </w:rPr>
            </w:pPr>
          </w:p>
        </w:tc>
        <w:tc>
          <w:tcPr>
            <w:tcW w:w="900" w:type="dxa"/>
            <w:noWrap/>
            <w:vAlign w:val="center"/>
          </w:tcPr>
          <w:p>
            <w:pPr>
              <w:spacing w:line="360" w:lineRule="auto"/>
              <w:rPr>
                <w:rFonts w:ascii="宋体" w:hAnsi="宋体"/>
              </w:rPr>
            </w:pPr>
          </w:p>
        </w:tc>
        <w:tc>
          <w:tcPr>
            <w:tcW w:w="1080" w:type="dxa"/>
            <w:noWrap/>
            <w:vAlign w:val="center"/>
          </w:tcPr>
          <w:p>
            <w:pPr>
              <w:spacing w:line="360" w:lineRule="auto"/>
              <w:rPr>
                <w:rFonts w:ascii="宋体" w:hAnsi="宋体"/>
              </w:rPr>
            </w:pPr>
          </w:p>
        </w:tc>
        <w:tc>
          <w:tcPr>
            <w:tcW w:w="1080" w:type="dxa"/>
            <w:noWrap/>
            <w:vAlign w:val="center"/>
          </w:tcPr>
          <w:p>
            <w:pPr>
              <w:spacing w:line="360" w:lineRule="auto"/>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760" w:type="dxa"/>
            <w:gridSpan w:val="3"/>
            <w:noWrap/>
          </w:tcPr>
          <w:p>
            <w:pPr>
              <w:spacing w:line="360" w:lineRule="auto"/>
              <w:rPr>
                <w:rFonts w:ascii="宋体" w:hAnsi="宋体"/>
              </w:rPr>
            </w:pPr>
            <w:r>
              <w:rPr>
                <w:rFonts w:hint="eastAsia" w:ascii="宋体" w:hAnsi="宋体"/>
              </w:rPr>
              <w:t>合计</w:t>
            </w:r>
          </w:p>
        </w:tc>
        <w:tc>
          <w:tcPr>
            <w:tcW w:w="900" w:type="dxa"/>
            <w:noWrap/>
          </w:tcPr>
          <w:p>
            <w:pPr>
              <w:spacing w:line="360" w:lineRule="auto"/>
              <w:rPr>
                <w:rFonts w:ascii="宋体" w:hAnsi="宋体"/>
              </w:rPr>
            </w:pPr>
          </w:p>
        </w:tc>
        <w:tc>
          <w:tcPr>
            <w:tcW w:w="2160" w:type="dxa"/>
            <w:gridSpan w:val="2"/>
            <w:noWrap/>
          </w:tcPr>
          <w:p>
            <w:pPr>
              <w:spacing w:line="360" w:lineRule="auto"/>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8820" w:type="dxa"/>
            <w:gridSpan w:val="6"/>
            <w:noWrap/>
          </w:tcPr>
          <w:p>
            <w:pPr>
              <w:spacing w:line="360" w:lineRule="auto"/>
              <w:rPr>
                <w:rFonts w:ascii="宋体" w:hAnsi="宋体"/>
              </w:rPr>
            </w:pPr>
            <w:r>
              <w:rPr>
                <w:rFonts w:hint="eastAsia" w:ascii="宋体" w:hAnsi="宋体"/>
              </w:rPr>
              <w:t>合同总价：（人民币）                   元整</w:t>
            </w:r>
          </w:p>
        </w:tc>
      </w:tr>
    </w:tbl>
    <w:p>
      <w:pPr>
        <w:spacing w:line="360" w:lineRule="auto"/>
        <w:rPr>
          <w:rFonts w:ascii="宋体" w:hAnsi="宋体"/>
        </w:rPr>
      </w:pPr>
      <w:r>
        <w:rPr>
          <w:rFonts w:hint="eastAsia" w:ascii="宋体" w:hAnsi="宋体"/>
        </w:rPr>
        <w:t>注：1、商品型号、数量、配置要求及使用单位地址等详见附件清单；</w:t>
      </w:r>
    </w:p>
    <w:p>
      <w:pPr>
        <w:spacing w:line="360" w:lineRule="auto"/>
        <w:rPr>
          <w:rFonts w:ascii="宋体" w:hAnsi="宋体"/>
        </w:rPr>
      </w:pPr>
      <w:r>
        <w:rPr>
          <w:rFonts w:hint="eastAsia" w:ascii="宋体" w:hAnsi="宋体"/>
        </w:rPr>
        <w:t xml:space="preserve">    2、以上合同总价包括运抵各使用单位的运费及安装费等。</w:t>
      </w:r>
    </w:p>
    <w:p>
      <w:pPr>
        <w:spacing w:line="360" w:lineRule="auto"/>
        <w:rPr>
          <w:rFonts w:ascii="宋体" w:hAnsi="宋体"/>
        </w:rPr>
      </w:pPr>
      <w:r>
        <w:rPr>
          <w:rFonts w:hint="eastAsia" w:ascii="宋体" w:hAnsi="宋体"/>
        </w:rPr>
        <w:t>第二条  质量保证</w:t>
      </w:r>
    </w:p>
    <w:p>
      <w:pPr>
        <w:spacing w:line="360" w:lineRule="auto"/>
        <w:rPr>
          <w:rFonts w:ascii="宋体" w:hAnsi="宋体"/>
        </w:rPr>
      </w:pPr>
      <w:r>
        <w:rPr>
          <w:rFonts w:hint="eastAsia" w:ascii="宋体" w:hAnsi="宋体"/>
        </w:rPr>
        <w:t>乙方保证本合同中所供应的国产商品是符合国家技术规格和质量标准的出厂原装合格产品；进口商品是获得国家商检局颁布安全许可证的出厂原装合格产品。如发生所供商品与合同不符，甲方（使用方）有权拒收或退货，由此产生的一切责任和后果由乙方承担。</w:t>
      </w:r>
    </w:p>
    <w:p>
      <w:pPr>
        <w:spacing w:line="360" w:lineRule="auto"/>
        <w:rPr>
          <w:rFonts w:ascii="宋体" w:hAnsi="宋体"/>
        </w:rPr>
      </w:pPr>
      <w:r>
        <w:rPr>
          <w:rFonts w:hint="eastAsia" w:ascii="宋体" w:hAnsi="宋体"/>
        </w:rPr>
        <w:t>第三条  开发时间、地点</w:t>
      </w:r>
    </w:p>
    <w:p>
      <w:pPr>
        <w:spacing w:line="360" w:lineRule="auto"/>
        <w:rPr>
          <w:rFonts w:ascii="宋体" w:hAnsi="宋体"/>
        </w:rPr>
      </w:pPr>
      <w:r>
        <w:rPr>
          <w:rFonts w:hint="eastAsia" w:ascii="宋体" w:hAnsi="宋体"/>
        </w:rPr>
        <w:t>1、本次开发时间及进度安排：</w:t>
      </w:r>
    </w:p>
    <w:p>
      <w:pPr>
        <w:spacing w:line="360" w:lineRule="auto"/>
        <w:rPr>
          <w:rFonts w:ascii="宋体" w:hAnsi="宋体"/>
        </w:rPr>
      </w:pPr>
      <w:r>
        <w:rPr>
          <w:rFonts w:hint="eastAsia" w:ascii="宋体" w:hAnsi="宋体"/>
        </w:rPr>
        <w:t>2、地点：甲方指定地点（阿克苏市）</w:t>
      </w:r>
    </w:p>
    <w:p>
      <w:pPr>
        <w:spacing w:line="360" w:lineRule="auto"/>
        <w:rPr>
          <w:rFonts w:ascii="宋体" w:hAnsi="宋体"/>
        </w:rPr>
      </w:pPr>
      <w:r>
        <w:rPr>
          <w:rFonts w:hint="eastAsia" w:ascii="宋体" w:hAnsi="宋体"/>
        </w:rPr>
        <w:t>第四条  服务要求</w:t>
      </w:r>
    </w:p>
    <w:p>
      <w:pPr>
        <w:spacing w:line="360" w:lineRule="auto"/>
        <w:rPr>
          <w:rFonts w:ascii="宋体" w:hAnsi="宋体"/>
        </w:rPr>
      </w:pPr>
      <w:r>
        <w:rPr>
          <w:rFonts w:hint="eastAsia" w:ascii="宋体" w:hAnsi="宋体"/>
        </w:rPr>
        <w:t>具体条款详见合同附件。</w:t>
      </w:r>
    </w:p>
    <w:p>
      <w:pPr>
        <w:spacing w:line="360" w:lineRule="auto"/>
        <w:rPr>
          <w:rFonts w:ascii="宋体" w:hAnsi="宋体"/>
        </w:rPr>
      </w:pPr>
      <w:r>
        <w:rPr>
          <w:rFonts w:hint="eastAsia" w:ascii="宋体" w:hAnsi="宋体"/>
        </w:rPr>
        <w:t>第五条  履约保证金</w:t>
      </w:r>
    </w:p>
    <w:p>
      <w:pPr>
        <w:spacing w:line="360" w:lineRule="auto"/>
        <w:rPr>
          <w:rFonts w:ascii="宋体" w:hAnsi="宋体"/>
        </w:rPr>
      </w:pPr>
      <w:r>
        <w:rPr>
          <w:rFonts w:hint="eastAsia" w:ascii="宋体" w:hAnsi="宋体"/>
        </w:rPr>
        <w:t>签订合同时支付合同价10%的履约保证金。</w:t>
      </w:r>
    </w:p>
    <w:p>
      <w:pPr>
        <w:spacing w:line="360" w:lineRule="auto"/>
        <w:rPr>
          <w:rFonts w:ascii="宋体" w:hAnsi="宋体"/>
        </w:rPr>
      </w:pPr>
      <w:r>
        <w:rPr>
          <w:rFonts w:hint="eastAsia" w:ascii="宋体" w:hAnsi="宋体"/>
        </w:rPr>
        <w:t>合同履行完毕后无息返还。</w:t>
      </w:r>
    </w:p>
    <w:p>
      <w:pPr>
        <w:spacing w:line="360" w:lineRule="auto"/>
        <w:rPr>
          <w:rFonts w:ascii="宋体" w:hAnsi="宋体"/>
        </w:rPr>
      </w:pPr>
      <w:r>
        <w:rPr>
          <w:rFonts w:hint="eastAsia" w:ascii="宋体" w:hAnsi="宋体"/>
        </w:rPr>
        <w:t>第六条  货款的支付</w:t>
      </w:r>
    </w:p>
    <w:p>
      <w:pPr>
        <w:spacing w:line="360" w:lineRule="auto"/>
        <w:rPr>
          <w:rFonts w:ascii="宋体" w:hAnsi="宋体"/>
        </w:rPr>
      </w:pPr>
      <w:r>
        <w:rPr>
          <w:rFonts w:hint="eastAsia" w:ascii="宋体" w:hAnsi="宋体"/>
        </w:rPr>
        <w:t>按照招标文件要求的付款方式付款。</w:t>
      </w:r>
    </w:p>
    <w:p>
      <w:pPr>
        <w:spacing w:line="360" w:lineRule="auto"/>
        <w:rPr>
          <w:rFonts w:ascii="宋体" w:hAnsi="宋体"/>
        </w:rPr>
      </w:pPr>
      <w:r>
        <w:rPr>
          <w:rFonts w:hint="eastAsia" w:ascii="宋体" w:hAnsi="宋体"/>
        </w:rPr>
        <w:t>其它约定：无。</w:t>
      </w:r>
    </w:p>
    <w:p>
      <w:pPr>
        <w:spacing w:line="360" w:lineRule="auto"/>
        <w:rPr>
          <w:rFonts w:ascii="宋体" w:hAnsi="宋体"/>
        </w:rPr>
      </w:pPr>
      <w:r>
        <w:rPr>
          <w:rFonts w:hint="eastAsia" w:ascii="宋体" w:hAnsi="宋体"/>
        </w:rPr>
        <w:t>第八条  违约责任</w:t>
      </w:r>
    </w:p>
    <w:p>
      <w:pPr>
        <w:spacing w:line="360" w:lineRule="auto"/>
        <w:rPr>
          <w:rFonts w:ascii="宋体" w:hAnsi="宋体"/>
        </w:rPr>
      </w:pPr>
      <w:r>
        <w:rPr>
          <w:rFonts w:hint="eastAsia" w:ascii="宋体" w:hAnsi="宋体"/>
        </w:rPr>
        <w:t xml:space="preserve"> 1、乙方逾期履行合同的，自逾期之日起，向甲方每日偿付合同总价万分之二的滞纳金；乙方逾期30日不能交货的，应向甲方支付合同总价百分之五的违约金。</w:t>
      </w:r>
    </w:p>
    <w:p>
      <w:pPr>
        <w:spacing w:line="360" w:lineRule="auto"/>
        <w:rPr>
          <w:rFonts w:ascii="宋体" w:hAnsi="宋体"/>
        </w:rPr>
      </w:pPr>
      <w:r>
        <w:rPr>
          <w:rFonts w:hint="eastAsia" w:ascii="宋体" w:hAnsi="宋体"/>
        </w:rPr>
        <w:t>2、甲方逾期支付货款的，应向乙方每日偿付合同总价万分之五的滞纳金。甲方无正当理由拒收货物、拒付货款的，应向乙方偿付合同总价百分之五的违约金。</w:t>
      </w:r>
    </w:p>
    <w:p>
      <w:pPr>
        <w:spacing w:line="360" w:lineRule="auto"/>
        <w:rPr>
          <w:rFonts w:ascii="宋体" w:hAnsi="宋体"/>
        </w:rPr>
      </w:pPr>
      <w:r>
        <w:rPr>
          <w:rFonts w:hint="eastAsia" w:ascii="宋体" w:hAnsi="宋体"/>
        </w:rPr>
        <w:t>第九条  争议的解决</w:t>
      </w:r>
    </w:p>
    <w:p>
      <w:pPr>
        <w:spacing w:line="360" w:lineRule="auto"/>
        <w:rPr>
          <w:rFonts w:ascii="宋体" w:hAnsi="宋体"/>
        </w:rPr>
      </w:pPr>
      <w:r>
        <w:rPr>
          <w:rFonts w:hint="eastAsia" w:ascii="宋体" w:hAnsi="宋体"/>
        </w:rPr>
        <w:t>本合同为政府采购之合同，本合同中所指甲方享有与签证方同等权力，在发生所供商品的质量、售后服务等问题时，甲方有权直接向乙方索赔，签订必要的书面处理协议。如协商不成，任何一方有权在合同签约地选择仲裁或诉讼的途径解决。</w:t>
      </w:r>
    </w:p>
    <w:p>
      <w:pPr>
        <w:spacing w:line="360" w:lineRule="auto"/>
        <w:rPr>
          <w:rFonts w:ascii="宋体" w:hAnsi="宋体"/>
        </w:rPr>
      </w:pPr>
      <w:r>
        <w:rPr>
          <w:rFonts w:hint="eastAsia" w:ascii="宋体" w:hAnsi="宋体"/>
        </w:rPr>
        <w:t>第十条  合同的生效</w:t>
      </w:r>
    </w:p>
    <w:p>
      <w:pPr>
        <w:spacing w:line="360" w:lineRule="auto"/>
        <w:rPr>
          <w:rFonts w:ascii="宋体" w:hAnsi="宋体"/>
        </w:rPr>
      </w:pPr>
      <w:r>
        <w:rPr>
          <w:rFonts w:hint="eastAsia" w:ascii="宋体" w:hAnsi="宋体"/>
        </w:rPr>
        <w:t>1、本合同经甲方、乙方法定代表人或其委托人签字并加盖双方公章后生效。</w:t>
      </w:r>
    </w:p>
    <w:p>
      <w:pPr>
        <w:spacing w:line="360" w:lineRule="auto"/>
        <w:rPr>
          <w:rFonts w:ascii="宋体" w:hAnsi="宋体"/>
        </w:rPr>
      </w:pPr>
      <w:r>
        <w:rPr>
          <w:rFonts w:hint="eastAsia" w:ascii="宋体" w:hAnsi="宋体"/>
        </w:rPr>
        <w:t>2、本合同一式肆份，甲方执贰份，乙方执贰份。</w:t>
      </w:r>
    </w:p>
    <w:p>
      <w:pPr>
        <w:spacing w:line="360" w:lineRule="auto"/>
        <w:rPr>
          <w:rFonts w:ascii="宋体" w:hAnsi="宋体"/>
        </w:rPr>
      </w:pPr>
      <w:r>
        <w:rPr>
          <w:rFonts w:hint="eastAsia" w:ascii="宋体" w:hAnsi="宋体"/>
        </w:rPr>
        <w:t>3、相关招标文件、投标文件与本合同具有同等法律效力。</w:t>
      </w:r>
    </w:p>
    <w:p>
      <w:pPr>
        <w:spacing w:line="360" w:lineRule="auto"/>
        <w:rPr>
          <w:rFonts w:ascii="宋体" w:hAnsi="宋体"/>
        </w:rPr>
      </w:pPr>
      <w:r>
        <w:rPr>
          <w:rFonts w:hint="eastAsia" w:ascii="宋体" w:hAnsi="宋体"/>
        </w:rPr>
        <w:t>甲  方（盖章）：                乙  方（盖章）：</w:t>
      </w:r>
    </w:p>
    <w:p>
      <w:pPr>
        <w:spacing w:line="360" w:lineRule="auto"/>
        <w:rPr>
          <w:rFonts w:ascii="宋体" w:hAnsi="宋体"/>
        </w:rPr>
      </w:pPr>
      <w:r>
        <w:rPr>
          <w:rFonts w:hint="eastAsia" w:ascii="宋体" w:hAnsi="宋体"/>
        </w:rPr>
        <w:t>法定代表人或受委托人           法定代表人或受委托人</w:t>
      </w:r>
    </w:p>
    <w:p>
      <w:pPr>
        <w:spacing w:line="360" w:lineRule="auto"/>
        <w:rPr>
          <w:rFonts w:ascii="宋体" w:hAnsi="宋体"/>
        </w:rPr>
      </w:pPr>
      <w:r>
        <w:rPr>
          <w:rFonts w:hint="eastAsia" w:ascii="宋体" w:hAnsi="宋体"/>
        </w:rPr>
        <w:t>（签字）：                     （签字）：</w:t>
      </w:r>
    </w:p>
    <w:p>
      <w:pPr>
        <w:spacing w:line="360" w:lineRule="auto"/>
        <w:rPr>
          <w:rFonts w:ascii="宋体" w:hAnsi="宋体"/>
        </w:rPr>
      </w:pPr>
      <w:r>
        <w:rPr>
          <w:rFonts w:hint="eastAsia" w:ascii="宋体" w:hAnsi="宋体"/>
        </w:rPr>
        <w:t xml:space="preserve">地  址：                       地 址： </w:t>
      </w:r>
    </w:p>
    <w:p>
      <w:pPr>
        <w:spacing w:line="360" w:lineRule="auto"/>
        <w:rPr>
          <w:rFonts w:ascii="宋体" w:hAnsi="宋体"/>
        </w:rPr>
      </w:pPr>
      <w:r>
        <w:rPr>
          <w:rFonts w:hint="eastAsia" w:ascii="宋体" w:hAnsi="宋体"/>
        </w:rPr>
        <w:t xml:space="preserve">邮  编：                       邮  编： </w:t>
      </w:r>
    </w:p>
    <w:p>
      <w:pPr>
        <w:spacing w:line="360" w:lineRule="auto"/>
        <w:rPr>
          <w:rFonts w:ascii="宋体" w:hAnsi="宋体"/>
        </w:rPr>
      </w:pPr>
      <w:r>
        <w:rPr>
          <w:rFonts w:hint="eastAsia" w:ascii="宋体" w:hAnsi="宋体"/>
        </w:rPr>
        <w:t xml:space="preserve">电  话：                       电  话： </w:t>
      </w:r>
    </w:p>
    <w:p>
      <w:pPr>
        <w:spacing w:line="360" w:lineRule="auto"/>
        <w:rPr>
          <w:rFonts w:ascii="宋体" w:hAnsi="宋体"/>
        </w:rPr>
      </w:pPr>
      <w:r>
        <w:rPr>
          <w:rFonts w:hint="eastAsia" w:ascii="宋体" w:hAnsi="宋体"/>
        </w:rPr>
        <w:t xml:space="preserve">传  真：                       传  真： </w:t>
      </w:r>
    </w:p>
    <w:p>
      <w:pPr>
        <w:spacing w:line="360" w:lineRule="auto"/>
        <w:rPr>
          <w:rFonts w:ascii="宋体" w:hAnsi="宋体"/>
        </w:rPr>
      </w:pPr>
      <w:r>
        <w:rPr>
          <w:rFonts w:hint="eastAsia" w:ascii="宋体" w:hAnsi="宋体"/>
        </w:rPr>
        <w:t>开户银行：                     开户银行：</w:t>
      </w:r>
    </w:p>
    <w:p>
      <w:pPr>
        <w:spacing w:line="360" w:lineRule="auto"/>
        <w:rPr>
          <w:rFonts w:ascii="宋体" w:hAnsi="宋体"/>
        </w:rPr>
      </w:pPr>
      <w:r>
        <w:rPr>
          <w:rFonts w:hint="eastAsia" w:ascii="宋体" w:hAnsi="宋体"/>
        </w:rPr>
        <w:t>帐  号：                       帐  号：</w:t>
      </w:r>
    </w:p>
    <w:p>
      <w:pPr>
        <w:spacing w:line="360" w:lineRule="auto"/>
        <w:rPr>
          <w:rFonts w:ascii="宋体" w:hAnsi="宋体"/>
        </w:rPr>
      </w:pPr>
    </w:p>
    <w:p>
      <w:pPr>
        <w:spacing w:line="360" w:lineRule="auto"/>
        <w:rPr>
          <w:rFonts w:ascii="宋体" w:hAnsi="宋体"/>
        </w:rPr>
      </w:pPr>
      <w:r>
        <w:rPr>
          <w:rFonts w:hint="eastAsia" w:ascii="宋体" w:hAnsi="宋体"/>
        </w:rPr>
        <w:t>签约地点：</w:t>
      </w:r>
    </w:p>
    <w:p>
      <w:pPr>
        <w:spacing w:line="360" w:lineRule="auto"/>
        <w:rPr>
          <w:rFonts w:ascii="宋体" w:hAnsi="宋体"/>
        </w:rPr>
      </w:pPr>
      <w:r>
        <w:rPr>
          <w:rFonts w:hint="eastAsia" w:ascii="宋体" w:hAnsi="宋体"/>
        </w:rPr>
        <w:t>签约时间： 202</w:t>
      </w:r>
      <w:r>
        <w:rPr>
          <w:rFonts w:hint="eastAsia" w:ascii="宋体" w:hAnsi="宋体"/>
          <w:lang w:val="en-US" w:eastAsia="zh-CN"/>
        </w:rPr>
        <w:t>2</w:t>
      </w:r>
      <w:r>
        <w:rPr>
          <w:rFonts w:hint="eastAsia" w:ascii="宋体" w:hAnsi="宋体"/>
        </w:rPr>
        <w:t>年   月   日</w:t>
      </w:r>
    </w:p>
    <w:p>
      <w:pPr>
        <w:spacing w:line="360" w:lineRule="auto"/>
        <w:rPr>
          <w:rFonts w:ascii="宋体" w:hAnsi="宋体"/>
        </w:rPr>
      </w:pPr>
    </w:p>
    <w:p>
      <w:pPr>
        <w:spacing w:line="360" w:lineRule="auto"/>
        <w:rPr>
          <w:rFonts w:ascii="宋体" w:hAnsi="宋体"/>
        </w:rPr>
        <w:sectPr>
          <w:headerReference r:id="rId7" w:type="first"/>
          <w:footerReference r:id="rId9" w:type="first"/>
          <w:headerReference r:id="rId6" w:type="default"/>
          <w:footerReference r:id="rId8" w:type="default"/>
          <w:pgSz w:w="11907" w:h="16840"/>
          <w:pgMar w:top="1440" w:right="1797" w:bottom="1440" w:left="1797" w:header="851" w:footer="850" w:gutter="0"/>
          <w:pgNumType w:fmt="decimal"/>
          <w:cols w:space="720" w:num="1"/>
          <w:titlePg/>
          <w:docGrid w:linePitch="312" w:charSpace="0"/>
        </w:sectPr>
      </w:pPr>
    </w:p>
    <w:tbl>
      <w:tblPr>
        <w:tblStyle w:val="19"/>
        <w:tblpPr w:leftFromText="180" w:rightFromText="180" w:vertAnchor="page" w:horzAnchor="margin" w:tblpX="-414" w:tblpY="1338"/>
        <w:tblW w:w="12665" w:type="dxa"/>
        <w:tblInd w:w="-12" w:type="dxa"/>
        <w:tblLayout w:type="fixed"/>
        <w:tblCellMar>
          <w:top w:w="0" w:type="dxa"/>
          <w:left w:w="0" w:type="dxa"/>
          <w:bottom w:w="0" w:type="dxa"/>
          <w:right w:w="0" w:type="dxa"/>
        </w:tblCellMar>
      </w:tblPr>
      <w:tblGrid>
        <w:gridCol w:w="438"/>
        <w:gridCol w:w="771"/>
        <w:gridCol w:w="41"/>
        <w:gridCol w:w="925"/>
        <w:gridCol w:w="9281"/>
        <w:gridCol w:w="1209"/>
      </w:tblGrid>
      <w:tr>
        <w:tblPrEx>
          <w:tblCellMar>
            <w:top w:w="0" w:type="dxa"/>
            <w:left w:w="0" w:type="dxa"/>
            <w:bottom w:w="0" w:type="dxa"/>
            <w:right w:w="0" w:type="dxa"/>
          </w:tblCellMar>
        </w:tblPrEx>
        <w:trPr>
          <w:gridAfter w:val="3"/>
          <w:wAfter w:w="11415" w:type="dxa"/>
          <w:trHeight w:val="680" w:hRule="atLeast"/>
        </w:trPr>
        <w:tc>
          <w:tcPr>
            <w:tcW w:w="1250" w:type="dxa"/>
            <w:gridSpan w:val="3"/>
            <w:tcBorders>
              <w:bottom w:val="single" w:color="000000" w:sz="4" w:space="0"/>
            </w:tcBorders>
          </w:tcPr>
          <w:p>
            <w:pPr>
              <w:widowControl/>
              <w:jc w:val="left"/>
              <w:textAlignment w:val="center"/>
              <w:rPr>
                <w:rFonts w:ascii="仿宋" w:hAnsi="仿宋" w:eastAsia="仿宋" w:cs="宋体"/>
                <w:color w:val="000000"/>
                <w:szCs w:val="21"/>
              </w:rPr>
            </w:pPr>
          </w:p>
        </w:tc>
      </w:tr>
      <w:tr>
        <w:tblPrEx>
          <w:tblCellMar>
            <w:top w:w="0" w:type="dxa"/>
            <w:left w:w="0" w:type="dxa"/>
            <w:bottom w:w="0" w:type="dxa"/>
            <w:right w:w="0" w:type="dxa"/>
          </w:tblCellMar>
        </w:tblPrEx>
        <w:trPr>
          <w:trHeight w:val="791"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widowControl/>
              <w:jc w:val="center"/>
              <w:textAlignment w:val="center"/>
              <w:rPr>
                <w:rFonts w:ascii="仿宋" w:hAnsi="仿宋" w:eastAsia="仿宋" w:cs="宋体"/>
                <w:color w:val="000000"/>
                <w:szCs w:val="21"/>
              </w:rPr>
            </w:pPr>
            <w:r>
              <w:rPr>
                <w:rFonts w:hint="eastAsia" w:ascii="仿宋" w:hAnsi="仿宋" w:eastAsia="仿宋" w:cs="宋体"/>
                <w:color w:val="000000"/>
                <w:kern w:val="0"/>
                <w:szCs w:val="21"/>
              </w:rPr>
              <w:t>序号</w:t>
            </w:r>
          </w:p>
        </w:tc>
        <w:tc>
          <w:tcPr>
            <w:tcW w:w="81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top"/>
              <w:rPr>
                <w:rFonts w:ascii="仿宋" w:hAnsi="仿宋" w:eastAsia="仿宋" w:cs="宋体"/>
                <w:color w:val="000000"/>
                <w:szCs w:val="21"/>
              </w:rPr>
            </w:pPr>
            <w:r>
              <w:rPr>
                <w:rFonts w:hint="eastAsia" w:ascii="仿宋" w:hAnsi="仿宋" w:eastAsia="仿宋" w:cs="宋体"/>
                <w:color w:val="000000"/>
                <w:kern w:val="0"/>
                <w:szCs w:val="21"/>
              </w:rPr>
              <w:t>名称</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center"/>
              <w:rPr>
                <w:rFonts w:ascii="仿宋" w:hAnsi="仿宋" w:eastAsia="仿宋" w:cs="宋体"/>
                <w:color w:val="000000"/>
                <w:szCs w:val="21"/>
              </w:rPr>
            </w:pPr>
            <w:r>
              <w:rPr>
                <w:rFonts w:hint="eastAsia" w:ascii="仿宋" w:hAnsi="仿宋" w:eastAsia="仿宋" w:cs="宋体"/>
                <w:color w:val="000000"/>
                <w:kern w:val="0"/>
                <w:szCs w:val="21"/>
              </w:rPr>
              <w:t>数量(台</w:t>
            </w:r>
            <w:r>
              <w:rPr>
                <w:rFonts w:ascii="仿宋" w:hAnsi="仿宋" w:eastAsia="仿宋" w:cs="Calibri"/>
                <w:color w:val="000000"/>
                <w:kern w:val="0"/>
                <w:szCs w:val="21"/>
              </w:rPr>
              <w:t>)</w:t>
            </w: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tcPr>
          <w:p>
            <w:pPr>
              <w:widowControl/>
              <w:jc w:val="center"/>
              <w:textAlignment w:val="center"/>
              <w:rPr>
                <w:rFonts w:hint="eastAsia" w:ascii="仿宋" w:hAnsi="仿宋" w:eastAsia="仿宋" w:cs="宋体"/>
                <w:color w:val="000000"/>
                <w:kern w:val="0"/>
                <w:szCs w:val="21"/>
              </w:rPr>
            </w:pPr>
          </w:p>
          <w:p>
            <w:pPr>
              <w:widowControl/>
              <w:jc w:val="center"/>
              <w:textAlignment w:val="center"/>
              <w:rPr>
                <w:rFonts w:ascii="仿宋" w:hAnsi="仿宋" w:eastAsia="仿宋" w:cs="宋体"/>
                <w:color w:val="000000"/>
                <w:kern w:val="0"/>
                <w:szCs w:val="21"/>
              </w:rPr>
            </w:pPr>
            <w:r>
              <w:rPr>
                <w:rFonts w:hint="eastAsia" w:ascii="仿宋" w:hAnsi="仿宋" w:eastAsia="仿宋" w:cs="宋体"/>
                <w:color w:val="000000"/>
                <w:kern w:val="0"/>
                <w:szCs w:val="21"/>
              </w:rPr>
              <w:t>参数</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center"/>
              <w:rPr>
                <w:rFonts w:ascii="仿宋" w:hAnsi="仿宋" w:eastAsia="仿宋" w:cs="宋体"/>
                <w:color w:val="000000"/>
                <w:szCs w:val="21"/>
              </w:rPr>
            </w:pPr>
            <w:r>
              <w:rPr>
                <w:rFonts w:hint="eastAsia" w:ascii="仿宋" w:hAnsi="仿宋" w:eastAsia="仿宋" w:cs="宋体"/>
                <w:color w:val="000000"/>
                <w:kern w:val="0"/>
                <w:szCs w:val="21"/>
              </w:rPr>
              <w:t>合计（万元）</w:t>
            </w:r>
          </w:p>
        </w:tc>
      </w:tr>
      <w:tr>
        <w:tblPrEx>
          <w:tblCellMar>
            <w:top w:w="0" w:type="dxa"/>
            <w:left w:w="0" w:type="dxa"/>
            <w:bottom w:w="0" w:type="dxa"/>
            <w:right w:w="0" w:type="dxa"/>
          </w:tblCellMar>
        </w:tblPrEx>
        <w:trPr>
          <w:trHeight w:val="90"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widowControl/>
              <w:jc w:val="left"/>
              <w:textAlignment w:val="center"/>
              <w:rPr>
                <w:rFonts w:ascii="仿宋" w:hAnsi="仿宋" w:eastAsia="仿宋" w:cs="宋体"/>
                <w:color w:val="000000"/>
                <w:szCs w:val="21"/>
              </w:rPr>
            </w:pPr>
            <w:r>
              <w:rPr>
                <w:rFonts w:hint="eastAsia" w:ascii="仿宋" w:hAnsi="仿宋" w:eastAsia="仿宋" w:cs="宋体"/>
                <w:color w:val="000000"/>
                <w:szCs w:val="21"/>
              </w:rPr>
              <w:t>1</w:t>
            </w: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center"/>
          </w:tcPr>
          <w:p>
            <w:pPr>
              <w:rPr>
                <w:rFonts w:ascii="仿宋" w:hAnsi="仿宋" w:eastAsia="仿宋" w:cs="宋体"/>
                <w:color w:val="000000"/>
                <w:kern w:val="0"/>
                <w:szCs w:val="21"/>
              </w:rPr>
            </w:pPr>
            <w:r>
              <w:rPr>
                <w:rFonts w:hint="eastAsia" w:ascii="宋体" w:hAnsi="宋体"/>
              </w:rPr>
              <w:t>气相色谱-质谱/质谱联用仪</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top"/>
              <w:rPr>
                <w:rFonts w:ascii="仿宋" w:hAnsi="仿宋" w:eastAsia="仿宋" w:cs="宋体"/>
                <w:color w:val="000000"/>
                <w:kern w:val="0"/>
                <w:szCs w:val="21"/>
              </w:rPr>
            </w:pPr>
            <w:r>
              <w:rPr>
                <w:rFonts w:hint="eastAsia" w:ascii="仿宋" w:hAnsi="仿宋" w:eastAsia="仿宋" w:cs="宋体"/>
                <w:color w:val="000000"/>
                <w:kern w:val="0"/>
                <w:szCs w:val="21"/>
              </w:rPr>
              <w:t>1</w:t>
            </w: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tcPr>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1、工作条件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1.1 电源电压：220V±10%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1.2 温度：18℃～28℃</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湿度：40%～70%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2、气相色谱仪部分</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2.1、柱箱</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2.1.1 操作温度范围：室温以上2℃～450℃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2.1.2 标配柱箱最高升温速率： ±150℃/min，以0.01℃/min增加</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2.1.3 程序升温的阶数：27阶28平台</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2.1.4 温度设定精度：0.1℃</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2.1.5 控温准确性：0.01℃</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2.1.6 温度稳定性：周围温度每变化1℃，柱温箱温度变化小于0.01℃</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2.1.7 冷却速度：从 450 降到 50℃ ≤3.5min</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2.1.8 最大运行时间：999.99分钟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2.1.9 面板键盘：完全控制及显示所有温度区域和载气流量；完全控制所有检测器功能和检测器气体；实时时间程序和系统诊断，在线帮助和记事本记录程序事件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2.1.10 可依据不同色谱柱自由设置柱温箱降温速率，有效延长色谱柱使用寿命。须提供此技术的证明材料。</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2.1.11 气相色谱与质谱须相同品牌。</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2.2、流路系统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2.2.1 支持双柱双流路系统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2.2.2 两个柱流量控制系统均采用先进的流量控制单元</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2.2.3 具有室温补偿和自动环境补偿功能</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2.2.4 具有恒线速度控制功能，须提供软件截图。</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2.2.5 支持色谱柱柱后反吹，具有专为反吹设计的图示化控制软件，操作方便。同时可实现不泄真空更换色谱柱功能。</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2.2.6 支持三柱三FID同时分析组成气相色谱方法优化系统，须提供优化系统应用文章证明。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2.3、分流/不分流毛细管进样口</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2.3.1 压力、流量和分流比可通过先进的流量控制系统进行数字化设定</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2.3.2 配备全自动电子流量控制系统，具备室温补偿和自动环境补偿功能</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2.3.3 支持恒流，恒压，程序增加流速，程序升压及压力脉冲等操作模式，同时具有恒线速度控制功能，须提供软件截图和应用文章证明。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2.3.4 最高温度：450℃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2.3.5 压力设定范围：0 ～ 1010kPa</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2.3.6 升温速率：±150℃/min ，以0.01℃/min增加</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2.3.7 速率设定范围：-400 ～ 400kPa/min</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2.3.8 压力程序的阶数：7</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2.3.9 分流比设定范围：0 ～ 9000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2.3.10 流量设定范围：0 ～ 1250mL/min</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2.3.11 隔垫吹扫流量设置范围：0 ～ 200ml/min</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2.4、自动进样器单元</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2.4.1 样品位：≥150位样品盘</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2.4.2 进样量范围：0.1~150 uL，10μL 注射器以0.1μL 步进；</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2.4.3交叉污染：小于10-4 (使用4种溶剂清洗, 测定正己烷中1% 联苯)</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2.4.4 具有样品优先模式：当进行样品批处理进样时, 可对某样品进行优先进样设定, 而后继续完成批处理设定。</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2.4.5 可升级双塔双柱进样系统。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2.4.6 可升级样品架冷却和加热功能。</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2.4.7 保留时间重复性：&lt;0.001min</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2.4.8 峰面积重复性：&lt;1% RSD</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2.5、冷柱头/程序升温进样口</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2.5.1 最高温度：440℃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2.5.2 两位一体的设计，通过更换衬管即可实现两种功能的转换</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2.5.3 升温速率：≤ 240℃/min，从50℃升到450℃≤3分钟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2.5.4 降温速率：从450℃降到50℃≤9分钟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2.5.5 PTV方式最大进样体积：≤ 900μl</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2.5.6 PTV方式升温程序的阶数：7阶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2.5.7 冷柱头/程序升温两种方式均可采用自动进样器进样</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3、质谱部分</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 基本性能</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pt-BR" w:eastAsia="zh-CN"/>
              </w:rPr>
              <w:t>3.1.1 须提供在售同类型质谱最高端型号。</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3.1.2 须提供在售全新仪器，不得为停产型号或翻新机。</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3.1.3 质谱与气相色谱须相同品牌。</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3.1.4 涡轮分子泵抽力＞380L/s。须提供涡轮分子泵抽力的证明图片。</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3.1.5 质量数范围: 2 ～ 1080 u</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3.1.6 灵敏度： </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zh-CN" w:eastAsia="zh-CN"/>
              </w:rPr>
              <w:t xml:space="preserve">3.1.6.1 </w:t>
            </w:r>
            <w:r>
              <w:rPr>
                <w:rFonts w:hint="eastAsia" w:ascii="仿宋" w:hAnsi="仿宋" w:eastAsia="仿宋" w:cs="仿宋"/>
                <w:b w:val="0"/>
                <w:bCs w:val="0"/>
                <w:color w:val="auto"/>
                <w:sz w:val="21"/>
                <w:szCs w:val="21"/>
                <w:lang w:val="pt-BR" w:eastAsia="zh-CN"/>
              </w:rPr>
              <w:t>EI Scan : 1pg OFN, S/N ≥ 1900（氦气做载气），须采用30米毛细柱进行验收。</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3.1.6.</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val="pt-BR" w:eastAsia="zh-CN"/>
              </w:rPr>
              <w:t xml:space="preserve"> EI MRM  : 100fg OFN, S/N ≥ 38000 ，须采用30米毛细柱进行验收。</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3.1.6.</w:t>
            </w:r>
            <w:r>
              <w:rPr>
                <w:rFonts w:hint="eastAsia" w:ascii="仿宋" w:hAnsi="仿宋" w:eastAsia="仿宋" w:cs="仿宋"/>
                <w:b w:val="0"/>
                <w:bCs w:val="0"/>
                <w:color w:val="auto"/>
                <w:sz w:val="21"/>
                <w:szCs w:val="21"/>
                <w:lang w:val="en-US" w:eastAsia="zh-CN"/>
              </w:rPr>
              <w:t>3</w:t>
            </w:r>
            <w:r>
              <w:rPr>
                <w:rFonts w:hint="eastAsia" w:ascii="仿宋" w:hAnsi="仿宋" w:eastAsia="仿宋" w:cs="仿宋"/>
                <w:b w:val="0"/>
                <w:bCs w:val="0"/>
                <w:color w:val="auto"/>
                <w:sz w:val="21"/>
                <w:szCs w:val="21"/>
                <w:lang w:val="pt-BR" w:eastAsia="zh-CN"/>
              </w:rPr>
              <w:t xml:space="preserve"> IDL(MRM): 2fg OFN 连续8次进样，统计学上99%置信度水平，IDL≤0.6fg。</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3.1.6.</w:t>
            </w:r>
            <w:r>
              <w:rPr>
                <w:rFonts w:hint="eastAsia" w:ascii="仿宋" w:hAnsi="仿宋" w:eastAsia="仿宋" w:cs="仿宋"/>
                <w:b w:val="0"/>
                <w:bCs w:val="0"/>
                <w:color w:val="auto"/>
                <w:sz w:val="21"/>
                <w:szCs w:val="21"/>
                <w:lang w:val="en-US" w:eastAsia="zh-CN"/>
              </w:rPr>
              <w:t>4</w:t>
            </w:r>
            <w:r>
              <w:rPr>
                <w:rFonts w:hint="eastAsia" w:ascii="仿宋" w:hAnsi="仿宋" w:eastAsia="仿宋" w:cs="仿宋"/>
                <w:b w:val="0"/>
                <w:bCs w:val="0"/>
                <w:color w:val="auto"/>
                <w:sz w:val="21"/>
                <w:szCs w:val="21"/>
                <w:lang w:val="pt-BR" w:eastAsia="zh-CN"/>
              </w:rPr>
              <w:t xml:space="preserve"> PCI MRM : 1pg BZP-d10, S/N ≥ 4500，须采用30米毛细柱进行验收。</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3.1.6.</w:t>
            </w:r>
            <w:r>
              <w:rPr>
                <w:rFonts w:hint="eastAsia" w:ascii="仿宋" w:hAnsi="仿宋" w:eastAsia="仿宋" w:cs="仿宋"/>
                <w:b w:val="0"/>
                <w:bCs w:val="0"/>
                <w:color w:val="auto"/>
                <w:sz w:val="21"/>
                <w:szCs w:val="21"/>
                <w:lang w:val="en-US" w:eastAsia="zh-CN"/>
              </w:rPr>
              <w:t>5</w:t>
            </w:r>
            <w:r>
              <w:rPr>
                <w:rFonts w:hint="eastAsia" w:ascii="仿宋" w:hAnsi="仿宋" w:eastAsia="仿宋" w:cs="仿宋"/>
                <w:b w:val="0"/>
                <w:bCs w:val="0"/>
                <w:color w:val="auto"/>
                <w:sz w:val="21"/>
                <w:szCs w:val="21"/>
                <w:lang w:val="pt-BR" w:eastAsia="zh-CN"/>
              </w:rPr>
              <w:t xml:space="preserve"> NCI SIM : 100fg OFN, S/N ≥ 9000，须采用30米毛细柱进行验收。</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 xml:space="preserve">3.1.7 分辨率：0.5 </w:t>
            </w:r>
            <w:r>
              <w:rPr>
                <w:rFonts w:hint="eastAsia" w:ascii="仿宋" w:hAnsi="仿宋" w:eastAsia="仿宋" w:cs="仿宋"/>
                <w:b w:val="0"/>
                <w:bCs w:val="0"/>
                <w:color w:val="auto"/>
                <w:sz w:val="21"/>
                <w:szCs w:val="21"/>
                <w:lang w:val="zh-CN" w:eastAsia="zh-CN"/>
              </w:rPr>
              <w:t>～</w:t>
            </w:r>
            <w:r>
              <w:rPr>
                <w:rFonts w:hint="eastAsia" w:ascii="仿宋" w:hAnsi="仿宋" w:eastAsia="仿宋" w:cs="仿宋"/>
                <w:b w:val="0"/>
                <w:bCs w:val="0"/>
                <w:color w:val="auto"/>
                <w:sz w:val="21"/>
                <w:szCs w:val="21"/>
                <w:lang w:val="pt-BR" w:eastAsia="zh-CN"/>
              </w:rPr>
              <w:t xml:space="preserve"> 3.0u，可调</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3.1.8 碰撞能：0～55eV，可调</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3.1.9 质量稳定性：±0.1u/48h</w:t>
            </w:r>
          </w:p>
          <w:p>
            <w:pPr>
              <w:jc w:val="left"/>
              <w:rPr>
                <w:rFonts w:hint="eastAsia" w:ascii="仿宋" w:hAnsi="仿宋" w:eastAsia="仿宋" w:cs="仿宋"/>
                <w:b w:val="0"/>
                <w:bCs w:val="0"/>
                <w:color w:val="auto"/>
                <w:sz w:val="21"/>
                <w:szCs w:val="21"/>
                <w:lang w:val="pt-BR" w:eastAsia="zh-CN"/>
              </w:rPr>
            </w:pPr>
            <w:r>
              <w:rPr>
                <w:rFonts w:hint="eastAsia"/>
                <w:color w:val="auto"/>
                <w:highlight w:val="none"/>
              </w:rPr>
              <w:t>★</w:t>
            </w:r>
            <w:r>
              <w:rPr>
                <w:rFonts w:hint="eastAsia" w:ascii="仿宋" w:hAnsi="仿宋" w:eastAsia="仿宋" w:cs="仿宋"/>
                <w:b w:val="0"/>
                <w:bCs w:val="0"/>
                <w:color w:val="auto"/>
                <w:sz w:val="21"/>
                <w:szCs w:val="21"/>
                <w:lang w:val="pt-BR" w:eastAsia="zh-CN"/>
              </w:rPr>
              <w:t>3.1.10 最大扫描速度：18,000 u/sec，须有辅助技术解决高速扫描时高质量端离子传输效率降低的问题，须提供此技术的证明材料，以专利技术为优。</w:t>
            </w:r>
          </w:p>
          <w:p>
            <w:pPr>
              <w:jc w:val="left"/>
              <w:rPr>
                <w:rFonts w:hint="eastAsia" w:ascii="仿宋" w:hAnsi="仿宋" w:eastAsia="仿宋" w:cs="仿宋"/>
                <w:b w:val="0"/>
                <w:bCs w:val="0"/>
                <w:color w:val="auto"/>
                <w:sz w:val="21"/>
                <w:szCs w:val="21"/>
                <w:lang w:val="pt-BR" w:eastAsia="zh-CN"/>
              </w:rPr>
            </w:pPr>
            <w:r>
              <w:rPr>
                <w:rFonts w:hint="eastAsia"/>
                <w:color w:val="auto"/>
                <w:highlight w:val="none"/>
              </w:rPr>
              <w:t>★</w:t>
            </w:r>
            <w:r>
              <w:rPr>
                <w:rFonts w:hint="eastAsia" w:ascii="仿宋" w:hAnsi="仿宋" w:eastAsia="仿宋" w:cs="仿宋"/>
                <w:b w:val="0"/>
                <w:bCs w:val="0"/>
                <w:color w:val="auto"/>
                <w:sz w:val="21"/>
                <w:szCs w:val="21"/>
                <w:lang w:val="pt-BR" w:eastAsia="zh-CN"/>
              </w:rPr>
              <w:t xml:space="preserve">3.1.11 </w:t>
            </w:r>
            <w:r>
              <w:rPr>
                <w:rFonts w:hint="eastAsia" w:ascii="仿宋" w:hAnsi="仿宋" w:eastAsia="仿宋" w:cs="仿宋"/>
                <w:b w:val="0"/>
                <w:bCs w:val="0"/>
                <w:color w:val="auto"/>
                <w:sz w:val="21"/>
                <w:szCs w:val="21"/>
                <w:lang w:val="zh-CN" w:eastAsia="zh-CN"/>
              </w:rPr>
              <w:t>软件支持显示扫描速度数值，</w:t>
            </w:r>
            <w:r>
              <w:rPr>
                <w:rFonts w:hint="eastAsia" w:ascii="仿宋" w:hAnsi="仿宋" w:eastAsia="仿宋" w:cs="仿宋"/>
                <w:b w:val="0"/>
                <w:bCs w:val="0"/>
                <w:color w:val="auto"/>
                <w:sz w:val="21"/>
                <w:szCs w:val="21"/>
                <w:lang w:val="pt-BR" w:eastAsia="zh-CN"/>
              </w:rPr>
              <w:t>须提供软件截图证明</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3.1.12 最小驻留时间(Dwell Time)：0.5ms</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3.1.13 最小Event time：3ms</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3.1.14 最大Event数：2000 events</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3.1.15 最大MRM速度：850通道/sec</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3.1.16 最大离子监测通道数：15ch/1 event</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pt-BR" w:eastAsia="zh-CN"/>
              </w:rPr>
              <w:t>3.1.17 一次进样能够设置的通道数不少于30000个。</w:t>
            </w:r>
          </w:p>
          <w:p>
            <w:pPr>
              <w:jc w:val="left"/>
              <w:rPr>
                <w:rFonts w:hint="eastAsia" w:ascii="仿宋" w:hAnsi="仿宋" w:eastAsia="仿宋" w:cs="仿宋"/>
                <w:b w:val="0"/>
                <w:bCs w:val="0"/>
                <w:color w:val="auto"/>
                <w:sz w:val="21"/>
                <w:szCs w:val="21"/>
                <w:lang w:val="pt-BR" w:eastAsia="zh-CN"/>
              </w:rPr>
            </w:pPr>
            <w:r>
              <w:rPr>
                <w:rFonts w:hint="eastAsia" w:ascii="仿宋" w:hAnsi="仿宋" w:eastAsia="仿宋" w:cs="仿宋"/>
                <w:b w:val="0"/>
                <w:bCs w:val="0"/>
                <w:color w:val="auto"/>
                <w:sz w:val="21"/>
                <w:szCs w:val="21"/>
                <w:lang w:val="zh-CN" w:eastAsia="zh-CN"/>
              </w:rPr>
              <w:t>3.2、离子源</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3.2.1 EI、PCI、NCI（（标配）</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3.2.2 离子化能量：10 ～ 180eV</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3.2.3 离子源温度：独立控温，150 ～ 350℃</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3.2.4 灯丝电流：5 ～ 210μA（发射电流）</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3.2.5 双灯丝设计，且双灯丝分别安装在离子源盒的两侧，位置完全对称，非双灯丝在同侧。从而当灯丝切换使用时，保证了数据的可靠性。须提供质谱离子源部位的图片证明。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3.2.6 GCMS 接口温度：50 ～ 320℃</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3.2.7 离子源采用前开门式设计，非侧开门式。可从仪器正前面简单拆装，方便离子源清洗维护和灯丝更换。须提供质谱离子源部位前开门设计的图片证明。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3.2.8 维护离子源和灯丝时无需暴露四极杆，杜绝因此造成的四极杆损伤风险。</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3.3、质量分析器</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3.3.1 配备预四极的高精度全金属钼四极杆。无须控温更优。</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3.3.2 预四极可转动，主四极杆可清洗打磨，有效抗污染。预四极杆要求为非S型，避免出现死体积点和污染点。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3.3.3 四极杆以不控温为优，无需控温即可实现0.1amu/48h稳定。</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3.3.4 四极杆具有自动优化加速功能：对于高质量端离子的自动电场补偿技术，提升离子通过四极杆的速度，以提升全质量范围的信号质量，在高速扫描时保证数据灵敏度和质谱图正确性。</w:t>
            </w:r>
            <w:r>
              <w:rPr>
                <w:rFonts w:hint="eastAsia" w:ascii="仿宋" w:hAnsi="仿宋" w:eastAsia="仿宋" w:cs="仿宋"/>
                <w:b w:val="0"/>
                <w:bCs w:val="0"/>
                <w:color w:val="auto"/>
                <w:sz w:val="21"/>
                <w:szCs w:val="21"/>
                <w:lang w:val="pt-BR" w:eastAsia="zh-CN"/>
              </w:rPr>
              <w:t>须提供此技术的证明材料。</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3.3.5 Q2采用八极杆超快速碰撞室，实现快速MRM性能，能有效消除记忆效应和交叉污染。先进的马蹄型加速电势场（带弯曲）加碰撞气压控制，同时进行线性高压加速，有效消除记忆效应和交叉污染。</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3.3.6 碰撞池采用氩气作为碰撞气,无需使用昂贵的氦气。</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3.3.7  Q3离轴设计，降低中性分子引起的背景噪声。</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3.4、扫描功能</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3.4.1 扫描功能：全扫描(Full Scan)、子离子扫描( Product Ion Scan)、母离子扫描(Precursor Ion Scan)、中性丢失扫描(Neutral Loss Scan)、选择离子扫描模式(SIM)、多反应扫描模式（MRM），以任意多种采集模式为组合进行同时扫描，例如Scan/MRM同时扫描、Scan/Product Ion Scan同时扫描等等。</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 *3.4.2 支持多种监测模式的同时扫描,例如Scan/MRM同时扫描、Scan/Product Ion Scan同时扫描等等，获得高灵敏度定量数据的同时不丢失化合物的质谱信息（同时配备专利ASSP功能，最大程度的减小高速扫描时数据灵敏度下降和质谱图正确性下降的问题），须提供采用“Scan/MRM同时扫描”和“Scan/Product Ion Scan同时扫描”分析样品的应用报告。</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3.5、检测系统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3.5.1 二次电子倍增管和±10kV转换打拿极，须配备能去除中性噪声的透镜系统（</w:t>
            </w:r>
            <w:r>
              <w:rPr>
                <w:rFonts w:hint="eastAsia" w:ascii="仿宋" w:hAnsi="仿宋" w:eastAsia="仿宋" w:cs="仿宋"/>
                <w:b w:val="0"/>
                <w:bCs w:val="0"/>
                <w:color w:val="auto"/>
                <w:sz w:val="21"/>
                <w:szCs w:val="21"/>
                <w:lang w:val="pt-BR" w:eastAsia="zh-CN"/>
              </w:rPr>
              <w:t>须提供此技术的证明材料，以专利技术为优</w:t>
            </w:r>
            <w:r>
              <w:rPr>
                <w:rFonts w:hint="eastAsia" w:ascii="仿宋" w:hAnsi="仿宋" w:eastAsia="仿宋" w:cs="仿宋"/>
                <w:b w:val="0"/>
                <w:bCs w:val="0"/>
                <w:color w:val="auto"/>
                <w:sz w:val="21"/>
                <w:szCs w:val="21"/>
                <w:lang w:val="zh-CN" w:eastAsia="zh-CN"/>
              </w:rPr>
              <w:t>）。</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3.5.2 离轴连续打拿电子倍增器</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3.5.3 动态范围：5×106</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3.6、真空系统</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3.6.1高真空： ＞380L/s 双入口差动式涡轮分子泵排气系统。须提供涡轮分子泵抽力的证明图片。</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3.6.2 低真空：30L/min（60Hz）机械泵。</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3.6.3 低真空可选配：110L/min（60Hz）无油泵，3年免维护（适用于EI/PCI/NCI全部机型）。</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3.6.4 标配皮拉尼真空规和离子规，可实时监测低真空度和高真空度，实时判断质谱运行情况，避免泄露等安全事故及实验误判。须提供质谱仪上皮拉尼真空规和离子规位置的仪器图片和软件工作站上显示低真空度和高真空度的截图证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4、数据处理系统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4.1 GCMSMS工作站，可进行数据采集、数据处理、定性分析和定量分析；可调入单极GCMS方法，支持Excel表格与 MRM 表格的互相拷贝粘贴；支持自建库及谱库检索功能，支持AART保留时间自动调整功能。软件符合GLP认证及21 CFR Part11，支持自动校正和全自动分析功能，满足各种自动要求的软件系统。</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4.2 专业农残数据库：包含2000种以上的农药、环境污染物、法医毒物、代谢物的MRM参数、CAS号、中文名称、英文名称和保留指数，并具备分组管理功能，自动创建MRM仪器方法。每个化合物包含至少4个MRM通道。</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4.3 数据库利用保留指数计算目标成分的当前保留时间，无需标准品即可创建仪器方法。须提供利用保留指数计算保留时间，并快速创建MRM分析方法的应用报告或说明。</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4.4 数据库具备分组管理功能，用户可自行创建目标化合物分组并支持自动创建MRM仪器方法。</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4.5 具有MRM自动优化工具，支持任意设置碰撞池CE能量范围和间隔，可自动创建批处理表格，自动处理相关数据文件，自动添加新增MRM参数至数据库中。</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4.6 工作站采用一体化数据结构，数据文件中可调出仪器方法，定量方法，报告格式，批处理、调谐文件等相应信息。</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4.7 CID碰撞气ON和CID碰撞气OFF支持同时调谐，保存在一个调谐文件中。一个批处理中软件可自动切换碰撞气ON/OFF。</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4.8 同一套软件可自由设置成单极四极杆模式及串联四极杆模式切换使用，串联四极杆仪器当做单极四极杆模式使用时，无离子信号损失，检测灵敏度与同品牌单极四极杆高端型号相当。</w:t>
            </w:r>
          </w:p>
          <w:p>
            <w:pPr>
              <w:jc w:val="left"/>
              <w:rPr>
                <w:rFonts w:hint="eastAsia" w:ascii="仿宋" w:hAnsi="仿宋" w:eastAsia="仿宋" w:cs="仿宋"/>
                <w:b w:val="0"/>
                <w:bCs w:val="0"/>
                <w:color w:val="auto"/>
                <w:sz w:val="21"/>
                <w:szCs w:val="21"/>
                <w:lang w:val="zh-CN" w:eastAsia="zh-CN"/>
              </w:rPr>
            </w:pPr>
            <w:r>
              <w:rPr>
                <w:rFonts w:hint="eastAsia"/>
                <w:color w:val="auto"/>
                <w:highlight w:val="none"/>
              </w:rPr>
              <w:t>★</w:t>
            </w:r>
            <w:r>
              <w:rPr>
                <w:rFonts w:hint="eastAsia" w:ascii="仿宋" w:hAnsi="仿宋" w:eastAsia="仿宋" w:cs="仿宋"/>
                <w:b w:val="0"/>
                <w:bCs w:val="0"/>
                <w:color w:val="auto"/>
                <w:sz w:val="21"/>
                <w:szCs w:val="21"/>
                <w:lang w:val="zh-CN" w:eastAsia="zh-CN"/>
              </w:rPr>
              <w:t>4.9 支持中/英文工作站，一套软件即可安装成中文，亦可安装成英文。支持全中文的样品名、文件名、序列名等输入。须同时提供中文和英文工作站的界面截图。</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4.10 支持智能钟功能。系统启动后真空状态、调谐结果自动判定，无需人为确认即可直接开始分析工作，序列运行、维护时间直观显示，便于用户合理工作时间，提升工作效率。</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5．基本配置</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 气相色谱串接质谱主机一台（离子源包括：EI、PCI、NCI源）</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5.2 分流不分流进样口一套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5.3 农残分析时程序升温进样口一套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5.4 自动进样器一套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5.5 常用工具包一套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5.6 NIST质谱谱库一套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5.7 农药数据库一套；环境数据库一套；毒物数据库一套；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5.8 100个样品瓶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5.9 常规两年消耗品一包（含微量进样针、分子筛过滤器、O型环等）</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5.10 质谱专用色谱柱，30m×0.25mm×0.25um一根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5.11 配套品牌电脑打印机一套（3</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val="zh-CN" w:eastAsia="zh-CN"/>
              </w:rPr>
              <w:t>寸以上液晶显示器、1TB硬盘，Inter i7处理器、12G以上内存、4G独立显卡，DVD-RW光驱、双千兆网卡、Windows 10 Pro 64-bit操作系统）和激光打印机各一台）</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5.12 配套高纯氦气、高纯氩气、高纯甲烷气 气体钢瓶及阀</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val="zh-CN" w:eastAsia="zh-CN"/>
              </w:rPr>
              <w:t>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5.13 配套6KVA 不间断电源一套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5.14在标配的基础上增加 ：</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HP-5MS </w:t>
            </w:r>
            <w:r>
              <w:rPr>
                <w:rFonts w:hint="eastAsia" w:ascii="仿宋" w:hAnsi="仿宋" w:eastAsia="仿宋" w:cs="仿宋"/>
                <w:b w:val="0"/>
                <w:bCs w:val="0"/>
                <w:color w:val="auto"/>
                <w:sz w:val="21"/>
                <w:szCs w:val="21"/>
                <w:lang w:val="en-US" w:eastAsia="zh-CN"/>
              </w:rPr>
              <w:t>30</w:t>
            </w:r>
            <w:r>
              <w:rPr>
                <w:rFonts w:hint="eastAsia" w:ascii="仿宋" w:hAnsi="仿宋" w:eastAsia="仿宋" w:cs="仿宋"/>
                <w:b w:val="0"/>
                <w:bCs w:val="0"/>
                <w:color w:val="auto"/>
                <w:sz w:val="21"/>
                <w:szCs w:val="21"/>
                <w:lang w:val="zh-CN" w:eastAsia="zh-CN"/>
              </w:rPr>
              <w:t>m</w:t>
            </w:r>
            <w:r>
              <w:rPr>
                <w:rFonts w:hint="eastAsia" w:ascii="仿宋" w:hAnsi="仿宋" w:eastAsia="仿宋" w:cs="仿宋"/>
                <w:b w:val="0"/>
                <w:bCs w:val="0"/>
                <w:color w:val="auto"/>
                <w:sz w:val="21"/>
                <w:szCs w:val="21"/>
                <w:lang w:val="en-US" w:eastAsia="zh-CN"/>
              </w:rPr>
              <w:t>*</w:t>
            </w:r>
            <w:r>
              <w:rPr>
                <w:rFonts w:hint="eastAsia" w:ascii="仿宋" w:hAnsi="仿宋" w:eastAsia="仿宋" w:cs="仿宋"/>
                <w:b w:val="0"/>
                <w:bCs w:val="0"/>
                <w:color w:val="auto"/>
                <w:sz w:val="21"/>
                <w:szCs w:val="21"/>
                <w:lang w:val="zh-CN" w:eastAsia="zh-CN"/>
              </w:rPr>
              <w:t>0.25mm</w:t>
            </w:r>
            <w:r>
              <w:rPr>
                <w:rFonts w:hint="eastAsia" w:ascii="仿宋" w:hAnsi="仿宋" w:eastAsia="仿宋" w:cs="仿宋"/>
                <w:b w:val="0"/>
                <w:bCs w:val="0"/>
                <w:color w:val="auto"/>
                <w:sz w:val="21"/>
                <w:szCs w:val="21"/>
                <w:lang w:val="en-US" w:eastAsia="zh-CN"/>
              </w:rPr>
              <w:t>*</w:t>
            </w:r>
            <w:r>
              <w:rPr>
                <w:rFonts w:hint="eastAsia" w:ascii="仿宋" w:hAnsi="仿宋" w:eastAsia="仿宋" w:cs="仿宋"/>
                <w:b w:val="0"/>
                <w:bCs w:val="0"/>
                <w:color w:val="auto"/>
                <w:sz w:val="21"/>
                <w:szCs w:val="21"/>
                <w:lang w:val="zh-CN" w:eastAsia="zh-CN"/>
              </w:rPr>
              <w:t xml:space="preserve"> 0.25um     1根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14%氰丙基苯基/86%二甲基聚硅氧烷MS柱：30*0.25mm*0.25um或相当者 </w:t>
            </w:r>
            <w:r>
              <w:rPr>
                <w:rFonts w:hint="eastAsia" w:ascii="仿宋" w:hAnsi="仿宋" w:eastAsia="仿宋" w:cs="仿宋"/>
                <w:b w:val="0"/>
                <w:bCs w:val="0"/>
                <w:color w:val="auto"/>
                <w:sz w:val="21"/>
                <w:szCs w:val="21"/>
                <w:lang w:val="en-US" w:eastAsia="zh-CN"/>
              </w:rPr>
              <w:t>4</w:t>
            </w:r>
            <w:r>
              <w:rPr>
                <w:rFonts w:hint="eastAsia" w:ascii="仿宋" w:hAnsi="仿宋" w:eastAsia="仿宋" w:cs="仿宋"/>
                <w:b w:val="0"/>
                <w:bCs w:val="0"/>
                <w:color w:val="auto"/>
                <w:sz w:val="21"/>
                <w:szCs w:val="21"/>
                <w:lang w:val="zh-CN" w:eastAsia="zh-CN"/>
              </w:rPr>
              <w:t>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DB-1701MS柱（30m×0.25mm×0.25μm）石英毛细管MS柱或相当者 </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val="zh-CN" w:eastAsia="zh-CN"/>
              </w:rPr>
              <w:t>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DB-5MS，30 m×0.25 mm(内径),0.25 μm，或相当者</w:t>
            </w:r>
            <w:r>
              <w:rPr>
                <w:rFonts w:hint="eastAsia" w:ascii="仿宋" w:hAnsi="仿宋" w:eastAsia="仿宋" w:cs="仿宋"/>
                <w:b w:val="0"/>
                <w:bCs w:val="0"/>
                <w:color w:val="auto"/>
                <w:sz w:val="21"/>
                <w:szCs w:val="21"/>
                <w:lang w:val="en-US" w:eastAsia="zh-CN"/>
              </w:rPr>
              <w:t xml:space="preserve"> 2</w:t>
            </w:r>
            <w:r>
              <w:rPr>
                <w:rFonts w:hint="eastAsia" w:ascii="仿宋" w:hAnsi="仿宋" w:eastAsia="仿宋" w:cs="仿宋"/>
                <w:b w:val="0"/>
                <w:bCs w:val="0"/>
                <w:color w:val="auto"/>
                <w:sz w:val="21"/>
                <w:szCs w:val="21"/>
                <w:lang w:val="zh-CN" w:eastAsia="zh-CN"/>
              </w:rPr>
              <w:t>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离子源EI </w:t>
            </w:r>
            <w:r>
              <w:rPr>
                <w:rFonts w:hint="eastAsia" w:ascii="仿宋" w:hAnsi="仿宋" w:eastAsia="仿宋" w:cs="仿宋"/>
                <w:b w:val="0"/>
                <w:bCs w:val="0"/>
                <w:color w:val="auto"/>
                <w:sz w:val="21"/>
                <w:szCs w:val="21"/>
                <w:lang w:val="en-US" w:eastAsia="zh-CN"/>
              </w:rPr>
              <w:t xml:space="preserve"> </w:t>
            </w:r>
            <w:r>
              <w:rPr>
                <w:rFonts w:hint="eastAsia" w:ascii="仿宋" w:hAnsi="仿宋" w:eastAsia="仿宋" w:cs="仿宋"/>
                <w:b w:val="0"/>
                <w:bCs w:val="0"/>
                <w:color w:val="auto"/>
                <w:sz w:val="21"/>
                <w:szCs w:val="21"/>
                <w:lang w:val="zh-CN" w:eastAsia="zh-CN"/>
              </w:rPr>
              <w:t xml:space="preserve"> 1套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离子源灯丝    4根</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泵油</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 xml:space="preserve">       2瓶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分流不分流衬管（5个/包）</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 xml:space="preserve">   各10包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色谱柱端石墨垫圈（10个/包）   10包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质谱端石墨垫圈（10个/包）   10包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色谱柱柱螺帽 （2个/包）  </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5包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 xml:space="preserve">质谱端柱螺帽（2个/包）  </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5包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O型圈（10个/包）</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 xml:space="preserve">    5包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隔垫（50个/包）</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 xml:space="preserve">  5包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调谐液</w:t>
            </w:r>
            <w:r>
              <w:rPr>
                <w:rFonts w:hint="eastAsia" w:ascii="仿宋" w:hAnsi="仿宋" w:eastAsia="仿宋" w:cs="仿宋"/>
                <w:b w:val="0"/>
                <w:bCs w:val="0"/>
                <w:color w:val="auto"/>
                <w:sz w:val="21"/>
                <w:szCs w:val="21"/>
                <w:lang w:val="en-US" w:eastAsia="zh-CN"/>
              </w:rPr>
              <w:t xml:space="preserve">      </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en-US" w:eastAsia="zh-CN"/>
              </w:rPr>
              <w:t xml:space="preserve">    </w:t>
            </w:r>
            <w:r>
              <w:rPr>
                <w:rFonts w:hint="eastAsia" w:ascii="仿宋" w:hAnsi="仿宋" w:eastAsia="仿宋" w:cs="仿宋"/>
                <w:b w:val="0"/>
                <w:bCs w:val="0"/>
                <w:color w:val="auto"/>
                <w:sz w:val="21"/>
                <w:szCs w:val="21"/>
                <w:lang w:val="zh-CN" w:eastAsia="zh-CN"/>
              </w:rPr>
              <w:t>2瓶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10ul进样针，</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 xml:space="preserve">   20支</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2mL样品瓶 100个/包   50包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2mL棕色带书写标签样品瓶，100/包</w:t>
            </w:r>
            <w:r>
              <w:rPr>
                <w:rFonts w:hint="eastAsia" w:ascii="仿宋" w:hAnsi="仿宋" w:eastAsia="仿宋" w:cs="仿宋"/>
                <w:b w:val="0"/>
                <w:bCs w:val="0"/>
                <w:color w:val="auto"/>
                <w:sz w:val="21"/>
                <w:szCs w:val="21"/>
                <w:lang w:val="zh-CN" w:eastAsia="zh-CN"/>
              </w:rPr>
              <w:tab/>
            </w:r>
            <w:r>
              <w:rPr>
                <w:rFonts w:hint="eastAsia" w:ascii="仿宋" w:hAnsi="仿宋" w:eastAsia="仿宋" w:cs="仿宋"/>
                <w:b w:val="0"/>
                <w:bCs w:val="0"/>
                <w:color w:val="auto"/>
                <w:sz w:val="21"/>
                <w:szCs w:val="21"/>
                <w:lang w:val="zh-CN" w:eastAsia="zh-CN"/>
              </w:rPr>
              <w:t>50包</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离轴连续打拿电子倍增器</w:t>
            </w:r>
            <w:r>
              <w:rPr>
                <w:rFonts w:hint="eastAsia" w:ascii="仿宋" w:hAnsi="仿宋" w:eastAsia="仿宋" w:cs="仿宋"/>
                <w:b w:val="0"/>
                <w:bCs w:val="0"/>
                <w:color w:val="auto"/>
                <w:sz w:val="21"/>
                <w:szCs w:val="21"/>
                <w:lang w:val="en-US" w:eastAsia="zh-CN"/>
              </w:rPr>
              <w:t xml:space="preserve"> </w:t>
            </w:r>
            <w:r>
              <w:rPr>
                <w:rFonts w:hint="eastAsia" w:ascii="仿宋" w:hAnsi="仿宋" w:eastAsia="仿宋" w:cs="仿宋"/>
                <w:b w:val="0"/>
                <w:bCs w:val="0"/>
                <w:color w:val="auto"/>
                <w:sz w:val="21"/>
                <w:szCs w:val="21"/>
                <w:lang w:val="zh-CN" w:eastAsia="zh-CN"/>
              </w:rPr>
              <w:t xml:space="preserve"> 1套</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氦气气体过滤器</w:t>
            </w:r>
            <w:r>
              <w:rPr>
                <w:rFonts w:hint="eastAsia" w:ascii="仿宋" w:hAnsi="仿宋" w:eastAsia="仿宋" w:cs="仿宋"/>
                <w:b w:val="0"/>
                <w:bCs w:val="0"/>
                <w:color w:val="auto"/>
                <w:sz w:val="21"/>
                <w:szCs w:val="21"/>
                <w:lang w:val="en-US" w:eastAsia="zh-CN"/>
              </w:rPr>
              <w:t xml:space="preserve"> 1</w:t>
            </w:r>
            <w:r>
              <w:rPr>
                <w:rFonts w:hint="eastAsia" w:ascii="仿宋" w:hAnsi="仿宋" w:eastAsia="仿宋" w:cs="仿宋"/>
                <w:b w:val="0"/>
                <w:bCs w:val="0"/>
                <w:color w:val="auto"/>
                <w:sz w:val="21"/>
                <w:szCs w:val="21"/>
                <w:lang w:val="zh-CN" w:eastAsia="zh-CN"/>
              </w:rPr>
              <w:t>个</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六.售后服务</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6.1在新疆有正规注册的办事处、维修站及零备件保税库。在疆内有专门负责的经验丰富的维修工程师和在中国境内应有专门的技术应用支持工程师，在国内设有应用开发实验室。保修期后，保证长期供应零备件和正常的售后服务. 在国内的技术服务中心（包括维修中心）或消耗品代理商应当提供所有 的服务,包括备用零配件及消耗品，仪器生产厂家需在国内直接设有服务中心三年以上（需提供资质证明，包括厂家服务中心营业执照和工程师名单、联系方法及厂家盖章的售后服务承诺书等）。安装验收期间，免费对用户进行仪器的基本操作和日常维护的现场培训，内容包括仪器原理，使用方法和维护方法等，厂家需要在中国大陆境内为最终用户的四名操作人员做五天的免费培训。</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6.2 质保期：验收合格后，质量保证期两年，终身维修</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6.3 故障服务：仪器设备出现故障时，供货方得到通知2日内派维修人员到达用户现场维修。</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6.4 技术资料：免费提供该设备全套技术资料。</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6.5 验收：仪器设备到达最终用户后，由用户提供验收条件，供应商应即时派维修人员前往验收。</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6.6服务：需提供计量检定校准证书。供应商在仪器使用前五年需每年安排一次售后服务工程师免费上门巡检和应用工程师免费上门指导。</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七.交货时间：合同生效后两个月内</w:t>
            </w:r>
          </w:p>
          <w:p>
            <w:pPr>
              <w:jc w:val="left"/>
              <w:rPr>
                <w:rFonts w:ascii="仿宋" w:hAnsi="仿宋" w:eastAsia="仿宋"/>
              </w:rPr>
            </w:pPr>
            <w:r>
              <w:rPr>
                <w:rFonts w:hint="eastAsia" w:ascii="仿宋" w:hAnsi="仿宋" w:eastAsia="仿宋" w:cs="仿宋"/>
                <w:b w:val="0"/>
                <w:bCs w:val="0"/>
                <w:color w:val="auto"/>
                <w:sz w:val="21"/>
                <w:szCs w:val="21"/>
                <w:lang w:val="zh-CN" w:eastAsia="zh-CN"/>
              </w:rPr>
              <w:t>注：打*号为重要指标必须满足或优于。</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left"/>
              <w:textAlignment w:val="center"/>
              <w:rPr>
                <w:rFonts w:ascii="仿宋" w:hAnsi="仿宋" w:eastAsia="仿宋" w:cs="宋体"/>
                <w:color w:val="000000"/>
                <w:szCs w:val="21"/>
              </w:rPr>
            </w:pPr>
          </w:p>
        </w:tc>
      </w:tr>
      <w:tr>
        <w:tblPrEx>
          <w:tblCellMar>
            <w:top w:w="0" w:type="dxa"/>
            <w:left w:w="0" w:type="dxa"/>
            <w:bottom w:w="0" w:type="dxa"/>
            <w:right w:w="0" w:type="dxa"/>
          </w:tblCellMar>
        </w:tblPrEx>
        <w:trPr>
          <w:trHeight w:val="342"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top"/>
          </w:tcPr>
          <w:p>
            <w:pPr>
              <w:jc w:val="left"/>
              <w:rPr>
                <w:rFonts w:hint="eastAsia" w:ascii="仿宋" w:hAnsi="仿宋" w:eastAsia="仿宋" w:cs="宋体"/>
                <w:color w:val="000000"/>
                <w:szCs w:val="21"/>
              </w:rPr>
            </w:pPr>
            <w:r>
              <w:rPr>
                <w:rFonts w:hint="eastAsia" w:ascii="仿宋" w:hAnsi="仿宋" w:eastAsia="仿宋" w:cs="仿宋"/>
                <w:b w:val="0"/>
                <w:bCs w:val="0"/>
                <w:color w:val="auto"/>
                <w:sz w:val="21"/>
                <w:szCs w:val="21"/>
                <w:lang w:val="en-US" w:eastAsia="zh-CN"/>
              </w:rPr>
              <w:t>2</w:t>
            </w: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top"/>
          </w:tcPr>
          <w:p>
            <w:pPr>
              <w:jc w:val="left"/>
              <w:rPr>
                <w:rFonts w:ascii="宋体" w:hAnsi="宋体"/>
                <w:bCs/>
              </w:rPr>
            </w:pPr>
            <w:r>
              <w:rPr>
                <w:rFonts w:hint="eastAsia" w:ascii="仿宋" w:hAnsi="仿宋" w:eastAsia="仿宋" w:cs="仿宋"/>
                <w:b w:val="0"/>
                <w:bCs w:val="0"/>
                <w:color w:val="auto"/>
                <w:sz w:val="21"/>
                <w:szCs w:val="21"/>
                <w:lang w:val="en-US" w:eastAsia="zh-CN"/>
              </w:rPr>
              <w:t>大米外观检测系统</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widowControl/>
              <w:ind w:firstLine="6090" w:firstLineChars="2900"/>
              <w:jc w:val="left"/>
              <w:textAlignment w:val="center"/>
              <w:rPr>
                <w:rFonts w:hint="eastAsia" w:ascii="仿宋" w:hAnsi="仿宋" w:eastAsia="仿宋" w:cs="宋体"/>
                <w:color w:val="000000"/>
                <w:kern w:val="0"/>
                <w:szCs w:val="21"/>
              </w:rPr>
            </w:pP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top"/>
          </w:tcPr>
          <w:p>
            <w:pPr>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1.产品原理及主要用途：</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可以代替人工对大米外观品质指标进行准确客观的评价，检测稻谷和大米质量指标中的整精米率、碎米、垩白粒率、垩白度、粒型（长宽比）、不完善粒、黄粒米等指标。同时，采用图像分析方法对染色后的大米进行图像采集、分析。准确计算出每粒大米以及全体的留皮百分比，进而判定大米的加工精度。</w:t>
            </w:r>
          </w:p>
          <w:p>
            <w:pPr>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2.环境指标</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电源：AC 200V～240V，50/60Hz；温度：10~35℃；湿度：80%以下（无结露）</w:t>
            </w:r>
          </w:p>
          <w:p>
            <w:pPr>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3.技术指标</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3.1测量对象：稻谷、糙米、大米；</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3.2测量项目：可检测糙米的不完善粒；稻谷的整精米率；大米的碎米、大碎米、小碎米、垩白粒率、垩白度、重度垩白、黄粒米、不完善粒、粒型、长度、宽度、黄度指数、白度等指标；可分析每种品类的重量比、粒数比和粒数、留皮率、完整米粒数、完整粒留皮程度；</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3.3测量样品量：单次检测样品量1-1200粒，最大单次检测量不小于1000粒；推荐样品量12g，可连续检测9次，具有多次累计检测功能；</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3.4测量时间：从图像采集到显示所有结果的测定时间≤40秒；所有检测指标在 放入样品后40s内可全部一次性直接评定显示；</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3.5系统软件具有自动分割粘连米粒功能，根据米粒多少和粘连程度，在测定显示结果的时即完成分割，一般分割时间≤15s，如未能自动分割，也可采用手动分割功能；</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3.6采用通用计算机和专用处理软件进行图像处理；采用图像扫描采集方式；扫描仪光学分辨率可达9600×9600dpi；</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3.7扫描速度：48.4 毫秒/线；</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3.8采用A4加长的12线彩色CCD彩色扫描仪来成像（CanoScan 9000F MarkⅡ）。透扫幅面216×297毫米，最小像素尺寸0.0026mm ×0.0026 mm；</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3.9有标准检测曲线，不需要人为对软件参数进行设定，留皮度检测结果符合国标GB/T 5502-2018《粮油检验 大米加工精度检验》定义的，外观品质的测定结果符合国标GB/T1350 稻谷、GB/T17891 优质稻谷或 GB1354 大米，同时适用于LS/T 6116-2017《大米粒型分类判定》、《中国好粮油》系列产品标准；</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3.10可以判定大米和糙米样品的粒数比、质量比、粒型及各种图像信息；</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3.11具有人工改判功能，对未识别及错判的米粒，通过人工辅助的方式能够进行重新识别或重新判定，以便获得100%正确的结果；</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3.12可保存检测的原始图，每一粒米有单独判定编号，可分类显示不同检测项的样品外接矩形或轮廓；</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3.13可按“序号”、“面积比”、“长度”等参数的勾选项做自动分类排序，还可按类别输出分割后图像；</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3.14通过一台仪器设备既可检测大米外观品质又可检测大米的留皮程度；</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3.15可实施数据收集、数据输出、结果打印等一系列的数据管理；</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3.16可提供数据输出选择方式，可以通过历史查看界面，根据要求输出检测结果，在Excel软件中对数据进行统计分析。质量结果的显示简单明晰；</w:t>
            </w:r>
          </w:p>
          <w:p>
            <w:pPr>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3.17具有安全性，测定后的废液可以直接排入下水。</w:t>
            </w:r>
          </w:p>
          <w:p>
            <w:pPr>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4配套设备：</w:t>
            </w:r>
          </w:p>
          <w:p>
            <w:pPr>
              <w:jc w:val="left"/>
              <w:rPr>
                <w:rFonts w:hint="default" w:ascii="仿宋" w:hAnsi="仿宋" w:eastAsia="仿宋" w:cs="宋体"/>
                <w:color w:val="000000"/>
                <w:kern w:val="0"/>
                <w:szCs w:val="21"/>
                <w:lang w:val="en-US"/>
              </w:rPr>
            </w:pPr>
            <w:r>
              <w:rPr>
                <w:rFonts w:hint="eastAsia" w:ascii="仿宋" w:hAnsi="仿宋" w:eastAsia="仿宋" w:cs="仿宋"/>
                <w:b w:val="0"/>
                <w:bCs w:val="0"/>
                <w:color w:val="auto"/>
                <w:sz w:val="21"/>
                <w:szCs w:val="21"/>
                <w:lang w:val="zh-CN" w:eastAsia="zh-CN"/>
              </w:rPr>
              <w:t>主要配置：软件、扫描仪、整列装置、染色器具、</w:t>
            </w:r>
            <w:r>
              <w:rPr>
                <w:rFonts w:hint="eastAsia" w:ascii="仿宋" w:hAnsi="仿宋" w:eastAsia="仿宋" w:cs="宋体"/>
                <w:color w:val="000000"/>
                <w:kern w:val="0"/>
                <w:szCs w:val="21"/>
              </w:rPr>
              <w:t xml:space="preserve">计算机:CPU </w:t>
            </w:r>
            <w:r>
              <w:rPr>
                <w:rFonts w:hint="eastAsia" w:ascii="仿宋" w:hAnsi="仿宋" w:eastAsia="仿宋" w:cs="宋体"/>
                <w:color w:val="000000"/>
                <w:kern w:val="0"/>
                <w:szCs w:val="21"/>
                <w:lang w:eastAsia="zh-CN"/>
              </w:rPr>
              <w:t>八</w:t>
            </w:r>
            <w:r>
              <w:rPr>
                <w:rFonts w:hint="eastAsia" w:ascii="仿宋" w:hAnsi="仿宋" w:eastAsia="仿宋" w:cs="宋体"/>
                <w:color w:val="000000"/>
                <w:kern w:val="0"/>
                <w:szCs w:val="21"/>
              </w:rPr>
              <w:t>核，单主频不低于</w:t>
            </w:r>
            <w:r>
              <w:rPr>
                <w:rFonts w:hint="eastAsia" w:ascii="仿宋" w:hAnsi="仿宋" w:eastAsia="仿宋" w:cs="宋体"/>
                <w:color w:val="000000"/>
                <w:kern w:val="0"/>
                <w:szCs w:val="21"/>
                <w:lang w:val="en-US" w:eastAsia="zh-CN"/>
              </w:rPr>
              <w:t>16</w:t>
            </w:r>
            <w:r>
              <w:rPr>
                <w:rFonts w:hint="eastAsia" w:ascii="仿宋" w:hAnsi="仿宋" w:eastAsia="仿宋" w:cs="宋体"/>
                <w:color w:val="000000"/>
                <w:kern w:val="0"/>
                <w:szCs w:val="21"/>
              </w:rPr>
              <w:t>G内存或以上/</w:t>
            </w:r>
            <w:r>
              <w:rPr>
                <w:rFonts w:hint="eastAsia" w:ascii="仿宋" w:hAnsi="仿宋" w:eastAsia="仿宋" w:cs="宋体"/>
                <w:color w:val="000000"/>
                <w:kern w:val="0"/>
                <w:szCs w:val="21"/>
                <w:lang w:val="en-US" w:eastAsia="zh-CN"/>
              </w:rPr>
              <w:t>1T</w:t>
            </w:r>
            <w:r>
              <w:rPr>
                <w:rFonts w:hint="eastAsia" w:ascii="仿宋" w:hAnsi="仿宋" w:eastAsia="仿宋" w:cs="宋体"/>
                <w:color w:val="000000"/>
                <w:kern w:val="0"/>
                <w:szCs w:val="21"/>
              </w:rPr>
              <w:t>硬盘或以上/DVD-RW/</w:t>
            </w:r>
            <w:r>
              <w:rPr>
                <w:rFonts w:hint="eastAsia" w:ascii="仿宋" w:hAnsi="仿宋" w:eastAsia="仿宋" w:cs="宋体"/>
                <w:color w:val="000000"/>
                <w:kern w:val="0"/>
                <w:szCs w:val="21"/>
                <w:lang w:val="en-US" w:eastAsia="zh-CN"/>
              </w:rPr>
              <w:t>30</w:t>
            </w:r>
            <w:r>
              <w:rPr>
                <w:rFonts w:hint="eastAsia" w:ascii="仿宋" w:hAnsi="仿宋" w:eastAsia="仿宋" w:cs="宋体"/>
                <w:color w:val="000000"/>
                <w:kern w:val="0"/>
                <w:szCs w:val="21"/>
              </w:rPr>
              <w:t xml:space="preserve">”LCD </w:t>
            </w:r>
            <w:r>
              <w:rPr>
                <w:rFonts w:hint="eastAsia" w:ascii="仿宋" w:hAnsi="仿宋" w:eastAsia="仿宋" w:cs="宋体"/>
                <w:color w:val="000000"/>
                <w:kern w:val="0"/>
                <w:szCs w:val="21"/>
                <w:lang w:eastAsia="zh-CN"/>
              </w:rPr>
              <w:t>激光</w:t>
            </w:r>
            <w:r>
              <w:rPr>
                <w:rFonts w:hint="eastAsia" w:ascii="仿宋" w:hAnsi="仿宋" w:eastAsia="仿宋" w:cs="仿宋"/>
                <w:b w:val="0"/>
                <w:bCs w:val="0"/>
                <w:color w:val="auto"/>
                <w:sz w:val="21"/>
                <w:szCs w:val="21"/>
                <w:lang w:val="zh-CN" w:eastAsia="zh-CN"/>
              </w:rPr>
              <w:t>打印机一台</w:t>
            </w:r>
            <w:r>
              <w:rPr>
                <w:rFonts w:hint="eastAsia" w:ascii="仿宋" w:hAnsi="仿宋" w:eastAsia="仿宋" w:cs="仿宋"/>
                <w:b w:val="0"/>
                <w:bCs w:val="0"/>
                <w:color w:val="auto"/>
                <w:sz w:val="21"/>
                <w:szCs w:val="21"/>
                <w:lang w:val="en-US" w:eastAsia="zh-CN"/>
              </w:rPr>
              <w:t>.</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widowControl/>
              <w:jc w:val="left"/>
              <w:textAlignment w:val="center"/>
              <w:rPr>
                <w:rFonts w:hint="default" w:ascii="仿宋" w:hAnsi="仿宋" w:eastAsia="仿宋" w:cs="宋体"/>
                <w:color w:val="000000"/>
                <w:szCs w:val="21"/>
                <w:lang w:val="en-US"/>
              </w:rPr>
            </w:pPr>
            <w:r>
              <w:rPr>
                <w:rFonts w:hint="eastAsia" w:ascii="仿宋" w:hAnsi="仿宋" w:eastAsia="仿宋" w:cs="仿宋"/>
                <w:color w:val="000000"/>
                <w:kern w:val="0"/>
                <w:sz w:val="21"/>
                <w:szCs w:val="21"/>
                <w:lang w:val="en-US" w:eastAsia="zh-CN"/>
              </w:rPr>
              <w:t>5.8</w:t>
            </w:r>
          </w:p>
        </w:tc>
      </w:tr>
      <w:tr>
        <w:tblPrEx>
          <w:tblCellMar>
            <w:top w:w="0" w:type="dxa"/>
            <w:left w:w="0" w:type="dxa"/>
            <w:bottom w:w="0" w:type="dxa"/>
            <w:right w:w="0" w:type="dxa"/>
          </w:tblCellMar>
        </w:tblPrEx>
        <w:trPr>
          <w:trHeight w:val="342"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top"/>
          </w:tcPr>
          <w:p>
            <w:pPr>
              <w:tabs>
                <w:tab w:val="left" w:pos="765"/>
              </w:tabs>
              <w:bidi w:val="0"/>
              <w:jc w:val="left"/>
              <w:rPr>
                <w:rFonts w:hint="eastAsia" w:ascii="仿宋" w:hAnsi="仿宋" w:eastAsia="仿宋" w:cs="宋体"/>
                <w:color w:val="000000"/>
                <w:szCs w:val="21"/>
              </w:rPr>
            </w:pPr>
            <w:r>
              <w:rPr>
                <w:rFonts w:hint="eastAsia" w:ascii="仿宋" w:hAnsi="仿宋" w:eastAsia="仿宋" w:cs="仿宋"/>
                <w:kern w:val="0"/>
                <w:sz w:val="21"/>
                <w:szCs w:val="21"/>
                <w:lang w:val="en-US" w:eastAsia="zh-CN"/>
              </w:rPr>
              <w:t>3</w:t>
            </w: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ascii="宋体" w:hAnsi="宋体"/>
                <w:bCs/>
              </w:rPr>
            </w:pPr>
            <w:r>
              <w:rPr>
                <w:rFonts w:hint="eastAsia" w:ascii="仿宋" w:hAnsi="仿宋" w:eastAsia="仿宋" w:cs="仿宋"/>
                <w:kern w:val="0"/>
                <w:sz w:val="21"/>
                <w:szCs w:val="21"/>
                <w:lang w:val="en-US" w:eastAsia="zh-CN"/>
              </w:rPr>
              <w:t>卜方特比色计</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eastAsia" w:ascii="仿宋" w:hAnsi="仿宋" w:eastAsia="仿宋" w:cs="宋体"/>
                <w:color w:val="000000"/>
                <w:kern w:val="0"/>
                <w:szCs w:val="21"/>
              </w:rPr>
            </w:pP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top"/>
          </w:tcPr>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en-US" w:eastAsia="zh-CN"/>
              </w:rPr>
              <w:t>1.</w:t>
            </w:r>
            <w:r>
              <w:rPr>
                <w:rFonts w:hint="eastAsia" w:ascii="仿宋" w:hAnsi="仿宋" w:eastAsia="仿宋" w:cs="仿宋"/>
                <w:kern w:val="0"/>
                <w:sz w:val="21"/>
                <w:szCs w:val="21"/>
                <w:lang w:val="zh-CN"/>
              </w:rPr>
              <w:t>技术参数</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测量范围0to150 mm Pfund(卜方特)解析度1mm Pfund(卜方特) 测量精度±2 mm Pfund@80 mm Pfund 测量方法：直接比色法 光学系统：定制专用接收器暨光源系统 电源模式：1x9V电池;在测量模式下,10分钟不用后自动关机</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使用环境0to50℃(32to122°F); RH max95%,无冷凝尺寸重量：主机尺寸:192×104X69mm主机重量:360g</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en-US" w:eastAsia="zh-CN"/>
              </w:rPr>
              <w:t>2.</w:t>
            </w:r>
            <w:r>
              <w:rPr>
                <w:rFonts w:hint="eastAsia" w:ascii="仿宋" w:hAnsi="仿宋" w:eastAsia="仿宋" w:cs="仿宋"/>
                <w:kern w:val="0"/>
                <w:sz w:val="21"/>
                <w:szCs w:val="21"/>
                <w:lang w:val="zh-CN"/>
              </w:rPr>
              <w:t>基础配置</w:t>
            </w:r>
          </w:p>
          <w:p>
            <w:pPr>
              <w:tabs>
                <w:tab w:val="left" w:pos="765"/>
              </w:tabs>
              <w:bidi w:val="0"/>
              <w:jc w:val="left"/>
              <w:rPr>
                <w:rFonts w:ascii="仿宋" w:hAnsi="仿宋" w:eastAsia="仿宋" w:cs="宋体"/>
                <w:color w:val="000000"/>
                <w:kern w:val="0"/>
                <w:szCs w:val="21"/>
              </w:rPr>
            </w:pPr>
            <w:r>
              <w:rPr>
                <w:rFonts w:hint="eastAsia" w:ascii="仿宋" w:hAnsi="仿宋" w:eastAsia="仿宋" w:cs="仿宋"/>
                <w:kern w:val="0"/>
                <w:sz w:val="21"/>
                <w:szCs w:val="21"/>
                <w:lang w:val="zh-CN"/>
              </w:rPr>
              <w:t>主机,定制专用方形塑料比色皿,专用零点标定液,专用携带箱,中英文使用说明书</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default" w:ascii="仿宋" w:hAnsi="仿宋" w:eastAsia="仿宋" w:cs="宋体"/>
                <w:color w:val="000000"/>
                <w:szCs w:val="21"/>
                <w:lang w:val="en-US"/>
              </w:rPr>
            </w:pPr>
          </w:p>
        </w:tc>
      </w:tr>
      <w:tr>
        <w:tblPrEx>
          <w:tblCellMar>
            <w:top w:w="0" w:type="dxa"/>
            <w:left w:w="0" w:type="dxa"/>
            <w:bottom w:w="0" w:type="dxa"/>
            <w:right w:w="0" w:type="dxa"/>
          </w:tblCellMar>
        </w:tblPrEx>
        <w:trPr>
          <w:trHeight w:val="342"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top"/>
          </w:tcPr>
          <w:p>
            <w:pPr>
              <w:tabs>
                <w:tab w:val="left" w:pos="765"/>
              </w:tabs>
              <w:bidi w:val="0"/>
              <w:jc w:val="left"/>
              <w:rPr>
                <w:rFonts w:hint="eastAsia" w:ascii="仿宋" w:hAnsi="仿宋" w:eastAsia="仿宋" w:cs="宋体"/>
                <w:color w:val="000000"/>
                <w:szCs w:val="21"/>
              </w:rPr>
            </w:pPr>
            <w:r>
              <w:rPr>
                <w:rFonts w:hint="eastAsia" w:ascii="仿宋" w:hAnsi="仿宋" w:eastAsia="仿宋" w:cs="仿宋"/>
                <w:kern w:val="0"/>
                <w:sz w:val="21"/>
                <w:szCs w:val="21"/>
                <w:lang w:val="en-US" w:eastAsia="zh-CN"/>
              </w:rPr>
              <w:t>8</w:t>
            </w: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ascii="宋体" w:hAnsi="宋体"/>
                <w:bCs/>
              </w:rPr>
            </w:pPr>
            <w:r>
              <w:rPr>
                <w:rFonts w:hint="eastAsia" w:ascii="仿宋" w:hAnsi="仿宋" w:eastAsia="仿宋" w:cs="仿宋"/>
                <w:kern w:val="0"/>
                <w:sz w:val="21"/>
                <w:szCs w:val="21"/>
                <w:lang w:val="en-US" w:eastAsia="zh-CN"/>
              </w:rPr>
              <w:t>废气吸收系统</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eastAsia" w:ascii="仿宋" w:hAnsi="仿宋" w:eastAsia="仿宋" w:cs="宋体"/>
                <w:color w:val="000000"/>
                <w:kern w:val="0"/>
                <w:szCs w:val="21"/>
                <w:lang w:val="en-US" w:eastAsia="zh-CN"/>
              </w:rPr>
            </w:pPr>
            <w:r>
              <w:rPr>
                <w:rFonts w:hint="eastAsia" w:ascii="仿宋" w:hAnsi="仿宋" w:eastAsia="仿宋" w:cs="宋体"/>
                <w:color w:val="000000"/>
                <w:kern w:val="0"/>
                <w:szCs w:val="21"/>
                <w:lang w:val="en-US" w:eastAsia="zh-CN"/>
              </w:rPr>
              <w:t>1</w:t>
            </w: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top"/>
          </w:tcPr>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1 采用半透明的中和单元设计，易于观察，更换方便；</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2 采用水过滤、碱中和、活性炭过滤的三重过滤系统，能够中和凯氏分析或其它过程中产生的酸雾和反应气体，且无需连接自来水使用；</w:t>
            </w:r>
          </w:p>
          <w:p>
            <w:pPr>
              <w:tabs>
                <w:tab w:val="left" w:pos="765"/>
              </w:tabs>
              <w:bidi w:val="0"/>
              <w:jc w:val="left"/>
              <w:rPr>
                <w:rFonts w:ascii="仿宋" w:hAnsi="仿宋" w:eastAsia="仿宋" w:cs="宋体"/>
                <w:color w:val="000000"/>
                <w:kern w:val="0"/>
                <w:szCs w:val="21"/>
              </w:rPr>
            </w:pPr>
            <w:r>
              <w:rPr>
                <w:rFonts w:hint="eastAsia" w:ascii="仿宋" w:hAnsi="仿宋" w:eastAsia="仿宋" w:cs="仿宋"/>
                <w:kern w:val="0"/>
                <w:sz w:val="21"/>
                <w:szCs w:val="21"/>
                <w:lang w:val="zh-CN"/>
              </w:rPr>
              <w:t>3 采用PTFE材质耐腐蚀管路，使用寿命有效延长。</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default" w:ascii="仿宋" w:hAnsi="仿宋" w:eastAsia="仿宋" w:cs="宋体"/>
                <w:color w:val="000000"/>
                <w:szCs w:val="21"/>
                <w:lang w:val="en-US"/>
              </w:rPr>
            </w:pPr>
          </w:p>
        </w:tc>
      </w:tr>
      <w:tr>
        <w:tblPrEx>
          <w:tblCellMar>
            <w:top w:w="0" w:type="dxa"/>
            <w:left w:w="0" w:type="dxa"/>
            <w:bottom w:w="0" w:type="dxa"/>
            <w:right w:w="0" w:type="dxa"/>
          </w:tblCellMar>
        </w:tblPrEx>
        <w:trPr>
          <w:trHeight w:val="342"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top"/>
          </w:tcPr>
          <w:p>
            <w:pPr>
              <w:tabs>
                <w:tab w:val="left" w:pos="765"/>
              </w:tabs>
              <w:bidi w:val="0"/>
              <w:jc w:val="left"/>
              <w:rPr>
                <w:rFonts w:hint="eastAsia" w:ascii="仿宋" w:hAnsi="仿宋" w:eastAsia="仿宋" w:cs="宋体"/>
                <w:color w:val="000000"/>
                <w:szCs w:val="21"/>
              </w:rPr>
            </w:pPr>
            <w:r>
              <w:rPr>
                <w:rFonts w:hint="eastAsia" w:ascii="仿宋" w:hAnsi="仿宋" w:eastAsia="仿宋" w:cs="仿宋"/>
                <w:kern w:val="0"/>
                <w:sz w:val="21"/>
                <w:szCs w:val="21"/>
                <w:lang w:val="en-US" w:eastAsia="zh-CN"/>
              </w:rPr>
              <w:t>9</w:t>
            </w: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ascii="宋体" w:hAnsi="宋体"/>
                <w:bCs/>
              </w:rPr>
            </w:pPr>
            <w:r>
              <w:rPr>
                <w:rFonts w:hint="eastAsia" w:ascii="仿宋" w:hAnsi="仿宋" w:eastAsia="仿宋" w:cs="仿宋"/>
                <w:kern w:val="0"/>
                <w:sz w:val="21"/>
                <w:szCs w:val="21"/>
                <w:lang w:val="en-US" w:eastAsia="zh-CN"/>
              </w:rPr>
              <w:t>消解排废系统</w:t>
            </w: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eastAsia" w:ascii="仿宋" w:hAnsi="仿宋" w:eastAsia="仿宋" w:cs="宋体"/>
                <w:color w:val="000000"/>
                <w:kern w:val="0"/>
                <w:szCs w:val="21"/>
              </w:rPr>
            </w:pPr>
            <w:r>
              <w:rPr>
                <w:rFonts w:hint="eastAsia" w:ascii="仿宋" w:hAnsi="仿宋" w:eastAsia="仿宋" w:cs="仿宋"/>
                <w:kern w:val="0"/>
                <w:sz w:val="21"/>
                <w:szCs w:val="21"/>
                <w:lang w:val="en-US" w:eastAsia="zh-CN"/>
              </w:rPr>
              <w:t>1</w:t>
            </w: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top"/>
          </w:tcPr>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排废系统</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1 PFA密封盖废气收集罩，防腐耐温；</w:t>
            </w:r>
          </w:p>
          <w:p>
            <w:pPr>
              <w:tabs>
                <w:tab w:val="left" w:pos="765"/>
              </w:tabs>
              <w:bidi w:val="0"/>
              <w:jc w:val="left"/>
              <w:rPr>
                <w:rFonts w:hint="eastAsia" w:ascii="仿宋" w:hAnsi="仿宋" w:eastAsia="仿宋" w:cs="仿宋"/>
                <w:kern w:val="0"/>
                <w:sz w:val="21"/>
                <w:szCs w:val="21"/>
                <w:lang w:val="zh-CN"/>
              </w:rPr>
            </w:pPr>
            <w:r>
              <w:rPr>
                <w:rFonts w:hint="eastAsia" w:ascii="仿宋" w:hAnsi="仿宋" w:eastAsia="仿宋" w:cs="仿宋"/>
                <w:kern w:val="0"/>
                <w:sz w:val="21"/>
                <w:szCs w:val="21"/>
                <w:lang w:val="zh-CN"/>
              </w:rPr>
              <w:t>2 自来水真空泵，保证足够负压；</w:t>
            </w:r>
          </w:p>
          <w:p>
            <w:pPr>
              <w:tabs>
                <w:tab w:val="left" w:pos="765"/>
              </w:tabs>
              <w:bidi w:val="0"/>
              <w:jc w:val="left"/>
              <w:rPr>
                <w:rFonts w:ascii="仿宋" w:hAnsi="仿宋" w:eastAsia="仿宋" w:cs="宋体"/>
                <w:color w:val="000000"/>
                <w:kern w:val="0"/>
                <w:szCs w:val="21"/>
              </w:rPr>
            </w:pPr>
            <w:r>
              <w:rPr>
                <w:rFonts w:hint="eastAsia" w:ascii="仿宋" w:hAnsi="仿宋" w:eastAsia="仿宋" w:cs="仿宋"/>
                <w:kern w:val="0"/>
                <w:sz w:val="21"/>
                <w:szCs w:val="21"/>
                <w:lang w:val="zh-CN"/>
              </w:rPr>
              <w:t>3 具备滴盘设计，防止消解结束酸液滴落污损实验台。</w:t>
            </w: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top"/>
          </w:tcPr>
          <w:p>
            <w:pPr>
              <w:tabs>
                <w:tab w:val="left" w:pos="765"/>
              </w:tabs>
              <w:bidi w:val="0"/>
              <w:jc w:val="left"/>
              <w:rPr>
                <w:rFonts w:hint="default" w:ascii="仿宋" w:hAnsi="仿宋" w:eastAsia="仿宋" w:cs="宋体"/>
                <w:color w:val="000000"/>
                <w:szCs w:val="21"/>
                <w:lang w:val="en-US"/>
              </w:rPr>
            </w:pPr>
          </w:p>
        </w:tc>
      </w:tr>
      <w:tr>
        <w:tblPrEx>
          <w:tblCellMar>
            <w:top w:w="0" w:type="dxa"/>
            <w:left w:w="0" w:type="dxa"/>
            <w:bottom w:w="0" w:type="dxa"/>
            <w:right w:w="0" w:type="dxa"/>
          </w:tblCellMar>
        </w:tblPrEx>
        <w:trPr>
          <w:trHeight w:val="342" w:hRule="atLeast"/>
        </w:trPr>
        <w:tc>
          <w:tcPr>
            <w:tcW w:w="438"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widowControl/>
              <w:jc w:val="left"/>
              <w:textAlignment w:val="center"/>
              <w:rPr>
                <w:rFonts w:hint="eastAsia" w:ascii="仿宋" w:hAnsi="仿宋" w:eastAsia="仿宋" w:cs="宋体"/>
                <w:color w:val="000000"/>
                <w:szCs w:val="21"/>
              </w:rPr>
            </w:pPr>
          </w:p>
        </w:tc>
        <w:tc>
          <w:tcPr>
            <w:tcW w:w="812" w:type="dxa"/>
            <w:gridSpan w:val="2"/>
            <w:tcBorders>
              <w:top w:val="single" w:color="000000" w:sz="4" w:space="0"/>
              <w:left w:val="single" w:color="000000" w:sz="4" w:space="0"/>
              <w:bottom w:val="single" w:color="auto" w:sz="4" w:space="0"/>
              <w:right w:val="single" w:color="000000" w:sz="4" w:space="0"/>
            </w:tcBorders>
            <w:shd w:val="clear" w:color="auto" w:fill="auto"/>
            <w:tcMar>
              <w:top w:w="12" w:type="dxa"/>
              <w:left w:w="12" w:type="dxa"/>
              <w:right w:w="12" w:type="dxa"/>
            </w:tcMar>
            <w:vAlign w:val="center"/>
          </w:tcPr>
          <w:p>
            <w:pPr>
              <w:rPr>
                <w:rFonts w:ascii="宋体" w:hAnsi="宋体"/>
                <w:bCs/>
              </w:rPr>
            </w:pPr>
          </w:p>
        </w:tc>
        <w:tc>
          <w:tcPr>
            <w:tcW w:w="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top"/>
              <w:rPr>
                <w:rFonts w:hint="eastAsia" w:ascii="仿宋" w:hAnsi="仿宋" w:eastAsia="仿宋" w:cs="宋体"/>
                <w:color w:val="000000"/>
                <w:kern w:val="0"/>
                <w:szCs w:val="21"/>
              </w:rPr>
            </w:pPr>
          </w:p>
        </w:tc>
        <w:tc>
          <w:tcPr>
            <w:tcW w:w="9281"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tcPr>
          <w:p>
            <w:pPr>
              <w:widowControl/>
              <w:jc w:val="left"/>
              <w:textAlignment w:val="top"/>
              <w:rPr>
                <w:rFonts w:ascii="仿宋" w:hAnsi="仿宋" w:eastAsia="仿宋" w:cs="宋体"/>
                <w:color w:val="000000"/>
                <w:kern w:val="0"/>
                <w:szCs w:val="21"/>
              </w:rPr>
            </w:pPr>
          </w:p>
        </w:tc>
        <w:tc>
          <w:tcPr>
            <w:tcW w:w="1209"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center"/>
              <w:rPr>
                <w:rFonts w:hint="eastAsia" w:ascii="仿宋" w:hAnsi="仿宋" w:eastAsia="仿宋" w:cs="宋体"/>
                <w:color w:val="000000"/>
                <w:szCs w:val="21"/>
              </w:rPr>
            </w:pPr>
          </w:p>
        </w:tc>
      </w:tr>
      <w:tr>
        <w:tblPrEx>
          <w:tblCellMar>
            <w:top w:w="0" w:type="dxa"/>
            <w:left w:w="0" w:type="dxa"/>
            <w:bottom w:w="0" w:type="dxa"/>
            <w:right w:w="0" w:type="dxa"/>
          </w:tblCellMar>
        </w:tblPrEx>
        <w:trPr>
          <w:gridAfter w:val="4"/>
          <w:wAfter w:w="11456" w:type="dxa"/>
          <w:trHeight w:val="342" w:hRule="atLeast"/>
        </w:trPr>
        <w:tc>
          <w:tcPr>
            <w:tcW w:w="1209"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widowControl/>
              <w:jc w:val="center"/>
              <w:textAlignment w:val="center"/>
              <w:rPr>
                <w:rFonts w:hint="default" w:ascii="仿宋" w:hAnsi="仿宋" w:eastAsia="仿宋" w:cs="宋体"/>
                <w:color w:val="000000"/>
                <w:szCs w:val="21"/>
                <w:lang w:val="en-US" w:eastAsia="zh-CN"/>
              </w:rPr>
            </w:pPr>
          </w:p>
        </w:tc>
      </w:tr>
    </w:tbl>
    <w:p>
      <w:pPr>
        <w:pStyle w:val="5"/>
      </w:pPr>
    </w:p>
    <w:sectPr>
      <w:pgSz w:w="16840" w:h="11907" w:orient="landscape"/>
      <w:pgMar w:top="1797" w:right="1440" w:bottom="1797" w:left="1440" w:header="851" w:footer="850" w:gutter="0"/>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Arial Unicode MS">
    <w:altName w:val="Arial"/>
    <w:panose1 w:val="020B0604020202020204"/>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center" w:y="1"/>
      <w:rPr>
        <w:rStyle w:val="22"/>
      </w:rPr>
    </w:pPr>
    <w:r>
      <w:fldChar w:fldCharType="begin"/>
    </w:r>
    <w:r>
      <w:rPr>
        <w:rStyle w:val="22"/>
      </w:rPr>
      <w:instrText xml:space="preserve">PAGE  </w:instrText>
    </w:r>
    <w:r>
      <w:fldChar w:fldCharType="end"/>
    </w:r>
  </w:p>
  <w:p>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single" w:color="auto" w:sz="4" w:space="1"/>
      </w:pBd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single" w:color="auto" w:sz="4" w:space="1"/>
      </w:pBd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331"/>
        <w:tab w:val="center" w:pos="4216"/>
      </w:tabs>
      <w:jc w:val="left"/>
      <w:rPr>
        <w:rFonts w:ascii="宋体" w:hAnsi="宋体"/>
        <w:b/>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8B9CE0"/>
    <w:multiLevelType w:val="singleLevel"/>
    <w:tmpl w:val="D68B9CE0"/>
    <w:lvl w:ilvl="0" w:tentative="0">
      <w:start w:val="4"/>
      <w:numFmt w:val="decimal"/>
      <w:lvlText w:val="%1."/>
      <w:lvlJc w:val="left"/>
      <w:pPr>
        <w:tabs>
          <w:tab w:val="left" w:pos="312"/>
        </w:tabs>
      </w:pPr>
    </w:lvl>
  </w:abstractNum>
  <w:abstractNum w:abstractNumId="1">
    <w:nsid w:val="00000012"/>
    <w:multiLevelType w:val="multilevel"/>
    <w:tmpl w:val="00000012"/>
    <w:lvl w:ilvl="0" w:tentative="0">
      <w:start w:val="1"/>
      <w:numFmt w:val="decimal"/>
      <w:suff w:val="nothing"/>
      <w:lvlText w:val="第%1章  "/>
      <w:lvlJc w:val="left"/>
      <w:pPr>
        <w:ind w:left="0" w:firstLine="0"/>
      </w:pPr>
      <w:rPr>
        <w:rFonts w:hint="default" w:ascii="Arial" w:hAnsi="Arial" w:cs="Times New Roman"/>
        <w:b/>
        <w:i w:val="0"/>
        <w:caps w:val="0"/>
        <w:vanish w:val="0"/>
        <w:color w:val="000000"/>
        <w:sz w:val="36"/>
        <w:u w:val="none"/>
        <w:vertAlign w:val="baseline"/>
      </w:rPr>
    </w:lvl>
    <w:lvl w:ilvl="1" w:tentative="0">
      <w:start w:val="1"/>
      <w:numFmt w:val="decimal"/>
      <w:suff w:val="nothing"/>
      <w:lvlText w:val="%1.%2  "/>
      <w:lvlJc w:val="left"/>
      <w:pPr>
        <w:ind w:left="0" w:firstLine="0"/>
      </w:pPr>
      <w:rPr>
        <w:rFonts w:hint="default" w:ascii="Arial" w:hAnsi="Arial" w:cs="Times New Roman"/>
        <w:b w:val="0"/>
        <w:i w:val="0"/>
        <w:caps w:val="0"/>
        <w:vanish w:val="0"/>
        <w:color w:val="000000"/>
        <w:sz w:val="30"/>
        <w:u w:val="none"/>
        <w:vertAlign w:val="baseline"/>
      </w:rPr>
    </w:lvl>
    <w:lvl w:ilvl="2" w:tentative="0">
      <w:start w:val="1"/>
      <w:numFmt w:val="decimal"/>
      <w:suff w:val="nothing"/>
      <w:lvlText w:val="%1.%2.%3  "/>
      <w:lvlJc w:val="left"/>
      <w:pPr>
        <w:ind w:left="0" w:firstLine="0"/>
      </w:pPr>
      <w:rPr>
        <w:rFonts w:hint="default" w:ascii="Arial" w:hAnsi="Arial" w:cs="Times New Roman"/>
        <w:b w:val="0"/>
        <w:i w:val="0"/>
        <w:caps w:val="0"/>
        <w:vanish w:val="0"/>
        <w:color w:val="000000"/>
        <w:sz w:val="24"/>
        <w:u w:val="none"/>
        <w:vertAlign w:val="baseline"/>
      </w:rPr>
    </w:lvl>
    <w:lvl w:ilvl="3" w:tentative="0">
      <w:start w:val="1"/>
      <w:numFmt w:val="decimal"/>
      <w:suff w:val="nothing"/>
      <w:lvlText w:val="%4. "/>
      <w:lvlJc w:val="left"/>
      <w:pPr>
        <w:ind w:left="1701" w:firstLine="0"/>
      </w:pPr>
      <w:rPr>
        <w:rFonts w:hint="default" w:ascii="Arial" w:hAnsi="Arial" w:cs="Times New Roman"/>
        <w:b w:val="0"/>
        <w:i w:val="0"/>
        <w:caps w:val="0"/>
        <w:vanish w:val="0"/>
        <w:color w:val="auto"/>
        <w:sz w:val="21"/>
        <w:u w:val="none"/>
        <w:vertAlign w:val="baseline"/>
      </w:rPr>
    </w:lvl>
    <w:lvl w:ilvl="4" w:tentative="0">
      <w:start w:val="1"/>
      <w:numFmt w:val="decimal"/>
      <w:suff w:val="space"/>
      <w:lvlText w:val="图%1-%5"/>
      <w:lvlJc w:val="center"/>
      <w:pPr>
        <w:ind w:left="1701" w:firstLine="0"/>
      </w:pPr>
      <w:rPr>
        <w:rFonts w:hint="default" w:ascii="Arial" w:hAnsi="Arial" w:cs="Times New Roman"/>
        <w:b w:val="0"/>
        <w:i w:val="0"/>
        <w:color w:val="000000"/>
        <w:sz w:val="18"/>
        <w:u w:val="none"/>
      </w:rPr>
    </w:lvl>
    <w:lvl w:ilvl="5" w:tentative="0">
      <w:start w:val="1"/>
      <w:numFmt w:val="decimal"/>
      <w:suff w:val="space"/>
      <w:lvlText w:val="表%1-%6"/>
      <w:lvlJc w:val="center"/>
      <w:pPr>
        <w:ind w:left="1701" w:firstLine="0"/>
      </w:pPr>
    </w:lvl>
    <w:lvl w:ilvl="6" w:tentative="0">
      <w:start w:val="1"/>
      <w:numFmt w:val="decimal"/>
      <w:pStyle w:val="37"/>
      <w:suff w:val="nothing"/>
      <w:lvlText w:val="(%7)   "/>
      <w:lvlJc w:val="left"/>
      <w:pPr>
        <w:ind w:left="1701" w:firstLine="0"/>
      </w:pPr>
      <w:rPr>
        <w:rFonts w:hint="default" w:ascii="Arial" w:hAnsi="Arial" w:cs="Times New Roman"/>
        <w:b w:val="0"/>
        <w:i w:val="0"/>
        <w:color w:val="000000"/>
        <w:sz w:val="21"/>
        <w:u w:val="none"/>
      </w:r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2">
    <w:nsid w:val="0053208E"/>
    <w:multiLevelType w:val="multilevel"/>
    <w:tmpl w:val="0053208E"/>
    <w:lvl w:ilvl="0" w:tentative="0">
      <w:start w:val="2"/>
      <w:numFmt w:val="decimal"/>
      <w:lvlText w:val="%1)"/>
      <w:lvlJc w:val="left"/>
      <w:pPr>
        <w:ind w:left="541" w:hanging="322"/>
        <w:jc w:val="left"/>
      </w:pPr>
      <w:rPr>
        <w:rFonts w:hint="default" w:ascii="仿宋" w:hAnsi="仿宋" w:eastAsia="仿宋" w:cs="仿宋"/>
        <w:spacing w:val="-2"/>
        <w:w w:val="99"/>
        <w:sz w:val="30"/>
        <w:szCs w:val="30"/>
      </w:rPr>
    </w:lvl>
    <w:lvl w:ilvl="1" w:tentative="0">
      <w:start w:val="1"/>
      <w:numFmt w:val="decimal"/>
      <w:lvlText w:val="%2."/>
      <w:lvlJc w:val="left"/>
      <w:pPr>
        <w:ind w:left="205" w:hanging="322"/>
        <w:jc w:val="left"/>
      </w:pPr>
      <w:rPr>
        <w:rFonts w:hint="default" w:ascii="仿宋" w:hAnsi="仿宋" w:eastAsia="仿宋" w:cs="仿宋"/>
        <w:spacing w:val="-46"/>
        <w:w w:val="99"/>
        <w:sz w:val="30"/>
        <w:szCs w:val="30"/>
      </w:rPr>
    </w:lvl>
    <w:lvl w:ilvl="2" w:tentative="0">
      <w:start w:val="0"/>
      <w:numFmt w:val="bullet"/>
      <w:lvlText w:val="•"/>
      <w:lvlJc w:val="left"/>
      <w:pPr>
        <w:ind w:left="1820" w:hanging="322"/>
      </w:pPr>
      <w:rPr>
        <w:rFonts w:hint="default"/>
      </w:rPr>
    </w:lvl>
    <w:lvl w:ilvl="3" w:tentative="0">
      <w:start w:val="0"/>
      <w:numFmt w:val="bullet"/>
      <w:lvlText w:val="•"/>
      <w:lvlJc w:val="left"/>
      <w:pPr>
        <w:ind w:left="2710" w:hanging="322"/>
      </w:pPr>
      <w:rPr>
        <w:rFonts w:hint="default"/>
      </w:rPr>
    </w:lvl>
    <w:lvl w:ilvl="4" w:tentative="0">
      <w:start w:val="0"/>
      <w:numFmt w:val="bullet"/>
      <w:lvlText w:val="•"/>
      <w:lvlJc w:val="left"/>
      <w:pPr>
        <w:ind w:left="3601" w:hanging="322"/>
      </w:pPr>
      <w:rPr>
        <w:rFonts w:hint="default"/>
      </w:rPr>
    </w:lvl>
    <w:lvl w:ilvl="5" w:tentative="0">
      <w:start w:val="0"/>
      <w:numFmt w:val="bullet"/>
      <w:lvlText w:val="•"/>
      <w:lvlJc w:val="left"/>
      <w:pPr>
        <w:ind w:left="4492" w:hanging="322"/>
      </w:pPr>
      <w:rPr>
        <w:rFonts w:hint="default"/>
      </w:rPr>
    </w:lvl>
    <w:lvl w:ilvl="6" w:tentative="0">
      <w:start w:val="0"/>
      <w:numFmt w:val="bullet"/>
      <w:lvlText w:val="•"/>
      <w:lvlJc w:val="left"/>
      <w:pPr>
        <w:ind w:left="5383" w:hanging="322"/>
      </w:pPr>
      <w:rPr>
        <w:rFonts w:hint="default"/>
      </w:rPr>
    </w:lvl>
    <w:lvl w:ilvl="7" w:tentative="0">
      <w:start w:val="0"/>
      <w:numFmt w:val="bullet"/>
      <w:lvlText w:val="•"/>
      <w:lvlJc w:val="left"/>
      <w:pPr>
        <w:ind w:left="6273" w:hanging="322"/>
      </w:pPr>
      <w:rPr>
        <w:rFonts w:hint="default"/>
      </w:rPr>
    </w:lvl>
    <w:lvl w:ilvl="8" w:tentative="0">
      <w:start w:val="0"/>
      <w:numFmt w:val="bullet"/>
      <w:lvlText w:val="•"/>
      <w:lvlJc w:val="left"/>
      <w:pPr>
        <w:ind w:left="7164" w:hanging="322"/>
      </w:pPr>
      <w:rPr>
        <w:rFonts w:hint="default"/>
      </w:rPr>
    </w:lvl>
  </w:abstractNum>
  <w:abstractNum w:abstractNumId="3">
    <w:nsid w:val="108167C4"/>
    <w:multiLevelType w:val="singleLevel"/>
    <w:tmpl w:val="108167C4"/>
    <w:lvl w:ilvl="0" w:tentative="0">
      <w:start w:val="1"/>
      <w:numFmt w:val="decimal"/>
      <w:suff w:val="nothing"/>
      <w:lvlText w:val="（%1）"/>
      <w:lvlJc w:val="left"/>
      <w:pPr>
        <w:ind w:left="420"/>
      </w:pPr>
    </w:lvl>
  </w:abstractNum>
  <w:abstractNum w:abstractNumId="4">
    <w:nsid w:val="3C09772B"/>
    <w:multiLevelType w:val="multilevel"/>
    <w:tmpl w:val="3C09772B"/>
    <w:lvl w:ilvl="0" w:tentative="0">
      <w:start w:val="1"/>
      <w:numFmt w:val="decimal"/>
      <w:suff w:val="nothing"/>
      <w:lvlText w:val="（%1）"/>
      <w:lvlJc w:val="left"/>
      <w:pPr>
        <w:ind w:left="-60" w:firstLine="48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47DA457F"/>
    <w:multiLevelType w:val="multilevel"/>
    <w:tmpl w:val="47DA457F"/>
    <w:lvl w:ilvl="0" w:tentative="0">
      <w:start w:val="1"/>
      <w:numFmt w:val="decimal"/>
      <w:suff w:val="nothing"/>
      <w:lvlText w:val="（%1）"/>
      <w:lvlJc w:val="left"/>
      <w:pPr>
        <w:ind w:left="570" w:firstLine="48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567D0A20"/>
    <w:multiLevelType w:val="singleLevel"/>
    <w:tmpl w:val="567D0A20"/>
    <w:lvl w:ilvl="0" w:tentative="0">
      <w:start w:val="3"/>
      <w:numFmt w:val="decimal"/>
      <w:suff w:val="nothing"/>
      <w:lvlText w:val="%1）"/>
      <w:lvlJc w:val="left"/>
    </w:lvl>
  </w:abstractNum>
  <w:abstractNum w:abstractNumId="7">
    <w:nsid w:val="6F7B0A6F"/>
    <w:multiLevelType w:val="multilevel"/>
    <w:tmpl w:val="6F7B0A6F"/>
    <w:lvl w:ilvl="0" w:tentative="0">
      <w:start w:val="4"/>
      <w:numFmt w:val="japaneseCounting"/>
      <w:pStyle w:val="25"/>
      <w:lvlText w:val="第%1章"/>
      <w:lvlJc w:val="left"/>
      <w:pPr>
        <w:tabs>
          <w:tab w:val="left" w:pos="1200"/>
        </w:tabs>
        <w:ind w:left="1200" w:hanging="1200"/>
      </w:pPr>
      <w:rPr>
        <w:rFonts w:hint="eastAsia"/>
      </w:rPr>
    </w:lvl>
    <w:lvl w:ilvl="1" w:tentative="0">
      <w:start w:val="5"/>
      <w:numFmt w:val="japaneseCounting"/>
      <w:lvlText w:val="%2）"/>
      <w:lvlJc w:val="left"/>
      <w:pPr>
        <w:tabs>
          <w:tab w:val="left" w:pos="840"/>
        </w:tabs>
        <w:ind w:left="840" w:hanging="420"/>
      </w:pPr>
      <w:rPr>
        <w:rFonts w:hint="default" w:ascii="Times New Roman" w:hAnsi="Times New Roman"/>
        <w:sz w:val="21"/>
        <w:u w:val="none"/>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3637F5D"/>
    <w:multiLevelType w:val="singleLevel"/>
    <w:tmpl w:val="73637F5D"/>
    <w:lvl w:ilvl="0" w:tentative="0">
      <w:start w:val="4"/>
      <w:numFmt w:val="chineseCounting"/>
      <w:suff w:val="space"/>
      <w:lvlText w:val="第%1章"/>
      <w:lvlJc w:val="left"/>
      <w:pPr>
        <w:ind w:left="2520"/>
      </w:pPr>
      <w:rPr>
        <w:rFonts w:hint="eastAsia"/>
      </w:rPr>
    </w:lvl>
  </w:abstractNum>
  <w:num w:numId="1">
    <w:abstractNumId w:val="7"/>
  </w:num>
  <w:num w:numId="2">
    <w:abstractNumId w:val="1"/>
  </w:num>
  <w:num w:numId="3">
    <w:abstractNumId w:val="6"/>
  </w:num>
  <w:num w:numId="4">
    <w:abstractNumId w:val="5"/>
  </w:num>
  <w:num w:numId="5">
    <w:abstractNumId w:val="3"/>
  </w:num>
  <w:num w:numId="6">
    <w:abstractNumId w:val="4"/>
  </w:num>
  <w:num w:numId="7">
    <w:abstractNumId w:val="0"/>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MzMGEwOWFmNGVjNThkZTgxM2MwNmI3MTFlM2Y2YjIifQ=="/>
  </w:docVars>
  <w:rsids>
    <w:rsidRoot w:val="57305A12"/>
    <w:rsid w:val="00056CA0"/>
    <w:rsid w:val="00614C0C"/>
    <w:rsid w:val="007C4BA2"/>
    <w:rsid w:val="007C6405"/>
    <w:rsid w:val="00C175F9"/>
    <w:rsid w:val="012A35B6"/>
    <w:rsid w:val="0CF85DDF"/>
    <w:rsid w:val="0E334BFD"/>
    <w:rsid w:val="0F054D73"/>
    <w:rsid w:val="0F7D081D"/>
    <w:rsid w:val="12BB264F"/>
    <w:rsid w:val="1A054FBD"/>
    <w:rsid w:val="1AB10450"/>
    <w:rsid w:val="1B5A64A5"/>
    <w:rsid w:val="1CA408CD"/>
    <w:rsid w:val="2002418C"/>
    <w:rsid w:val="20261F7E"/>
    <w:rsid w:val="20943012"/>
    <w:rsid w:val="21EA7EBA"/>
    <w:rsid w:val="227E248E"/>
    <w:rsid w:val="22D5039E"/>
    <w:rsid w:val="25CA2565"/>
    <w:rsid w:val="26F36E52"/>
    <w:rsid w:val="270218DC"/>
    <w:rsid w:val="27470657"/>
    <w:rsid w:val="27B36214"/>
    <w:rsid w:val="28B82DE8"/>
    <w:rsid w:val="28DD58DF"/>
    <w:rsid w:val="2D320D82"/>
    <w:rsid w:val="2ED74C31"/>
    <w:rsid w:val="2EE144CD"/>
    <w:rsid w:val="2FD45DE0"/>
    <w:rsid w:val="303B5E5F"/>
    <w:rsid w:val="31D93888"/>
    <w:rsid w:val="31EE043E"/>
    <w:rsid w:val="376B0CC8"/>
    <w:rsid w:val="38E317F0"/>
    <w:rsid w:val="396B1B1F"/>
    <w:rsid w:val="3AC120F2"/>
    <w:rsid w:val="3AE0579C"/>
    <w:rsid w:val="3C3958CD"/>
    <w:rsid w:val="3E2337C1"/>
    <w:rsid w:val="3EA3354D"/>
    <w:rsid w:val="40B549BE"/>
    <w:rsid w:val="414A0F66"/>
    <w:rsid w:val="42344F1B"/>
    <w:rsid w:val="43C75319"/>
    <w:rsid w:val="46761547"/>
    <w:rsid w:val="46B74E00"/>
    <w:rsid w:val="47976651"/>
    <w:rsid w:val="4B20784F"/>
    <w:rsid w:val="50453E30"/>
    <w:rsid w:val="552D26CC"/>
    <w:rsid w:val="556829A3"/>
    <w:rsid w:val="55BF2181"/>
    <w:rsid w:val="57305A12"/>
    <w:rsid w:val="5BE97F10"/>
    <w:rsid w:val="5C982369"/>
    <w:rsid w:val="5CEE526C"/>
    <w:rsid w:val="5D611518"/>
    <w:rsid w:val="5FF13CC0"/>
    <w:rsid w:val="61CA00CE"/>
    <w:rsid w:val="63034C9D"/>
    <w:rsid w:val="63617621"/>
    <w:rsid w:val="64542A70"/>
    <w:rsid w:val="69FD1912"/>
    <w:rsid w:val="6D2F5FB4"/>
    <w:rsid w:val="6E6E7EAF"/>
    <w:rsid w:val="6E7700E7"/>
    <w:rsid w:val="702238BC"/>
    <w:rsid w:val="73EA490F"/>
    <w:rsid w:val="75AF7CC0"/>
    <w:rsid w:val="778C6625"/>
    <w:rsid w:val="78A0451D"/>
    <w:rsid w:val="7A0F0E07"/>
    <w:rsid w:val="7B4E4580"/>
    <w:rsid w:val="7EE77440"/>
    <w:rsid w:val="7F5F2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120" w:after="120"/>
      <w:jc w:val="center"/>
      <w:outlineLvl w:val="0"/>
    </w:pPr>
    <w:rPr>
      <w:b/>
      <w:bCs/>
      <w:kern w:val="44"/>
      <w:sz w:val="28"/>
      <w:szCs w:val="44"/>
    </w:rPr>
  </w:style>
  <w:style w:type="paragraph" w:styleId="4">
    <w:name w:val="heading 2"/>
    <w:basedOn w:val="1"/>
    <w:next w:val="1"/>
    <w:qFormat/>
    <w:uiPriority w:val="0"/>
    <w:pPr>
      <w:keepNext/>
      <w:keepLines/>
      <w:adjustRightInd w:val="0"/>
      <w:spacing w:before="240" w:line="360" w:lineRule="auto"/>
      <w:jc w:val="center"/>
      <w:textAlignment w:val="baseline"/>
      <w:outlineLvl w:val="1"/>
    </w:pPr>
    <w:rPr>
      <w:rFonts w:ascii="Arial" w:hAnsi="Arial" w:eastAsia="黑体"/>
      <w:b/>
      <w:kern w:val="0"/>
      <w:sz w:val="30"/>
    </w:rPr>
  </w:style>
  <w:style w:type="paragraph" w:styleId="5">
    <w:name w:val="heading 3"/>
    <w:basedOn w:val="1"/>
    <w:next w:val="1"/>
    <w:qFormat/>
    <w:uiPriority w:val="0"/>
    <w:pPr>
      <w:keepNext/>
      <w:keepLines/>
      <w:adjustRightInd w:val="0"/>
      <w:spacing w:before="240" w:after="120" w:line="300" w:lineRule="auto"/>
      <w:jc w:val="left"/>
      <w:textAlignment w:val="baseline"/>
      <w:outlineLvl w:val="2"/>
    </w:pPr>
    <w:rPr>
      <w:b/>
      <w:kern w:val="0"/>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2"/>
    <w:basedOn w:val="1"/>
    <w:qFormat/>
    <w:uiPriority w:val="0"/>
    <w:pPr>
      <w:spacing w:after="120" w:afterLines="0" w:line="480" w:lineRule="auto"/>
    </w:pPr>
    <w:rPr>
      <w:rFonts w:ascii="Times New Roman" w:hAnsi="Times New Roman" w:eastAsia="宋体" w:cs="Times New Roman"/>
    </w:rPr>
  </w:style>
  <w:style w:type="paragraph" w:styleId="6">
    <w:name w:val="Normal Indent"/>
    <w:basedOn w:val="1"/>
    <w:qFormat/>
    <w:uiPriority w:val="0"/>
    <w:pPr>
      <w:ind w:firstLine="420"/>
    </w:pPr>
  </w:style>
  <w:style w:type="paragraph" w:styleId="7">
    <w:name w:val="Body Text"/>
    <w:basedOn w:val="1"/>
    <w:next w:val="1"/>
    <w:qFormat/>
    <w:uiPriority w:val="0"/>
    <w:rPr>
      <w:sz w:val="28"/>
      <w:szCs w:val="20"/>
    </w:rPr>
  </w:style>
  <w:style w:type="paragraph" w:styleId="8">
    <w:name w:val="Body Text Indent"/>
    <w:basedOn w:val="1"/>
    <w:qFormat/>
    <w:uiPriority w:val="0"/>
    <w:pPr>
      <w:spacing w:after="120" w:afterLines="0"/>
      <w:ind w:left="420" w:leftChars="200"/>
    </w:pPr>
    <w:rPr>
      <w:rFonts w:ascii="Times New Roman" w:hAnsi="Times New Roman" w:eastAsia="宋体" w:cs="Times New Roman"/>
    </w:rPr>
  </w:style>
  <w:style w:type="paragraph" w:styleId="9">
    <w:name w:val="Plain Text"/>
    <w:basedOn w:val="1"/>
    <w:qFormat/>
    <w:uiPriority w:val="0"/>
    <w:rPr>
      <w:rFonts w:ascii="宋体" w:hAnsi="Courier New"/>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tabs>
        <w:tab w:val="left" w:pos="1050"/>
        <w:tab w:val="right" w:leader="dot" w:pos="8269"/>
      </w:tabs>
    </w:pPr>
  </w:style>
  <w:style w:type="paragraph" w:styleId="13">
    <w:name w:val="Subtitle"/>
    <w:basedOn w:val="1"/>
    <w:next w:val="1"/>
    <w:qFormat/>
    <w:uiPriority w:val="0"/>
    <w:pPr>
      <w:spacing w:before="120" w:after="120"/>
      <w:jc w:val="center"/>
      <w:outlineLvl w:val="1"/>
    </w:pPr>
    <w:rPr>
      <w:rFonts w:ascii="Cambria" w:hAnsi="Cambria"/>
      <w:b/>
      <w:bCs/>
      <w:kern w:val="28"/>
      <w:sz w:val="24"/>
      <w:szCs w:val="32"/>
    </w:rPr>
  </w:style>
  <w:style w:type="paragraph" w:styleId="14">
    <w:name w:val="footnote text"/>
    <w:basedOn w:val="1"/>
    <w:qFormat/>
    <w:uiPriority w:val="0"/>
    <w:pPr>
      <w:snapToGrid w:val="0"/>
      <w:jc w:val="left"/>
    </w:pPr>
    <w:rPr>
      <w:rFonts w:ascii="Times New Roman" w:hAnsi="Times New Roman" w:eastAsia="宋体" w:cs="Times New Roman"/>
      <w:sz w:val="18"/>
    </w:r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6">
    <w:name w:val="Title"/>
    <w:basedOn w:val="1"/>
    <w:next w:val="1"/>
    <w:link w:val="26"/>
    <w:qFormat/>
    <w:uiPriority w:val="0"/>
    <w:pPr>
      <w:spacing w:before="240" w:after="60"/>
      <w:jc w:val="center"/>
      <w:outlineLvl w:val="0"/>
    </w:pPr>
    <w:rPr>
      <w:rFonts w:ascii="Cambria" w:hAnsi="Cambria"/>
      <w:b/>
      <w:bCs/>
      <w:sz w:val="36"/>
      <w:szCs w:val="32"/>
    </w:rPr>
  </w:style>
  <w:style w:type="paragraph" w:styleId="17">
    <w:name w:val="Body Text First Indent"/>
    <w:basedOn w:val="7"/>
    <w:qFormat/>
    <w:uiPriority w:val="0"/>
    <w:pPr>
      <w:ind w:firstLine="420" w:firstLineChars="100"/>
    </w:pPr>
    <w:rPr>
      <w:rFonts w:ascii="Arial" w:hAnsi="Arial"/>
    </w:rPr>
  </w:style>
  <w:style w:type="paragraph" w:styleId="18">
    <w:name w:val="Body Text First Indent 2"/>
    <w:basedOn w:val="8"/>
    <w:qFormat/>
    <w:uiPriority w:val="0"/>
    <w:pPr>
      <w:ind w:left="0" w:leftChars="0" w:firstLine="210"/>
    </w:pPr>
    <w:rPr>
      <w:rFonts w:ascii="Times New Roman" w:hAnsi="Times New Roman" w:eastAsia="宋体" w:cs="Times New Roman"/>
      <w:szCs w:val="20"/>
    </w:rPr>
  </w:style>
  <w:style w:type="character" w:styleId="21">
    <w:name w:val="Strong"/>
    <w:basedOn w:val="20"/>
    <w:qFormat/>
    <w:uiPriority w:val="0"/>
    <w:rPr>
      <w:b/>
    </w:rPr>
  </w:style>
  <w:style w:type="character" w:styleId="22">
    <w:name w:val="page number"/>
    <w:qFormat/>
    <w:uiPriority w:val="0"/>
    <w:rPr>
      <w:rFonts w:eastAsia="宋体"/>
      <w:sz w:val="24"/>
      <w:szCs w:val="24"/>
      <w:lang w:val="en-US" w:eastAsia="zh-CN" w:bidi="ar-SA"/>
    </w:rPr>
  </w:style>
  <w:style w:type="paragraph" w:styleId="23">
    <w:name w:val="List Paragraph"/>
    <w:basedOn w:val="1"/>
    <w:qFormat/>
    <w:uiPriority w:val="34"/>
    <w:pPr>
      <w:ind w:firstLine="420" w:firstLineChars="200"/>
    </w:pPr>
  </w:style>
  <w:style w:type="paragraph" w:customStyle="1" w:styleId="24">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25">
    <w:name w:val="样式1"/>
    <w:basedOn w:val="1"/>
    <w:qFormat/>
    <w:uiPriority w:val="0"/>
    <w:pPr>
      <w:numPr>
        <w:ilvl w:val="0"/>
        <w:numId w:val="1"/>
      </w:numPr>
      <w:tabs>
        <w:tab w:val="left" w:pos="709"/>
      </w:tabs>
      <w:adjustRightInd w:val="0"/>
      <w:textAlignment w:val="baseline"/>
    </w:pPr>
    <w:rPr>
      <w:rFonts w:ascii="宋体" w:hAnsi="宋体"/>
      <w:kern w:val="0"/>
      <w:szCs w:val="21"/>
    </w:rPr>
  </w:style>
  <w:style w:type="character" w:customStyle="1" w:styleId="26">
    <w:name w:val="标题 字符"/>
    <w:link w:val="16"/>
    <w:qFormat/>
    <w:uiPriority w:val="0"/>
    <w:rPr>
      <w:rFonts w:ascii="Cambria" w:hAnsi="Cambria"/>
      <w:b/>
      <w:bCs/>
      <w:sz w:val="36"/>
      <w:szCs w:val="32"/>
    </w:rPr>
  </w:style>
  <w:style w:type="paragraph" w:customStyle="1" w:styleId="27">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8">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29">
    <w:name w:val="No Spacing"/>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30">
    <w:name w:val="样式 仿宋_GB2312 (符号) 宋体 小四 黑色 行距: 1.5 倍行距 首行缩进:  2 字符"/>
    <w:basedOn w:val="1"/>
    <w:qFormat/>
    <w:uiPriority w:val="0"/>
    <w:pPr>
      <w:ind w:firstLine="480" w:firstLineChars="200"/>
    </w:pPr>
    <w:rPr>
      <w:rFonts w:ascii="Verdana" w:hAnsi="Cambria" w:eastAsia="Times New Roman" w:cs="Verdana"/>
      <w:color w:val="000000"/>
      <w:sz w:val="28"/>
      <w:szCs w:val="28"/>
    </w:rPr>
  </w:style>
  <w:style w:type="paragraph" w:customStyle="1" w:styleId="31">
    <w:name w:val="正文文本1"/>
    <w:basedOn w:val="1"/>
    <w:qFormat/>
    <w:uiPriority w:val="0"/>
    <w:pPr>
      <w:ind w:left="700" w:hanging="700" w:hangingChars="250"/>
    </w:pPr>
    <w:rPr>
      <w:rFonts w:ascii="Verdana" w:hAnsi="楷体" w:eastAsia="Times New Roman" w:cs="Verdana"/>
      <w:color w:val="000000"/>
      <w:sz w:val="28"/>
      <w:szCs w:val="28"/>
    </w:rPr>
  </w:style>
  <w:style w:type="character" w:customStyle="1" w:styleId="32">
    <w:name w:val="font71"/>
    <w:basedOn w:val="20"/>
    <w:qFormat/>
    <w:uiPriority w:val="0"/>
    <w:rPr>
      <w:rFonts w:hint="eastAsia" w:ascii="等线" w:hAnsi="等线" w:eastAsia="等线" w:cs="等线"/>
      <w:color w:val="000000"/>
      <w:sz w:val="20"/>
      <w:szCs w:val="20"/>
      <w:u w:val="none"/>
    </w:rPr>
  </w:style>
  <w:style w:type="character" w:customStyle="1" w:styleId="33">
    <w:name w:val="font121"/>
    <w:basedOn w:val="20"/>
    <w:qFormat/>
    <w:uiPriority w:val="0"/>
    <w:rPr>
      <w:rFonts w:ascii="Arial Unicode MS" w:hAnsi="Arial Unicode MS" w:eastAsia="Arial Unicode MS" w:cs="Arial Unicode MS"/>
      <w:color w:val="000000"/>
      <w:sz w:val="20"/>
      <w:szCs w:val="20"/>
      <w:u w:val="none"/>
    </w:rPr>
  </w:style>
  <w:style w:type="character" w:customStyle="1" w:styleId="34">
    <w:name w:val="font131"/>
    <w:basedOn w:val="20"/>
    <w:qFormat/>
    <w:uiPriority w:val="0"/>
    <w:rPr>
      <w:rFonts w:ascii="Calibri" w:hAnsi="Calibri" w:cs="Calibri"/>
      <w:color w:val="000000"/>
      <w:sz w:val="20"/>
      <w:szCs w:val="20"/>
      <w:u w:val="none"/>
    </w:rPr>
  </w:style>
  <w:style w:type="character" w:customStyle="1" w:styleId="35">
    <w:name w:val="font101"/>
    <w:basedOn w:val="20"/>
    <w:qFormat/>
    <w:uiPriority w:val="0"/>
    <w:rPr>
      <w:rFonts w:hint="default" w:ascii="Times New Roman" w:hAnsi="Times New Roman" w:cs="Times New Roman"/>
      <w:color w:val="000000"/>
      <w:sz w:val="20"/>
      <w:szCs w:val="20"/>
      <w:u w:val="none"/>
    </w:rPr>
  </w:style>
  <w:style w:type="character" w:customStyle="1" w:styleId="36">
    <w:name w:val="font11"/>
    <w:basedOn w:val="20"/>
    <w:qFormat/>
    <w:uiPriority w:val="0"/>
    <w:rPr>
      <w:rFonts w:hint="eastAsia" w:ascii="宋体" w:hAnsi="宋体" w:eastAsia="宋体" w:cs="宋体"/>
      <w:color w:val="000000"/>
      <w:sz w:val="20"/>
      <w:szCs w:val="20"/>
      <w:u w:val="none"/>
    </w:rPr>
  </w:style>
  <w:style w:type="paragraph" w:customStyle="1" w:styleId="37">
    <w:name w:val="UserStyle_0"/>
    <w:basedOn w:val="1"/>
    <w:qFormat/>
    <w:uiPriority w:val="0"/>
    <w:pPr>
      <w:widowControl/>
      <w:numPr>
        <w:ilvl w:val="6"/>
        <w:numId w:val="2"/>
      </w:numPr>
      <w:tabs>
        <w:tab w:val="left" w:pos="822"/>
      </w:tabs>
      <w:snapToGrid w:val="0"/>
      <w:spacing w:before="40" w:after="40" w:line="300" w:lineRule="atLeast"/>
      <w:textAlignment w:val="baseline"/>
    </w:pPr>
    <w:rPr>
      <w:rFonts w:ascii="Arial" w:hAnsi="Arial"/>
      <w:kern w:val="0"/>
    </w:rPr>
  </w:style>
  <w:style w:type="paragraph" w:customStyle="1" w:styleId="38">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39">
    <w:name w:val="正文1"/>
    <w:basedOn w:val="1"/>
    <w:qFormat/>
    <w:uiPriority w:val="0"/>
    <w:pPr>
      <w:widowControl/>
      <w:spacing w:before="100" w:beforeAutospacing="1" w:after="200" w:line="300" w:lineRule="atLeast"/>
      <w:jc w:val="left"/>
    </w:pPr>
    <w:rPr>
      <w:rFonts w:ascii="Calibri" w:hAnsi="Calibri" w:eastAsia="宋体" w:cs="宋体"/>
      <w:kern w:val="0"/>
      <w:sz w:val="22"/>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34233</Words>
  <Characters>36655</Characters>
  <Lines>269</Lines>
  <Paragraphs>75</Paragraphs>
  <TotalTime>9</TotalTime>
  <ScaleCrop>false</ScaleCrop>
  <LinksUpToDate>false</LinksUpToDate>
  <CharactersWithSpaces>38226</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2021-11-13T04:17:00Z</dcterms:created>
  <dc:creator>糊涂范～</dc:creator>
  <cp:lastModifiedBy>呵呵</cp:lastModifiedBy>
  <cp:lastPrinted>2021-12-02T06:37:00Z</cp:lastPrinted>
  <dcterms:modified xsi:type="dcterms:W3CDTF">2022-07-28T09:18:46Z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7AF620AB2C6D4481AB3B9F54D7B14BF6</vt:lpwstr>
  </property>
</Properties>
</file>