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44"/>
          <w:szCs w:val="44"/>
        </w:rPr>
      </w:pPr>
      <w:r>
        <w:rPr>
          <w:rFonts w:hint="eastAsia" w:ascii="宋体" w:hAnsi="宋体" w:eastAsia="宋体" w:cs="宋体"/>
          <w:color w:val="auto"/>
          <w:sz w:val="44"/>
          <w:szCs w:val="44"/>
        </w:rPr>
        <w:t xml:space="preserve"> </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2022年冬季取暖用煤</w:t>
      </w:r>
    </w:p>
    <w:p>
      <w:pPr>
        <w:jc w:val="center"/>
        <w:rPr>
          <w:rFonts w:hint="default" w:ascii="宋体" w:hAnsi="宋体" w:eastAsia="宋体" w:cs="宋体"/>
          <w:b/>
          <w:bCs/>
          <w:color w:val="auto"/>
          <w:sz w:val="44"/>
          <w:szCs w:val="44"/>
          <w:lang w:val="en-US" w:eastAsia="zh-CN"/>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144"/>
          <w:szCs w:val="144"/>
          <w:highlight w:val="none"/>
        </w:rPr>
      </w:pPr>
      <w:r>
        <w:rPr>
          <w:rFonts w:hint="eastAsia" w:ascii="宋体" w:hAnsi="宋体" w:cs="宋体"/>
          <w:b/>
          <w:color w:val="auto"/>
          <w:sz w:val="144"/>
          <w:szCs w:val="144"/>
          <w:highlight w:val="none"/>
        </w:rPr>
        <w:t>招 标 文 件</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15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val="en-US" w:eastAsia="zh-CN"/>
        </w:rPr>
        <w:t>沙雅县机关事务服务中心</w:t>
      </w:r>
    </w:p>
    <w:p>
      <w:pPr>
        <w:adjustRightInd w:val="0"/>
        <w:snapToGrid w:val="0"/>
        <w:spacing w:line="360" w:lineRule="auto"/>
        <w:ind w:firstLine="482" w:firstLineChars="15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syx</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gkzb</w:t>
      </w:r>
      <w:r>
        <w:rPr>
          <w:rFonts w:hint="eastAsia" w:ascii="宋体" w:hAnsi="宋体" w:cs="宋体"/>
          <w:b/>
          <w:bCs/>
          <w:color w:val="auto"/>
          <w:sz w:val="32"/>
          <w:szCs w:val="32"/>
          <w:highlight w:val="none"/>
        </w:rPr>
        <w:t>-2022-</w:t>
      </w:r>
      <w:r>
        <w:rPr>
          <w:rFonts w:hint="eastAsia" w:ascii="宋体" w:hAnsi="宋体" w:cs="宋体"/>
          <w:b/>
          <w:bCs/>
          <w:color w:val="auto"/>
          <w:sz w:val="32"/>
          <w:szCs w:val="32"/>
          <w:highlight w:val="none"/>
          <w:lang w:val="en-US" w:eastAsia="zh-CN"/>
        </w:rPr>
        <w:t>001</w:t>
      </w:r>
    </w:p>
    <w:p>
      <w:pPr>
        <w:adjustRightInd w:val="0"/>
        <w:snapToGrid w:val="0"/>
        <w:spacing w:line="360" w:lineRule="auto"/>
        <w:ind w:firstLine="482" w:firstLineChars="150"/>
        <w:outlineLvl w:val="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采购代理机构：新疆乾达项目管理有限公司</w:t>
      </w:r>
    </w:p>
    <w:p>
      <w:pPr>
        <w:adjustRightInd w:val="0"/>
        <w:snapToGrid w:val="0"/>
        <w:spacing w:line="360" w:lineRule="auto"/>
        <w:jc w:val="center"/>
        <w:rPr>
          <w:rFonts w:hint="eastAsia" w:ascii="宋体" w:hAnsi="宋体" w:cs="宋体"/>
          <w:b/>
          <w:bCs/>
          <w:color w:val="auto"/>
          <w:sz w:val="32"/>
          <w:szCs w:val="32"/>
          <w:highlight w:val="none"/>
        </w:rPr>
      </w:pPr>
    </w:p>
    <w:p>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eastAsia="zh-CN"/>
        </w:rPr>
        <w:t>二</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rPr>
        <w:t>月</w:t>
      </w:r>
    </w:p>
    <w:p>
      <w:pPr>
        <w:pStyle w:val="8"/>
        <w:rPr>
          <w:rFonts w:hint="eastAsia" w:ascii="宋体" w:hAnsi="宋体" w:cs="宋体"/>
          <w:b/>
          <w:bCs/>
          <w:color w:val="auto"/>
          <w:sz w:val="32"/>
          <w:szCs w:val="32"/>
          <w:highlight w:val="none"/>
        </w:rPr>
      </w:pPr>
    </w:p>
    <w:p>
      <w:pPr>
        <w:rPr>
          <w:rFonts w:hint="eastAsia"/>
          <w:color w:val="auto"/>
        </w:rPr>
      </w:pPr>
    </w:p>
    <w:p>
      <w:pPr>
        <w:pStyle w:val="15"/>
        <w:rPr>
          <w:rFonts w:hint="eastAsia" w:ascii="宋体" w:hAnsi="宋体" w:cs="宋体"/>
          <w:b/>
          <w:bCs/>
          <w:color w:val="auto"/>
          <w:sz w:val="32"/>
          <w:szCs w:val="32"/>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hint="eastAsia" w:ascii="宋体" w:hAnsi="宋体" w:cs="宋体"/>
          <w:bCs/>
          <w:color w:val="auto"/>
          <w:sz w:val="44"/>
          <w:szCs w:val="44"/>
          <w:highlight w:val="none"/>
        </w:rPr>
      </w:pPr>
    </w:p>
    <w:p>
      <w:pPr>
        <w:widowControl/>
        <w:spacing w:line="700" w:lineRule="exact"/>
        <w:ind w:left="3630" w:hanging="3630" w:hangingChars="825"/>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rPr>
        <w:t>招标文件</w:t>
      </w:r>
    </w:p>
    <w:p>
      <w:pPr>
        <w:widowControl/>
        <w:spacing w:line="700" w:lineRule="exact"/>
        <w:jc w:val="left"/>
        <w:rPr>
          <w:rFonts w:ascii="宋体" w:hAnsi="宋体" w:cs="宋体"/>
          <w:bCs/>
          <w:color w:val="auto"/>
          <w:sz w:val="28"/>
          <w:szCs w:val="28"/>
          <w:highlight w:val="none"/>
        </w:rPr>
      </w:pPr>
    </w:p>
    <w:p>
      <w:pPr>
        <w:spacing w:line="600" w:lineRule="exact"/>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bCs/>
          <w:color w:val="auto"/>
          <w:sz w:val="28"/>
          <w:szCs w:val="28"/>
          <w:highlight w:val="none"/>
          <w:lang w:val="en-US" w:eastAsia="zh-CN"/>
        </w:rPr>
        <w:t>2022年冬季取暖用煤</w:t>
      </w:r>
    </w:p>
    <w:p>
      <w:pPr>
        <w:spacing w:line="600" w:lineRule="exact"/>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采购</w:t>
      </w:r>
      <w:r>
        <w:rPr>
          <w:rFonts w:hint="eastAsia" w:ascii="宋体" w:hAnsi="宋体" w:cs="宋体"/>
          <w:bCs/>
          <w:color w:val="auto"/>
          <w:sz w:val="28"/>
          <w:szCs w:val="28"/>
          <w:highlight w:val="none"/>
        </w:rPr>
        <w:t>人（公章）：</w:t>
      </w:r>
      <w:r>
        <w:rPr>
          <w:rFonts w:hint="eastAsia" w:ascii="宋体" w:hAnsi="宋体" w:cs="宋体"/>
          <w:bCs/>
          <w:color w:val="auto"/>
          <w:sz w:val="28"/>
          <w:szCs w:val="28"/>
          <w:highlight w:val="none"/>
          <w:lang w:val="en-US" w:eastAsia="zh-CN"/>
        </w:rPr>
        <w:t>沙雅县机关事务服务中心</w:t>
      </w:r>
    </w:p>
    <w:p>
      <w:pPr>
        <w:spacing w:line="6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法定代表人（</w:t>
      </w:r>
      <w:r>
        <w:rPr>
          <w:rFonts w:hint="eastAsia" w:ascii="宋体" w:hAnsi="宋体" w:cs="宋体"/>
          <w:bCs/>
          <w:color w:val="auto"/>
          <w:sz w:val="28"/>
          <w:szCs w:val="28"/>
          <w:highlight w:val="none"/>
          <w:lang w:eastAsia="zh-CN"/>
        </w:rPr>
        <w:t>签字或盖章</w:t>
      </w:r>
      <w:r>
        <w:rPr>
          <w:rFonts w:hint="eastAsia" w:ascii="宋体" w:hAnsi="宋体" w:cs="宋体"/>
          <w:bCs/>
          <w:color w:val="auto"/>
          <w:sz w:val="28"/>
          <w:szCs w:val="28"/>
          <w:highlight w:val="none"/>
        </w:rPr>
        <w:t>）：</w:t>
      </w:r>
    </w:p>
    <w:p>
      <w:pPr>
        <w:spacing w:line="600" w:lineRule="exact"/>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联系人：马小红</w:t>
      </w:r>
    </w:p>
    <w:p>
      <w:pPr>
        <w:spacing w:line="6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联系电话：15352567757 </w:t>
      </w:r>
    </w:p>
    <w:p>
      <w:pPr>
        <w:spacing w:line="600" w:lineRule="exact"/>
        <w:rPr>
          <w:rFonts w:hint="eastAsia" w:ascii="宋体" w:hAnsi="宋体" w:cs="宋体"/>
          <w:bCs/>
          <w:color w:val="auto"/>
          <w:sz w:val="28"/>
          <w:szCs w:val="28"/>
          <w:highlight w:val="none"/>
        </w:rPr>
      </w:pPr>
    </w:p>
    <w:p>
      <w:pPr>
        <w:spacing w:line="6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采购</w:t>
      </w:r>
      <w:r>
        <w:rPr>
          <w:rFonts w:hint="eastAsia" w:ascii="宋体" w:hAnsi="宋体" w:cs="宋体"/>
          <w:bCs/>
          <w:color w:val="auto"/>
          <w:sz w:val="28"/>
          <w:szCs w:val="28"/>
          <w:highlight w:val="none"/>
        </w:rPr>
        <w:t>代理机构（公章）：新疆乾达项目管理有限公司</w:t>
      </w:r>
    </w:p>
    <w:p>
      <w:pPr>
        <w:spacing w:line="6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法定代表人（</w:t>
      </w:r>
      <w:r>
        <w:rPr>
          <w:rFonts w:hint="eastAsia" w:ascii="宋体" w:hAnsi="宋体" w:cs="宋体"/>
          <w:bCs/>
          <w:color w:val="auto"/>
          <w:sz w:val="28"/>
          <w:szCs w:val="28"/>
          <w:highlight w:val="none"/>
          <w:lang w:eastAsia="zh-CN"/>
        </w:rPr>
        <w:t>签字或盖章</w:t>
      </w:r>
      <w:r>
        <w:rPr>
          <w:rFonts w:hint="eastAsia" w:ascii="宋体" w:hAnsi="宋体" w:cs="宋体"/>
          <w:bCs/>
          <w:color w:val="auto"/>
          <w:sz w:val="28"/>
          <w:szCs w:val="28"/>
          <w:highlight w:val="none"/>
        </w:rPr>
        <w:t>）：</w:t>
      </w:r>
    </w:p>
    <w:p>
      <w:pPr>
        <w:spacing w:line="600" w:lineRule="exact"/>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rPr>
        <w:t>联系人：</w:t>
      </w:r>
      <w:r>
        <w:rPr>
          <w:rFonts w:hint="eastAsia" w:ascii="宋体" w:hAnsi="宋体" w:cs="宋体"/>
          <w:bCs/>
          <w:color w:val="auto"/>
          <w:sz w:val="28"/>
          <w:szCs w:val="28"/>
          <w:highlight w:val="none"/>
          <w:lang w:val="en-US" w:eastAsia="zh-CN"/>
        </w:rPr>
        <w:t>李峰</w:t>
      </w:r>
    </w:p>
    <w:p>
      <w:pPr>
        <w:spacing w:line="600" w:lineRule="exact"/>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rPr>
        <w:t>联系电话： 15599967076</w:t>
      </w:r>
    </w:p>
    <w:p>
      <w:pPr>
        <w:spacing w:line="6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联系地址：阿克苏市文化路建安一区院内物业公司二楼</w:t>
      </w:r>
    </w:p>
    <w:p>
      <w:pPr>
        <w:spacing w:line="600" w:lineRule="exact"/>
        <w:rPr>
          <w:rFonts w:ascii="宋体" w:hAnsi="宋体" w:cs="宋体"/>
          <w:bCs/>
          <w:color w:val="auto"/>
          <w:sz w:val="28"/>
          <w:szCs w:val="28"/>
          <w:highlight w:val="none"/>
        </w:rPr>
      </w:pPr>
    </w:p>
    <w:p>
      <w:pPr>
        <w:spacing w:line="600" w:lineRule="exact"/>
        <w:rPr>
          <w:rFonts w:ascii="宋体" w:hAnsi="宋体" w:cs="宋体"/>
          <w:bCs/>
          <w:color w:val="auto"/>
          <w:sz w:val="28"/>
          <w:szCs w:val="28"/>
          <w:highlight w:val="none"/>
        </w:rPr>
      </w:pPr>
    </w:p>
    <w:p>
      <w:pPr>
        <w:spacing w:line="600" w:lineRule="exact"/>
        <w:ind w:firstLine="3080" w:firstLineChars="1100"/>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二〇二二年八月</w:t>
      </w:r>
    </w:p>
    <w:p>
      <w:pPr>
        <w:pStyle w:val="14"/>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p>
    <w:p>
      <w:pPr>
        <w:pStyle w:val="14"/>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7"/>
        <w:spacing w:line="360" w:lineRule="auto"/>
        <w:rPr>
          <w:rFonts w:hint="eastAsia"/>
          <w:color w:val="auto"/>
          <w:highlight w:val="none"/>
        </w:rPr>
      </w:pPr>
    </w:p>
    <w:p>
      <w:pPr>
        <w:pStyle w:val="14"/>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pPr>
        <w:pStyle w:val="14"/>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4"/>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4"/>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第四章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_Toc27253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4"/>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第五章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_Toc31265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360" w:lineRule="auto"/>
        <w:rPr>
          <w:rFonts w:hint="eastAsia" w:ascii="宋体" w:hAnsi="宋体" w:cs="宋体"/>
          <w:color w:val="auto"/>
          <w:sz w:val="24"/>
          <w:highlight w:val="none"/>
        </w:rPr>
      </w:pPr>
      <w:r>
        <w:rPr>
          <w:rFonts w:hint="eastAsia" w:ascii="宋体" w:hAnsi="宋体" w:cs="宋体"/>
          <w:color w:val="auto"/>
          <w:sz w:val="28"/>
          <w:szCs w:val="28"/>
          <w:highlight w:val="none"/>
        </w:rPr>
        <w:fldChar w:fldCharType="end"/>
      </w:r>
    </w:p>
    <w:p>
      <w:pPr>
        <w:adjustRightInd w:val="0"/>
        <w:snapToGrid w:val="0"/>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8"/>
          <w:szCs w:val="28"/>
        </w:rPr>
      </w:pPr>
      <w:r>
        <w:rPr>
          <w:rFonts w:hint="eastAsia"/>
          <w:color w:val="auto"/>
          <w:lang w:val="en-US" w:eastAsia="zh-CN"/>
        </w:rPr>
        <w:t>2022年冬季取暖用煤招标</w:t>
      </w:r>
      <w:r>
        <w:rPr>
          <w:rFonts w:hint="eastAsia"/>
          <w:color w:val="auto"/>
          <w:lang w:eastAsia="zh-CN"/>
        </w:rPr>
        <w:t>公告</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项目概况</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2022年冬季取暖用煤</w:t>
      </w:r>
      <w:r>
        <w:rPr>
          <w:rFonts w:hint="eastAsia" w:ascii="宋体" w:hAnsi="宋体" w:cs="宋体"/>
          <w:color w:val="auto"/>
          <w:sz w:val="28"/>
          <w:szCs w:val="28"/>
          <w:lang w:val="en-US" w:eastAsia="zh-CN"/>
        </w:rPr>
        <w:t>项目</w:t>
      </w:r>
      <w:r>
        <w:rPr>
          <w:rFonts w:hint="eastAsia" w:ascii="宋体" w:hAnsi="宋体" w:eastAsia="宋体" w:cs="宋体"/>
          <w:color w:val="auto"/>
          <w:sz w:val="28"/>
          <w:szCs w:val="28"/>
          <w:lang w:val="en-US" w:eastAsia="zh-CN"/>
        </w:rPr>
        <w:t>的潜在供应商应在政采云平台获取采购文件，并于2022年</w:t>
      </w:r>
      <w:r>
        <w:rPr>
          <w:rFonts w:hint="eastAsia" w:ascii="宋体" w:hAnsi="宋体" w:cs="宋体"/>
          <w:color w:val="auto"/>
          <w:sz w:val="28"/>
          <w:szCs w:val="28"/>
          <w:lang w:val="en-US" w:eastAsia="zh-CN"/>
        </w:rPr>
        <w:t>08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24</w:t>
      </w:r>
      <w:r>
        <w:rPr>
          <w:rFonts w:hint="eastAsia" w:ascii="宋体" w:hAnsi="宋体" w:eastAsia="宋体" w:cs="宋体"/>
          <w:color w:val="auto"/>
          <w:sz w:val="28"/>
          <w:szCs w:val="28"/>
          <w:lang w:val="en-US" w:eastAsia="zh-CN"/>
        </w:rPr>
        <w:t>日1</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0（北京时间）前提交投标文件。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一、项目基本情况</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项目编号：</w:t>
      </w:r>
      <w:r>
        <w:rPr>
          <w:rFonts w:hint="eastAsia" w:ascii="宋体" w:hAnsi="宋体" w:cs="宋体"/>
          <w:color w:val="auto"/>
          <w:sz w:val="28"/>
          <w:szCs w:val="28"/>
          <w:lang w:val="en-US" w:eastAsia="zh-CN"/>
        </w:rPr>
        <w:t>syx</w:t>
      </w:r>
      <w:r>
        <w:rPr>
          <w:rFonts w:hint="eastAsia" w:ascii="宋体" w:hAnsi="宋体" w:eastAsia="宋体" w:cs="宋体"/>
          <w:color w:val="auto"/>
          <w:sz w:val="28"/>
          <w:szCs w:val="28"/>
          <w:lang w:eastAsia="zh-CN"/>
        </w:rPr>
        <w:t>-gkzb-2022-00</w:t>
      </w:r>
      <w:r>
        <w:rPr>
          <w:rFonts w:hint="eastAsia" w:ascii="宋体" w:hAnsi="宋体" w:cs="宋体"/>
          <w:color w:val="auto"/>
          <w:sz w:val="28"/>
          <w:szCs w:val="28"/>
          <w:lang w:val="en-US" w:eastAsia="zh-CN"/>
        </w:rPr>
        <w:t>1</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6"/>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项目名称：</w:t>
      </w:r>
      <w:r>
        <w:rPr>
          <w:rFonts w:hint="eastAsia" w:ascii="宋体" w:hAnsi="宋体" w:eastAsia="宋体" w:cs="宋体"/>
          <w:color w:val="auto"/>
          <w:sz w:val="28"/>
          <w:szCs w:val="28"/>
          <w:lang w:val="en-US" w:eastAsia="zh-CN"/>
        </w:rPr>
        <w:t>2022年冬季取暖用煤</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采购方式：</w:t>
      </w:r>
      <w:r>
        <w:rPr>
          <w:rFonts w:hint="eastAsia" w:ascii="宋体" w:hAnsi="宋体" w:cs="宋体"/>
          <w:color w:val="auto"/>
          <w:sz w:val="28"/>
          <w:szCs w:val="28"/>
          <w:lang w:eastAsia="zh-CN"/>
        </w:rPr>
        <w:t>公开招标</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预算金额（元）：</w:t>
      </w:r>
      <w:r>
        <w:rPr>
          <w:rFonts w:hint="eastAsia" w:ascii="宋体" w:hAnsi="宋体" w:eastAsia="宋体" w:cs="宋体"/>
          <w:color w:val="auto"/>
          <w:sz w:val="28"/>
          <w:szCs w:val="28"/>
          <w:lang w:val="en-US" w:eastAsia="zh-CN"/>
        </w:rPr>
        <w:t xml:space="preserve">22275780.00 </w:t>
      </w:r>
      <w:r>
        <w:rPr>
          <w:rFonts w:hint="eastAsia" w:ascii="宋体" w:hAnsi="宋体" w:eastAsia="宋体" w:cs="宋体"/>
          <w:color w:val="auto"/>
          <w:sz w:val="28"/>
          <w:szCs w:val="28"/>
          <w:lang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最高限价（元）：</w:t>
      </w:r>
      <w:r>
        <w:rPr>
          <w:rFonts w:hint="eastAsia" w:ascii="宋体" w:hAnsi="宋体" w:eastAsia="宋体" w:cs="宋体"/>
          <w:color w:val="auto"/>
          <w:sz w:val="28"/>
          <w:szCs w:val="28"/>
          <w:lang w:val="en-US" w:eastAsia="zh-CN"/>
        </w:rPr>
        <w:t xml:space="preserve">22275780.00 </w:t>
      </w:r>
      <w:r>
        <w:rPr>
          <w:rFonts w:hint="eastAsia" w:ascii="宋体" w:hAnsi="宋体" w:eastAsia="宋体" w:cs="宋体"/>
          <w:color w:val="auto"/>
          <w:sz w:val="28"/>
          <w:szCs w:val="28"/>
          <w:lang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采购需求：</w:t>
      </w:r>
      <w:r>
        <w:rPr>
          <w:rFonts w:hint="eastAsia" w:ascii="宋体" w:hAnsi="宋体" w:cs="宋体"/>
          <w:color w:val="auto"/>
          <w:sz w:val="28"/>
          <w:szCs w:val="28"/>
          <w:lang w:val="en-US" w:eastAsia="zh-CN"/>
        </w:rPr>
        <w:t>采购一批冬季用煤（有烟煤块、无烟煤块及有烟沫子煤）</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标项名称:</w:t>
      </w:r>
      <w:r>
        <w:rPr>
          <w:rFonts w:hint="eastAsia" w:ascii="宋体" w:hAnsi="宋体" w:eastAsia="宋体" w:cs="宋体"/>
          <w:color w:val="auto"/>
          <w:sz w:val="28"/>
          <w:szCs w:val="28"/>
          <w:lang w:val="en-US" w:eastAsia="zh-CN"/>
        </w:rPr>
        <w:t>2022年冬季取暖用煤</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数量:</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单位：</w:t>
      </w:r>
      <w:r>
        <w:rPr>
          <w:rFonts w:hint="eastAsia" w:ascii="宋体" w:hAnsi="宋体" w:cs="宋体"/>
          <w:color w:val="auto"/>
          <w:sz w:val="28"/>
          <w:szCs w:val="28"/>
          <w:lang w:eastAsia="zh-CN"/>
        </w:rPr>
        <w:t>批</w:t>
      </w:r>
      <w:r>
        <w:rPr>
          <w:rFonts w:hint="eastAsia" w:ascii="宋体" w:hAnsi="宋体" w:eastAsia="宋体" w:cs="宋体"/>
          <w:color w:val="auto"/>
          <w:sz w:val="28"/>
          <w:szCs w:val="28"/>
        </w:rPr>
        <w:t> </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简要规格描述：</w:t>
      </w:r>
      <w:r>
        <w:rPr>
          <w:rFonts w:hint="eastAsia" w:ascii="宋体" w:hAnsi="宋体" w:eastAsia="宋体" w:cs="宋体"/>
          <w:color w:val="auto"/>
          <w:sz w:val="28"/>
          <w:szCs w:val="28"/>
          <w:lang w:val="en-US" w:eastAsia="zh-CN"/>
        </w:rPr>
        <w:t>采购一批冬季用煤</w:t>
      </w:r>
      <w:r>
        <w:rPr>
          <w:rFonts w:hint="eastAsia" w:ascii="宋体" w:hAnsi="宋体" w:eastAsia="宋体" w:cs="宋体"/>
          <w:color w:val="auto"/>
          <w:sz w:val="28"/>
          <w:szCs w:val="28"/>
          <w:lang w:eastAsia="zh-CN"/>
        </w:rPr>
        <w:t>（详见清单）。</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合同履约期限：</w:t>
      </w:r>
      <w:r>
        <w:rPr>
          <w:rFonts w:hint="eastAsia" w:ascii="宋体" w:hAnsi="宋体" w:eastAsia="宋体" w:cs="宋体"/>
          <w:color w:val="auto"/>
          <w:sz w:val="28"/>
          <w:szCs w:val="28"/>
          <w:lang w:val="en-US" w:eastAsia="zh-CN"/>
        </w:rPr>
        <w:t>按照甲乙双方签订的合同日期执行</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rPr>
        <w:t>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二、申请人的资格要求：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1.满足《中华人民共和国政府采购法》第二十二条规定</w:t>
      </w:r>
      <w:r>
        <w:rPr>
          <w:rFonts w:hint="eastAsia" w:ascii="宋体" w:hAnsi="宋体" w:cs="宋体"/>
          <w:color w:val="auto"/>
          <w:sz w:val="28"/>
          <w:szCs w:val="28"/>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（1）具有独立承担民事责任的能力的供应商；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（2）具有良好的商业信誉和健全的财务会计制度；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（3）具有履行合同所必需的设备和专业技术能力；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（4）有依法缴纳税收和社会保障资金的良好记录；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38" w:firstLineChars="200"/>
        <w:jc w:val="left"/>
        <w:textAlignment w:val="auto"/>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val="en-US" w:eastAsia="zh-CN"/>
        </w:rPr>
        <w:t>（5）参加本次采购活动前三年内，在经营活动中没有重大违法记录；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color w:val="auto"/>
          <w:lang w:eastAsia="zh-CN"/>
        </w:rPr>
      </w:pPr>
      <w:r>
        <w:rPr>
          <w:rFonts w:hint="eastAsia" w:ascii="宋体" w:hAnsi="宋体" w:eastAsia="宋体" w:cs="宋体"/>
          <w:color w:val="auto"/>
          <w:sz w:val="28"/>
          <w:szCs w:val="28"/>
          <w:lang w:val="en-US" w:eastAsia="zh-CN"/>
        </w:rPr>
        <w:t>（6）法律、行政法规规定的其他条件。</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（5）财政部、工业和信息化部《关于印发《政府采购促进中小企业</w:t>
      </w:r>
      <w:r>
        <w:rPr>
          <w:rFonts w:hint="eastAsia" w:ascii="宋体" w:hAnsi="宋体" w:cs="宋体"/>
          <w:color w:val="auto"/>
          <w:sz w:val="28"/>
          <w:szCs w:val="28"/>
          <w:lang w:val="en-US" w:eastAsia="zh-CN"/>
        </w:rPr>
        <w:t>发展管理</w:t>
      </w:r>
      <w:r>
        <w:rPr>
          <w:rFonts w:hint="eastAsia" w:ascii="宋体" w:hAnsi="宋体" w:eastAsia="宋体" w:cs="宋体"/>
          <w:color w:val="auto"/>
          <w:sz w:val="28"/>
          <w:szCs w:val="28"/>
          <w:lang w:val="en-US" w:eastAsia="zh-CN"/>
        </w:rPr>
        <w:t>》的通知》（财库[</w:t>
      </w:r>
      <w:r>
        <w:rPr>
          <w:rFonts w:hint="eastAsia" w:ascii="宋体" w:hAnsi="宋体" w:cs="宋体"/>
          <w:color w:val="auto"/>
          <w:sz w:val="28"/>
          <w:szCs w:val="28"/>
          <w:lang w:val="en-US" w:eastAsia="zh-CN"/>
        </w:rPr>
        <w:t>2020</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46</w:t>
      </w:r>
      <w:r>
        <w:rPr>
          <w:rFonts w:hint="eastAsia" w:ascii="宋体" w:hAnsi="宋体" w:eastAsia="宋体" w:cs="宋体"/>
          <w:color w:val="auto"/>
          <w:sz w:val="28"/>
          <w:szCs w:val="28"/>
          <w:lang w:val="en-US" w:eastAsia="zh-CN"/>
        </w:rPr>
        <w:t xml:space="preserve">号文）；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（6）财政部、民政部、中国残疾人联合会《关于促进残疾人就业政府采购政策的通知》（财库[2017]141号）。</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3.本项目的特定资格要求：</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（1）具备有效的营业执照；</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（2）法人代表或其委托代理人应提供本人身份证原件，委托代理人还应提供《法人代表授权委托书》；</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供应商如在“信用中国”网站信用信息报告、国家企业信用信息公示报告、中国政府采购网未被列入严重违法失信行为记录名单的（尚在处罚期内的），将拒绝其参加本次政府采购活动﹙投标人网上自行打印后加盖投标单位公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三、获取</w:t>
      </w:r>
      <w:r>
        <w:rPr>
          <w:rFonts w:hint="eastAsia" w:ascii="宋体" w:hAnsi="宋体" w:cs="宋体"/>
          <w:b/>
          <w:bCs/>
          <w:color w:val="auto"/>
          <w:sz w:val="28"/>
          <w:szCs w:val="28"/>
          <w:lang w:eastAsia="zh-CN"/>
        </w:rPr>
        <w:t>招标</w:t>
      </w:r>
      <w:r>
        <w:rPr>
          <w:rFonts w:hint="eastAsia" w:ascii="宋体" w:hAnsi="宋体" w:eastAsia="宋体" w:cs="宋体"/>
          <w:b/>
          <w:bCs/>
          <w:color w:val="auto"/>
          <w:sz w:val="28"/>
          <w:szCs w:val="28"/>
        </w:rPr>
        <w:t>文件</w:t>
      </w:r>
      <w:r>
        <w:rPr>
          <w:rFonts w:hint="eastAsia" w:ascii="宋体" w:hAnsi="宋体" w:eastAsia="宋体" w:cs="宋体"/>
          <w:color w:val="auto"/>
          <w:sz w:val="28"/>
          <w:szCs w:val="28"/>
        </w:rPr>
        <w:t> </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0</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04</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08</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，每天上午10:00至14:00，下午</w:t>
      </w:r>
      <w:r>
        <w:rPr>
          <w:rFonts w:hint="eastAsia" w:ascii="宋体" w:hAnsi="宋体" w:eastAsia="宋体" w:cs="宋体"/>
          <w:color w:val="auto"/>
          <w:sz w:val="28"/>
          <w:szCs w:val="28"/>
          <w:lang w:val="en-US" w:eastAsia="zh-CN"/>
        </w:rPr>
        <w:t>16:00</w:t>
      </w:r>
      <w:r>
        <w:rPr>
          <w:rFonts w:hint="eastAsia" w:ascii="宋体" w:hAnsi="宋体" w:eastAsia="宋体" w:cs="宋体"/>
          <w:color w:val="auto"/>
          <w:sz w:val="28"/>
          <w:szCs w:val="28"/>
        </w:rPr>
        <w:t>至</w:t>
      </w:r>
      <w:r>
        <w:rPr>
          <w:rFonts w:hint="eastAsia" w:ascii="宋体" w:hAnsi="宋体" w:eastAsia="宋体" w:cs="宋体"/>
          <w:color w:val="auto"/>
          <w:sz w:val="28"/>
          <w:szCs w:val="28"/>
          <w:lang w:val="en-US" w:eastAsia="zh-CN"/>
        </w:rPr>
        <w:t>20:00</w:t>
      </w:r>
      <w:r>
        <w:rPr>
          <w:rFonts w:hint="eastAsia" w:ascii="宋体" w:hAnsi="宋体" w:eastAsia="宋体" w:cs="宋体"/>
          <w:color w:val="auto"/>
          <w:sz w:val="28"/>
          <w:szCs w:val="28"/>
        </w:rPr>
        <w:t>（北京时间，法定节假日除外）</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bookmarkStart w:id="46" w:name="_GoBack"/>
      <w:bookmarkEnd w:id="4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提交投标文件截止时间：</w:t>
      </w:r>
      <w:r>
        <w:rPr>
          <w:rFonts w:hint="eastAsia" w:ascii="宋体" w:hAnsi="宋体" w:eastAsia="宋体" w:cs="宋体"/>
          <w:color w:val="auto"/>
          <w:sz w:val="28"/>
          <w:szCs w:val="28"/>
          <w:lang w:val="en-US" w:eastAsia="zh-CN"/>
        </w:rPr>
        <w:t>2022年</w:t>
      </w:r>
      <w:r>
        <w:rPr>
          <w:rFonts w:hint="eastAsia" w:ascii="宋体" w:hAnsi="宋体" w:cs="宋体"/>
          <w:color w:val="auto"/>
          <w:sz w:val="28"/>
          <w:szCs w:val="28"/>
          <w:lang w:val="en-US" w:eastAsia="zh-CN"/>
        </w:rPr>
        <w:t>0</w:t>
      </w: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24</w:t>
      </w:r>
      <w:r>
        <w:rPr>
          <w:rFonts w:hint="eastAsia" w:ascii="宋体" w:hAnsi="宋体" w:eastAsia="宋体" w:cs="宋体"/>
          <w:color w:val="auto"/>
          <w:sz w:val="28"/>
          <w:szCs w:val="28"/>
          <w:lang w:val="en-US" w:eastAsia="zh-CN"/>
        </w:rPr>
        <w:t>日1</w:t>
      </w:r>
      <w:r>
        <w:rPr>
          <w:rFonts w:hint="eastAsia"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0</w:t>
      </w:r>
      <w:r>
        <w:rPr>
          <w:rFonts w:hint="eastAsia" w:ascii="宋体" w:hAnsi="宋体" w:eastAsia="宋体" w:cs="宋体"/>
          <w:color w:val="auto"/>
          <w:sz w:val="28"/>
          <w:szCs w:val="28"/>
          <w:lang w:val="en-US" w:eastAsia="zh-CN"/>
        </w:rPr>
        <w:t>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投标地点：政采云一站式政府采购云平台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开标时间：</w:t>
      </w:r>
      <w:r>
        <w:rPr>
          <w:rFonts w:hint="eastAsia" w:ascii="宋体" w:hAnsi="宋体" w:eastAsia="宋体" w:cs="宋体"/>
          <w:color w:val="auto"/>
          <w:sz w:val="28"/>
          <w:szCs w:val="28"/>
          <w:lang w:val="en-US" w:eastAsia="zh-CN"/>
        </w:rPr>
        <w:t>2022年</w:t>
      </w:r>
      <w:r>
        <w:rPr>
          <w:rFonts w:hint="eastAsia" w:ascii="宋体" w:hAnsi="宋体" w:cs="宋体"/>
          <w:color w:val="auto"/>
          <w:sz w:val="28"/>
          <w:szCs w:val="28"/>
          <w:lang w:val="en-US" w:eastAsia="zh-CN"/>
        </w:rPr>
        <w:t>0</w:t>
      </w: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24</w:t>
      </w:r>
      <w:r>
        <w:rPr>
          <w:rFonts w:hint="eastAsia" w:ascii="宋体" w:hAnsi="宋体" w:eastAsia="宋体" w:cs="宋体"/>
          <w:color w:val="auto"/>
          <w:sz w:val="28"/>
          <w:szCs w:val="28"/>
          <w:lang w:val="en-US" w:eastAsia="zh-CN"/>
        </w:rPr>
        <w:t>日1</w:t>
      </w:r>
      <w:r>
        <w:rPr>
          <w:rFonts w:hint="eastAsia"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0</w:t>
      </w:r>
      <w:r>
        <w:rPr>
          <w:rFonts w:hint="eastAsia" w:ascii="宋体" w:hAnsi="宋体" w:eastAsia="宋体" w:cs="宋体"/>
          <w:color w:val="auto"/>
          <w:sz w:val="28"/>
          <w:szCs w:val="28"/>
          <w:lang w:val="en-US" w:eastAsia="zh-CN"/>
        </w:rPr>
        <w:t>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开标地点：政采云一站式政府采购云平台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宋体" w:hAnsi="宋体" w:eastAsia="宋体" w:cs="宋体"/>
          <w:color w:val="auto"/>
          <w:kern w:val="2"/>
          <w:sz w:val="28"/>
          <w:szCs w:val="28"/>
          <w:lang w:val="en-US" w:eastAsia="zh-CN" w:bidi="ar-SA"/>
        </w:rPr>
        <w:t>自本公告发布之日起</w:t>
      </w:r>
      <w:r>
        <w:rPr>
          <w:rFonts w:hint="default" w:ascii="宋体" w:hAnsi="宋体" w:eastAsia="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个工作日。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仿宋" w:hAnsi="仿宋" w:eastAsia="仿宋" w:cs="仿宋"/>
          <w:i w:val="0"/>
          <w:caps w:val="0"/>
          <w:color w:val="auto"/>
          <w:spacing w:val="0"/>
          <w:sz w:val="27"/>
          <w:szCs w:val="27"/>
          <w:lang w:val="en-US" w:eastAsia="zh-CN"/>
        </w:rPr>
      </w:pPr>
      <w:r>
        <w:rPr>
          <w:rFonts w:hint="eastAsia" w:ascii="仿宋_GB2312" w:hAnsi="仿宋_GB2312" w:eastAsia="仿宋_GB2312" w:cs="仿宋_GB2312"/>
          <w:b/>
          <w:bCs/>
          <w:color w:val="auto"/>
          <w:sz w:val="32"/>
          <w:szCs w:val="32"/>
          <w:lang w:val="en-US" w:eastAsia="zh-CN"/>
        </w:rPr>
        <w:t>六、其他补充事宜</w:t>
      </w:r>
    </w:p>
    <w:p>
      <w:pPr>
        <w:pageBreakBefore w:val="0"/>
        <w:widowControl w:val="0"/>
        <w:kinsoku/>
        <w:wordWrap/>
        <w:overflowPunct/>
        <w:topLinePunct w:val="0"/>
        <w:autoSpaceDE/>
        <w:autoSpaceDN/>
        <w:bidi w:val="0"/>
        <w:adjustRightInd/>
        <w:snapToGrid/>
        <w:spacing w:line="400" w:lineRule="exact"/>
        <w:ind w:left="542" w:hanging="562" w:hanging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w:t>
      </w:r>
      <w:r>
        <w:rPr>
          <w:rFonts w:hint="eastAsia" w:ascii="仿宋" w:hAnsi="仿宋" w:eastAsia="仿宋" w:cs="仿宋"/>
          <w:i w:val="0"/>
          <w:caps w:val="0"/>
          <w:color w:val="auto"/>
          <w:spacing w:val="0"/>
          <w:sz w:val="27"/>
          <w:szCs w:val="27"/>
          <w:lang w:val="en-US" w:eastAsia="zh-CN"/>
        </w:rPr>
        <w:t xml:space="preserve">  </w:t>
      </w:r>
      <w:r>
        <w:rPr>
          <w:rFonts w:hint="eastAsia" w:ascii="宋体" w:hAnsi="宋体" w:eastAsia="宋体" w:cs="宋体"/>
          <w:color w:val="auto"/>
          <w:kern w:val="2"/>
          <w:sz w:val="28"/>
          <w:szCs w:val="28"/>
          <w:lang w:val="en-US" w:eastAsia="zh-CN" w:bidi="ar-SA"/>
        </w:rPr>
        <w:t>1、本公告在新疆政府采购网发布；  </w:t>
      </w:r>
    </w:p>
    <w:p>
      <w:pPr>
        <w:pageBreakBefore w:val="0"/>
        <w:widowControl w:val="0"/>
        <w:kinsoku/>
        <w:wordWrap/>
        <w:overflowPunct/>
        <w:topLinePunct w:val="0"/>
        <w:autoSpaceDE/>
        <w:autoSpaceDN/>
        <w:bidi w:val="0"/>
        <w:adjustRightInd/>
        <w:snapToGrid/>
        <w:spacing w:line="400" w:lineRule="exact"/>
        <w:ind w:left="542" w:hanging="562" w:hanging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2、请投标单位随时关注本项目的澄清、答疑、变更事项。</w:t>
      </w:r>
    </w:p>
    <w:p>
      <w:pPr>
        <w:pageBreakBefore w:val="0"/>
        <w:kinsoku/>
        <w:wordWrap/>
        <w:overflowPunct/>
        <w:topLinePunct w:val="0"/>
        <w:autoSpaceDE/>
        <w:autoSpaceDN/>
        <w:bidi w:val="0"/>
        <w:adjustRightInd/>
        <w:snapToGrid/>
        <w:spacing w:line="400" w:lineRule="exact"/>
        <w:ind w:firstLine="281"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3、本项目实行电子招投标，供应商须登录政采云平台申请获取磋商文件，并通过政采云电子投标客户端制作响应文件，同时自行承担与投标有关的一切费用。</w:t>
      </w:r>
    </w:p>
    <w:p>
      <w:pPr>
        <w:pageBreakBefore w:val="0"/>
        <w:kinsoku/>
        <w:wordWrap/>
        <w:overflowPunct/>
        <w:topLinePunct w:val="0"/>
        <w:autoSpaceDE/>
        <w:autoSpaceDN/>
        <w:bidi w:val="0"/>
        <w:adjustRightInd/>
        <w:snapToGrid/>
        <w:spacing w:line="400" w:lineRule="exact"/>
        <w:ind w:firstLine="281"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4、各供应商应在开标前确保成为新疆维吾尔自治区政府采购网正式注册入库供应商，并完成CA数字证书申领。因未注册入库、未办理CA数字证书等原因造成无法投标或投标失败等后果由供应商自行承担。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autoSpaceDE/>
        <w:autoSpaceDN/>
        <w:bidi w:val="0"/>
        <w:adjustRightInd/>
        <w:snapToGrid/>
        <w:spacing w:line="400" w:lineRule="exact"/>
        <w:ind w:firstLine="281"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pageBreakBefore w:val="0"/>
        <w:widowControl w:val="0"/>
        <w:kinsoku/>
        <w:wordWrap/>
        <w:overflowPunct/>
        <w:topLinePunct w:val="0"/>
        <w:autoSpaceDE/>
        <w:autoSpaceDN/>
        <w:bidi w:val="0"/>
        <w:adjustRightInd/>
        <w:snapToGrid/>
        <w:spacing w:line="400" w:lineRule="exact"/>
        <w:ind w:left="542" w:hanging="562" w:hanging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特别提示：</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eastAsia="zh-CN"/>
        </w:rPr>
        <w:t>七</w:t>
      </w:r>
      <w:r>
        <w:rPr>
          <w:rFonts w:hint="eastAsia" w:ascii="宋体" w:hAnsi="宋体" w:eastAsia="宋体" w:cs="宋体"/>
          <w:b/>
          <w:bCs/>
          <w:color w:val="auto"/>
          <w:sz w:val="28"/>
          <w:szCs w:val="28"/>
        </w:rPr>
        <w:t>、对本次采购提出询问，请按以下方式联系</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称：沙雅县机关事务服务中心</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w:t>
      </w:r>
      <w:r>
        <w:rPr>
          <w:rFonts w:hint="eastAsia" w:ascii="宋体" w:hAnsi="宋体" w:cs="宋体"/>
          <w:color w:val="auto"/>
          <w:sz w:val="28"/>
          <w:szCs w:val="28"/>
          <w:lang w:val="en-US" w:eastAsia="zh-CN"/>
        </w:rPr>
        <w:t>沙雅县</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联系方式：15352567757</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称：新疆乾达项目管理有限公司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址：阿克苏市文化路建安一区院内物业公司二楼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项目联系人：李峰</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　　  话： 15599967076</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p>
    <w:p>
      <w:pPr>
        <w:pageBreakBefore w:val="0"/>
        <w:widowControl w:val="0"/>
        <w:kinsoku/>
        <w:wordWrap/>
        <w:overflowPunct/>
        <w:topLinePunct w:val="0"/>
        <w:autoSpaceDE/>
        <w:autoSpaceDN/>
        <w:bidi w:val="0"/>
        <w:adjustRightInd/>
        <w:snapToGrid/>
        <w:spacing w:line="400" w:lineRule="exact"/>
        <w:ind w:firstLine="211" w:firstLineChars="100"/>
        <w:textAlignment w:val="auto"/>
        <w:rPr>
          <w:rFonts w:hint="default"/>
          <w:color w:val="auto"/>
          <w:lang w:val="en-US" w:eastAsia="zh-CN"/>
        </w:rPr>
      </w:pPr>
    </w:p>
    <w:p>
      <w:pPr>
        <w:rPr>
          <w:color w:val="auto"/>
        </w:rPr>
      </w:pPr>
    </w:p>
    <w:p>
      <w:pPr>
        <w:pStyle w:val="3"/>
        <w:keepLines w:val="0"/>
        <w:pageBreakBefore/>
        <w:numPr>
          <w:ilvl w:val="0"/>
          <w:numId w:val="1"/>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bookmarkStart w:id="0" w:name="_Toc9386"/>
      <w:r>
        <w:rPr>
          <w:rFonts w:hint="eastAsia" w:ascii="宋体" w:hAnsi="宋体" w:eastAsia="宋体" w:cs="宋体"/>
          <w:b/>
          <w:bCs w:val="0"/>
          <w:color w:val="auto"/>
          <w:sz w:val="32"/>
          <w:szCs w:val="32"/>
          <w:highlight w:val="none"/>
        </w:rPr>
        <w:t xml:space="preserve"> </w:t>
      </w:r>
      <w:bookmarkStart w:id="1" w:name="_Toc5463"/>
      <w:bookmarkStart w:id="2" w:name="_Toc32321"/>
      <w:bookmarkStart w:id="3" w:name="_Toc10132"/>
      <w:r>
        <w:rPr>
          <w:rFonts w:hint="eastAsia" w:ascii="宋体" w:hAnsi="宋体" w:eastAsia="宋体" w:cs="宋体"/>
          <w:b/>
          <w:bCs w:val="0"/>
          <w:color w:val="auto"/>
          <w:sz w:val="32"/>
          <w:szCs w:val="32"/>
          <w:highlight w:val="none"/>
        </w:rPr>
        <w:t>投标人须知</w:t>
      </w:r>
      <w:bookmarkEnd w:id="0"/>
      <w:bookmarkEnd w:id="1"/>
      <w:bookmarkEnd w:id="2"/>
      <w:bookmarkEnd w:id="3"/>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auto"/>
          <w:sz w:val="28"/>
          <w:szCs w:val="28"/>
          <w:highlight w:val="none"/>
        </w:rPr>
      </w:pPr>
      <w:bookmarkStart w:id="4" w:name="_Toc152042304"/>
      <w:bookmarkStart w:id="5" w:name="_Toc25446"/>
      <w:bookmarkStart w:id="6" w:name="_Toc152045528"/>
      <w:bookmarkStart w:id="7" w:name="_Toc13641"/>
      <w:bookmarkStart w:id="8" w:name="_Toc144974496"/>
      <w:bookmarkStart w:id="9" w:name="_Toc179632545"/>
      <w:bookmarkStart w:id="10" w:name="_Toc665"/>
      <w:r>
        <w:rPr>
          <w:rFonts w:hint="eastAsia" w:ascii="宋体" w:hAnsi="宋体" w:eastAsia="宋体" w:cs="宋体"/>
          <w:bCs w:val="0"/>
          <w:color w:val="auto"/>
          <w:sz w:val="28"/>
          <w:szCs w:val="28"/>
          <w:highlight w:val="none"/>
        </w:rPr>
        <w:t>投标人须知前附表</w:t>
      </w:r>
      <w:bookmarkEnd w:id="4"/>
      <w:bookmarkEnd w:id="5"/>
      <w:bookmarkEnd w:id="6"/>
      <w:bookmarkEnd w:id="7"/>
      <w:bookmarkEnd w:id="8"/>
      <w:bookmarkEnd w:id="9"/>
      <w:bookmarkEnd w:id="10"/>
    </w:p>
    <w:tbl>
      <w:tblPr>
        <w:tblStyle w:val="18"/>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303"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303" w:type="dxa"/>
            <w:noWrap w:val="0"/>
            <w:vAlign w:val="center"/>
          </w:tcPr>
          <w:p>
            <w:pPr>
              <w:spacing w:line="360" w:lineRule="auto"/>
              <w:rPr>
                <w:rFonts w:hint="eastAsia" w:ascii="宋体" w:hAnsi="宋体" w:eastAsia="Times New Roman"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2022年冬季取暖用煤</w:t>
            </w:r>
          </w:p>
          <w:p>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招标文件编号：</w:t>
            </w:r>
            <w:r>
              <w:rPr>
                <w:rFonts w:hint="eastAsia" w:ascii="宋体" w:hAnsi="宋体" w:cs="宋体"/>
                <w:color w:val="auto"/>
                <w:sz w:val="24"/>
                <w:highlight w:val="none"/>
                <w:lang w:val="en-US" w:eastAsia="zh-CN"/>
              </w:rPr>
              <w:t>syx</w:t>
            </w:r>
            <w:r>
              <w:rPr>
                <w:rFonts w:hint="eastAsia" w:ascii="宋体" w:hAnsi="宋体" w:cs="宋体"/>
                <w:color w:val="auto"/>
                <w:sz w:val="24"/>
                <w:highlight w:val="none"/>
                <w:lang w:eastAsia="zh-CN"/>
              </w:rPr>
              <w:t>-gkzb-2022-00</w:t>
            </w: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303"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采购代理机构：新疆乾达项目管理有限公司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303" w:type="dxa"/>
            <w:noWrap w:val="0"/>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招标内容：采购一批冬季用煤（有烟煤块、无烟煤块及有烟沫子煤）（详见清单）</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22275780.00 元(贰仟贰佰贰拾柒万伍仟柒佰捌拾元整)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303" w:type="dxa"/>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供货期限：</w:t>
            </w:r>
            <w:r>
              <w:rPr>
                <w:rFonts w:hint="eastAsia" w:ascii="宋体" w:hAnsi="宋体" w:cs="宋体"/>
                <w:color w:val="auto"/>
                <w:sz w:val="24"/>
                <w:highlight w:val="none"/>
                <w:lang w:val="en-US" w:eastAsia="zh-CN"/>
              </w:rPr>
              <w:t>45日历天</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供货地点：</w:t>
            </w:r>
            <w:r>
              <w:rPr>
                <w:rFonts w:hint="eastAsia" w:ascii="宋体" w:hAnsi="宋体" w:cs="宋体"/>
                <w:color w:val="auto"/>
                <w:sz w:val="24"/>
                <w:highlight w:val="none"/>
                <w:lang w:val="en-US" w:eastAsia="zh-CN"/>
              </w:rPr>
              <w:t>沙雅县</w:t>
            </w:r>
            <w:r>
              <w:rPr>
                <w:rFonts w:hint="eastAsia" w:ascii="宋体" w:hAnsi="宋体" w:cs="宋体"/>
                <w:color w:val="auto"/>
                <w:kern w:val="0"/>
                <w:sz w:val="24"/>
                <w:highlight w:val="none"/>
                <w:shd w:val="clear" w:color="auto" w:fill="FFFFFF"/>
                <w:lang w:eastAsia="zh-CN"/>
              </w:rPr>
              <w:t>（</w:t>
            </w:r>
            <w:r>
              <w:rPr>
                <w:rFonts w:hint="eastAsia" w:ascii="宋体" w:hAnsi="宋体" w:cs="宋体"/>
                <w:color w:val="auto"/>
                <w:kern w:val="0"/>
                <w:sz w:val="24"/>
                <w:highlight w:val="none"/>
                <w:shd w:val="clear" w:color="auto" w:fill="FFFFFF"/>
                <w:lang w:val="en-US" w:eastAsia="zh-CN"/>
              </w:rPr>
              <w:t>招标人指定地点</w:t>
            </w:r>
            <w:r>
              <w:rPr>
                <w:rFonts w:hint="eastAsia" w:ascii="宋体" w:hAnsi="宋体" w:cs="宋体"/>
                <w:color w:val="auto"/>
                <w:kern w:val="0"/>
                <w:sz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303"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投标人资格条件、能力和信誉：</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（二）具备有效的营业执照原件；</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（三）法人代表或其委托代理人应提供本人身份证原件，委托代理人还应提供《法人代表授权委托书》原件；</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）近三年的财务审计报告</w:t>
            </w:r>
            <w:r>
              <w:rPr>
                <w:rFonts w:hint="eastAsia" w:ascii="宋体" w:hAnsi="宋体" w:cs="宋体"/>
                <w:color w:val="auto"/>
                <w:sz w:val="24"/>
                <w:highlight w:val="none"/>
                <w:lang w:val="en-US" w:eastAsia="zh-CN"/>
              </w:rPr>
              <w:t>或财务报表</w:t>
            </w:r>
            <w:r>
              <w:rPr>
                <w:rFonts w:hint="eastAsia" w:ascii="宋体" w:hAnsi="宋体" w:eastAsia="宋体" w:cs="宋体"/>
                <w:color w:val="auto"/>
                <w:sz w:val="24"/>
                <w:highlight w:val="none"/>
                <w:lang w:val="en-US" w:eastAsia="zh-CN"/>
              </w:rPr>
              <w:t>（成立不足三年的提供成立至今的财务审计报告或财务报表，成立不足一年的提供成立至今的财务报表，包含资产负债表、现金流量表、利润表）；近</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个月（连续）的社保证明（需有相关人员的社保缴纳明细，退休人员需提供退休证明）和完税证明；</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供应商如在“信用中国”网站（www.creditchina.gov.cn）信用信息报告、国家企业信用信息公示报告、中国政府采购网被列入严重违法失信行为记录名单的（尚在处罚期内的），将拒绝其参加本次政府采购活动﹙投标人网上自行打印后加盖投标单位公章﹚。</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（七）本项目不接受联合体投标。</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财务要求：财务状况良好。</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业绩要求：本项目不作要求。</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信誉要求：良好，无不良行为记录。</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303" w:type="dxa"/>
            <w:noWrap w:val="0"/>
            <w:vAlign w:val="center"/>
          </w:tcPr>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投标保证金金额：400000.00元 （大写：肆拾万元整）</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投标保证金提交形式：</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（1）支票、汇票、本票或者金融机构、担保机构出具的保函等非现金形式提交。</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（2）从企业账户缴纳至以下账户，须在投标截止时间前到账。</w:t>
            </w:r>
          </w:p>
          <w:p>
            <w:pPr>
              <w:pStyle w:val="17"/>
              <w:spacing w:line="240" w:lineRule="auto"/>
              <w:ind w:left="0" w:leftChars="0" w:firstLine="0" w:firstLineChars="0"/>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保证金</w:t>
            </w:r>
            <w:r>
              <w:rPr>
                <w:rFonts w:hint="eastAsia" w:ascii="宋体" w:hAnsi="宋体" w:eastAsia="宋体" w:cs="宋体"/>
                <w:color w:val="auto"/>
                <w:kern w:val="0"/>
                <w:sz w:val="24"/>
                <w:lang w:val="en-US" w:eastAsia="zh-CN"/>
              </w:rPr>
              <w:t>截止时间</w:t>
            </w:r>
            <w:r>
              <w:rPr>
                <w:rFonts w:hint="eastAsia" w:ascii="宋体" w:hAnsi="宋体" w:cs="宋体"/>
                <w:color w:val="auto"/>
                <w:kern w:val="0"/>
                <w:sz w:val="24"/>
                <w:lang w:val="en-US" w:eastAsia="zh-CN"/>
              </w:rPr>
              <w:t>：2022年8月23日18:00</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开户名称：新疆乾达项目管理有限公司</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开户银行：中国建设银行股份有限公司阿克苏塔中路支行</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帐    号：65050110102000000426</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供应商按上述形式提交投标保证金的，请保留好打款凭证</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不得以个人形式缴纳。通过网银缴纳投标保证金的投标人需提交投标保证金银行收款回执单，同时标注项目名称。</w:t>
            </w:r>
          </w:p>
          <w:p>
            <w:pPr>
              <w:pStyle w:val="17"/>
              <w:spacing w:line="24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注：1、采用支票形式的，供应商应充分考虑支票入账时间，以确保投标保证金能按时进入指定账户。根据银行信息交换和付款时间，支票从递交至实际入账一般需要4-5个工作日。如供应商未及时提交支票或支票不符合银行委托收款要求（如污损、折叠、胶装等），将导致投标保证金不能按时进入指定账户。</w:t>
            </w:r>
          </w:p>
          <w:p>
            <w:pPr>
              <w:spacing w:line="360" w:lineRule="auto"/>
              <w:rPr>
                <w:rFonts w:hint="eastAsia" w:ascii="宋体" w:hAnsi="宋体" w:eastAsia="宋体" w:cs="宋体"/>
                <w:color w:val="FF0000"/>
                <w:sz w:val="24"/>
                <w:highlight w:val="none"/>
                <w:lang w:val="en-US" w:eastAsia="zh-CN"/>
              </w:rPr>
            </w:pPr>
            <w:r>
              <w:rPr>
                <w:rFonts w:hint="eastAsia" w:ascii="宋体" w:hAnsi="宋体" w:eastAsia="宋体" w:cs="宋体"/>
                <w:color w:val="auto"/>
                <w:kern w:val="0"/>
                <w:sz w:val="24"/>
                <w:lang w:val="en-US" w:eastAsia="zh-CN"/>
              </w:rPr>
              <w:t>2、为方便退还投标保证金，请各供应商在开标当天提交‘收到退还保证金收据原件’、开户许可证复印件及投标保证金缴存证明原件。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9303" w:type="dxa"/>
            <w:noWrap w:val="0"/>
            <w:vAlign w:val="center"/>
          </w:tcPr>
          <w:p>
            <w:pPr>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履约保证金</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要求，履约保证金的形式：支票、汇票、银行转账或银行保函、履约保证保险等法律法规规定的形式</w:t>
            </w:r>
          </w:p>
          <w:p>
            <w:pPr>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履约保证金的金额：金额为合同总价的</w:t>
            </w:r>
            <w:r>
              <w:rPr>
                <w:rFonts w:hint="eastAsia" w:ascii="宋体" w:hAnsi="宋体" w:cs="宋体"/>
                <w:color w:val="auto"/>
                <w:kern w:val="0"/>
                <w:sz w:val="24"/>
                <w:lang w:val="en-US" w:eastAsia="zh-CN"/>
              </w:rPr>
              <w:t>8</w:t>
            </w:r>
            <w:r>
              <w:rPr>
                <w:rFonts w:hint="eastAsia" w:ascii="宋体" w:hAnsi="宋体" w:eastAsia="宋体" w:cs="宋体"/>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投标截止时间：20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303" w:type="dxa"/>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投标文件递交地点：</w:t>
            </w:r>
            <w:r>
              <w:rPr>
                <w:rFonts w:hint="eastAsia" w:ascii="宋体" w:hAnsi="宋体" w:cs="宋体"/>
                <w:color w:val="auto"/>
                <w:sz w:val="24"/>
                <w:highlight w:val="none"/>
                <w:lang w:eastAsia="zh-CN"/>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9303"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开标日期：20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0时（北京时间）</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eastAsia="宋体" w:cs="宋体"/>
                <w:color w:val="auto"/>
                <w:sz w:val="24"/>
                <w:highlight w:val="none"/>
                <w:lang w:eastAsia="zh-CN"/>
              </w:rPr>
              <w:t>政采云一站式政府采购云平台</w:t>
            </w:r>
          </w:p>
          <w:p>
            <w:pPr>
              <w:spacing w:line="360" w:lineRule="auto"/>
              <w:rPr>
                <w:rFonts w:hint="eastAsia"/>
                <w:color w:val="auto"/>
              </w:rPr>
            </w:pPr>
            <w:r>
              <w:rPr>
                <w:rFonts w:hint="eastAsia" w:ascii="宋体" w:hAnsi="宋体" w:eastAsia="宋体" w:cs="宋体"/>
                <w:color w:val="auto"/>
                <w:sz w:val="24"/>
                <w:highlight w:val="none"/>
                <w:lang w:val="en-US" w:eastAsia="zh-CN"/>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投标文件的要求：</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4、供应商在开标时须携带制作加密电子投标文件所使用的CA锁，电脑须提前配置好浏览器（建议使用360浏览器或谷歌浏览器），以便开标时在线解密。</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6、评标结束后，各投标单位须在一周内按招标文件要求将纸质版投标文件递交至招标代理处（所产生的的费用投标单位自理）。纸质版投标文件可通过加密电子版投标文件打印生成，应当与电子版投标文件一致。【1、份数要求：正本壹份、副本贰份，电子标壹份（U盘）。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数量调整：投标总价的±10%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9303"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评标委员会的组建：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评标委员会由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rPr>
              <w:t>人构成其中招标人代表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人（应当具备评标专家相应的或者类似的条件），专家</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rPr>
              <w:t>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9303" w:type="dxa"/>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中标公示及中标公告媒介：</w:t>
            </w:r>
            <w:r>
              <w:rPr>
                <w:rFonts w:hint="eastAsia" w:ascii="宋体" w:hAnsi="宋体" w:cs="宋体"/>
                <w:color w:val="auto"/>
                <w:sz w:val="24"/>
                <w:highlight w:val="none"/>
                <w:lang w:eastAsia="zh-CN"/>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9303" w:type="dxa"/>
            <w:noWrap w:val="0"/>
            <w:vAlign w:val="center"/>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场地使用费：投标人在提交投标文件时，需按交易场所的规定缴纳场地使用费。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9303" w:type="dxa"/>
            <w:noWrap w:val="0"/>
            <w:vAlign w:val="center"/>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投标人信用信息查询：</w:t>
            </w:r>
          </w:p>
          <w:p>
            <w:pPr>
              <w:numPr>
                <w:ilvl w:val="0"/>
                <w:numId w:val="2"/>
              </w:num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查询渠道：</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国家企业信用信息公示系统（http://www.gsxt.gov.cn/index.html）</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信用中国（www.creditchina.gov.cn）</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天眼查（https://www.tianyancha.com/） </w:t>
            </w:r>
          </w:p>
          <w:p>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中国政府采购网（http://www.ccgp.gov.cn/）</w:t>
            </w:r>
            <w:r>
              <w:rPr>
                <w:rFonts w:hint="eastAsia" w:ascii="宋体" w:hAnsi="宋体" w:cs="宋体"/>
                <w:color w:val="auto"/>
                <w:sz w:val="24"/>
                <w:highlight w:val="none"/>
              </w:rPr>
              <w:t xml:space="preserve">          </w:t>
            </w:r>
          </w:p>
          <w:p>
            <w:pPr>
              <w:numPr>
                <w:ilvl w:val="0"/>
                <w:numId w:val="2"/>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信用信息查询记录和证据留存的方式：网页截图</w:t>
            </w:r>
          </w:p>
          <w:p>
            <w:pPr>
              <w:numPr>
                <w:ilvl w:val="0"/>
                <w:numId w:val="2"/>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sz w:val="24"/>
                <w:highlight w:val="none"/>
                <w:lang w:eastAsia="zh-CN"/>
              </w:rPr>
              <w:t>（以</w:t>
            </w:r>
            <w:r>
              <w:rPr>
                <w:rFonts w:hint="eastAsia" w:ascii="宋体" w:hAnsi="宋体" w:cs="宋体"/>
                <w:color w:val="auto"/>
                <w:sz w:val="24"/>
                <w:highlight w:val="none"/>
                <w:lang w:val="en-US" w:eastAsia="zh-CN"/>
              </w:rPr>
              <w:t>供应商在</w:t>
            </w:r>
            <w:r>
              <w:rPr>
                <w:rFonts w:hint="eastAsia" w:ascii="宋体" w:hAnsi="宋体" w:cs="宋体"/>
                <w:color w:val="auto"/>
                <w:sz w:val="24"/>
                <w:highlight w:val="none"/>
                <w:lang w:eastAsia="zh-CN"/>
              </w:rPr>
              <w:t>投标截止日</w:t>
            </w:r>
            <w:r>
              <w:rPr>
                <w:rFonts w:hint="eastAsia" w:ascii="宋体" w:hAnsi="宋体" w:cs="宋体"/>
                <w:color w:val="auto"/>
                <w:sz w:val="24"/>
                <w:highlight w:val="none"/>
                <w:lang w:val="en-US" w:eastAsia="zh-CN"/>
              </w:rPr>
              <w:t>期</w:t>
            </w:r>
            <w:r>
              <w:rPr>
                <w:rFonts w:hint="eastAsia" w:ascii="宋体" w:hAnsi="宋体" w:cs="宋体"/>
                <w:color w:val="auto"/>
                <w:sz w:val="24"/>
                <w:highlight w:val="none"/>
                <w:lang w:eastAsia="zh-CN"/>
              </w:rPr>
              <w:t>前</w:t>
            </w:r>
            <w:r>
              <w:rPr>
                <w:rFonts w:hint="eastAsia" w:ascii="宋体" w:hAnsi="宋体" w:cs="宋体"/>
                <w:color w:val="auto"/>
                <w:sz w:val="24"/>
                <w:highlight w:val="none"/>
                <w:lang w:val="en-US" w:eastAsia="zh-CN"/>
              </w:rPr>
              <w:t>的信用信息</w:t>
            </w:r>
            <w:r>
              <w:rPr>
                <w:rFonts w:hint="eastAsia" w:ascii="宋体" w:hAnsi="宋体" w:cs="宋体"/>
                <w:color w:val="auto"/>
                <w:sz w:val="24"/>
                <w:highlight w:val="none"/>
                <w:lang w:eastAsia="zh-CN"/>
              </w:rPr>
              <w:t>查询结果为准，如相关失信记录已失效，投标人需提供相关证明资料）</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1、政府采购强制采购：(1)标记*符号的节能产品；(2)其他。</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采购《节能产品政府采购清单》内的产品。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3、采购产品为《节能产品政府采购清单》内非标记*符号的节能产品及《环境标志产品政府采购清单》内的产品：</w:t>
            </w:r>
          </w:p>
          <w:p>
            <w:pPr>
              <w:numPr>
                <w:ilvl w:val="0"/>
                <w:numId w:val="0"/>
              </w:num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9303" w:type="dxa"/>
            <w:noWrap w:val="0"/>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特别提示：</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政府采购支持中小企业融资：有融资需求的，可查询相关业务。</w:t>
            </w:r>
          </w:p>
          <w:p>
            <w:pPr>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9303"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1.4.3 投标人不得存在下列情形之一：</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（1）与招标人存在利害关系且可能影响招标公正性；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（2）与本招标项目的其他投标人为同一个单位负责人；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（3）与本招标项目的其他投标人存在控股、管理关系；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（4）被依法暂停或者取消投标资格；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（5）被责令停产停业、暂扣或者吊销许可证、暂扣或者吊销执照；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（6）进入清算程序，或被宣告破产，或其他丧失履约能力的情形；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（7）被工商行政管理机关在全国企业信用信息公示系统中列入严重违法失信企业名单；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（8）被最高人民法院在“信用中国”网站（www.creditchina.gov.cn）或各级信用信息共享平台中列入失信被执行人名单；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（9）在近三年内投标人或其法定代表人、拟委任的项目负责人有行贿犯罪行为的（以检察机关职务犯罪预防部门出具的查询结果为准）；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9303" w:type="dxa"/>
            <w:noWrap w:val="0"/>
            <w:vAlign w:val="center"/>
          </w:tcPr>
          <w:p>
            <w:pPr>
              <w:spacing w:line="360" w:lineRule="auto"/>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低于成本价不正当竞争预防措施</w:t>
            </w:r>
            <w:r>
              <w:rPr>
                <w:rFonts w:hint="eastAsia" w:ascii="宋体" w:hAnsi="宋体" w:cs="宋体"/>
                <w:b/>
                <w:bCs/>
                <w:color w:val="auto"/>
                <w:sz w:val="24"/>
                <w:highlight w:val="none"/>
              </w:rPr>
              <w:t>：</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sz w:val="24"/>
                <w:highlight w:val="none"/>
                <w:lang w:val="en-US" w:eastAsia="zh-CN"/>
              </w:rPr>
            </w:pPr>
            <w:bookmarkStart w:id="11" w:name="_Toc26931"/>
            <w:bookmarkStart w:id="12" w:name="_Toc2427"/>
            <w:bookmarkStart w:id="13" w:name="_Toc21488"/>
            <w:bookmarkStart w:id="14" w:name="_Toc152045529"/>
            <w:bookmarkStart w:id="15" w:name="_Toc152042305"/>
            <w:bookmarkStart w:id="16" w:name="_Toc179632546"/>
            <w:bookmarkStart w:id="17" w:name="_Toc144974497"/>
            <w:r>
              <w:rPr>
                <w:rFonts w:hint="eastAsia" w:ascii="宋体" w:hAnsi="宋体" w:cs="宋体"/>
                <w:color w:val="auto"/>
                <w:sz w:val="24"/>
                <w:highlight w:val="none"/>
                <w:lang w:val="en-US" w:eastAsia="zh-CN"/>
              </w:rPr>
              <w:t>28</w:t>
            </w:r>
          </w:p>
        </w:tc>
        <w:tc>
          <w:tcPr>
            <w:tcW w:w="9303" w:type="dxa"/>
            <w:noWrap w:val="0"/>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招标文件的澄清和质疑</w:t>
            </w:r>
          </w:p>
          <w:p>
            <w:pPr>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1、综合说明</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2、对招标文件的澄清和质疑</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val="en-US" w:eastAsia="zh-CN"/>
              </w:rPr>
              <w:t>(项目名称）</w:t>
            </w:r>
            <w:r>
              <w:rPr>
                <w:rFonts w:hint="eastAsia" w:ascii="宋体" w:hAnsi="宋体" w:cs="宋体"/>
                <w:bCs/>
                <w:color w:val="auto"/>
                <w:sz w:val="24"/>
                <w:highlight w:val="none"/>
              </w:rPr>
              <w:t>澄清或质疑使用”字样，并由身份证持有人签字确认。上述资料均须加盖公章。</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auto"/>
                <w:sz w:val="24"/>
                <w:highlight w:val="none"/>
                <w:lang w:val="en-US" w:eastAsia="zh-CN"/>
              </w:rPr>
              <w:t>新疆政府采购网</w:t>
            </w:r>
            <w:r>
              <w:rPr>
                <w:rFonts w:hint="eastAsia" w:ascii="宋体" w:hAnsi="宋体" w:cs="宋体"/>
                <w:bCs/>
                <w:color w:val="auto"/>
                <w:sz w:val="24"/>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3、对招标过程和拟中标结果的质疑</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投标人认为招标过程和拟中标结果使自己的权益受到损害的，可以在投标人于</w:t>
            </w:r>
            <w:r>
              <w:rPr>
                <w:rFonts w:hint="eastAsia" w:ascii="宋体" w:hAnsi="宋体" w:cs="宋体"/>
                <w:bCs/>
                <w:color w:val="auto"/>
                <w:sz w:val="24"/>
                <w:highlight w:val="none"/>
                <w:lang w:val="en-US" w:eastAsia="zh-CN"/>
              </w:rPr>
              <w:t>新疆政府采购网</w:t>
            </w:r>
            <w:r>
              <w:rPr>
                <w:rFonts w:hint="eastAsia" w:ascii="宋体" w:hAnsi="宋体" w:cs="宋体"/>
                <w:bCs/>
                <w:color w:val="auto"/>
                <w:sz w:val="24"/>
                <w:highlight w:val="none"/>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eastAsia="zh-CN"/>
              </w:rPr>
              <w:t>（项目名称）</w:t>
            </w:r>
            <w:r>
              <w:rPr>
                <w:rFonts w:hint="eastAsia" w:ascii="宋体" w:hAnsi="宋体" w:cs="宋体"/>
                <w:bCs/>
                <w:color w:val="auto"/>
                <w:sz w:val="24"/>
                <w:highlight w:val="none"/>
              </w:rPr>
              <w:t>”字样，并由身份证持有人签字确认。上述资料均须加盖公章。</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(一)不是参与该政府采购项目活动供应商的;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(二)被质疑人为采购人或政府采购代理机构之外的；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(三)所有质疑事项超过质疑有效期的；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(四)以具有法律效力的文书送达之外方式提出的；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(五) 未按上述规定递交澄清或质疑函的；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(六) 其它不符合受理条件的情形。</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5、其他</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澄清或质疑函递交地点：阿克苏市文化路建安一区院内物业公司二楼</w:t>
            </w:r>
          </w:p>
          <w:p>
            <w:pPr>
              <w:spacing w:line="360" w:lineRule="auto"/>
              <w:rPr>
                <w:rFonts w:hint="default" w:ascii="宋体" w:hAnsi="宋体" w:cs="宋体"/>
                <w:bCs/>
                <w:color w:val="auto"/>
                <w:sz w:val="24"/>
                <w:highlight w:val="none"/>
                <w:lang w:val="en-US"/>
              </w:rPr>
            </w:pPr>
            <w:r>
              <w:rPr>
                <w:rFonts w:hint="eastAsia" w:ascii="宋体" w:hAnsi="宋体" w:cs="宋体"/>
                <w:bCs/>
                <w:color w:val="auto"/>
                <w:sz w:val="24"/>
                <w:highlight w:val="none"/>
              </w:rPr>
              <w:t>联系电话：15599967076</w:t>
            </w:r>
          </w:p>
        </w:tc>
      </w:tr>
    </w:tbl>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br w:type="page"/>
      </w:r>
      <w:r>
        <w:rPr>
          <w:rFonts w:hint="eastAsia" w:ascii="宋体" w:hAnsi="宋体" w:eastAsia="宋体" w:cs="宋体"/>
          <w:bCs w:val="0"/>
          <w:color w:val="auto"/>
          <w:sz w:val="28"/>
          <w:szCs w:val="28"/>
          <w:highlight w:val="none"/>
        </w:rPr>
        <w:t>投标人须知正文部分</w:t>
      </w:r>
      <w:bookmarkEnd w:id="11"/>
      <w:bookmarkEnd w:id="12"/>
      <w:bookmarkEnd w:id="13"/>
    </w:p>
    <w:bookmarkEnd w:id="14"/>
    <w:bookmarkEnd w:id="15"/>
    <w:bookmarkEnd w:id="16"/>
    <w:bookmarkEnd w:id="17"/>
    <w:p>
      <w:pPr>
        <w:pStyle w:val="23"/>
        <w:jc w:val="center"/>
        <w:rPr>
          <w:rFonts w:hint="eastAsia"/>
          <w:b/>
          <w:bCs/>
          <w:color w:val="auto"/>
          <w:highlight w:val="none"/>
          <w:lang w:eastAsia="zh-CN"/>
        </w:rPr>
      </w:pPr>
      <w:r>
        <w:rPr>
          <w:rFonts w:hint="eastAsia"/>
          <w:b/>
          <w:bCs/>
          <w:color w:val="auto"/>
          <w:highlight w:val="none"/>
          <w:lang w:eastAsia="zh-CN"/>
        </w:rPr>
        <w:t>一、总则</w:t>
      </w:r>
    </w:p>
    <w:p>
      <w:pPr>
        <w:pStyle w:val="24"/>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合格的投标人</w:t>
      </w:r>
    </w:p>
    <w:p>
      <w:pPr>
        <w:pStyle w:val="24"/>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符合《中华人民共和国政府采购法》第二十二条规定的条件，具备独立承担民事责任能力的在中华人民共和国境内注册的、三年内无违法违规记录、近三年内无法律诉讼纠纷、有承担本次招标采购项目服务能力的及符合条件的法人或其他组织。</w:t>
      </w:r>
    </w:p>
    <w:p>
      <w:pPr>
        <w:pStyle w:val="24"/>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有效的营业执照；</w:t>
      </w:r>
    </w:p>
    <w:p>
      <w:pPr>
        <w:pStyle w:val="24"/>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投标人在本次招标活动中，必须遵循《中华人民共和国招标投标法》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《中华人民共和国招标投标法</w:t>
      </w:r>
      <w:r>
        <w:rPr>
          <w:rFonts w:hint="eastAsia" w:ascii="宋体" w:hAnsi="宋体" w:eastAsia="宋体" w:cs="宋体"/>
          <w:b w:val="0"/>
          <w:bCs/>
          <w:color w:val="auto"/>
          <w:sz w:val="24"/>
          <w:szCs w:val="24"/>
          <w:highlight w:val="none"/>
          <w:lang w:eastAsia="zh-CN"/>
        </w:rPr>
        <w:t>实施条例</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《政府采购货物和服务招标投标管理办法》（财政部</w:t>
      </w:r>
      <w:r>
        <w:rPr>
          <w:rFonts w:hint="eastAsia" w:ascii="宋体" w:hAnsi="宋体" w:eastAsia="宋体" w:cs="宋体"/>
          <w:b w:val="0"/>
          <w:bCs/>
          <w:color w:val="auto"/>
          <w:sz w:val="24"/>
          <w:szCs w:val="24"/>
          <w:highlight w:val="none"/>
          <w:lang w:val="en-US" w:eastAsia="zh-CN"/>
        </w:rPr>
        <w:t>87</w:t>
      </w:r>
      <w:r>
        <w:rPr>
          <w:rFonts w:hint="eastAsia" w:ascii="宋体" w:hAnsi="宋体" w:eastAsia="宋体" w:cs="宋体"/>
          <w:b w:val="0"/>
          <w:bCs/>
          <w:color w:val="auto"/>
          <w:sz w:val="24"/>
          <w:szCs w:val="24"/>
          <w:highlight w:val="none"/>
        </w:rPr>
        <w:t>号令）</w:t>
      </w:r>
      <w:r>
        <w:rPr>
          <w:rFonts w:hint="eastAsia" w:ascii="宋体" w:hAnsi="宋体" w:eastAsia="宋体" w:cs="宋体"/>
          <w:b w:val="0"/>
          <w:bCs/>
          <w:color w:val="auto"/>
          <w:sz w:val="24"/>
          <w:szCs w:val="24"/>
          <w:highlight w:val="none"/>
          <w:lang w:eastAsia="zh-CN"/>
        </w:rPr>
        <w:t>等相关法律法规</w:t>
      </w:r>
      <w:r>
        <w:rPr>
          <w:rFonts w:hint="eastAsia" w:ascii="宋体" w:hAnsi="宋体" w:eastAsia="宋体" w:cs="宋体"/>
          <w:b w:val="0"/>
          <w:bCs/>
          <w:color w:val="auto"/>
          <w:sz w:val="24"/>
          <w:szCs w:val="24"/>
          <w:highlight w:val="none"/>
        </w:rPr>
        <w:t>的规定。</w:t>
      </w:r>
    </w:p>
    <w:p>
      <w:pPr>
        <w:pStyle w:val="24"/>
        <w:spacing w:line="360" w:lineRule="auto"/>
        <w:ind w:left="563" w:leftChars="267" w:firstLine="2" w:firstLineChars="1"/>
        <w:jc w:val="both"/>
        <w:rPr>
          <w:rFonts w:hint="eastAsia" w:ascii="宋体" w:hAnsi="宋体" w:cs="宋体"/>
          <w:bCs/>
          <w:color w:val="auto"/>
          <w:szCs w:val="24"/>
          <w:lang w:val="en-US" w:eastAsia="zh-CN"/>
        </w:rPr>
      </w:pPr>
      <w:r>
        <w:rPr>
          <w:rFonts w:hint="eastAsia" w:ascii="宋体" w:hAnsi="宋体" w:cs="宋体"/>
          <w:bCs/>
          <w:color w:val="auto"/>
          <w:szCs w:val="24"/>
          <w:lang w:val="en-US" w:eastAsia="zh-CN"/>
        </w:rPr>
        <w:t>1.4投标人参加政府采购活动近三年内无违法违规记录和法律诉讼纠纷，须提供书面声明。</w:t>
      </w:r>
    </w:p>
    <w:p>
      <w:pPr>
        <w:pStyle w:val="24"/>
        <w:spacing w:line="360" w:lineRule="auto"/>
        <w:ind w:left="563" w:leftChars="267" w:firstLine="2" w:firstLineChars="1"/>
        <w:jc w:val="both"/>
        <w:rPr>
          <w:rFonts w:hint="eastAsia" w:ascii="宋体" w:hAnsi="宋体" w:cs="宋体"/>
          <w:bCs/>
          <w:color w:val="auto"/>
          <w:szCs w:val="24"/>
          <w:lang w:val="en-US" w:eastAsia="zh-CN"/>
        </w:rPr>
      </w:pPr>
      <w:r>
        <w:rPr>
          <w:rFonts w:hint="eastAsia" w:ascii="宋体" w:hAnsi="宋体" w:cs="宋体"/>
          <w:bCs/>
          <w:color w:val="auto"/>
          <w:szCs w:val="24"/>
          <w:lang w:val="en-US" w:eastAsia="zh-CN"/>
        </w:rPr>
        <w:t>1.5 为保证政府采购活动公平、公正、诚实信用，投标人提供的材料及技术参数应真实有效，须提供书面诚信投标承诺书。</w:t>
      </w:r>
    </w:p>
    <w:p>
      <w:pPr>
        <w:pStyle w:val="24"/>
        <w:spacing w:line="360" w:lineRule="auto"/>
        <w:ind w:firstLine="567"/>
        <w:jc w:val="both"/>
        <w:rPr>
          <w:rFonts w:hint="default" w:ascii="宋体" w:hAnsi="宋体" w:eastAsia="宋体" w:cs="宋体"/>
          <w:b w:val="0"/>
          <w:bCs/>
          <w:color w:val="auto"/>
          <w:sz w:val="24"/>
          <w:szCs w:val="24"/>
          <w:highlight w:val="none"/>
          <w:lang w:val="en-US" w:eastAsia="zh-CN"/>
        </w:rPr>
      </w:pPr>
      <w:r>
        <w:rPr>
          <w:rFonts w:hint="eastAsia" w:ascii="宋体" w:hAnsi="宋体" w:cs="宋体"/>
          <w:bCs/>
          <w:color w:val="auto"/>
          <w:szCs w:val="24"/>
          <w:lang w:val="en-US" w:eastAsia="zh-CN"/>
        </w:rPr>
        <w:t>1.6 未保证本次招标活动公平竞争，杜绝任何形式的商业贿赂行为，投标文件内必须提供反商业贿赂承诺书。</w:t>
      </w:r>
    </w:p>
    <w:p>
      <w:pPr>
        <w:pStyle w:val="24"/>
        <w:keepLines w:val="0"/>
        <w:kinsoku/>
        <w:wordWrap/>
        <w:overflowPunct/>
        <w:bidi w:val="0"/>
        <w:spacing w:line="360" w:lineRule="auto"/>
        <w:ind w:left="563" w:leftChars="267" w:firstLine="2" w:firstLineChars="1"/>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不符合</w:t>
      </w:r>
      <w:r>
        <w:rPr>
          <w:rFonts w:hint="eastAsia" w:ascii="宋体" w:hAnsi="宋体" w:eastAsia="宋体" w:cs="宋体"/>
          <w:b w:val="0"/>
          <w:bCs/>
          <w:color w:val="auto"/>
          <w:sz w:val="24"/>
          <w:szCs w:val="24"/>
          <w:highlight w:val="none"/>
          <w:lang w:eastAsia="zh-CN"/>
        </w:rPr>
        <w:t>以上</w:t>
      </w:r>
      <w:r>
        <w:rPr>
          <w:rFonts w:hint="eastAsia" w:ascii="宋体" w:hAnsi="宋体" w:eastAsia="宋体" w:cs="宋体"/>
          <w:b w:val="0"/>
          <w:bCs/>
          <w:color w:val="auto"/>
          <w:sz w:val="24"/>
          <w:szCs w:val="24"/>
          <w:highlight w:val="none"/>
        </w:rPr>
        <w:t>条款规定的投标人，其投标</w:t>
      </w:r>
      <w:r>
        <w:rPr>
          <w:rFonts w:hint="eastAsia" w:ascii="宋体" w:hAnsi="宋体" w:eastAsia="宋体" w:cs="宋体"/>
          <w:b w:val="0"/>
          <w:bCs/>
          <w:color w:val="auto"/>
          <w:sz w:val="24"/>
          <w:szCs w:val="24"/>
          <w:highlight w:val="none"/>
          <w:lang w:eastAsia="zh-CN"/>
        </w:rPr>
        <w:t>无效</w:t>
      </w:r>
      <w:r>
        <w:rPr>
          <w:rFonts w:hint="eastAsia" w:ascii="宋体" w:hAnsi="宋体" w:eastAsia="宋体" w:cs="宋体"/>
          <w:b w:val="0"/>
          <w:bCs/>
          <w:color w:val="auto"/>
          <w:sz w:val="24"/>
          <w:szCs w:val="24"/>
          <w:highlight w:val="none"/>
        </w:rPr>
        <w:t>。</w:t>
      </w:r>
    </w:p>
    <w:p>
      <w:pPr>
        <w:pStyle w:val="24"/>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2.1“采购代理机构”系指新疆乾达项目管理有限公司</w:t>
      </w:r>
      <w:r>
        <w:rPr>
          <w:rFonts w:hint="eastAsia" w:ascii="宋体" w:hAnsi="宋体" w:eastAsia="宋体" w:cs="宋体"/>
          <w:color w:val="auto"/>
          <w:sz w:val="24"/>
          <w:szCs w:val="24"/>
          <w:highlight w:val="none"/>
          <w:lang w:eastAsia="zh-CN"/>
        </w:rPr>
        <w:t>。</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2.2“投标人”系指向采购代理机构提交投标文件的货物</w:t>
      </w:r>
      <w:r>
        <w:rPr>
          <w:rFonts w:hint="eastAsia" w:ascii="宋体" w:hAnsi="宋体" w:eastAsia="宋体" w:cs="宋体"/>
          <w:color w:val="auto"/>
          <w:sz w:val="24"/>
          <w:szCs w:val="24"/>
          <w:highlight w:val="none"/>
          <w:lang w:eastAsia="zh-CN"/>
        </w:rPr>
        <w:t>制造商或代理商</w:t>
      </w:r>
      <w:r>
        <w:rPr>
          <w:rFonts w:hint="eastAsia" w:ascii="宋体" w:hAnsi="宋体" w:eastAsia="宋体" w:cs="宋体"/>
          <w:color w:val="auto"/>
          <w:sz w:val="24"/>
          <w:szCs w:val="24"/>
          <w:highlight w:val="none"/>
        </w:rPr>
        <w:t>。</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2.3“货物”系指卖方按合同要求，须向买方提供的设计文件、货物、机械、材料、备品、手册及其他技术资料和材料。详见《政府采购品目分类目录》(财库[2013]189号)。</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2.4“服务”系指按合同规定卖方须承担的运输、装卸、安装调试、技术协助、培训和交付使用后保修期内应履行的义务及售后服务等其他类似的义务。</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2.5“卖方”系指提供合同货物和服务的经济实体。本次招标指中标人。</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2.6“买方”系指购买货物和服务的单位，即为本次招标的采购人。</w:t>
      </w:r>
    </w:p>
    <w:p>
      <w:pPr>
        <w:pStyle w:val="24"/>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2.7“节能产品”或者“环保产品”是指财政部发布</w:t>
      </w:r>
      <w:r>
        <w:rPr>
          <w:rFonts w:hint="eastAsia" w:ascii="宋体" w:hAnsi="宋体" w:eastAsia="宋体" w:cs="宋体"/>
          <w:color w:val="auto"/>
          <w:sz w:val="24"/>
          <w:szCs w:val="24"/>
          <w:highlight w:val="none"/>
          <w:lang w:eastAsia="zh-CN"/>
        </w:rPr>
        <w:t>最新一期</w:t>
      </w:r>
      <w:r>
        <w:rPr>
          <w:rFonts w:hint="eastAsia" w:ascii="宋体" w:hAnsi="宋体" w:eastAsia="宋体" w:cs="宋体"/>
          <w:color w:val="auto"/>
          <w:sz w:val="24"/>
          <w:szCs w:val="24"/>
          <w:highlight w:val="none"/>
        </w:rPr>
        <w:t>的《节能产品政府采购清单》或者《环境标志产品政府采购清单》的产品</w:t>
      </w:r>
      <w:r>
        <w:rPr>
          <w:rFonts w:hint="eastAsia" w:ascii="宋体" w:hAnsi="宋体" w:eastAsia="宋体" w:cs="宋体"/>
          <w:color w:val="auto"/>
          <w:sz w:val="24"/>
          <w:szCs w:val="24"/>
          <w:highlight w:val="none"/>
          <w:lang w:eastAsia="zh-CN"/>
        </w:rPr>
        <w:t>，可在中国政府采购网(www.ccgp.gov.cn)查询</w:t>
      </w:r>
      <w:r>
        <w:rPr>
          <w:rFonts w:hint="eastAsia" w:ascii="宋体" w:hAnsi="宋体" w:eastAsia="宋体" w:cs="宋体"/>
          <w:color w:val="auto"/>
          <w:sz w:val="24"/>
          <w:szCs w:val="24"/>
          <w:highlight w:val="none"/>
        </w:rPr>
        <w:t>。</w:t>
      </w:r>
    </w:p>
    <w:p>
      <w:pPr>
        <w:pStyle w:val="24"/>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 w:val="24"/>
          <w:szCs w:val="24"/>
          <w:highlight w:val="none"/>
          <w:lang w:eastAsia="zh-CN"/>
        </w:rPr>
        <w:t>及《关于政府采购进口产品管理有关问题的通知》（财办库（2008）248号）</w:t>
      </w:r>
      <w:r>
        <w:rPr>
          <w:rFonts w:hint="eastAsia" w:ascii="宋体" w:hAnsi="宋体" w:eastAsia="宋体" w:cs="宋体"/>
          <w:color w:val="auto"/>
          <w:sz w:val="24"/>
          <w:szCs w:val="24"/>
          <w:highlight w:val="none"/>
        </w:rPr>
        <w:t>。</w:t>
      </w:r>
    </w:p>
    <w:p>
      <w:pPr>
        <w:pStyle w:val="24"/>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 “</w:t>
      </w:r>
      <w:r>
        <w:rPr>
          <w:rFonts w:hint="eastAsia" w:ascii="宋体" w:hAnsi="宋体" w:eastAsia="宋体" w:cs="宋体"/>
          <w:color w:val="auto"/>
          <w:sz w:val="24"/>
          <w:szCs w:val="24"/>
          <w:highlight w:val="none"/>
        </w:rPr>
        <w:t>语言文字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招标投标文件使用的语言文字为中文。专用术语使用外文的，应附有中文注释。</w:t>
      </w:r>
    </w:p>
    <w:p>
      <w:pPr>
        <w:pStyle w:val="24"/>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计量单位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所有计量均采用中华人民共和国法定计量单位。</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其他要求</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投标费用</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投标人应自行承担所有与本次招标投标有关的费用，而不论投标的结果如何。 </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采购进口产品</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除</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前附表另有规定外，本项目拒绝进口产品参加招标采购活动。</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本章第4.1款规定同意购买进口产品的，本项目采购活动不限制满足招标文件要求的国内产品参与招标。</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政府采购政策支持 </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同一项目中部分产品属于优先采购政策的，评审时只对该部分产品的报价实行价格优惠。</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为推进政府采购诚信体系建设，供应商在签署相关承诺，提供相关信息前，应认真阅读财政部门相关政策规定。</w:t>
      </w:r>
    </w:p>
    <w:p>
      <w:pPr>
        <w:pStyle w:val="23"/>
        <w:jc w:val="center"/>
        <w:rPr>
          <w:rFonts w:hint="eastAsia"/>
          <w:b/>
          <w:bCs/>
          <w:color w:val="auto"/>
          <w:highlight w:val="none"/>
          <w:lang w:eastAsia="zh-CN"/>
        </w:rPr>
      </w:pPr>
      <w:r>
        <w:rPr>
          <w:rFonts w:hint="eastAsia"/>
          <w:b/>
          <w:bCs/>
          <w:color w:val="auto"/>
          <w:highlight w:val="none"/>
          <w:lang w:eastAsia="zh-CN"/>
        </w:rPr>
        <w:t>二、招标文件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招标文件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招标文件用以阐明所需货物和服务、招标投标程序和合同条款。包括：</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招标</w:t>
      </w:r>
      <w:r>
        <w:rPr>
          <w:rFonts w:hint="eastAsia" w:ascii="宋体" w:hAnsi="宋体" w:eastAsia="宋体" w:cs="宋体"/>
          <w:color w:val="auto"/>
          <w:sz w:val="24"/>
          <w:szCs w:val="24"/>
          <w:highlight w:val="none"/>
          <w:lang w:eastAsia="zh-CN"/>
        </w:rPr>
        <w:t>公告</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 </w:t>
      </w:r>
      <w:r>
        <w:rPr>
          <w:rFonts w:hint="eastAsia" w:ascii="宋体" w:hAnsi="宋体" w:eastAsia="宋体" w:cs="宋体"/>
          <w:color w:val="auto"/>
          <w:sz w:val="24"/>
          <w:szCs w:val="24"/>
          <w:highlight w:val="none"/>
          <w:lang w:eastAsia="zh-CN"/>
        </w:rPr>
        <w:t>投标人须知</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条款及格式</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4.1.4 </w:t>
      </w:r>
      <w:r>
        <w:rPr>
          <w:rFonts w:hint="eastAsia" w:ascii="宋体" w:hAnsi="宋体" w:eastAsia="宋体" w:cs="宋体"/>
          <w:color w:val="auto"/>
          <w:sz w:val="24"/>
          <w:szCs w:val="24"/>
          <w:highlight w:val="none"/>
          <w:lang w:eastAsia="zh-CN"/>
        </w:rPr>
        <w:t>采购需求</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 投标文件格式</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4.1.6 其他资料</w:t>
      </w:r>
    </w:p>
    <w:p>
      <w:pPr>
        <w:pStyle w:val="24"/>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招标文件的澄清和修改</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日前，以书面形式通知所有</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。该澄清或者修改的内容为招标文件的组成部分。</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延长开标时间</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w:t>
      </w:r>
    </w:p>
    <w:p>
      <w:pPr>
        <w:pStyle w:val="23"/>
        <w:jc w:val="center"/>
        <w:rPr>
          <w:rFonts w:hint="eastAsia"/>
          <w:b/>
          <w:bCs/>
          <w:color w:val="auto"/>
          <w:highlight w:val="none"/>
          <w:lang w:eastAsia="zh-CN"/>
        </w:rPr>
      </w:pPr>
      <w:r>
        <w:rPr>
          <w:rFonts w:hint="eastAsia"/>
          <w:b/>
          <w:bCs/>
          <w:color w:val="auto"/>
          <w:highlight w:val="none"/>
          <w:lang w:eastAsia="zh-CN"/>
        </w:rPr>
        <w:t>三、投标文件的编制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投标文件的编写</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投标人应仔细阅读招标文件,了解招标文件的要求，并在充分理解招标文件提出的货物技术规范、服务和商务条款后的基础上制作投标文件。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投标的语言及计量单位</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投标文件中所使用的计量单位除招标文件中有特殊规定外，一律使用法定计量单位。</w:t>
      </w:r>
    </w:p>
    <w:p>
      <w:pPr>
        <w:pStyle w:val="24"/>
        <w:spacing w:line="360" w:lineRule="auto"/>
        <w:ind w:firstLine="567"/>
        <w:jc w:val="both"/>
        <w:rPr>
          <w:rFonts w:hint="eastAsia" w:ascii="宋体" w:hAnsi="宋体" w:cs="宋体"/>
          <w:color w:val="auto"/>
          <w:szCs w:val="24"/>
          <w:highlight w:val="none"/>
        </w:rPr>
      </w:pPr>
      <w:r>
        <w:rPr>
          <w:rFonts w:hint="eastAsia" w:ascii="宋体" w:hAnsi="宋体" w:cs="宋体"/>
          <w:color w:val="auto"/>
          <w:szCs w:val="24"/>
          <w:highlight w:val="none"/>
        </w:rPr>
        <w:t>9. 投标文件构成</w:t>
      </w:r>
    </w:p>
    <w:p>
      <w:pPr>
        <w:pStyle w:val="24"/>
        <w:spacing w:line="360" w:lineRule="auto"/>
        <w:ind w:firstLine="567"/>
        <w:jc w:val="both"/>
        <w:rPr>
          <w:rFonts w:hint="eastAsia" w:ascii="宋体" w:hAnsi="宋体" w:cs="宋体"/>
          <w:color w:val="auto"/>
          <w:szCs w:val="24"/>
          <w:highlight w:val="none"/>
        </w:rPr>
      </w:pPr>
      <w:r>
        <w:rPr>
          <w:rFonts w:hint="eastAsia" w:ascii="宋体" w:hAnsi="宋体" w:cs="宋体"/>
          <w:color w:val="auto"/>
          <w:szCs w:val="24"/>
          <w:highlight w:val="none"/>
        </w:rPr>
        <w:t>9.1  投标人编写的投标文件应包含以下内容:</w:t>
      </w:r>
    </w:p>
    <w:p>
      <w:pPr>
        <w:pStyle w:val="24"/>
        <w:spacing w:line="360" w:lineRule="auto"/>
        <w:ind w:firstLine="567"/>
        <w:jc w:val="both"/>
        <w:outlineLvl w:val="2"/>
        <w:rPr>
          <w:rFonts w:hint="eastAsia" w:ascii="宋体" w:hAnsi="宋体" w:cs="宋体"/>
          <w:b/>
          <w:bCs/>
          <w:color w:val="auto"/>
          <w:szCs w:val="24"/>
          <w:highlight w:val="none"/>
        </w:rPr>
      </w:pPr>
      <w:r>
        <w:rPr>
          <w:rFonts w:hint="eastAsia" w:ascii="宋体" w:hAnsi="宋体" w:cs="宋体"/>
          <w:b/>
          <w:bCs/>
          <w:color w:val="auto"/>
          <w:szCs w:val="24"/>
          <w:highlight w:val="none"/>
        </w:rPr>
        <w:t>9.1.1 资格、资信证明文件(以下文件必须在有效期内)</w:t>
      </w:r>
    </w:p>
    <w:p>
      <w:pPr>
        <w:pStyle w:val="24"/>
        <w:spacing w:line="360" w:lineRule="auto"/>
        <w:ind w:firstLine="471" w:firstLineChars="196"/>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 企业营业执照</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(2) 法定代表人身份证明或授权委托人身份证明及授权委托书</w:t>
      </w:r>
    </w:p>
    <w:p>
      <w:pPr>
        <w:pStyle w:val="24"/>
        <w:spacing w:line="360" w:lineRule="auto"/>
        <w:ind w:firstLine="482" w:firstLineChars="200"/>
        <w:jc w:val="both"/>
        <w:rPr>
          <w:rFonts w:hint="default" w:ascii="宋体" w:hAnsi="宋体" w:eastAsia="宋体" w:cs="宋体"/>
          <w:b w:val="0"/>
          <w:bCs w:val="0"/>
          <w:color w:val="auto"/>
          <w:szCs w:val="24"/>
          <w:highlight w:val="none"/>
          <w:lang w:val="en-US" w:eastAsia="zh-CN"/>
        </w:rPr>
      </w:pPr>
      <w:r>
        <w:rPr>
          <w:rFonts w:hint="eastAsia" w:ascii="宋体" w:hAnsi="宋体" w:cs="宋体"/>
          <w:b w:val="0"/>
          <w:bCs w:val="0"/>
          <w:color w:val="auto"/>
          <w:szCs w:val="24"/>
          <w:highlight w:val="none"/>
        </w:rPr>
        <w:t>(3) 投标保证金</w:t>
      </w:r>
      <w:r>
        <w:rPr>
          <w:rFonts w:hint="eastAsia" w:ascii="宋体" w:hAnsi="宋体" w:cs="宋体"/>
          <w:b w:val="0"/>
          <w:bCs w:val="0"/>
          <w:color w:val="auto"/>
          <w:szCs w:val="24"/>
          <w:highlight w:val="none"/>
          <w:lang w:val="en-US" w:eastAsia="zh-CN"/>
        </w:rPr>
        <w:t>缴纳凭证</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 xml:space="preserve">(4) </w:t>
      </w:r>
      <w:r>
        <w:rPr>
          <w:rFonts w:hint="eastAsia" w:ascii="宋体" w:hAnsi="宋体" w:cs="宋体"/>
          <w:b w:val="0"/>
          <w:bCs w:val="0"/>
          <w:color w:val="auto"/>
          <w:spacing w:val="-3"/>
          <w:szCs w:val="24"/>
          <w:highlight w:val="none"/>
        </w:rPr>
        <w:t>投标人认为有必要提供的声明及文件资料（包括但不限于</w:t>
      </w:r>
      <w:r>
        <w:rPr>
          <w:rFonts w:hint="eastAsia" w:ascii="宋体" w:hAnsi="宋体" w:cs="宋体"/>
          <w:b w:val="0"/>
          <w:bCs w:val="0"/>
          <w:color w:val="auto"/>
          <w:spacing w:val="-3"/>
          <w:szCs w:val="24"/>
          <w:highlight w:val="none"/>
          <w:lang w:eastAsia="zh-CN"/>
        </w:rPr>
        <w:t>近三年财务审计报告</w:t>
      </w:r>
      <w:r>
        <w:rPr>
          <w:rFonts w:hint="eastAsia" w:ascii="宋体" w:hAnsi="宋体" w:cs="宋体"/>
          <w:b w:val="0"/>
          <w:bCs w:val="0"/>
          <w:color w:val="auto"/>
          <w:spacing w:val="-3"/>
          <w:szCs w:val="24"/>
          <w:highlight w:val="none"/>
          <w:lang w:val="en-US" w:eastAsia="zh-CN"/>
        </w:rPr>
        <w:t>或财务报表</w:t>
      </w:r>
      <w:r>
        <w:rPr>
          <w:rFonts w:hint="eastAsia" w:ascii="宋体" w:hAnsi="宋体" w:cs="宋体"/>
          <w:b w:val="0"/>
          <w:bCs w:val="0"/>
          <w:color w:val="auto"/>
          <w:spacing w:val="-3"/>
          <w:szCs w:val="24"/>
          <w:highlight w:val="none"/>
          <w:lang w:eastAsia="zh-CN"/>
        </w:rPr>
        <w:t>、近</w:t>
      </w:r>
      <w:r>
        <w:rPr>
          <w:rFonts w:hint="eastAsia" w:ascii="宋体" w:hAnsi="宋体" w:cs="宋体"/>
          <w:b w:val="0"/>
          <w:bCs w:val="0"/>
          <w:color w:val="auto"/>
          <w:spacing w:val="-3"/>
          <w:szCs w:val="24"/>
          <w:highlight w:val="none"/>
          <w:lang w:val="en-US" w:eastAsia="zh-CN"/>
        </w:rPr>
        <w:t>三</w:t>
      </w:r>
      <w:r>
        <w:rPr>
          <w:rFonts w:hint="eastAsia" w:ascii="宋体" w:hAnsi="宋体" w:cs="宋体"/>
          <w:b w:val="0"/>
          <w:bCs w:val="0"/>
          <w:color w:val="auto"/>
          <w:spacing w:val="-3"/>
          <w:szCs w:val="24"/>
          <w:highlight w:val="none"/>
          <w:lang w:eastAsia="zh-CN"/>
        </w:rPr>
        <w:t>个月（连续）的</w:t>
      </w:r>
      <w:r>
        <w:rPr>
          <w:rFonts w:hint="eastAsia" w:ascii="宋体" w:hAnsi="宋体" w:cs="宋体"/>
          <w:b w:val="0"/>
          <w:bCs w:val="0"/>
          <w:color w:val="auto"/>
          <w:spacing w:val="-3"/>
          <w:szCs w:val="24"/>
          <w:highlight w:val="none"/>
        </w:rPr>
        <w:t>完税证明、</w:t>
      </w:r>
      <w:r>
        <w:rPr>
          <w:rFonts w:hint="eastAsia" w:ascii="宋体" w:hAnsi="宋体" w:cs="宋体"/>
          <w:b w:val="0"/>
          <w:bCs w:val="0"/>
          <w:color w:val="auto"/>
          <w:spacing w:val="-3"/>
          <w:szCs w:val="24"/>
          <w:highlight w:val="none"/>
          <w:lang w:eastAsia="zh-CN"/>
        </w:rPr>
        <w:t>近</w:t>
      </w:r>
      <w:r>
        <w:rPr>
          <w:rFonts w:hint="eastAsia" w:ascii="宋体" w:hAnsi="宋体" w:cs="宋体"/>
          <w:b w:val="0"/>
          <w:bCs w:val="0"/>
          <w:color w:val="auto"/>
          <w:spacing w:val="-3"/>
          <w:szCs w:val="24"/>
          <w:highlight w:val="none"/>
          <w:lang w:val="en-US" w:eastAsia="zh-CN"/>
        </w:rPr>
        <w:t>三</w:t>
      </w:r>
      <w:r>
        <w:rPr>
          <w:rFonts w:hint="eastAsia" w:ascii="宋体" w:hAnsi="宋体" w:cs="宋体"/>
          <w:b w:val="0"/>
          <w:bCs w:val="0"/>
          <w:color w:val="auto"/>
          <w:spacing w:val="-3"/>
          <w:szCs w:val="24"/>
          <w:highlight w:val="none"/>
          <w:lang w:eastAsia="zh-CN"/>
        </w:rPr>
        <w:t>个月（连续）</w:t>
      </w:r>
      <w:r>
        <w:rPr>
          <w:rFonts w:hint="eastAsia" w:ascii="宋体" w:hAnsi="宋体" w:cs="宋体"/>
          <w:b w:val="0"/>
          <w:bCs w:val="0"/>
          <w:color w:val="auto"/>
          <w:spacing w:val="-3"/>
          <w:szCs w:val="24"/>
          <w:highlight w:val="none"/>
        </w:rPr>
        <w:t>社保</w:t>
      </w:r>
      <w:r>
        <w:rPr>
          <w:rFonts w:hint="eastAsia" w:ascii="宋体" w:hAnsi="宋体" w:cs="宋体"/>
          <w:b w:val="0"/>
          <w:bCs w:val="0"/>
          <w:color w:val="auto"/>
          <w:spacing w:val="-3"/>
          <w:szCs w:val="24"/>
          <w:highlight w:val="none"/>
          <w:lang w:val="en-US" w:eastAsia="zh-CN"/>
        </w:rPr>
        <w:t>（需有相关人员的社保缴纳明细，退休人员需提供退休证明）</w:t>
      </w:r>
      <w:r>
        <w:rPr>
          <w:rFonts w:hint="eastAsia" w:ascii="宋体" w:hAnsi="宋体" w:cs="宋体"/>
          <w:b w:val="0"/>
          <w:bCs w:val="0"/>
          <w:color w:val="auto"/>
          <w:spacing w:val="-3"/>
          <w:szCs w:val="24"/>
          <w:highlight w:val="none"/>
        </w:rPr>
        <w:t>缴纳记录</w:t>
      </w:r>
      <w:r>
        <w:rPr>
          <w:rFonts w:hint="eastAsia" w:ascii="宋体" w:hAnsi="宋体" w:cs="宋体"/>
          <w:b w:val="0"/>
          <w:bCs w:val="0"/>
          <w:color w:val="auto"/>
          <w:spacing w:val="-3"/>
          <w:szCs w:val="24"/>
          <w:highlight w:val="none"/>
          <w:lang w:val="en-US" w:eastAsia="zh-CN"/>
        </w:rPr>
        <w:t>等</w:t>
      </w:r>
      <w:r>
        <w:rPr>
          <w:rFonts w:hint="eastAsia" w:ascii="宋体" w:hAnsi="宋体" w:cs="宋体"/>
          <w:b w:val="0"/>
          <w:bCs w:val="0"/>
          <w:color w:val="auto"/>
          <w:spacing w:val="-3"/>
          <w:szCs w:val="24"/>
          <w:highlight w:val="none"/>
        </w:rPr>
        <w:t>）</w:t>
      </w:r>
    </w:p>
    <w:p>
      <w:pPr>
        <w:pStyle w:val="24"/>
        <w:spacing w:line="360" w:lineRule="auto"/>
        <w:ind w:firstLine="567"/>
        <w:jc w:val="both"/>
        <w:outlineLvl w:val="2"/>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9.1.2 商务文件</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 投标函</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(2) 开标一览表</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(3) 投标货物名称、数量、规格及报价明细表</w:t>
      </w: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lang w:val="en-US" w:eastAsia="zh-CN"/>
        </w:rPr>
        <w:t>投标人不得将本产品参数情况表中的内容复制粘贴，须提供产品检测报告或产品说明书等相关材料</w:t>
      </w:r>
      <w:r>
        <w:rPr>
          <w:rFonts w:hint="eastAsia" w:ascii="宋体" w:hAnsi="宋体" w:cs="宋体"/>
          <w:b w:val="0"/>
          <w:bCs w:val="0"/>
          <w:color w:val="auto"/>
          <w:szCs w:val="24"/>
          <w:highlight w:val="none"/>
          <w:lang w:eastAsia="zh-CN"/>
        </w:rPr>
        <w:t>）</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(4) 合同条款偏离表</w:t>
      </w:r>
    </w:p>
    <w:p>
      <w:pPr>
        <w:pStyle w:val="24"/>
        <w:spacing w:line="360" w:lineRule="auto"/>
        <w:ind w:firstLine="470" w:firstLineChars="200"/>
        <w:jc w:val="both"/>
        <w:rPr>
          <w:rFonts w:hint="eastAsia" w:ascii="宋体" w:hAnsi="宋体" w:cs="宋体"/>
          <w:b w:val="0"/>
          <w:bCs w:val="0"/>
          <w:color w:val="auto"/>
          <w:szCs w:val="24"/>
          <w:highlight w:val="none"/>
        </w:rPr>
      </w:pPr>
      <w:r>
        <w:rPr>
          <w:rFonts w:hint="eastAsia" w:ascii="宋体" w:hAnsi="宋体" w:cs="宋体"/>
          <w:b w:val="0"/>
          <w:bCs w:val="0"/>
          <w:color w:val="auto"/>
          <w:spacing w:val="-3"/>
          <w:szCs w:val="24"/>
          <w:highlight w:val="none"/>
        </w:rPr>
        <w:t xml:space="preserve">(5) </w:t>
      </w:r>
      <w:r>
        <w:rPr>
          <w:rFonts w:hint="eastAsia" w:ascii="宋体" w:hAnsi="宋体" w:cs="宋体"/>
          <w:b w:val="0"/>
          <w:bCs w:val="0"/>
          <w:color w:val="auto"/>
          <w:szCs w:val="24"/>
          <w:highlight w:val="none"/>
        </w:rPr>
        <w:t>售后服务方案</w:t>
      </w:r>
    </w:p>
    <w:p>
      <w:pPr>
        <w:pStyle w:val="25"/>
        <w:spacing w:line="360" w:lineRule="auto"/>
        <w:ind w:firstLine="473"/>
        <w:rPr>
          <w:rFonts w:hint="eastAsia" w:ascii="宋体" w:hAnsi="宋体" w:eastAsia="宋体" w:cs="宋体"/>
          <w:b w:val="0"/>
          <w:bCs w:val="0"/>
          <w:color w:val="auto"/>
          <w:spacing w:val="-3"/>
          <w:sz w:val="24"/>
          <w:highlight w:val="none"/>
        </w:rPr>
      </w:pPr>
      <w:r>
        <w:rPr>
          <w:rFonts w:hint="eastAsia" w:ascii="宋体" w:hAnsi="宋体" w:eastAsia="宋体" w:cs="宋体"/>
          <w:b w:val="0"/>
          <w:bCs w:val="0"/>
          <w:color w:val="auto"/>
          <w:spacing w:val="-3"/>
          <w:sz w:val="24"/>
          <w:highlight w:val="none"/>
        </w:rPr>
        <w:t xml:space="preserve">(6) </w:t>
      </w:r>
      <w:r>
        <w:rPr>
          <w:rFonts w:hint="eastAsia" w:ascii="宋体" w:hAnsi="宋体" w:eastAsia="宋体" w:cs="宋体"/>
          <w:b w:val="0"/>
          <w:bCs w:val="0"/>
          <w:color w:val="auto"/>
          <w:spacing w:val="-3"/>
          <w:sz w:val="24"/>
          <w:highlight w:val="none"/>
          <w:lang w:eastAsia="zh-CN"/>
        </w:rPr>
        <w:t>供应商“信用中国”</w:t>
      </w:r>
      <w:r>
        <w:rPr>
          <w:rFonts w:hint="eastAsia" w:ascii="宋体" w:hAnsi="宋体" w:eastAsia="宋体" w:cs="宋体"/>
          <w:b w:val="0"/>
          <w:bCs w:val="0"/>
          <w:color w:val="auto"/>
          <w:spacing w:val="-3"/>
          <w:sz w:val="24"/>
          <w:highlight w:val="none"/>
          <w:lang w:val="en-US" w:eastAsia="zh-CN"/>
        </w:rPr>
        <w:t>的信用信息报告和国家企业信用信息公示报告及中国政府采购网截图</w:t>
      </w:r>
    </w:p>
    <w:p>
      <w:pPr>
        <w:pStyle w:val="25"/>
        <w:spacing w:line="360" w:lineRule="auto"/>
        <w:ind w:firstLine="473"/>
        <w:rPr>
          <w:rFonts w:hint="eastAsia" w:ascii="宋体" w:hAnsi="宋体" w:eastAsia="宋体" w:cs="宋体"/>
          <w:b w:val="0"/>
          <w:bCs w:val="0"/>
          <w:color w:val="auto"/>
          <w:spacing w:val="-3"/>
          <w:sz w:val="24"/>
          <w:highlight w:val="none"/>
        </w:rPr>
      </w:pPr>
      <w:r>
        <w:rPr>
          <w:rFonts w:hint="eastAsia" w:ascii="宋体" w:hAnsi="宋体" w:eastAsia="宋体" w:cs="宋体"/>
          <w:b w:val="0"/>
          <w:bCs w:val="0"/>
          <w:color w:val="auto"/>
          <w:spacing w:val="-3"/>
          <w:sz w:val="24"/>
          <w:highlight w:val="none"/>
        </w:rPr>
        <w:t>(</w:t>
      </w:r>
      <w:r>
        <w:rPr>
          <w:rFonts w:hint="eastAsia" w:ascii="宋体" w:hAnsi="宋体" w:eastAsia="宋体" w:cs="宋体"/>
          <w:b w:val="0"/>
          <w:bCs w:val="0"/>
          <w:color w:val="auto"/>
          <w:spacing w:val="-3"/>
          <w:sz w:val="24"/>
          <w:highlight w:val="none"/>
          <w:lang w:val="en-US" w:eastAsia="zh-CN"/>
        </w:rPr>
        <w:t>7</w:t>
      </w:r>
      <w:r>
        <w:rPr>
          <w:rFonts w:hint="eastAsia" w:ascii="宋体" w:hAnsi="宋体" w:eastAsia="宋体" w:cs="宋体"/>
          <w:b w:val="0"/>
          <w:bCs w:val="0"/>
          <w:color w:val="auto"/>
          <w:spacing w:val="-3"/>
          <w:sz w:val="24"/>
          <w:highlight w:val="none"/>
        </w:rPr>
        <w:t>) 投标人认为有必要提供的声明及文件资料</w:t>
      </w:r>
    </w:p>
    <w:p>
      <w:pPr>
        <w:pStyle w:val="24"/>
        <w:spacing w:line="360" w:lineRule="auto"/>
        <w:ind w:firstLine="567"/>
        <w:jc w:val="both"/>
        <w:outlineLvl w:val="2"/>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9.1.3 技术文件</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 货物的详细技术参数</w:t>
      </w:r>
    </w:p>
    <w:p>
      <w:pPr>
        <w:pStyle w:val="24"/>
        <w:spacing w:line="360" w:lineRule="auto"/>
        <w:ind w:firstLine="361" w:firstLineChars="15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 xml:space="preserve"> (2) 技术规格偏离表</w:t>
      </w:r>
    </w:p>
    <w:p>
      <w:pPr>
        <w:pStyle w:val="24"/>
        <w:spacing w:line="360" w:lineRule="auto"/>
        <w:ind w:firstLine="482" w:firstLineChars="200"/>
        <w:jc w:val="both"/>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(3) 供货方案</w:t>
      </w:r>
      <w:r>
        <w:rPr>
          <w:rFonts w:hint="eastAsia" w:ascii="宋体" w:hAnsi="宋体" w:cs="宋体"/>
          <w:b w:val="0"/>
          <w:bCs w:val="0"/>
          <w:color w:val="auto"/>
          <w:szCs w:val="24"/>
          <w:highlight w:val="none"/>
          <w:lang w:eastAsia="zh-CN"/>
        </w:rPr>
        <w:t>、</w:t>
      </w:r>
      <w:r>
        <w:rPr>
          <w:rFonts w:hint="eastAsia" w:ascii="宋体" w:hAnsi="宋体" w:cs="宋体"/>
          <w:b w:val="0"/>
          <w:bCs w:val="0"/>
          <w:color w:val="auto"/>
          <w:szCs w:val="24"/>
          <w:highlight w:val="none"/>
        </w:rPr>
        <w:t>安装计划、人员力量安排方案</w:t>
      </w:r>
      <w:r>
        <w:rPr>
          <w:rFonts w:hint="eastAsia" w:ascii="宋体" w:hAnsi="宋体" w:cs="宋体"/>
          <w:b w:val="0"/>
          <w:bCs w:val="0"/>
          <w:color w:val="auto"/>
          <w:szCs w:val="24"/>
          <w:highlight w:val="none"/>
          <w:lang w:eastAsia="zh-CN"/>
        </w:rPr>
        <w:t>等</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(4) 产品说明书资料等</w:t>
      </w:r>
    </w:p>
    <w:p>
      <w:pPr>
        <w:pStyle w:val="24"/>
        <w:spacing w:line="360" w:lineRule="auto"/>
        <w:ind w:firstLine="482" w:firstLineChars="200"/>
        <w:jc w:val="both"/>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(5) 产品质量获奖荣誉证书等</w:t>
      </w:r>
      <w:r>
        <w:rPr>
          <w:rFonts w:hint="eastAsia" w:ascii="宋体" w:hAnsi="宋体" w:cs="宋体"/>
          <w:b w:val="0"/>
          <w:bCs w:val="0"/>
          <w:color w:val="auto"/>
          <w:szCs w:val="24"/>
          <w:highlight w:val="none"/>
          <w:lang w:eastAsia="zh-CN"/>
        </w:rPr>
        <w:t>（如有）</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(6) 投标人认为有必要提供的声明及文件资料</w:t>
      </w:r>
    </w:p>
    <w:p>
      <w:pPr>
        <w:pStyle w:val="24"/>
        <w:spacing w:line="360" w:lineRule="auto"/>
        <w:ind w:firstLine="482" w:firstLineChars="200"/>
        <w:jc w:val="both"/>
        <w:outlineLvl w:val="2"/>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9.1.4 电子标书</w:t>
      </w:r>
    </w:p>
    <w:p>
      <w:pPr>
        <w:pStyle w:val="24"/>
        <w:spacing w:line="360" w:lineRule="auto"/>
        <w:ind w:firstLine="482" w:firstLineChars="200"/>
        <w:jc w:val="both"/>
        <w:outlineLvl w:val="2"/>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本项目实行电子招投标，供应商需要使用CA锁，在新疆政府采购网--下载专区下载--供应商客户端制作投标文件，并生成JMBS格式加密文件，在投标截止前上传至政府采购云平台。</w:t>
      </w:r>
    </w:p>
    <w:p>
      <w:pPr>
        <w:pStyle w:val="24"/>
        <w:spacing w:line="360" w:lineRule="auto"/>
        <w:ind w:firstLine="482" w:firstLineChars="200"/>
        <w:jc w:val="both"/>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9.2 第9.1.1条中第(1)(2)(3)(4)项、第9.1.2条中第(1)(2)(3)(4)(</w:t>
      </w:r>
      <w:r>
        <w:rPr>
          <w:rFonts w:hint="eastAsia" w:ascii="宋体" w:hAnsi="宋体" w:cs="宋体"/>
          <w:b w:val="0"/>
          <w:bCs w:val="0"/>
          <w:color w:val="auto"/>
          <w:szCs w:val="24"/>
          <w:highlight w:val="none"/>
          <w:lang w:val="en-US" w:eastAsia="zh-CN"/>
        </w:rPr>
        <w:t>5</w:t>
      </w: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6</w:t>
      </w:r>
      <w:r>
        <w:rPr>
          <w:rFonts w:hint="eastAsia" w:ascii="宋体" w:hAnsi="宋体" w:cs="宋体"/>
          <w:b w:val="0"/>
          <w:bCs w:val="0"/>
          <w:color w:val="auto"/>
          <w:szCs w:val="24"/>
          <w:highlight w:val="none"/>
        </w:rPr>
        <w:t>)项、第9.1.3条中第(1)(2)项为必备项，投标人在投标文件中必须提供有关材料，如果缺项，将导致投标失败。</w:t>
      </w:r>
    </w:p>
    <w:p>
      <w:pPr>
        <w:pStyle w:val="24"/>
        <w:keepLines w:val="0"/>
        <w:kinsoku/>
        <w:wordWrap/>
        <w:overflowPunct/>
        <w:bidi w:val="0"/>
        <w:spacing w:line="360" w:lineRule="auto"/>
        <w:ind w:firstLine="525"/>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Cs w:val="24"/>
          <w:highlight w:val="none"/>
        </w:rPr>
        <w:t>9.3 投标人在投标中违反国家有关法律法规的强制性规定的，其投标按未满足招标文件实质性要求处理。</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投标书格式</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投标人应按招标文件提供的格式完整地填写所提供的货物、服务、数量及价格。</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投标报价</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投标人应按招标文件所附的《开标一览表》和《投标产品名称、数量、规格及报价明细表》中的项目，标明拟提供货物和服务的单价和总价。如单价和总价不符，以单价累计为准。</w:t>
      </w:r>
    </w:p>
    <w:p>
      <w:pPr>
        <w:pStyle w:val="24"/>
        <w:keepLines w:val="0"/>
        <w:kinsoku/>
        <w:wordWrap/>
        <w:overflowPunct/>
        <w:bidi w:val="0"/>
        <w:spacing w:line="360" w:lineRule="auto"/>
        <w:ind w:firstLine="567"/>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 本标针对每种货物只接受一个报价，不接受备选方案，但不拒绝优惠声明。</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投标人应按招标文件的要求对有关设计</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、货物及其配套服务的全部内容进行报价。投标报价应包括：</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外购、外协、配套件、原材料及功能设计生产制造、检验、油漆、包装、保险、利税、管理、运杂、安装调试、人员培训等费用。</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招标文件中特别要求的零</w:t>
      </w:r>
      <w:r>
        <w:rPr>
          <w:rFonts w:hint="eastAsia" w:ascii="宋体" w:hAnsi="宋体" w:eastAsia="宋体" w:cs="宋体"/>
          <w:color w:val="auto"/>
          <w:sz w:val="24"/>
          <w:szCs w:val="24"/>
          <w:highlight w:val="none"/>
          <w:lang w:eastAsia="zh-CN"/>
        </w:rPr>
        <w:t>件</w:t>
      </w:r>
      <w:r>
        <w:rPr>
          <w:rFonts w:hint="eastAsia" w:ascii="宋体" w:hAnsi="宋体" w:eastAsia="宋体" w:cs="宋体"/>
          <w:color w:val="auto"/>
          <w:sz w:val="24"/>
          <w:szCs w:val="24"/>
          <w:highlight w:val="none"/>
        </w:rPr>
        <w:t>、备</w:t>
      </w:r>
      <w:r>
        <w:rPr>
          <w:rFonts w:hint="eastAsia" w:ascii="宋体" w:hAnsi="宋体" w:eastAsia="宋体" w:cs="宋体"/>
          <w:color w:val="auto"/>
          <w:sz w:val="24"/>
          <w:szCs w:val="24"/>
          <w:highlight w:val="none"/>
          <w:lang w:eastAsia="zh-CN"/>
        </w:rPr>
        <w:t>品备</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费用。</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分项报价明细表中特别要求的安装、调试、运输及培训</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费用。</w:t>
      </w:r>
    </w:p>
    <w:p>
      <w:pPr>
        <w:pStyle w:val="24"/>
        <w:keepLines w:val="0"/>
        <w:kinsoku/>
        <w:wordWrap/>
        <w:overflowPunct/>
        <w:bidi w:val="0"/>
        <w:spacing w:line="360" w:lineRule="auto"/>
        <w:ind w:firstLine="567"/>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投标货币</w:t>
      </w:r>
    </w:p>
    <w:p>
      <w:pPr>
        <w:pStyle w:val="24"/>
        <w:keepLines w:val="0"/>
        <w:kinsoku/>
        <w:wordWrap/>
        <w:overflowPunct/>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本次投标货币为人民币。</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证明投标人合格和资格的文件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投标人应提交证明其有资格参加投标和一旦其投标被接受则有能力履行合同的文件，并作为其投标文件的一部分。</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投标人应填写并提交招标文件所要求的资格证明类文件。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证明货物的合格性和符合招标文件规定的文件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投标人应提交招标文件要求的货物及其服务的合格性及符合招标文件规定的证明文件。证明文件可以是手册、图纸和资料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，并作为投标文件的一部分。</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投标人应逐条阅读招标文件要求的技术规格条款要求，指出自己提供的货物和服务是否对招标文件做出实质性的响应，</w:t>
      </w:r>
      <w:r>
        <w:rPr>
          <w:rFonts w:hint="eastAsia" w:ascii="宋体" w:hAnsi="宋体" w:eastAsia="宋体" w:cs="宋体"/>
          <w:b/>
          <w:color w:val="auto"/>
          <w:sz w:val="24"/>
          <w:szCs w:val="24"/>
          <w:highlight w:val="none"/>
        </w:rPr>
        <w:t>并将不能响应之处在招标文件所附的“技术</w:t>
      </w:r>
      <w:r>
        <w:rPr>
          <w:rFonts w:hint="eastAsia" w:ascii="宋体" w:hAnsi="宋体" w:eastAsia="宋体" w:cs="宋体"/>
          <w:b/>
          <w:color w:val="auto"/>
          <w:sz w:val="24"/>
          <w:szCs w:val="24"/>
          <w:highlight w:val="none"/>
          <w:lang w:eastAsia="zh-CN"/>
        </w:rPr>
        <w:t>规格</w:t>
      </w:r>
      <w:r>
        <w:rPr>
          <w:rFonts w:hint="eastAsia" w:ascii="宋体" w:hAnsi="宋体" w:eastAsia="宋体" w:cs="宋体"/>
          <w:b/>
          <w:color w:val="auto"/>
          <w:sz w:val="24"/>
          <w:szCs w:val="24"/>
          <w:highlight w:val="none"/>
        </w:rPr>
        <w:t>偏离表”中一一列出。否则，将视为投标人同意、确认或接受招标文件的全部或相应部分的要求。</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证明货物的合格性和符合招标文件规定的文件应包括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下列内容：</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14.3.1  投标货物的试验</w:t>
      </w:r>
      <w:r>
        <w:rPr>
          <w:rFonts w:hint="eastAsia" w:ascii="宋体" w:hAnsi="宋体" w:eastAsia="宋体" w:cs="宋体"/>
          <w:color w:val="auto"/>
          <w:sz w:val="24"/>
          <w:szCs w:val="24"/>
          <w:highlight w:val="none"/>
          <w:lang w:eastAsia="zh-CN"/>
        </w:rPr>
        <w:t>检验</w:t>
      </w:r>
      <w:r>
        <w:rPr>
          <w:rFonts w:hint="eastAsia" w:ascii="宋体" w:hAnsi="宋体" w:eastAsia="宋体" w:cs="宋体"/>
          <w:color w:val="auto"/>
          <w:sz w:val="24"/>
          <w:szCs w:val="24"/>
          <w:highlight w:val="none"/>
        </w:rPr>
        <w:t>报告、鉴定证书（复印件）；</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有关的产品样本、手册、图纸和资料；</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投标人认为有必要提供的其它证明文件</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荣获国优、部优、省优荣誉证书</w:t>
      </w:r>
      <w:r>
        <w:rPr>
          <w:rFonts w:hint="eastAsia" w:ascii="宋体" w:hAnsi="宋体" w:eastAsia="宋体" w:cs="宋体"/>
          <w:color w:val="auto"/>
          <w:sz w:val="24"/>
          <w:szCs w:val="24"/>
          <w:highlight w:val="none"/>
          <w:lang w:eastAsia="zh-CN"/>
        </w:rPr>
        <w:t>等其他资料）</w:t>
      </w:r>
      <w:r>
        <w:rPr>
          <w:rFonts w:hint="eastAsia" w:ascii="宋体" w:hAnsi="宋体" w:eastAsia="宋体" w:cs="宋体"/>
          <w:color w:val="auto"/>
          <w:sz w:val="24"/>
          <w:szCs w:val="24"/>
          <w:highlight w:val="none"/>
        </w:rPr>
        <w:t>；</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投标文件的有效期</w:t>
      </w:r>
    </w:p>
    <w:p>
      <w:pPr>
        <w:pStyle w:val="24"/>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15.1  投标文件从实际开标之日起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60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天内有效。</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在特殊情况下, 在原投标有效期届满之前，采购代理机构可与投标单位协商延长投标文件的有效期，并经投标方确认。</w:t>
      </w:r>
    </w:p>
    <w:p>
      <w:pPr>
        <w:pStyle w:val="24"/>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15.3 投标人在投标有效期内撤销投标文件的，采购代理机构可以不退还投标保证金（本项目不做要求）。</w:t>
      </w:r>
    </w:p>
    <w:p>
      <w:pPr>
        <w:pStyle w:val="24"/>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16.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pPr>
        <w:spacing w:line="360" w:lineRule="auto"/>
        <w:ind w:firstLine="560"/>
        <w:rPr>
          <w:rFonts w:hint="eastAsia" w:ascii="宋体" w:hAnsi="宋体" w:cs="宋体"/>
          <w:color w:val="auto"/>
          <w:sz w:val="24"/>
        </w:rPr>
      </w:pPr>
      <w:r>
        <w:rPr>
          <w:rFonts w:hint="eastAsia" w:ascii="宋体" w:hAnsi="宋体" w:cs="宋体"/>
          <w:color w:val="auto"/>
          <w:sz w:val="24"/>
        </w:rPr>
        <w:t>16.2  投标文件的书写应清楚工整，修改处应由法定代表人或投标人授权代表</w:t>
      </w:r>
      <w:r>
        <w:rPr>
          <w:rFonts w:hint="eastAsia" w:ascii="宋体" w:hAnsi="宋体" w:cs="宋体"/>
          <w:color w:val="auto"/>
          <w:sz w:val="24"/>
          <w:lang w:val="en-US" w:eastAsia="zh-CN"/>
        </w:rPr>
        <w:t>签章</w:t>
      </w:r>
      <w:r>
        <w:rPr>
          <w:rFonts w:hint="eastAsia" w:ascii="宋体" w:hAnsi="宋体" w:cs="宋体"/>
          <w:color w:val="auto"/>
          <w:sz w:val="24"/>
        </w:rPr>
        <w:t>。</w:t>
      </w:r>
    </w:p>
    <w:p>
      <w:pPr>
        <w:pStyle w:val="24"/>
        <w:spacing w:line="360" w:lineRule="auto"/>
        <w:ind w:firstLine="567"/>
        <w:jc w:val="both"/>
        <w:rPr>
          <w:rFonts w:hint="eastAsia" w:ascii="宋体" w:hAnsi="宋体" w:cs="宋体"/>
          <w:color w:val="auto"/>
          <w:szCs w:val="24"/>
        </w:rPr>
      </w:pPr>
      <w:r>
        <w:rPr>
          <w:rFonts w:hint="eastAsia" w:ascii="宋体" w:hAnsi="宋体" w:cs="宋体"/>
          <w:color w:val="auto"/>
          <w:szCs w:val="24"/>
        </w:rPr>
        <w:t>16.3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pPr>
        <w:pStyle w:val="24"/>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16.4  投标文件具有法律效力,若投标文件与采购清单要求不一致，其内容影响成交结果时，责任由供应商自行承担。 </w:t>
      </w:r>
    </w:p>
    <w:p>
      <w:pPr>
        <w:pStyle w:val="24"/>
        <w:spacing w:line="360" w:lineRule="auto"/>
        <w:ind w:firstLine="567"/>
        <w:jc w:val="both"/>
        <w:rPr>
          <w:rFonts w:hint="eastAsia" w:ascii="宋体" w:hAnsi="宋体" w:cs="宋体"/>
          <w:color w:val="auto"/>
          <w:szCs w:val="24"/>
        </w:rPr>
      </w:pPr>
      <w:r>
        <w:rPr>
          <w:rFonts w:hint="eastAsia" w:ascii="宋体" w:hAnsi="宋体" w:cs="宋体"/>
          <w:color w:val="auto"/>
          <w:szCs w:val="24"/>
        </w:rPr>
        <w:t>16.5 为了保证投标文件的合法性、安全性和完整性，</w:t>
      </w:r>
      <w:r>
        <w:rPr>
          <w:rFonts w:hint="eastAsia" w:ascii="宋体" w:hAnsi="宋体" w:cs="宋体"/>
          <w:color w:val="auto"/>
          <w:szCs w:val="24"/>
          <w:lang w:eastAsia="zh-CN"/>
        </w:rPr>
        <w:t>投标文件</w:t>
      </w:r>
      <w:r>
        <w:rPr>
          <w:rFonts w:hint="eastAsia" w:ascii="宋体" w:hAnsi="宋体" w:cs="宋体"/>
          <w:color w:val="auto"/>
          <w:szCs w:val="24"/>
        </w:rPr>
        <w:t>由供应商逐页</w:t>
      </w:r>
      <w:r>
        <w:rPr>
          <w:rFonts w:hint="eastAsia" w:ascii="宋体" w:hAnsi="宋体" w:cs="宋体"/>
          <w:color w:val="auto"/>
          <w:szCs w:val="24"/>
          <w:lang w:eastAsia="zh-CN"/>
        </w:rPr>
        <w:t>加盖单位公章</w:t>
      </w:r>
      <w:r>
        <w:rPr>
          <w:rFonts w:hint="eastAsia" w:ascii="宋体" w:hAnsi="宋体" w:cs="宋体"/>
          <w:color w:val="auto"/>
          <w:szCs w:val="24"/>
        </w:rPr>
        <w:t>。授权代表须将 “法人授权书”（原件）附在投标文件中。</w:t>
      </w:r>
    </w:p>
    <w:p>
      <w:pPr>
        <w:pStyle w:val="24"/>
        <w:spacing w:line="360" w:lineRule="auto"/>
        <w:ind w:firstLine="567"/>
        <w:jc w:val="both"/>
        <w:rPr>
          <w:rFonts w:hint="eastAsia" w:ascii="宋体" w:hAnsi="宋体" w:cs="宋体"/>
          <w:color w:val="auto"/>
          <w:szCs w:val="24"/>
        </w:rPr>
      </w:pPr>
      <w:r>
        <w:rPr>
          <w:rFonts w:hint="eastAsia" w:ascii="宋体" w:hAnsi="宋体" w:cs="宋体"/>
          <w:color w:val="auto"/>
          <w:szCs w:val="24"/>
        </w:rPr>
        <w:t>16.6 除供应商对错处做必要修改外，投标文件不得行间插字、涂改或增删。如有修改错漏处，必须由投标文件签署人签字或盖章。</w:t>
      </w:r>
    </w:p>
    <w:p>
      <w:pPr>
        <w:pStyle w:val="24"/>
        <w:spacing w:line="360" w:lineRule="auto"/>
        <w:ind w:firstLine="567"/>
        <w:jc w:val="both"/>
        <w:rPr>
          <w:rFonts w:hint="eastAsia" w:ascii="宋体" w:hAnsi="宋体" w:cs="宋体"/>
          <w:color w:val="auto"/>
          <w:szCs w:val="24"/>
        </w:rPr>
      </w:pPr>
      <w:r>
        <w:rPr>
          <w:rFonts w:hint="eastAsia" w:ascii="宋体" w:hAnsi="宋体" w:cs="宋体"/>
          <w:color w:val="auto"/>
          <w:szCs w:val="24"/>
        </w:rPr>
        <w:t>16.7  投标文件的份数：详见《投标人须知前附表》。</w:t>
      </w:r>
    </w:p>
    <w:p>
      <w:pPr>
        <w:pStyle w:val="24"/>
        <w:spacing w:line="360" w:lineRule="auto"/>
        <w:ind w:firstLine="567"/>
        <w:jc w:val="both"/>
        <w:rPr>
          <w:rFonts w:hint="eastAsia" w:ascii="宋体" w:hAnsi="宋体" w:cs="宋体"/>
          <w:color w:val="auto"/>
          <w:szCs w:val="24"/>
        </w:rPr>
      </w:pPr>
      <w:r>
        <w:rPr>
          <w:rFonts w:hint="eastAsia" w:ascii="宋体" w:hAnsi="宋体" w:cs="宋体"/>
          <w:color w:val="auto"/>
          <w:szCs w:val="24"/>
        </w:rPr>
        <w:t>16.8  投标人可根据投标货物的具体需要自行编制其它文件纳入投标书中。</w:t>
      </w:r>
    </w:p>
    <w:p>
      <w:pPr>
        <w:pStyle w:val="24"/>
        <w:spacing w:line="360" w:lineRule="auto"/>
        <w:ind w:firstLine="567"/>
        <w:jc w:val="both"/>
        <w:rPr>
          <w:rFonts w:hint="eastAsia" w:ascii="宋体" w:hAnsi="宋体" w:cs="宋体"/>
          <w:bCs/>
          <w:color w:val="auto"/>
          <w:szCs w:val="24"/>
        </w:rPr>
      </w:pPr>
      <w:r>
        <w:rPr>
          <w:rFonts w:hint="eastAsia" w:ascii="宋体" w:hAnsi="宋体" w:cs="宋体"/>
          <w:bCs/>
          <w:color w:val="auto"/>
          <w:szCs w:val="24"/>
        </w:rPr>
        <w:t xml:space="preserve">16.9  </w:t>
      </w:r>
      <w:r>
        <w:rPr>
          <w:rFonts w:hint="eastAsia" w:ascii="宋体" w:hAnsi="宋体" w:cs="宋体"/>
          <w:bCs/>
          <w:color w:val="auto"/>
          <w:szCs w:val="24"/>
          <w:lang w:val="en-US" w:eastAsia="zh-CN"/>
        </w:rPr>
        <w:t>纸质版</w:t>
      </w:r>
      <w:r>
        <w:rPr>
          <w:rFonts w:hint="eastAsia" w:ascii="宋体" w:hAnsi="宋体" w:cs="宋体"/>
          <w:bCs/>
          <w:color w:val="auto"/>
          <w:szCs w:val="24"/>
        </w:rPr>
        <w:t>投标文件的装订必须采用死页胶粘本，不允许活页形式装订（非胶粘方式装订的投标书一律视同活页装订），活页方式装订视为投标无效。</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  投标保证金</w:t>
      </w:r>
    </w:p>
    <w:p>
      <w:pPr>
        <w:pStyle w:val="24"/>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  投标保证金金额：</w:t>
      </w:r>
      <w:r>
        <w:rPr>
          <w:rFonts w:hint="eastAsia" w:ascii="宋体" w:hAnsi="宋体" w:eastAsia="宋体" w:cs="宋体"/>
          <w:b w:val="0"/>
          <w:bCs/>
          <w:color w:val="auto"/>
          <w:sz w:val="24"/>
          <w:szCs w:val="24"/>
          <w:highlight w:val="none"/>
          <w:lang w:eastAsia="zh-CN"/>
        </w:rPr>
        <w:t>详见投标人须知前附表规定。</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投标保证金用于保护本次招标免受投标人的违规、违约行为而引起的风险。</w:t>
      </w:r>
    </w:p>
    <w:p>
      <w:pPr>
        <w:pStyle w:val="24"/>
        <w:keepLines w:val="0"/>
        <w:kinsoku/>
        <w:wordWrap/>
        <w:overflowPunct/>
        <w:bidi w:val="0"/>
        <w:spacing w:line="360" w:lineRule="auto"/>
        <w:ind w:firstLine="567"/>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17.3  投标保证金应用人民币，由投标人按第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》中明确的银行、帐号</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开标</w:t>
      </w:r>
      <w:r>
        <w:rPr>
          <w:rFonts w:hint="eastAsia" w:ascii="宋体" w:hAnsi="宋体" w:eastAsia="宋体" w:cs="宋体"/>
          <w:b w:val="0"/>
          <w:bCs w:val="0"/>
          <w:color w:val="auto"/>
          <w:sz w:val="24"/>
          <w:szCs w:val="24"/>
          <w:highlight w:val="none"/>
          <w:lang w:eastAsia="zh-CN"/>
        </w:rPr>
        <w:t>前缴纳</w:t>
      </w:r>
      <w:r>
        <w:rPr>
          <w:rFonts w:hint="eastAsia" w:ascii="宋体" w:hAnsi="宋体" w:eastAsia="宋体" w:cs="宋体"/>
          <w:b w:val="0"/>
          <w:bCs w:val="0"/>
          <w:color w:val="auto"/>
          <w:sz w:val="24"/>
          <w:szCs w:val="24"/>
          <w:highlight w:val="none"/>
        </w:rPr>
        <w:t>。对未按要求提交投标保证金的投标书，采购代理机构将视为不响应投标而予以拒绝。</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投标保证金应以电汇</w:t>
      </w:r>
      <w:r>
        <w:rPr>
          <w:rFonts w:hint="eastAsia" w:ascii="宋体" w:hAnsi="宋体" w:eastAsia="宋体" w:cs="宋体"/>
          <w:color w:val="auto"/>
          <w:sz w:val="24"/>
          <w:szCs w:val="24"/>
          <w:highlight w:val="none"/>
          <w:lang w:eastAsia="zh-CN"/>
        </w:rPr>
        <w:t>或银行转账的</w:t>
      </w:r>
      <w:r>
        <w:rPr>
          <w:rFonts w:hint="eastAsia" w:ascii="宋体" w:hAnsi="宋体" w:eastAsia="宋体" w:cs="宋体"/>
          <w:color w:val="auto"/>
          <w:sz w:val="24"/>
          <w:szCs w:val="24"/>
          <w:highlight w:val="none"/>
        </w:rPr>
        <w:t>方式提交。投标保证金必须从各单位基本账户汇出。</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  中标人的投标保证金自采购合同签定之日起5个工作日内</w:t>
      </w:r>
      <w:r>
        <w:rPr>
          <w:rFonts w:hint="eastAsia" w:ascii="宋体" w:hAnsi="宋体" w:eastAsia="宋体" w:cs="宋体"/>
          <w:color w:val="auto"/>
          <w:sz w:val="24"/>
          <w:szCs w:val="24"/>
          <w:highlight w:val="none"/>
        </w:rPr>
        <w:t>不计利息予以退还</w:t>
      </w:r>
      <w:r>
        <w:rPr>
          <w:rFonts w:hint="eastAsia" w:ascii="宋体" w:hAnsi="宋体" w:eastAsia="宋体" w:cs="宋体"/>
          <w:color w:val="auto"/>
          <w:sz w:val="24"/>
          <w:szCs w:val="24"/>
          <w:highlight w:val="none"/>
          <w:lang w:eastAsia="zh-CN"/>
        </w:rPr>
        <w:t>。</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未中标人的投标保证金，</w:t>
      </w:r>
      <w:r>
        <w:rPr>
          <w:rFonts w:hint="eastAsia" w:ascii="宋体" w:hAnsi="宋体" w:eastAsia="宋体" w:cs="宋体"/>
          <w:color w:val="auto"/>
          <w:sz w:val="24"/>
          <w:szCs w:val="24"/>
          <w:highlight w:val="none"/>
          <w:lang w:eastAsia="zh-CN"/>
        </w:rPr>
        <w:t>自中标通知书发出之日起</w:t>
      </w:r>
      <w:r>
        <w:rPr>
          <w:rFonts w:hint="eastAsia" w:ascii="宋体" w:hAnsi="宋体" w:eastAsia="宋体" w:cs="宋体"/>
          <w:color w:val="auto"/>
          <w:sz w:val="24"/>
          <w:szCs w:val="24"/>
          <w:highlight w:val="none"/>
          <w:lang w:val="en-US" w:eastAsia="zh-CN"/>
        </w:rPr>
        <w:t>5个工作日内</w:t>
      </w:r>
      <w:r>
        <w:rPr>
          <w:rFonts w:hint="eastAsia" w:ascii="宋体" w:hAnsi="宋体" w:eastAsia="宋体" w:cs="宋体"/>
          <w:color w:val="auto"/>
          <w:sz w:val="24"/>
          <w:szCs w:val="24"/>
          <w:highlight w:val="none"/>
        </w:rPr>
        <w:t>不计利息予以退还。</w:t>
      </w:r>
    </w:p>
    <w:p>
      <w:pPr>
        <w:pStyle w:val="24"/>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  发生以下情况</w:t>
      </w:r>
      <w:r>
        <w:rPr>
          <w:rFonts w:hint="eastAsia" w:ascii="宋体" w:hAnsi="宋体" w:eastAsia="宋体" w:cs="宋体"/>
          <w:b w:val="0"/>
          <w:bCs w:val="0"/>
          <w:color w:val="auto"/>
          <w:sz w:val="24"/>
          <w:szCs w:val="24"/>
          <w:highlight w:val="none"/>
          <w:lang w:eastAsia="zh-CN"/>
        </w:rPr>
        <w:t>中标人的</w:t>
      </w:r>
      <w:r>
        <w:rPr>
          <w:rFonts w:hint="eastAsia" w:ascii="宋体" w:hAnsi="宋体" w:eastAsia="宋体" w:cs="宋体"/>
          <w:b w:val="0"/>
          <w:bCs w:val="0"/>
          <w:color w:val="auto"/>
          <w:sz w:val="24"/>
          <w:szCs w:val="24"/>
          <w:highlight w:val="none"/>
        </w:rPr>
        <w:t>投标保证金可能被没收：</w:t>
      </w:r>
    </w:p>
    <w:p>
      <w:pPr>
        <w:pStyle w:val="25"/>
        <w:keepLines w:val="0"/>
        <w:kinsoku/>
        <w:wordWrap/>
        <w:overflowPunct/>
        <w:bidi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17.7.1 未</w:t>
      </w:r>
      <w:r>
        <w:rPr>
          <w:rFonts w:hint="eastAsia" w:ascii="宋体" w:hAnsi="宋体" w:eastAsia="宋体" w:cs="宋体"/>
          <w:b w:val="0"/>
          <w:bCs w:val="0"/>
          <w:color w:val="auto"/>
          <w:sz w:val="24"/>
          <w:szCs w:val="24"/>
          <w:highlight w:val="none"/>
        </w:rPr>
        <w:t>按2</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条规定签定合同；</w:t>
      </w:r>
    </w:p>
    <w:p>
      <w:pPr>
        <w:pStyle w:val="25"/>
        <w:keepLines w:val="0"/>
        <w:kinsoku/>
        <w:wordWrap/>
        <w:overflowPunct/>
        <w:bidi w:val="0"/>
        <w:spacing w:line="360" w:lineRule="auto"/>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17.7.2 未按</w:t>
      </w:r>
      <w:r>
        <w:rPr>
          <w:rFonts w:hint="eastAsia" w:ascii="宋体" w:hAnsi="宋体" w:eastAsia="宋体" w:cs="宋体"/>
          <w:b w:val="0"/>
          <w:bCs w:val="0"/>
          <w:color w:val="auto"/>
          <w:sz w:val="24"/>
          <w:szCs w:val="24"/>
          <w:highlight w:val="none"/>
        </w:rPr>
        <w:t>第31条有关缴纳中标服务费的规定；</w:t>
      </w:r>
    </w:p>
    <w:p>
      <w:pPr>
        <w:pStyle w:val="25"/>
        <w:keepLines w:val="0"/>
        <w:kinsoku/>
        <w:wordWrap/>
        <w:overflowPunct/>
        <w:bidi w:val="0"/>
        <w:spacing w:line="360" w:lineRule="auto"/>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17.7.3 未</w:t>
      </w:r>
      <w:r>
        <w:rPr>
          <w:rFonts w:hint="eastAsia" w:ascii="宋体" w:hAnsi="宋体" w:eastAsia="宋体" w:cs="宋体"/>
          <w:b w:val="0"/>
          <w:bCs w:val="0"/>
          <w:color w:val="auto"/>
          <w:sz w:val="24"/>
          <w:szCs w:val="24"/>
          <w:highlight w:val="none"/>
        </w:rPr>
        <w:t>按招标文件要求提交合同履约保证金的。</w:t>
      </w:r>
    </w:p>
    <w:p>
      <w:pPr>
        <w:pStyle w:val="23"/>
        <w:jc w:val="center"/>
        <w:rPr>
          <w:rFonts w:hint="eastAsia"/>
          <w:b/>
          <w:bCs/>
          <w:color w:val="auto"/>
          <w:highlight w:val="none"/>
          <w:lang w:eastAsia="zh-CN"/>
        </w:rPr>
      </w:pPr>
      <w:r>
        <w:rPr>
          <w:rFonts w:hint="eastAsia"/>
          <w:b/>
          <w:bCs/>
          <w:color w:val="auto"/>
          <w:highlight w:val="none"/>
          <w:lang w:eastAsia="zh-CN"/>
        </w:rPr>
        <w:t>四、投标文件的递交</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投标文件</w:t>
      </w:r>
      <w:r>
        <w:rPr>
          <w:rFonts w:hint="eastAsia" w:ascii="宋体" w:hAnsi="宋体" w:eastAsia="宋体" w:cs="宋体"/>
          <w:color w:val="auto"/>
          <w:sz w:val="24"/>
          <w:szCs w:val="24"/>
          <w:highlight w:val="none"/>
          <w:lang w:val="en-US" w:eastAsia="zh-CN"/>
        </w:rPr>
        <w:t>递交的格式</w:t>
      </w:r>
    </w:p>
    <w:p>
      <w:pPr>
        <w:pStyle w:val="24"/>
        <w:keepLines w:val="0"/>
        <w:kinsoku/>
        <w:wordWrap/>
        <w:overflowPunct/>
        <w:bidi w:val="0"/>
        <w:spacing w:line="360" w:lineRule="auto"/>
        <w:ind w:firstLine="567"/>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 xml:space="preserve">18.1 </w:t>
      </w:r>
      <w:r>
        <w:rPr>
          <w:rFonts w:hint="eastAsia" w:ascii="宋体" w:hAnsi="宋体" w:cs="宋体"/>
          <w:color w:val="auto"/>
          <w:szCs w:val="24"/>
          <w:highlight w:val="none"/>
          <w:lang w:val="en-US" w:eastAsia="zh-CN"/>
        </w:rPr>
        <w:t>投标供应商应当在投标截止时间前，将生成的“JMBS格式电子加密投标文件”上传递交至“政府采购云平台”，投标截止时间以后上传递交的投标文件将被“政府采购云平台”拒收。</w:t>
      </w:r>
    </w:p>
    <w:p>
      <w:pPr>
        <w:pStyle w:val="24"/>
        <w:spacing w:line="360" w:lineRule="auto"/>
        <w:ind w:firstLine="567"/>
        <w:jc w:val="both"/>
        <w:rPr>
          <w:rFonts w:hint="eastAsia" w:ascii="宋体" w:hAnsi="宋体" w:eastAsia="宋体" w:cs="宋体"/>
          <w:color w:val="auto"/>
          <w:szCs w:val="24"/>
          <w:highlight w:val="none"/>
          <w:lang w:val="en-US" w:eastAsia="zh-CN"/>
        </w:rPr>
      </w:pPr>
      <w:r>
        <w:rPr>
          <w:rFonts w:hint="eastAsia" w:ascii="宋体" w:hAnsi="宋体" w:eastAsia="宋体" w:cs="宋体"/>
          <w:b w:val="0"/>
          <w:bCs w:val="0"/>
          <w:color w:val="auto"/>
          <w:sz w:val="24"/>
          <w:szCs w:val="24"/>
          <w:highlight w:val="none"/>
        </w:rPr>
        <w:t xml:space="preserve">18.2  </w:t>
      </w:r>
      <w:r>
        <w:rPr>
          <w:rFonts w:hint="eastAsia" w:ascii="宋体" w:hAnsi="宋体" w:eastAsia="宋体" w:cs="宋体"/>
          <w:color w:val="auto"/>
          <w:szCs w:val="24"/>
          <w:highlight w:val="none"/>
          <w:lang w:val="en-US" w:eastAsia="zh-CN"/>
        </w:rPr>
        <w:t>未按本须知要求投递投标文件，造成无法投标或投标失败等后果的由投标人自行承担。</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投标文件递交的截止日期</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19.1  投标人必须在《投标人须知前附表》中规定的时间之前将投标文件送达到规定的地点。</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超过招标文件规定的投标截止时间送达的投标文件将不予接受。</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投标文件的修改和撤销</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投标人对其投标文件进行的修改或撤销应以书面形式并在招标文件规定的投标截止时间前送达采购代理机构手中。</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投标人对投标文件的修改或撤销应按第18和19条规定进行准备、标注和递交。</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投标截止时间以后，不允许对投标文件进行修改。</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投标人不得在投标截止时间起至投标文件有效期满前撤销投标文件</w:t>
      </w:r>
      <w:r>
        <w:rPr>
          <w:rFonts w:hint="eastAsia" w:ascii="宋体" w:hAnsi="宋体" w:eastAsia="宋体" w:cs="宋体"/>
          <w:color w:val="auto"/>
          <w:sz w:val="24"/>
          <w:szCs w:val="24"/>
          <w:highlight w:val="none"/>
          <w:lang w:eastAsia="zh-CN"/>
        </w:rPr>
        <w:t>。</w:t>
      </w:r>
    </w:p>
    <w:p>
      <w:pPr>
        <w:pStyle w:val="23"/>
        <w:jc w:val="center"/>
        <w:rPr>
          <w:rFonts w:hint="eastAsia"/>
          <w:b/>
          <w:bCs/>
          <w:color w:val="auto"/>
          <w:highlight w:val="none"/>
          <w:lang w:eastAsia="zh-CN"/>
        </w:rPr>
      </w:pPr>
      <w:r>
        <w:rPr>
          <w:rFonts w:hint="eastAsia"/>
          <w:b/>
          <w:bCs/>
          <w:color w:val="auto"/>
          <w:highlight w:val="none"/>
          <w:lang w:eastAsia="zh-CN"/>
        </w:rPr>
        <w:t>五、开标</w:t>
      </w:r>
    </w:p>
    <w:p>
      <w:pPr>
        <w:pStyle w:val="26"/>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开标</w:t>
      </w:r>
    </w:p>
    <w:p>
      <w:pPr>
        <w:pStyle w:val="24"/>
        <w:keepLines w:val="0"/>
        <w:kinsoku/>
        <w:wordWrap/>
        <w:overflowPunct/>
        <w:bidi w:val="0"/>
        <w:spacing w:line="360" w:lineRule="auto"/>
        <w:ind w:left="1" w:firstLine="484" w:firstLineChars="201"/>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  除非采购代理机构另外书面通知，本标将按本招标文件《投标人须知前附表》中规定的时间和地点开标。</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val="en-US" w:eastAsia="zh-CN"/>
        </w:rPr>
        <w:t>开标时，招标人、监督部门、公证部门的工作人员将对开标会议到场监督。</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 开标时，投标单位完成在线解密后，由工作人员开始唱标。</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开标时唱《开标一览表》的内容。如投标人对投标价格有说明或调整的，须与《开标一览表》附在一起，在唱标时一并唱出。</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唱标完毕后，如果投标人对所唱《开标一览表》内容有异议，应当场立即提出。经现场监标人员确认，认为有必要重新唱标的，由唱标员重新唱标。</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所有唱标均记录在案，并经监标人员或公证人员的签字，作为各投标人投标文件的组成部分。</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  投标人代表对开标过程和开标记录有疑义，以及认为采购人、采购代理机构相关工作人员有需要回避的情形的，应当场提出询问或者回避申请。</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  投标人未参加开标的，视同认可开标结果。</w:t>
      </w:r>
    </w:p>
    <w:p>
      <w:pPr>
        <w:pStyle w:val="23"/>
        <w:jc w:val="center"/>
        <w:rPr>
          <w:rFonts w:hint="eastAsia"/>
          <w:b/>
          <w:bCs/>
          <w:color w:val="auto"/>
          <w:highlight w:val="none"/>
          <w:lang w:eastAsia="zh-CN"/>
        </w:rPr>
      </w:pPr>
      <w:r>
        <w:rPr>
          <w:rFonts w:hint="eastAsia"/>
          <w:b/>
          <w:bCs/>
          <w:color w:val="auto"/>
          <w:highlight w:val="none"/>
          <w:lang w:eastAsia="zh-CN"/>
        </w:rPr>
        <w:t>六、评标和定标</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评标原则</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本标的评标遵循公平、公正、科学、择优的原则。</w:t>
      </w:r>
    </w:p>
    <w:p>
      <w:pPr>
        <w:pStyle w:val="24"/>
        <w:keepLines w:val="0"/>
        <w:kinsoku/>
        <w:wordWrap/>
        <w:overflowPunct/>
        <w:bidi w:val="0"/>
        <w:spacing w:line="360" w:lineRule="auto"/>
        <w:ind w:left="0" w:lef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评标委员会将严格按照《中华人民共和国招标投标法》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《中华人民共和国招标投标法</w:t>
      </w:r>
      <w:r>
        <w:rPr>
          <w:rFonts w:hint="eastAsia" w:ascii="宋体" w:hAnsi="宋体" w:eastAsia="宋体" w:cs="宋体"/>
          <w:color w:val="auto"/>
          <w:sz w:val="24"/>
          <w:szCs w:val="24"/>
          <w:highlight w:val="none"/>
          <w:lang w:eastAsia="zh-CN"/>
        </w:rPr>
        <w:t>实施条例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《政府采购货物和服务招标投标管理办法》（财政部</w:t>
      </w: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rPr>
        <w:t>号令）的规定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不徇私情，不明招暗定。</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资格审查合格的投标人，均有同等机会参加竞争。</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评标人员不得私自泄露评标内容，不得进行旨在影响评标结果公正、公平的任何活动。</w:t>
      </w:r>
    </w:p>
    <w:p>
      <w:pPr>
        <w:pStyle w:val="24"/>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  对于投标文件中含义不明确、同类问题表述不一致或者有明显文字和计算错误的内容，评标委员会应当以书面形式要求投标人作出必要的澄清、说明或者补正。</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评标方法</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采购代理机构将根据有关法律法规的规定组建本次招标的评标委员会。评标委员会成员由本行业相关技术、经济等方面的专家组成。其中，技术、经济等方面的专家不少于成员总人数的三分之二。</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评标的依据为招标文件和投标文件。根据相关法律法规的规定，评标委员会不以任何外部证据作为其评标的依据或标准。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评标过程将严格保密。开标后直到授予中标人合同止，凡是属于审查、澄清、评价和比较的有关评标资料以及授标建议等均不得向投标人或其他无关的人员透露。</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  在评标的整个过程中，投标人所进行的旨在影响评标结果的活动，可能导致其投标被拒绝，或者被取消中标资格。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  本次招标采用综合评分法进行评标。评标分初步评审和详细评审两个阶段。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23.5.1  初步评审分为资格性检查和符合性检查，只有通过初步评审的投标文件才可进入详细评审阶段。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23.5.2  详细评审分为</w:t>
      </w:r>
      <w:r>
        <w:rPr>
          <w:rFonts w:hint="eastAsia" w:ascii="宋体" w:hAnsi="宋体" w:eastAsia="宋体" w:cs="宋体"/>
          <w:color w:val="auto"/>
          <w:sz w:val="24"/>
          <w:szCs w:val="24"/>
          <w:highlight w:val="none"/>
          <w:lang w:eastAsia="zh-CN"/>
        </w:rPr>
        <w:t>经济报价部分和技术标评审两</w:t>
      </w:r>
      <w:r>
        <w:rPr>
          <w:rFonts w:hint="eastAsia" w:ascii="宋体" w:hAnsi="宋体" w:eastAsia="宋体" w:cs="宋体"/>
          <w:color w:val="auto"/>
          <w:sz w:val="24"/>
          <w:szCs w:val="24"/>
          <w:highlight w:val="none"/>
        </w:rPr>
        <w:t>个部分。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23.6  初步评审</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资格性检查：依据法律法规和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中的资格证明、投标保证金等进行审查，以确定投标人是否具备投标资格。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具体评审内容系指：</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  投标人满足本招标文件关于对合格投标人资格要求的规定；</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 xml:space="preserve">23.6.2  </w:t>
      </w:r>
      <w:r>
        <w:rPr>
          <w:rFonts w:hint="eastAsia" w:ascii="宋体" w:hAnsi="宋体" w:cs="宋体"/>
          <w:color w:val="auto"/>
          <w:sz w:val="24"/>
          <w:lang w:eastAsia="zh-CN"/>
        </w:rPr>
        <w:t>投标文件组成完整，主要内容能按招标文件规定的内容、格式填写</w:t>
      </w:r>
      <w:r>
        <w:rPr>
          <w:rFonts w:hint="eastAsia" w:ascii="宋体" w:hAnsi="宋体" w:cs="宋体"/>
          <w:color w:val="auto"/>
          <w:sz w:val="24"/>
        </w:rPr>
        <w:t>；</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3</w:t>
      </w:r>
      <w:r>
        <w:rPr>
          <w:rFonts w:hint="eastAsia" w:ascii="宋体" w:hAnsi="宋体" w:cs="宋体"/>
          <w:color w:val="auto"/>
          <w:sz w:val="24"/>
        </w:rPr>
        <w:t xml:space="preserve">  </w:t>
      </w:r>
      <w:r>
        <w:rPr>
          <w:rFonts w:hint="eastAsia" w:ascii="宋体" w:hAnsi="宋体" w:cs="宋体"/>
          <w:color w:val="auto"/>
          <w:sz w:val="24"/>
          <w:lang w:eastAsia="zh-CN"/>
        </w:rPr>
        <w:t>投标文件的有效期满足招标文件的规定</w:t>
      </w:r>
      <w:r>
        <w:rPr>
          <w:rFonts w:hint="eastAsia" w:ascii="宋体" w:hAnsi="宋体" w:cs="宋体"/>
          <w:color w:val="auto"/>
          <w:sz w:val="24"/>
        </w:rPr>
        <w:t>；</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4</w:t>
      </w:r>
      <w:r>
        <w:rPr>
          <w:rFonts w:hint="eastAsia" w:ascii="宋体" w:hAnsi="宋体" w:cs="宋体"/>
          <w:color w:val="auto"/>
          <w:sz w:val="24"/>
        </w:rPr>
        <w:t xml:space="preserve">  </w:t>
      </w:r>
      <w:r>
        <w:rPr>
          <w:rFonts w:hint="eastAsia" w:ascii="宋体" w:hAnsi="宋体" w:cs="宋体"/>
          <w:color w:val="auto"/>
          <w:sz w:val="24"/>
          <w:lang w:eastAsia="zh-CN"/>
        </w:rPr>
        <w:t>投标文件按照规定签章的</w:t>
      </w:r>
      <w:r>
        <w:rPr>
          <w:rFonts w:hint="eastAsia" w:ascii="宋体" w:hAnsi="宋体" w:cs="宋体"/>
          <w:color w:val="auto"/>
          <w:sz w:val="24"/>
        </w:rPr>
        <w:t>；</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5</w:t>
      </w:r>
      <w:r>
        <w:rPr>
          <w:rFonts w:hint="eastAsia" w:ascii="宋体" w:hAnsi="宋体" w:cs="宋体"/>
          <w:color w:val="auto"/>
          <w:sz w:val="24"/>
        </w:rPr>
        <w:t xml:space="preserve">  投标代表授权书由法定代表人签署；</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6</w:t>
      </w:r>
      <w:r>
        <w:rPr>
          <w:rFonts w:hint="eastAsia" w:ascii="宋体" w:hAnsi="宋体" w:cs="宋体"/>
          <w:color w:val="auto"/>
          <w:sz w:val="24"/>
        </w:rPr>
        <w:t xml:space="preserve">  </w:t>
      </w:r>
      <w:r>
        <w:rPr>
          <w:rFonts w:hint="eastAsia" w:ascii="宋体" w:hAnsi="宋体" w:cs="宋体"/>
          <w:color w:val="auto"/>
          <w:sz w:val="24"/>
          <w:lang w:eastAsia="zh-CN"/>
        </w:rPr>
        <w:t>投标文件针对每一种货物出现了一个报价</w:t>
      </w:r>
      <w:r>
        <w:rPr>
          <w:rFonts w:hint="eastAsia" w:ascii="宋体" w:hAnsi="宋体" w:cs="宋体"/>
          <w:color w:val="auto"/>
          <w:sz w:val="24"/>
        </w:rPr>
        <w:t>；</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7</w:t>
      </w:r>
      <w:r>
        <w:rPr>
          <w:rFonts w:hint="eastAsia" w:ascii="宋体" w:hAnsi="宋体" w:cs="宋体"/>
          <w:color w:val="auto"/>
          <w:sz w:val="24"/>
        </w:rPr>
        <w:t xml:space="preserve">  投标报价未超过最高限价；</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8</w:t>
      </w:r>
      <w:r>
        <w:rPr>
          <w:rFonts w:hint="eastAsia" w:ascii="宋体" w:hAnsi="宋体" w:cs="宋体"/>
          <w:color w:val="auto"/>
          <w:sz w:val="24"/>
        </w:rPr>
        <w:t xml:space="preserve">  符合招标文件关于对招标货物的要求；</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 xml:space="preserve">9 </w:t>
      </w:r>
      <w:r>
        <w:rPr>
          <w:rFonts w:hint="eastAsia" w:ascii="宋体" w:hAnsi="宋体" w:cs="宋体"/>
          <w:color w:val="auto"/>
          <w:sz w:val="24"/>
        </w:rPr>
        <w:t xml:space="preserve"> </w:t>
      </w:r>
      <w:r>
        <w:rPr>
          <w:rFonts w:hint="eastAsia" w:ascii="宋体" w:hAnsi="宋体" w:cs="宋体"/>
          <w:color w:val="auto"/>
          <w:sz w:val="24"/>
          <w:lang w:eastAsia="zh-CN"/>
        </w:rPr>
        <w:t>投标文件载明的招标项目供货期未超过招标文件规定的期限</w:t>
      </w:r>
      <w:r>
        <w:rPr>
          <w:rFonts w:hint="eastAsia" w:ascii="宋体" w:hAnsi="宋体" w:cs="宋体"/>
          <w:color w:val="auto"/>
          <w:sz w:val="24"/>
        </w:rPr>
        <w:t>；</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w:t>
      </w:r>
      <w:r>
        <w:rPr>
          <w:rFonts w:hint="eastAsia" w:ascii="宋体" w:hAnsi="宋体" w:cs="宋体"/>
          <w:color w:val="auto"/>
          <w:sz w:val="24"/>
          <w:lang w:val="en-US" w:eastAsia="zh-CN"/>
        </w:rPr>
        <w:t>0</w:t>
      </w:r>
      <w:r>
        <w:rPr>
          <w:rFonts w:hint="eastAsia" w:ascii="宋体" w:hAnsi="宋体" w:cs="宋体"/>
          <w:color w:val="auto"/>
          <w:sz w:val="24"/>
        </w:rPr>
        <w:t xml:space="preserve"> </w:t>
      </w:r>
      <w:r>
        <w:rPr>
          <w:rFonts w:hint="eastAsia" w:ascii="宋体" w:hAnsi="宋体" w:cs="宋体"/>
          <w:color w:val="auto"/>
          <w:sz w:val="24"/>
          <w:lang w:eastAsia="zh-CN"/>
        </w:rPr>
        <w:t>投标文件附有采购人能接受的其他条件</w:t>
      </w:r>
      <w:r>
        <w:rPr>
          <w:rFonts w:hint="eastAsia" w:ascii="宋体" w:hAnsi="宋体" w:cs="宋体"/>
          <w:color w:val="auto"/>
          <w:sz w:val="24"/>
        </w:rPr>
        <w:t>；</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lang w:eastAsia="zh-CN"/>
        </w:rPr>
      </w:pPr>
      <w:r>
        <w:rPr>
          <w:rFonts w:hint="eastAsia" w:ascii="宋体" w:hAnsi="宋体" w:cs="宋体"/>
          <w:color w:val="auto"/>
          <w:sz w:val="24"/>
        </w:rPr>
        <w:t>23.6.1</w:t>
      </w:r>
      <w:r>
        <w:rPr>
          <w:rFonts w:hint="eastAsia" w:ascii="宋体" w:hAnsi="宋体" w:cs="宋体"/>
          <w:color w:val="auto"/>
          <w:sz w:val="24"/>
          <w:lang w:val="en-US" w:eastAsia="zh-CN"/>
        </w:rPr>
        <w:t>1</w:t>
      </w:r>
      <w:r>
        <w:rPr>
          <w:rFonts w:hint="eastAsia" w:ascii="宋体" w:hAnsi="宋体" w:cs="宋体"/>
          <w:color w:val="auto"/>
          <w:sz w:val="24"/>
        </w:rPr>
        <w:t xml:space="preserve"> 符合招标文件中规定的其他实质性要求</w:t>
      </w:r>
      <w:r>
        <w:rPr>
          <w:rFonts w:hint="eastAsia" w:ascii="宋体" w:hAnsi="宋体" w:cs="宋体"/>
          <w:color w:val="auto"/>
          <w:sz w:val="24"/>
          <w:lang w:eastAsia="zh-CN"/>
        </w:rPr>
        <w:t>；</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23.6.12</w:t>
      </w:r>
      <w:r>
        <w:rPr>
          <w:rFonts w:hint="eastAsia" w:ascii="宋体" w:hAnsi="宋体" w:cs="宋体"/>
          <w:color w:val="auto"/>
          <w:sz w:val="24"/>
        </w:rPr>
        <w:t>符合招标文件关于对招标产品技术规格和标准的要求；未按招标文件规定的格式填写，内容不全或关键字迹模糊、无法辨认的；（包括采购清单数量的改动）。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23.7.1  </w:t>
      </w:r>
      <w:r>
        <w:rPr>
          <w:rFonts w:hint="eastAsia" w:ascii="宋体" w:hAnsi="宋体" w:eastAsia="宋体" w:cs="宋体"/>
          <w:color w:val="auto"/>
          <w:sz w:val="24"/>
          <w:szCs w:val="24"/>
          <w:highlight w:val="none"/>
        </w:rPr>
        <w:t>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auto"/>
          <w:sz w:val="24"/>
        </w:rPr>
      </w:pPr>
      <w:r>
        <w:rPr>
          <w:rFonts w:hint="eastAsia" w:ascii="宋体" w:hAnsi="宋体" w:eastAsia="宋体" w:cs="宋体"/>
          <w:color w:val="auto"/>
          <w:sz w:val="24"/>
          <w:szCs w:val="24"/>
          <w:highlight w:val="none"/>
          <w:lang w:val="en-US" w:eastAsia="zh-CN"/>
        </w:rPr>
        <w:t xml:space="preserve">23.7.2  </w:t>
      </w:r>
      <w:r>
        <w:rPr>
          <w:rFonts w:hint="eastAsia" w:ascii="宋体" w:hAnsi="宋体" w:cs="宋体"/>
          <w:color w:val="auto"/>
          <w:sz w:val="24"/>
        </w:rPr>
        <w:t>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23.7.3  </w:t>
      </w:r>
      <w:r>
        <w:rPr>
          <w:rFonts w:hint="eastAsia" w:ascii="宋体" w:hAnsi="宋体" w:eastAsia="宋体" w:cs="宋体"/>
          <w:color w:val="auto"/>
          <w:sz w:val="24"/>
          <w:szCs w:val="24"/>
          <w:highlight w:val="none"/>
        </w:rPr>
        <w:t>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23.7.4  </w:t>
      </w:r>
      <w:r>
        <w:rPr>
          <w:rFonts w:hint="eastAsia" w:ascii="宋体" w:hAnsi="宋体" w:eastAsia="宋体" w:cs="宋体"/>
          <w:color w:val="auto"/>
          <w:sz w:val="24"/>
          <w:szCs w:val="24"/>
          <w:highlight w:val="none"/>
        </w:rPr>
        <w:t>同时出现两种以上不一致的，按照前款规定的顺序修正。修正后的报价</w:t>
      </w:r>
      <w:r>
        <w:rPr>
          <w:rFonts w:hint="eastAsia" w:ascii="宋体" w:hAnsi="宋体" w:eastAsia="宋体" w:cs="宋体"/>
          <w:color w:val="auto"/>
          <w:sz w:val="24"/>
          <w:szCs w:val="24"/>
          <w:highlight w:val="none"/>
          <w:lang w:eastAsia="zh-CN"/>
        </w:rPr>
        <w:t>需经</w:t>
      </w:r>
      <w:r>
        <w:rPr>
          <w:rFonts w:hint="eastAsia" w:ascii="宋体" w:hAnsi="宋体" w:eastAsia="宋体" w:cs="宋体"/>
          <w:color w:val="auto"/>
          <w:sz w:val="24"/>
          <w:szCs w:val="24"/>
          <w:highlight w:val="none"/>
        </w:rPr>
        <w:t>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23.7.6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23.8.1  详细评审中，评标委员会将采用综合评估法中的打分法，以投标文件能最大限度地满足招标文件中规定的各项评价标准为依据，独立地对各投标文件进行评审和打分。</w:t>
      </w:r>
    </w:p>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评标委员会将对下述评审因素进行量化，并根据评委会每个成员对投标文件的评审和理解进行打分。</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pPr>
        <w:pStyle w:val="27"/>
        <w:rPr>
          <w:rFonts w:hint="eastAsia" w:ascii="宋体" w:hAnsi="宋体" w:eastAsia="宋体" w:cs="宋体"/>
          <w:color w:val="auto"/>
          <w:sz w:val="24"/>
          <w:szCs w:val="24"/>
          <w:highlight w:val="none"/>
          <w:lang w:eastAsia="zh-CN"/>
        </w:rPr>
      </w:pPr>
    </w:p>
    <w:p>
      <w:pPr>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初步评审标准</w:t>
      </w:r>
    </w:p>
    <w:tbl>
      <w:tblPr>
        <w:tblStyle w:val="18"/>
        <w:tblpPr w:leftFromText="180" w:rightFromText="180" w:vertAnchor="text" w:horzAnchor="page" w:tblpX="1104" w:tblpY="305"/>
        <w:tblOverlap w:val="never"/>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restart"/>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初步评审</w:t>
            </w:r>
          </w:p>
        </w:tc>
        <w:tc>
          <w:tcPr>
            <w:tcW w:w="9545" w:type="dxa"/>
            <w:gridSpan w:val="2"/>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Merge w:val="continue"/>
            <w:noWrap w:val="0"/>
            <w:vAlign w:val="center"/>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投标人满足本招标文件关于对合格投标人资格要求的规定；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2</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投标文件组成完整，主要内容能按招标文件规定的内容、格式填写；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3</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4</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投标文件按照规定签章的；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5</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6</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投标文件针对每一种货物出现了一个报价；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7</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8</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符合招标文件关于对招标货物的要求；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9</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投标文件载明的招标项目供货期未超过招标文件规定的期限；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10</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投标文件附有采购人能接受的其他条件；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11</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auto"/>
                <w:sz w:val="24"/>
                <w:lang w:eastAsia="zh-CN"/>
              </w:rPr>
            </w:pPr>
          </w:p>
        </w:tc>
        <w:tc>
          <w:tcPr>
            <w:tcW w:w="562" w:type="dxa"/>
            <w:noWrap w:val="0"/>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符合招标文件关于对招标产品技术规格和标准的要求；未按招标文件规定的格式填写，内容不全或关键字迹模糊、无法辨认的；（包括采购清单数量的改动）</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146" w:type="dxa"/>
            <w:gridSpan w:val="3"/>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初步评审合格后方可进入详细评审阶段</w:t>
            </w:r>
          </w:p>
        </w:tc>
      </w:tr>
    </w:tbl>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pStyle w:val="11"/>
        <w:rPr>
          <w:rFonts w:hint="eastAsia"/>
          <w:color w:val="auto"/>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pStyle w:val="9"/>
        <w:rPr>
          <w:rFonts w:hint="eastAsia"/>
          <w:color w:val="auto"/>
        </w:rPr>
      </w:pP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经济报价评分标准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8"/>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8"/>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pPr>
              <w:pStyle w:val="28"/>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投标报价得分=(评标基准价/投标报价)×30%×100</w:t>
            </w:r>
          </w:p>
          <w:p>
            <w:pPr>
              <w:pStyle w:val="28"/>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spacing w:line="360" w:lineRule="auto"/>
              <w:ind w:firstLine="471"/>
              <w:jc w:val="both"/>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highlight w:val="none"/>
              </w:rPr>
              <w:t>（3）</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pPr>
              <w:pStyle w:val="28"/>
              <w:keepLines w:val="0"/>
              <w:kinsoku/>
              <w:wordWrap/>
              <w:overflowPunct/>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节能、环境标志产品评审优惠内容及加分幅度：</w:t>
            </w:r>
          </w:p>
          <w:p>
            <w:pPr>
              <w:pStyle w:val="28"/>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z w:val="24"/>
                <w:szCs w:val="24"/>
                <w:highlight w:val="none"/>
              </w:rPr>
              <w:t>根据《国务院办公厅关于建立政府强制采购节能产品制度的通知》（国办发[2007]51号）和财政部、发展改革委发布的《节能产品政府采购实施意见》（财库[2004]185号）以及《</w:t>
            </w:r>
            <w:r>
              <w:rPr>
                <w:rFonts w:hint="eastAsia" w:ascii="宋体" w:hAnsi="宋体" w:eastAsia="宋体" w:cs="宋体"/>
                <w:b w:val="0"/>
                <w:color w:val="auto"/>
                <w:spacing w:val="-3"/>
                <w:sz w:val="24"/>
                <w:szCs w:val="24"/>
                <w:highlight w:val="none"/>
              </w:rPr>
              <w:t>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pacing w:val="-3"/>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8"/>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价格项加分：</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1、（节能清单部分产品的价格/投标报价）×3%×价格项满分值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2、（环境清单部分产品的价格/投标报价）×3%×价格项满分值</w:t>
            </w:r>
          </w:p>
          <w:p>
            <w:pPr>
              <w:pStyle w:val="28"/>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技术项加分：</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1、（节能清单部分产品的价格/投标报价）×3%×技术项满分值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2、（环境清单部分产品的价格/投标报价）×3%×技术项满分值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注：1、投标人须提供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期《节能产品政府采购清单》关于投标产品当前页的打印件；</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szCs w:val="24"/>
                <w:highlight w:val="none"/>
              </w:rPr>
              <w:t>2、投标人提供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期《环境标志产品政府采购清单》关于投标产品当前页的打印件；</w:t>
            </w:r>
          </w:p>
          <w:p>
            <w:pPr>
              <w:pStyle w:val="28"/>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keepNext/>
        <w:keepLines/>
        <w:pageBreakBefore/>
        <w:spacing w:line="264"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技术标评分标准</w:t>
      </w:r>
    </w:p>
    <w:tbl>
      <w:tblPr>
        <w:tblStyle w:val="18"/>
        <w:tblW w:w="95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19"/>
        <w:gridCol w:w="1047"/>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746" w:type="dxa"/>
            <w:noWrap w:val="0"/>
            <w:vAlign w:val="center"/>
          </w:tcPr>
          <w:p>
            <w:pPr>
              <w:pStyle w:val="29"/>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519" w:type="dxa"/>
            <w:noWrap w:val="0"/>
            <w:vAlign w:val="center"/>
          </w:tcPr>
          <w:p>
            <w:pPr>
              <w:pStyle w:val="29"/>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考核项目</w:t>
            </w:r>
          </w:p>
        </w:tc>
        <w:tc>
          <w:tcPr>
            <w:tcW w:w="1047" w:type="dxa"/>
            <w:noWrap w:val="0"/>
            <w:vAlign w:val="center"/>
          </w:tcPr>
          <w:p>
            <w:pPr>
              <w:pStyle w:val="29"/>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分数</w:t>
            </w:r>
          </w:p>
        </w:tc>
        <w:tc>
          <w:tcPr>
            <w:tcW w:w="6274" w:type="dxa"/>
            <w:noWrap w:val="0"/>
            <w:vAlign w:val="center"/>
          </w:tcPr>
          <w:p>
            <w:pPr>
              <w:pStyle w:val="29"/>
              <w:spacing w:before="0" w:after="0" w:line="460" w:lineRule="exact"/>
              <w:ind w:firstLine="2486" w:firstLineChars="103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86" w:type="dxa"/>
            <w:gridSpan w:val="4"/>
            <w:tcBorders>
              <w:bottom w:val="single" w:color="auto" w:sz="4" w:space="0"/>
            </w:tcBorders>
            <w:noWrap w:val="0"/>
            <w:vAlign w:val="center"/>
          </w:tcPr>
          <w:p>
            <w:pPr>
              <w:pStyle w:val="29"/>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报价部分30分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241"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519"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1047"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30分</w:t>
            </w:r>
          </w:p>
        </w:tc>
        <w:tc>
          <w:tcPr>
            <w:tcW w:w="6274" w:type="dxa"/>
            <w:tcBorders>
              <w:top w:val="single" w:color="auto" w:sz="4" w:space="0"/>
              <w:bottom w:val="single" w:color="auto" w:sz="4" w:space="0"/>
            </w:tcBorders>
            <w:noWrap w:val="0"/>
            <w:vAlign w:val="top"/>
          </w:tcPr>
          <w:p>
            <w:pPr>
              <w:pStyle w:val="29"/>
              <w:spacing w:line="460" w:lineRule="exact"/>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86" w:type="dxa"/>
            <w:gridSpan w:val="4"/>
            <w:tcBorders>
              <w:top w:val="single" w:color="auto" w:sz="4" w:space="0"/>
              <w:bottom w:val="single" w:color="auto" w:sz="4" w:space="0"/>
            </w:tcBorders>
            <w:noWrap w:val="0"/>
            <w:vAlign w:val="center"/>
          </w:tcPr>
          <w:p>
            <w:pPr>
              <w:pStyle w:val="29"/>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技术部分70分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投标货物的性能及技术指标</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w:t>
            </w:r>
            <w:r>
              <w:rPr>
                <w:rFonts w:hint="eastAsia" w:ascii="宋体" w:hAnsi="宋体" w:cs="宋体"/>
                <w:color w:val="auto"/>
                <w:szCs w:val="24"/>
                <w:highlight w:val="none"/>
                <w:lang w:val="en-US" w:eastAsia="zh-CN"/>
              </w:rPr>
              <w:t>5分</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color w:val="auto"/>
                <w:szCs w:val="24"/>
                <w:highlight w:val="none"/>
                <w:lang w:val="en-US" w:eastAsia="zh-CN"/>
              </w:rPr>
              <w:t>根据投标人提供的物品性能质量、技术指标和系统功能要求进行评定，所投产品全部响应指标得基本分</w:t>
            </w:r>
            <w:r>
              <w:rPr>
                <w:rFonts w:hint="eastAsia" w:ascii="宋体" w:hAnsi="宋体" w:eastAsia="宋体" w:cs="宋体"/>
                <w:color w:val="auto"/>
                <w:szCs w:val="24"/>
                <w:highlight w:val="none"/>
                <w:lang w:val="en-US" w:eastAsia="zh-CN"/>
              </w:rPr>
              <w:t>1</w:t>
            </w:r>
            <w:r>
              <w:rPr>
                <w:rFonts w:hint="eastAsia" w:ascii="宋体" w:hAnsi="宋体" w:cs="宋体"/>
                <w:color w:val="auto"/>
                <w:szCs w:val="24"/>
                <w:highlight w:val="none"/>
                <w:lang w:val="en-US" w:eastAsia="zh-CN"/>
              </w:rPr>
              <w:t>5</w:t>
            </w:r>
            <w:r>
              <w:rPr>
                <w:rFonts w:hint="default" w:ascii="宋体" w:hAnsi="宋体" w:eastAsia="宋体" w:cs="宋体"/>
                <w:color w:val="auto"/>
                <w:szCs w:val="24"/>
                <w:highlight w:val="none"/>
                <w:lang w:val="en-US" w:eastAsia="zh-CN"/>
              </w:rPr>
              <w:t>分；指标项有负偏离的，有一项扣1分，直至本项分数扣完为止。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70"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采暖煤供货方案</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25</w:t>
            </w:r>
            <w:r>
              <w:rPr>
                <w:rFonts w:hint="eastAsia" w:ascii="宋体" w:hAnsi="宋体" w:cs="宋体"/>
                <w:color w:val="auto"/>
                <w:szCs w:val="24"/>
                <w:highlight w:val="none"/>
                <w:lang w:val="en-US" w:eastAsia="zh-CN"/>
              </w:rPr>
              <w:t>分</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根据投标人的供货方案及供货计划（针对采暖煤的采购、运输、货场管理、运输损耗、供货及归垛情况详细说明、应急保障措施等）进行综合评审：</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1、方案科学、合理、完善、有效、针对性强，完全满足招标人的实际情况；具有的仓储货物取暖煤仓储规模及供货能力完全满足本项目的需要；供货方案优于其他供应商；得11-2</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2、方案比较科学、合理、完善、有效，有周转的仓储货场，供货能力能满足招标人的实际情况；得6-10分；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3、有供货方案，基本合理、有效，无周转的仓储货场，供货能力一般，基本满足招标人的实际情况；得1-5分；</w:t>
            </w:r>
          </w:p>
          <w:p>
            <w:pPr>
              <w:pStyle w:val="29"/>
              <w:spacing w:line="460" w:lineRule="exact"/>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4、没有不得分。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73" w:hRule="atLeast"/>
          <w:jc w:val="center"/>
        </w:trPr>
        <w:tc>
          <w:tcPr>
            <w:tcW w:w="746"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4</w:t>
            </w:r>
          </w:p>
        </w:tc>
        <w:tc>
          <w:tcPr>
            <w:tcW w:w="1519"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售后服务</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方案</w:t>
            </w:r>
          </w:p>
        </w:tc>
        <w:tc>
          <w:tcPr>
            <w:tcW w:w="1047" w:type="dxa"/>
            <w:tcBorders>
              <w:top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10</w:t>
            </w:r>
            <w:r>
              <w:rPr>
                <w:rFonts w:hint="eastAsia" w:ascii="宋体" w:hAnsi="宋体" w:cs="宋体"/>
                <w:color w:val="auto"/>
                <w:szCs w:val="24"/>
                <w:highlight w:val="none"/>
                <w:lang w:val="en-US" w:eastAsia="zh-CN"/>
              </w:rPr>
              <w:t>分</w:t>
            </w:r>
          </w:p>
        </w:tc>
        <w:tc>
          <w:tcPr>
            <w:tcW w:w="6274" w:type="dxa"/>
            <w:tcBorders>
              <w:top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1、售后服务措施及承诺完善、针对性强、及时，得5-10分；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2、有售后服务措施及承诺，得1-4分；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3、没有不得分。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1519" w:type="dxa"/>
            <w:tcBorders>
              <w:top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优惠条件、合理化建议</w:t>
            </w:r>
          </w:p>
        </w:tc>
        <w:tc>
          <w:tcPr>
            <w:tcW w:w="1047" w:type="dxa"/>
            <w:tcBorders>
              <w:top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10</w:t>
            </w:r>
            <w:r>
              <w:rPr>
                <w:rFonts w:hint="eastAsia" w:ascii="宋体" w:hAnsi="宋体" w:cs="宋体"/>
                <w:color w:val="auto"/>
                <w:szCs w:val="24"/>
                <w:highlight w:val="none"/>
                <w:lang w:val="en-US" w:eastAsia="zh-CN"/>
              </w:rPr>
              <w:t>分</w:t>
            </w:r>
          </w:p>
        </w:tc>
        <w:tc>
          <w:tcPr>
            <w:tcW w:w="6274" w:type="dxa"/>
            <w:tcBorders>
              <w:top w:val="single" w:color="auto" w:sz="4" w:space="0"/>
            </w:tcBorders>
            <w:noWrap w:val="0"/>
            <w:vAlign w:val="center"/>
          </w:tcPr>
          <w:p>
            <w:pPr>
              <w:pStyle w:val="29"/>
              <w:spacing w:line="460" w:lineRule="exact"/>
              <w:ind w:firstLine="0" w:firstLineChars="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优惠条件、合理化建议，在≥0~10分进行评分。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交货期</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0-5分</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满足采购文件要求得 </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 xml:space="preserve"> 分，优于采购文件要求得 </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 xml:space="preserve">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标函质量</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5</w:t>
            </w:r>
            <w:r>
              <w:rPr>
                <w:rFonts w:hint="eastAsia" w:ascii="宋体" w:hAnsi="宋体" w:cs="宋体"/>
                <w:color w:val="auto"/>
                <w:szCs w:val="24"/>
                <w:highlight w:val="none"/>
                <w:lang w:val="en-US" w:eastAsia="zh-CN"/>
              </w:rPr>
              <w:t>分</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1、编制内容完整、齐备，标书无</w:t>
            </w:r>
            <w:r>
              <w:rPr>
                <w:rFonts w:hint="eastAsia" w:ascii="宋体" w:hAnsi="宋体" w:cs="宋体"/>
                <w:color w:val="auto"/>
                <w:szCs w:val="24"/>
                <w:highlight w:val="none"/>
                <w:lang w:val="en-US" w:eastAsia="zh-CN"/>
              </w:rPr>
              <w:t>错字、</w:t>
            </w:r>
            <w:r>
              <w:rPr>
                <w:rFonts w:hint="eastAsia" w:ascii="宋体" w:hAnsi="宋体" w:eastAsia="宋体" w:cs="宋体"/>
                <w:color w:val="auto"/>
                <w:szCs w:val="24"/>
                <w:highlight w:val="none"/>
                <w:lang w:val="en-US" w:eastAsia="zh-CN"/>
              </w:rPr>
              <w:t>错页、漏页现象，得3-5分；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2、编制内容完整、齐备，标书</w:t>
            </w:r>
            <w:r>
              <w:rPr>
                <w:rFonts w:hint="eastAsia" w:ascii="宋体" w:hAnsi="宋体" w:cs="宋体"/>
                <w:color w:val="auto"/>
                <w:szCs w:val="24"/>
                <w:highlight w:val="none"/>
                <w:lang w:val="en-US" w:eastAsia="zh-CN"/>
              </w:rPr>
              <w:t>少量错字、</w:t>
            </w:r>
            <w:r>
              <w:rPr>
                <w:rFonts w:hint="eastAsia" w:ascii="宋体" w:hAnsi="宋体" w:eastAsia="宋体" w:cs="宋体"/>
                <w:color w:val="auto"/>
                <w:szCs w:val="24"/>
                <w:highlight w:val="none"/>
                <w:lang w:val="en-US" w:eastAsia="zh-CN"/>
              </w:rPr>
              <w:t>错页、漏页现象，得1-2分；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3、编制内容不完整，标书</w:t>
            </w:r>
            <w:r>
              <w:rPr>
                <w:rFonts w:hint="eastAsia" w:ascii="宋体" w:hAnsi="宋体" w:cs="宋体"/>
                <w:color w:val="auto"/>
                <w:szCs w:val="24"/>
                <w:highlight w:val="none"/>
                <w:lang w:val="en-US" w:eastAsia="zh-CN"/>
              </w:rPr>
              <w:t>大量错字、</w:t>
            </w:r>
            <w:r>
              <w:rPr>
                <w:rFonts w:hint="eastAsia" w:ascii="宋体" w:hAnsi="宋体" w:eastAsia="宋体" w:cs="宋体"/>
                <w:color w:val="auto"/>
                <w:szCs w:val="24"/>
                <w:highlight w:val="none"/>
                <w:lang w:val="en-US" w:eastAsia="zh-CN"/>
              </w:rPr>
              <w:t>错页、漏页现象，不得分。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2265" w:type="dxa"/>
            <w:gridSpan w:val="2"/>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合计</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70分</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p>
        </w:tc>
      </w:tr>
    </w:tbl>
    <w:p>
      <w:pPr>
        <w:pStyle w:val="9"/>
        <w:rPr>
          <w:rFonts w:hint="eastAsia"/>
          <w:color w:val="auto"/>
        </w:rPr>
      </w:pPr>
    </w:p>
    <w:tbl>
      <w:tblPr>
        <w:tblStyle w:val="19"/>
        <w:tblpPr w:leftFromText="180" w:rightFromText="180" w:vertAnchor="text" w:tblpX="12212" w:tblpY="-144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tbl>
            <w:tblPr>
              <w:tblStyle w:val="18"/>
              <w:tblW w:w="95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19"/>
              <w:gridCol w:w="1047"/>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746" w:type="dxa"/>
                  <w:noWrap w:val="0"/>
                  <w:vAlign w:val="center"/>
                </w:tcPr>
                <w:p>
                  <w:pPr>
                    <w:pStyle w:val="29"/>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519" w:type="dxa"/>
                  <w:noWrap w:val="0"/>
                  <w:vAlign w:val="center"/>
                </w:tcPr>
                <w:p>
                  <w:pPr>
                    <w:pStyle w:val="29"/>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考核项目</w:t>
                  </w:r>
                </w:p>
              </w:tc>
              <w:tc>
                <w:tcPr>
                  <w:tcW w:w="1047" w:type="dxa"/>
                  <w:noWrap w:val="0"/>
                  <w:vAlign w:val="center"/>
                </w:tcPr>
                <w:p>
                  <w:pPr>
                    <w:pStyle w:val="29"/>
                    <w:spacing w:before="0" w:after="0" w:line="460" w:lineRule="exact"/>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分数</w:t>
                  </w:r>
                </w:p>
              </w:tc>
              <w:tc>
                <w:tcPr>
                  <w:tcW w:w="6274" w:type="dxa"/>
                  <w:noWrap w:val="0"/>
                  <w:vAlign w:val="center"/>
                </w:tcPr>
                <w:p>
                  <w:pPr>
                    <w:pStyle w:val="29"/>
                    <w:spacing w:before="0" w:after="0" w:line="460" w:lineRule="exact"/>
                    <w:ind w:firstLine="2486" w:firstLineChars="103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86" w:type="dxa"/>
                  <w:gridSpan w:val="4"/>
                  <w:tcBorders>
                    <w:bottom w:val="single" w:color="auto" w:sz="4" w:space="0"/>
                  </w:tcBorders>
                  <w:noWrap w:val="0"/>
                  <w:vAlign w:val="center"/>
                </w:tcPr>
                <w:p>
                  <w:pPr>
                    <w:pStyle w:val="29"/>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报价部分30分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241"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519"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1047"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30分</w:t>
                  </w:r>
                </w:p>
              </w:tc>
              <w:tc>
                <w:tcPr>
                  <w:tcW w:w="6274" w:type="dxa"/>
                  <w:tcBorders>
                    <w:top w:val="single" w:color="auto" w:sz="4" w:space="0"/>
                    <w:bottom w:val="single" w:color="auto" w:sz="4" w:space="0"/>
                  </w:tcBorders>
                  <w:noWrap w:val="0"/>
                  <w:vAlign w:val="top"/>
                </w:tcPr>
                <w:p>
                  <w:pPr>
                    <w:pStyle w:val="29"/>
                    <w:spacing w:line="460" w:lineRule="exact"/>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pPr>
                    <w:pStyle w:val="29"/>
                    <w:spacing w:line="460" w:lineRule="exact"/>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注：小型和微型企业提供本 企业制造的货物价格给予6%的扣除，用扣除后的价格参与评审。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86" w:type="dxa"/>
                  <w:gridSpan w:val="4"/>
                  <w:tcBorders>
                    <w:top w:val="single" w:color="auto" w:sz="4" w:space="0"/>
                    <w:bottom w:val="single" w:color="auto" w:sz="4" w:space="0"/>
                  </w:tcBorders>
                  <w:noWrap w:val="0"/>
                  <w:vAlign w:val="center"/>
                </w:tcPr>
                <w:p>
                  <w:pPr>
                    <w:pStyle w:val="29"/>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技术部分70分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投标货物的性能及技术指标</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10</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根</w:t>
                  </w:r>
                  <w:r>
                    <w:rPr>
                      <w:rFonts w:hint="default" w:ascii="宋体" w:hAnsi="宋体" w:eastAsia="宋体" w:cs="宋体"/>
                      <w:color w:val="auto"/>
                      <w:szCs w:val="24"/>
                      <w:highlight w:val="none"/>
                      <w:lang w:val="en-US" w:eastAsia="zh-CN"/>
                    </w:rPr>
                    <w:t>据投标人提供的物品性能质量、技术指标和系统功能要求进行评定，所投产品全部响应指标得基本分</w:t>
                  </w:r>
                  <w:r>
                    <w:rPr>
                      <w:rFonts w:hint="eastAsia" w:ascii="宋体" w:hAnsi="宋体" w:eastAsia="宋体" w:cs="宋体"/>
                      <w:color w:val="auto"/>
                      <w:szCs w:val="24"/>
                      <w:highlight w:val="none"/>
                      <w:lang w:val="en-US" w:eastAsia="zh-CN"/>
                    </w:rPr>
                    <w:t>10</w:t>
                  </w:r>
                  <w:r>
                    <w:rPr>
                      <w:rFonts w:hint="default" w:ascii="宋体" w:hAnsi="宋体" w:eastAsia="宋体" w:cs="宋体"/>
                      <w:color w:val="auto"/>
                      <w:szCs w:val="24"/>
                      <w:highlight w:val="none"/>
                      <w:lang w:val="en-US" w:eastAsia="zh-CN"/>
                    </w:rPr>
                    <w:t>分；指标项有负偏离的，有一项扣1分，直至本项分数扣完为止。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供货实施方案</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25</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eastAsia="zh-CN"/>
                    </w:rPr>
                    <w:t>综合考虑投标人的项目实施方案及培训方案、投标人的供货安装方案应包括进度计划和供货保证措施、质量保证措施、安全文明安装、人力物力投入计划、系统架构、功能模块设计、项目实施计划、质量保证措施、系统调试方案、验收组织及资料整理等。培训方案、内容、进度及相关承诺的完整性、可行性、按照实施内容的完善和优劣程度进行综合评分，较完善、详细可行的得</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lang w:val="zh-CN" w:eastAsia="zh-CN"/>
                    </w:rPr>
                    <w:t>分，部分有缺陷的得</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lang w:val="zh-CN" w:eastAsia="zh-CN"/>
                    </w:rPr>
                    <w:t>分，明显不完善不可行的得</w:t>
                  </w:r>
                  <w:r>
                    <w:rPr>
                      <w:rFonts w:hint="eastAsia" w:ascii="宋体" w:hAnsi="宋体" w:eastAsia="宋体" w:cs="宋体"/>
                      <w:color w:val="auto"/>
                      <w:szCs w:val="24"/>
                      <w:highlight w:val="none"/>
                      <w:lang w:val="en-US" w:eastAsia="zh-CN"/>
                    </w:rPr>
                    <w:t>0-10分。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73" w:hRule="atLeast"/>
                <w:jc w:val="center"/>
              </w:trPr>
              <w:tc>
                <w:tcPr>
                  <w:tcW w:w="746"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4</w:t>
                  </w:r>
                </w:p>
              </w:tc>
              <w:tc>
                <w:tcPr>
                  <w:tcW w:w="1519"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售后服务方案</w:t>
                  </w:r>
                </w:p>
              </w:tc>
              <w:tc>
                <w:tcPr>
                  <w:tcW w:w="1047" w:type="dxa"/>
                  <w:tcBorders>
                    <w:top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10</w:t>
                  </w:r>
                </w:p>
              </w:tc>
              <w:tc>
                <w:tcPr>
                  <w:tcW w:w="6274" w:type="dxa"/>
                  <w:tcBorders>
                    <w:top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提供可行的售后服务方案，能保障本地化技术服务及售后服务的协调性、及时性。提供售后服务内容、服务响应方式及响应时间，提供故障处理流程、维护保障流程及组织架构、拟投入本项目的维护人员配置等内容详实、完整、准确的得5-10分；提供的售后服务方案一般，基本能保障本地化技术服务及售后服务的协调性、及时性。提供售后服务内容、服务响应方式及响应时间，提供故障处理流程、维护保障流程及组织架构、拟投入本项目的维护人员配置等内容不够详实、不够完整、不够准确的得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1519"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安装调试方案</w:t>
                  </w:r>
                </w:p>
              </w:tc>
              <w:tc>
                <w:tcPr>
                  <w:tcW w:w="1047" w:type="dxa"/>
                  <w:tcBorders>
                    <w:top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10</w:t>
                  </w:r>
                </w:p>
              </w:tc>
              <w:tc>
                <w:tcPr>
                  <w:tcW w:w="6274" w:type="dxa"/>
                  <w:tcBorders>
                    <w:top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安装调试方案明确具体，方案完善的完全满足安装调试要求的得6-10分。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安装调试方案一般，满足安装调试要求的得3-6分。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安装调试方案有明显缺陷，基本满足安装调试要求的得0-3分。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6</w:t>
                  </w:r>
                </w:p>
              </w:tc>
              <w:tc>
                <w:tcPr>
                  <w:tcW w:w="1519" w:type="dxa"/>
                  <w:tcBorders>
                    <w:top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零配件供应的可靠性</w:t>
                  </w:r>
                </w:p>
              </w:tc>
              <w:tc>
                <w:tcPr>
                  <w:tcW w:w="1047" w:type="dxa"/>
                  <w:tcBorders>
                    <w:top w:val="single" w:color="auto" w:sz="4" w:space="0"/>
                  </w:tcBorders>
                  <w:noWrap w:val="0"/>
                  <w:vAlign w:val="center"/>
                </w:tcPr>
                <w:p>
                  <w:pPr>
                    <w:pStyle w:val="29"/>
                    <w:spacing w:line="460" w:lineRule="exact"/>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10</w:t>
                  </w:r>
                </w:p>
              </w:tc>
              <w:tc>
                <w:tcPr>
                  <w:tcW w:w="6274" w:type="dxa"/>
                  <w:tcBorders>
                    <w:top w:val="single" w:color="auto" w:sz="4" w:space="0"/>
                  </w:tcBorders>
                  <w:noWrap w:val="0"/>
                  <w:vAlign w:val="top"/>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有优质的零配件供应方案，库存充足的得6-10分；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有零配件供应方案，库存一般的得3-6分；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没有完整的零配件供应方案，无库存配件的0-3分。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1519"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标书制作</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5</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编制内容完整、齐备；标书无大面积涂改、错页、漏页现象的得3-5分；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编制内容较完整、齐备；标书有涂改、无错页、无漏页现象的得2-3分；</w:t>
                  </w:r>
                </w:p>
                <w:p>
                  <w:pPr>
                    <w:pStyle w:val="29"/>
                    <w:spacing w:line="460" w:lineRule="exact"/>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编制内容不完整；标书有涂改、有错页、有漏页现象的得0-2分。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2265" w:type="dxa"/>
                  <w:gridSpan w:val="2"/>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合计</w:t>
                  </w:r>
                </w:p>
              </w:tc>
              <w:tc>
                <w:tcPr>
                  <w:tcW w:w="1047" w:type="dxa"/>
                  <w:tcBorders>
                    <w:top w:val="single" w:color="auto" w:sz="4" w:space="0"/>
                    <w:bottom w:val="single" w:color="auto" w:sz="4" w:space="0"/>
                  </w:tcBorders>
                  <w:noWrap w:val="0"/>
                  <w:vAlign w:val="center"/>
                </w:tcPr>
                <w:p>
                  <w:pPr>
                    <w:pStyle w:val="29"/>
                    <w:spacing w:line="4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70分</w:t>
                  </w:r>
                </w:p>
              </w:tc>
              <w:tc>
                <w:tcPr>
                  <w:tcW w:w="6274" w:type="dxa"/>
                  <w:tcBorders>
                    <w:top w:val="single" w:color="auto" w:sz="4" w:space="0"/>
                    <w:bottom w:val="single" w:color="auto" w:sz="4" w:space="0"/>
                  </w:tcBorders>
                  <w:noWrap w:val="0"/>
                  <w:vAlign w:val="center"/>
                </w:tcPr>
                <w:p>
                  <w:pPr>
                    <w:pStyle w:val="29"/>
                    <w:spacing w:line="460" w:lineRule="exact"/>
                    <w:ind w:firstLine="0" w:firstLineChars="0"/>
                    <w:jc w:val="left"/>
                    <w:rPr>
                      <w:rFonts w:hint="eastAsia" w:ascii="宋体" w:hAnsi="宋体" w:eastAsia="宋体" w:cs="宋体"/>
                      <w:color w:val="auto"/>
                      <w:szCs w:val="24"/>
                      <w:highlight w:val="none"/>
                      <w:lang w:val="en-US" w:eastAsia="zh-CN"/>
                    </w:rPr>
                  </w:pPr>
                </w:p>
              </w:tc>
            </w:tr>
          </w:tbl>
          <w:p>
            <w:pPr>
              <w:pStyle w:val="28"/>
              <w:spacing w:line="360" w:lineRule="auto"/>
              <w:jc w:val="both"/>
              <w:rPr>
                <w:rFonts w:hint="eastAsia" w:ascii="宋体" w:hAnsi="宋体" w:eastAsia="宋体" w:cs="宋体"/>
                <w:b w:val="0"/>
                <w:color w:val="auto"/>
                <w:sz w:val="24"/>
                <w:highlight w:val="none"/>
                <w:vertAlign w:val="baseline"/>
              </w:rPr>
            </w:pPr>
          </w:p>
        </w:tc>
      </w:tr>
    </w:tbl>
    <w:p>
      <w:pPr>
        <w:pStyle w:val="28"/>
        <w:spacing w:line="360" w:lineRule="auto"/>
        <w:ind w:left="0" w:leftChars="0" w:firstLine="0" w:firstLineChars="0"/>
        <w:jc w:val="both"/>
        <w:rPr>
          <w:rFonts w:hint="eastAsia" w:ascii="宋体" w:hAnsi="宋体" w:eastAsia="宋体" w:cs="宋体"/>
          <w:b w:val="0"/>
          <w:color w:val="auto"/>
          <w:sz w:val="24"/>
          <w:highlight w:val="none"/>
        </w:rPr>
      </w:pPr>
    </w:p>
    <w:p>
      <w:pPr>
        <w:pStyle w:val="28"/>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23.8.3  各评标委员会成员对每个投标人的经济报价和技术标的打分合计即为该投标人的评标总得分。</w:t>
      </w:r>
    </w:p>
    <w:p>
      <w:pPr>
        <w:pStyle w:val="28"/>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计算公式为：总评标得分=F1+F2</w:t>
      </w:r>
    </w:p>
    <w:p>
      <w:pPr>
        <w:pStyle w:val="28"/>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其中：F1、F2分别为经济报价、技术标得分</w:t>
      </w:r>
    </w:p>
    <w:p>
      <w:pPr>
        <w:pStyle w:val="28"/>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8"/>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28"/>
        <w:spacing w:line="360" w:lineRule="auto"/>
        <w:ind w:firstLine="483"/>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 投标文件的澄清</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24.1  评标委员会在评标过程中有权随时请投标人就投标文件中含混之处加以澄清或答疑。</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24.2  </w:t>
      </w:r>
      <w:r>
        <w:rPr>
          <w:rFonts w:hint="eastAsia" w:ascii="宋体" w:hAnsi="宋体" w:cs="宋体"/>
          <w:color w:val="auto"/>
          <w:szCs w:val="24"/>
          <w:highlight w:val="none"/>
        </w:rPr>
        <w:t>投标人的澄清、说明或者补正应当采用书面形式，并加盖公章，或者由法定代表人或其授权的代表签字。</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24.3  </w:t>
      </w:r>
      <w:r>
        <w:rPr>
          <w:rFonts w:hint="eastAsia" w:ascii="宋体" w:hAnsi="宋体" w:cs="宋体"/>
          <w:color w:val="auto"/>
          <w:szCs w:val="24"/>
          <w:highlight w:val="none"/>
        </w:rPr>
        <w:t>投标人的澄清、说明或者补正不得超出投标文件的范围或者改变投标文件的实质性内容。</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24.4  投标人的澄清文件是投标文件的组成部分，并取代投标文件中被澄清的部分。</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 中标人的确定</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25.2  采购人在收到评标报告5个工作日内未按评标报告推荐的中标候选人顺序确定中标人，又不能说明合法理由的，视同按评标报告推荐的顺序确定排名第一的中标候选人为中标人。</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4"/>
        <w:spacing w:line="360" w:lineRule="auto"/>
        <w:ind w:firstLine="482" w:firstLineChars="200"/>
        <w:jc w:val="both"/>
        <w:rPr>
          <w:rFonts w:hint="eastAsia" w:ascii="宋体" w:hAnsi="宋体" w:cs="宋体"/>
          <w:bCs/>
          <w:color w:val="auto"/>
          <w:szCs w:val="24"/>
          <w:highlight w:val="none"/>
        </w:rPr>
      </w:pPr>
      <w:r>
        <w:rPr>
          <w:rFonts w:hint="eastAsia" w:ascii="宋体" w:hAnsi="宋体" w:cs="宋体"/>
          <w:bCs/>
          <w:color w:val="auto"/>
          <w:szCs w:val="24"/>
          <w:highlight w:val="none"/>
        </w:rPr>
        <w:t>25.4  中标供应商拒绝与采购人签订合同的，采购人可以按照评审报告推荐的中标人名单排序，确定下一候选人为中标人，也可以重新开展政府采购活动。</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26.  中标通知</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26.1 在公告中标结果的同时，采购人或者采购代理机构向中标人发出中标通知书。</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 xml:space="preserve">26.2 </w:t>
      </w:r>
      <w:r>
        <w:rPr>
          <w:rFonts w:hint="eastAsia" w:ascii="宋体" w:hAnsi="宋体" w:cs="宋体"/>
          <w:color w:val="auto"/>
          <w:szCs w:val="24"/>
          <w:highlight w:val="none"/>
        </w:rPr>
        <w:t>对于所有投标人的投标文件均</w:t>
      </w:r>
      <w:r>
        <w:rPr>
          <w:rFonts w:hint="eastAsia" w:ascii="宋体" w:hAnsi="宋体" w:cs="宋体"/>
          <w:color w:val="auto"/>
          <w:szCs w:val="24"/>
          <w:highlight w:val="none"/>
          <w:shd w:val="clear" w:color="auto" w:fill="FFFFFF"/>
        </w:rPr>
        <w:t>不予以退还，但对其承担保密责任。</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27. 拒绝某些或所有投标的权力。</w:t>
      </w:r>
    </w:p>
    <w:p>
      <w:pPr>
        <w:pStyle w:val="24"/>
        <w:spacing w:line="360" w:lineRule="auto"/>
        <w:ind w:firstLine="482" w:firstLineChars="200"/>
        <w:jc w:val="both"/>
        <w:rPr>
          <w:rFonts w:hint="eastAsia" w:ascii="宋体" w:hAnsi="宋体" w:cs="宋体"/>
          <w:color w:val="auto"/>
          <w:kern w:val="2"/>
          <w:szCs w:val="24"/>
          <w:highlight w:val="none"/>
        </w:rPr>
      </w:pPr>
      <w:r>
        <w:rPr>
          <w:rFonts w:hint="eastAsia" w:ascii="宋体" w:hAnsi="宋体" w:cs="宋体"/>
          <w:color w:val="auto"/>
          <w:kern w:val="2"/>
          <w:szCs w:val="24"/>
          <w:highlight w:val="none"/>
        </w:rPr>
        <w:t>27.1 采购人或采购代理机构有权在《中标通知书》发放之前的任何时候拒绝任何有不正当行为或扰乱正常招标工作的投标人，由此对相关投标人造成的损失不负责任。</w:t>
      </w:r>
    </w:p>
    <w:p>
      <w:pPr>
        <w:pStyle w:val="23"/>
        <w:jc w:val="center"/>
        <w:outlineLvl w:val="1"/>
        <w:rPr>
          <w:rFonts w:hint="eastAsia"/>
          <w:b/>
          <w:bCs/>
          <w:color w:val="auto"/>
          <w:highlight w:val="none"/>
        </w:rPr>
      </w:pPr>
      <w:r>
        <w:rPr>
          <w:rFonts w:hint="eastAsia"/>
          <w:b/>
          <w:bCs/>
          <w:color w:val="auto"/>
          <w:highlight w:val="none"/>
        </w:rPr>
        <w:t>七、授予合同</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  签订合同</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28.1  中标人收到《中标通知书》后，须按有关规定与采购人签定经济合同。合同的签订一般在《中标通知书》发出后30天内进行，但采购人事先约定的情况除外。</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28.2  合同签订后，中标人应按合同的规定履行合同，未按规定履约的，采购人有权取消合同，并且不退还中标人的投标保证金。</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28.3  中标合同不得转让或分包。如需对合同的非主体部分进行转让或分包，投标人必须在投标文件中予以说明，并需经采购人同意。否则，采购人有权取消中标人的中标资格。</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28.4  如中标人未按有关规定与采购人签订合同或提交合同履约保证金的，采购人可以选择其他中标候选人为中标人，并组织中标人和采购人签订经济合同。</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28.5  合同履约保证金的形式为银行保函，另有约定的，按照约定条件执行。</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  合同的组成</w:t>
      </w:r>
    </w:p>
    <w:p>
      <w:pPr>
        <w:pStyle w:val="24"/>
        <w:spacing w:line="360" w:lineRule="auto"/>
        <w:ind w:firstLine="482" w:firstLineChars="200"/>
        <w:jc w:val="both"/>
        <w:outlineLvl w:val="2"/>
        <w:rPr>
          <w:rFonts w:hint="eastAsia" w:ascii="宋体" w:hAnsi="宋体" w:cs="宋体"/>
          <w:color w:val="auto"/>
          <w:szCs w:val="24"/>
          <w:highlight w:val="none"/>
        </w:rPr>
      </w:pPr>
      <w:r>
        <w:rPr>
          <w:rFonts w:hint="eastAsia" w:ascii="宋体" w:hAnsi="宋体" w:cs="宋体"/>
          <w:color w:val="auto"/>
          <w:szCs w:val="24"/>
          <w:highlight w:val="none"/>
        </w:rPr>
        <w:t>29.1  下列文件均为经济合同不可分割的组成部分：</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29.1.1  招标文件及其附件、澄清文件；</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 xml:space="preserve">29.1.2  中标的投标文件及其他附件； </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29.1.3  经确认的答疑记录；</w:t>
      </w:r>
    </w:p>
    <w:p>
      <w:pPr>
        <w:pStyle w:val="24"/>
        <w:spacing w:line="360" w:lineRule="auto"/>
        <w:ind w:firstLine="482"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29.1.4  中标通知书。</w:t>
      </w:r>
    </w:p>
    <w:p>
      <w:pPr>
        <w:pStyle w:val="23"/>
        <w:jc w:val="center"/>
        <w:outlineLvl w:val="1"/>
        <w:rPr>
          <w:rFonts w:hint="eastAsia"/>
          <w:b/>
          <w:bCs/>
          <w:color w:val="auto"/>
          <w:highlight w:val="none"/>
        </w:rPr>
      </w:pPr>
      <w:r>
        <w:rPr>
          <w:rFonts w:hint="eastAsia"/>
          <w:b/>
          <w:bCs/>
          <w:color w:val="auto"/>
          <w:highlight w:val="none"/>
        </w:rPr>
        <w:t>八、买方授标时更改采购货物数量的权利</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23"/>
        <w:jc w:val="center"/>
        <w:outlineLvl w:val="1"/>
        <w:rPr>
          <w:rFonts w:hint="eastAsia"/>
          <w:b/>
          <w:bCs/>
          <w:color w:val="auto"/>
          <w:highlight w:val="none"/>
        </w:rPr>
      </w:pPr>
      <w:r>
        <w:rPr>
          <w:rFonts w:hint="eastAsia"/>
          <w:b/>
          <w:bCs/>
          <w:color w:val="auto"/>
          <w:highlight w:val="none"/>
        </w:rPr>
        <w:t>九、其他事项</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  中标服务费</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31.1 中标人应按本招标文件的规定，在《中标通知书》核发时至核发后3天内，向采购代理机构支付中标服务费。</w:t>
      </w:r>
    </w:p>
    <w:p>
      <w:pPr>
        <w:pStyle w:val="25"/>
        <w:spacing w:line="360" w:lineRule="auto"/>
        <w:ind w:firstLine="483"/>
        <w:rPr>
          <w:rFonts w:hint="eastAsia" w:ascii="宋体" w:hAnsi="宋体" w:eastAsia="宋体" w:cs="宋体"/>
          <w:color w:val="auto"/>
          <w:sz w:val="24"/>
          <w:highlight w:val="none"/>
        </w:rPr>
      </w:pPr>
      <w:bookmarkStart w:id="18" w:name="_Toc14033"/>
      <w:bookmarkStart w:id="19" w:name="_Toc19074"/>
      <w:r>
        <w:rPr>
          <w:rFonts w:hint="eastAsia" w:ascii="宋体" w:hAnsi="宋体" w:eastAsia="宋体" w:cs="宋体"/>
          <w:color w:val="auto"/>
          <w:sz w:val="24"/>
          <w:highlight w:val="none"/>
        </w:rPr>
        <w:t>31.2 中标服务费的计算基数是中标人投标报价的总金额，即中标通知书中载明的中标金额</w:t>
      </w:r>
      <w:bookmarkEnd w:id="18"/>
      <w:bookmarkEnd w:id="19"/>
      <w:r>
        <w:rPr>
          <w:rFonts w:hint="eastAsia" w:ascii="宋体" w:hAnsi="宋体" w:eastAsia="宋体" w:cs="宋体"/>
          <w:color w:val="auto"/>
          <w:sz w:val="24"/>
          <w:highlight w:val="none"/>
        </w:rPr>
        <w:t>。</w:t>
      </w:r>
    </w:p>
    <w:p>
      <w:pPr>
        <w:pStyle w:val="25"/>
        <w:spacing w:line="360" w:lineRule="auto"/>
        <w:ind w:firstLine="483"/>
        <w:rPr>
          <w:rFonts w:hint="eastAsia" w:ascii="宋体" w:hAnsi="宋体" w:eastAsia="宋体" w:cs="宋体"/>
          <w:color w:val="auto"/>
          <w:sz w:val="24"/>
          <w:highlight w:val="none"/>
        </w:rPr>
      </w:pPr>
      <w:bookmarkStart w:id="20" w:name="_Toc12711"/>
      <w:r>
        <w:rPr>
          <w:rFonts w:hint="eastAsia" w:ascii="宋体" w:hAnsi="宋体" w:eastAsia="宋体" w:cs="宋体"/>
          <w:color w:val="auto"/>
          <w:sz w:val="24"/>
          <w:highlight w:val="none"/>
        </w:rPr>
        <w:t>32. 参与本次招标的投标企业必须有商务、技术人员对评标委员会提出的商务、技术问题进行答疑。</w:t>
      </w:r>
      <w:bookmarkEnd w:id="20"/>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 有下列情形之一的，视为投标人串通投标，其投标无效：</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33.1  不同投标人的投标文件由同一单位或者个人编制；</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33.2  不同投标人委托同一单位或者个人办理投标事宜；</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33.3  不同投标人的投标文件载明的项目管理成员或者联系人员为同一人；</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33.4  不同投标人的投标文件异常一致或者投标报价呈规律性差异；</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33.5  不同投标人的投标文件相互混装；</w:t>
      </w:r>
    </w:p>
    <w:p>
      <w:pPr>
        <w:pStyle w:val="25"/>
        <w:spacing w:line="360" w:lineRule="auto"/>
        <w:ind w:firstLine="483"/>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33.6  不同投标人的投标保证金从同一单位或者个人的账户转出。</w:t>
      </w:r>
      <w:bookmarkStart w:id="21" w:name="_Toc14852"/>
      <w:bookmarkStart w:id="22" w:name="_Toc29020"/>
      <w:bookmarkStart w:id="23" w:name="_Toc152042387"/>
      <w:bookmarkStart w:id="24" w:name="_Toc7110"/>
      <w:bookmarkStart w:id="25" w:name="_Toc152045609"/>
      <w:bookmarkStart w:id="26" w:name="_Toc144974577"/>
      <w:bookmarkStart w:id="27" w:name="_Toc179632627"/>
      <w:bookmarkStart w:id="28" w:name="_Toc470"/>
    </w:p>
    <w:p>
      <w:pPr>
        <w:pStyle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color w:val="auto"/>
        </w:rPr>
      </w:pPr>
    </w:p>
    <w:p>
      <w:pPr>
        <w:pStyle w:val="3"/>
        <w:keepNext w:val="0"/>
        <w:keepLines w:val="0"/>
        <w:adjustRightInd w:val="0"/>
        <w:snapToGrid w:val="0"/>
        <w:spacing w:before="120" w:after="12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第三章 合同条款</w:t>
      </w:r>
      <w:bookmarkEnd w:id="21"/>
      <w:bookmarkEnd w:id="22"/>
      <w:bookmarkEnd w:id="23"/>
      <w:bookmarkEnd w:id="24"/>
      <w:bookmarkEnd w:id="25"/>
      <w:bookmarkEnd w:id="26"/>
      <w:bookmarkEnd w:id="27"/>
      <w:bookmarkEnd w:id="28"/>
      <w:bookmarkStart w:id="29" w:name="_Toc144974826"/>
      <w:bookmarkStart w:id="30" w:name="_Toc152045767"/>
      <w:bookmarkStart w:id="31" w:name="_Toc179632785"/>
      <w:bookmarkStart w:id="32" w:name="_Toc152042546"/>
    </w:p>
    <w:bookmarkEnd w:id="29"/>
    <w:bookmarkEnd w:id="30"/>
    <w:bookmarkEnd w:id="31"/>
    <w:bookmarkEnd w:id="32"/>
    <w:p>
      <w:pPr>
        <w:numPr>
          <w:ilvl w:val="0"/>
          <w:numId w:val="3"/>
        </w:num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本合同下列术语应解释为：</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1.1 “合同”系指买卖双方签署的、合同格式中载明的买卖双方所达成的协议,包括所有的附件、附录和上述文件所提到的构成合同的所有文件。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1.2 “合同价”系指根据合同规定卖方在正确地完全履行合同义务后买方应支付给卖方的价格。</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1.3 “货物” 系指卖方根据合同规定须向买方提供的一切材料、设备、机械、仪表、备件、工具或其它材料。</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1.4 “服务”系指根据合同规定卖方承担与供货有关的辅助服务，比如运输、保险、以及其它的伴随服务，比如安装、调试、提供技术援助、培训和合同中规定卖方应承担的其它义务。</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1.5 “买方”系指前附表中所述购买货物和服务的单位。</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 “卖方”系指前附表中所述提供货物和服务的公司或实体。</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1.7 “项目现场”系指合同条款前附表中指明的地点。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1.8 “天”指日历天数。</w:t>
      </w:r>
    </w:p>
    <w:p>
      <w:pPr>
        <w:numPr>
          <w:ilvl w:val="0"/>
          <w:numId w:val="3"/>
        </w:num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来源地</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2.1本条所述的“来源地”系指货物生产地或提供服务的来源地。</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3.技术规格</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3.1交付的货物的技术规格应与招标文件规定的技术规格相一致。</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3.2除技术规格另有规定外,计量单位应该使用公制。</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4.专利权</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4.1卖方应保证买方在使用该货物或其任何一部分免受第三方提出侵犯其专利权、商标权或工业设计权的起诉。</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5.包装要求</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5.1除合同另有规定外，卖方提供的全部货物均应按标准保护措施进行包装，这类包装应适应于远距离运输、防潮、防震、防锈和防野蛮装卸，以确保货物安全无损运抵指定现场。</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5.2货物包装应附一份详细包装单和质量证书。</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6.包装标志</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6.1卖方应在每一包装用不褪色的、以醒目的中文字样做出下列标记:</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1、货物名称、品目号和规格：</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2、毛重/净重：</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3、生产日期</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4、行业规定的其它标识</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7.装运条件</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7.2如果是从国内供应的货物：</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 xml:space="preserve">7.2.1卖方应负责内陆运输；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7.2.2货物到达买方目的地，经验收合格，买方签字认可后的日期为交货日期。</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8.装运通知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8.2如果是从国内供应的货物，买方提前十四天制定需求计划给卖方: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8.2.1卖方应在合同规定的装运日期之前七(7)天内以电报或电传或传真形式将合同号、货物名称、数量和到货日期通知买方。同时，卖方应用挂号信把详细的货物清单一式两份，包括合同号、货物名称、规格、数量、待运日期和货物在运输、储存中的特殊要求和注意事项等通知买方。</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8.2.2卖方应在货物装完后24小时之内以电报或电传或传真形式将合同号、货物名称、数量、发票金额、运输工具名称及启运日期通知买方。</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9.付款</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9.1本合同以人民币付款。</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9.2卖方应按照双方签订的合同规定交货。交货后卖方应把下列单据提交给买方，买方按合同规定审核后付款。</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1.发票；</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2.装车单；</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3.制造厂家出具的质量检验证书和数量证明书；以及国家省级以上质量监督部门对本货物的质量检验证书；</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4.验收证书。</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5.买方验收签证</w:t>
      </w:r>
    </w:p>
    <w:p>
      <w:pPr>
        <w:numPr>
          <w:ilvl w:val="0"/>
          <w:numId w:val="4"/>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9.3卖方应在每批货物到达买方目的地后，经验收数量与卖方提供的数量证明书一致后四十八（48）小时内将上述9.2条要求的单据给买方。</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9.4付款方式：</w:t>
      </w:r>
      <w:r>
        <w:rPr>
          <w:rFonts w:hint="eastAsia" w:ascii="宋体" w:hAnsi="宋体" w:cs="宋体"/>
          <w:b/>
          <w:bCs/>
          <w:color w:val="auto"/>
          <w:sz w:val="24"/>
          <w:highlight w:val="none"/>
          <w:lang w:val="en-US" w:eastAsia="zh-CN"/>
        </w:rPr>
        <w:t>签订合同时与采购人约定。</w:t>
      </w:r>
    </w:p>
    <w:p>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10. 质量保证</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10.1 质量要求、技术标准及卖方对质量负责的条件期限。</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10.2 卖方应严格按照设备制造国家标准和行业标准进行制造。出厂前卖方的质量检验部门应按照产品原产地国家制定的各项规定进行产品质量检验，检验合格后出具质量证明书后，方能出厂。</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10.3 卖方对货物制造质量负责，在买方按照使用维护说明书的规定正确的安装维护及存放的情况下，卖方应保证所供设备自正式投入运行之日起36个月内无故障，如确因设计和制造质量不良而发生损坏或并非因维护操作不当导致不能正常使用，卖方应按国务院发布的《工业产品质量责任条例》在接到买方通知之日起1日内派人抵达设备使用现场处理，并承担相应的经济责任。</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10.4卖方应对所供应设备的外协、外购件质量负责，其负责期限和责任范围等同于1.2条款的约定。卖方在交货时应提供外购件的使用维护说明书及证明文件。</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10.5卖方单位所提供产品的技术应是最新的,并且已有运行2年以上的成功经验,并附有证明文件。</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10.6 运输方式、交货地点及到达项目现场费用负担</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10.7 运输方式由卖方决定、由卖方办理，运杂费用由卖方承担，产品包装应符合国家有关要求。</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11．技术培训要求</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11.1设备从到厂开始，希望调试人员在安装调试的全过程中对我单位保全及操作工培训。</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11.2设备安装调试完毕后，对我单位相关人员进行系统培训。</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11.3操作人员能够熟练掌握操作方法。</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11.4保全对设备有很好的认识，能够自行维修设备的一般故障，出现特殊故障时，保全能够通过电话沟通维修设备。</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12. 售后服务</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12.1在货物到达使用单位后，接到买方通知后，应在1天内派工程技术人员到达现场，在买方技术人员在场的情况下开箱清点货物，组织安装调试，并承担由此发生的一切费用，安装时间不长于7天。</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12.2设备安装后双方按国际和国家标准及本章第3条款的要求进行质量验收。卖方应向买方提供详细的验收标准、验收手册，免费提供验收所需的仪器，买方在验收合格后将仪器归还卖方。</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12.3 在设备交付使用后，卖方应对保修期及其以后终身服务作出承诺，并具有切实可行的服务措施。卖方在疆应有常设或指派的法定售后服务机构，备品备件库（进口产品除外），安装维修人员应是卖方派出的具有一定专业技术水平的人员。</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12.4 对配套设备中的产品必须提供有关资料及售后服务承诺。</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13. 备品备件</w:t>
      </w:r>
    </w:p>
    <w:p>
      <w:pPr>
        <w:pStyle w:val="25"/>
        <w:spacing w:line="360" w:lineRule="auto"/>
        <w:ind w:firstLine="483"/>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13.1 应保证终身提供该设备的所有维修零备件。</w:t>
      </w:r>
    </w:p>
    <w:p>
      <w:pPr>
        <w:pStyle w:val="25"/>
        <w:spacing w:line="360" w:lineRule="auto"/>
        <w:ind w:firstLine="483"/>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13.2 卖方须提供备件的名称、价格及有效期，保证供货期等。</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14．保修</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次招标采购的产品，要求质保期一年。质保期即自安装验收合格正式运行之日算起，至少12个月内无故障安全运行（如出现质量问题，卖方在保修期内免费更换部件及维修）。如果由于卖方责任致使系统不能验收，此保修期顺延。</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15.检验</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11.1在交货前，卖方应对货物的质量、规格、性能、数量和重量等进行详细而全面的检验，并出具一份证明货物符合合同规定的检验证书，检验证书是付款时所需文件的组成部分，但不能作为有关质量、规格、数量或重量的最终检验。卖方的检验结果应附在检验证书后面。</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15.2货物运抵买方目的地后，买方对货物的质量、规格、数量和重量进行检验，并出具检验证书。费用由卖方承担。</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16.卖方履约延误</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16.1卖方应按照“货物需求一览表及技术规格要求”中买方规定的时间表交货和提供服务。</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16.2如卖方无正当理由而拖延交货，将受到以下制裁：没收履约保证金，加收误期赔偿或违约终止合同。</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16.3在履行合同过程中，如果卖方可能遇到妨碍按时交货和提供服务的情况时，应及时以书面形式将拖延的事实，可能拖延的期限和理由通知买方。买方在收到卖方通知后，应尽快对情况进行评价，并确定是否通过修改合同，酌情延长交货时间。</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17.误期赔偿</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17.1除合同第17条规定外，如果卖方没有按照合同规定的时间交货和提供服务，买方应从货款中扣除误期赔偿费而不影响合同项下的其他补救方法，赔偿费按每周迟交货物交货价或未提供服务费用的</w:t>
      </w:r>
      <w:r>
        <w:rPr>
          <w:rFonts w:hint="eastAsia" w:ascii="宋体" w:hAnsi="宋体" w:cs="宋体"/>
          <w:b/>
          <w:bCs/>
          <w:color w:val="auto"/>
          <w:sz w:val="24"/>
          <w:highlight w:val="none"/>
        </w:rPr>
        <w:t>千分之二（2‰）</w:t>
      </w:r>
      <w:r>
        <w:rPr>
          <w:rFonts w:hint="eastAsia" w:ascii="宋体" w:hAnsi="宋体" w:cs="宋体"/>
          <w:color w:val="auto"/>
          <w:sz w:val="24"/>
          <w:highlight w:val="none"/>
        </w:rPr>
        <w:t>计收,直至交货或提供服务为止。但误期赔偿费的最高限额不超过误期货物总价或服务合同价的百分之五（5%）。一周按七（7）天计算，不足七（7）天按一周计算。一旦达到误期赔偿的最高限额，买方可考虑终止合同。</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18.不可抗力</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18.1如果卖方因不可抗力而导致合同实施延误或不能履行合同义务的话，买方不应没收履约保证金，卖方也不应该承担误期赔偿或终止合同的责任。</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18.2本条所述的“不可抗力”系指那些卖方无法控制，不可预见的事件，但不包括卖方的违约或疏忽。这些事件包括：战争、严重火灾、洪水、台风、地震以及其它经双方商定的事件。</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19.税费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15.1卖方报价应包括货物送达买方目的地以前的所有税费。既与本合同有关的一切税费均应由卖方负担。</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20.价格调整</w:t>
      </w:r>
    </w:p>
    <w:p>
      <w:pPr>
        <w:spacing w:line="360" w:lineRule="auto"/>
        <w:outlineLvl w:val="2"/>
        <w:rPr>
          <w:rFonts w:hint="eastAsia" w:ascii="宋体" w:hAnsi="宋体" w:cs="宋体"/>
          <w:color w:val="auto"/>
          <w:sz w:val="24"/>
          <w:highlight w:val="none"/>
        </w:rPr>
      </w:pPr>
      <w:r>
        <w:rPr>
          <w:rFonts w:hint="eastAsia" w:ascii="宋体" w:hAnsi="宋体" w:cs="宋体"/>
          <w:color w:val="auto"/>
          <w:sz w:val="24"/>
          <w:highlight w:val="none"/>
        </w:rPr>
        <w:t>20.1  物价波动引起的价格调整</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本工程工期较短，投标人应自行考虑项目实施过程中材料的价格波动。招标人对物价波动引起的价格不予调整</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21．履约保证金</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21.1卖方应在收到中标通告书后七（7）天内，应按“投标人须知前附表”的要求向买方提供履约保证金。履约保证金的有效期到工程通过初步验收后28天时为止。</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21.2卖方提供的履约保证金应按招标文件所附的格式或买方可接受的其他格式提供，与此有关的费用均由卖方负担。</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21.3如果卖方未能履行合同规定的任何义务，买方有权从履约保证金中得到补偿。</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22.争端的解决</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22.1买卖双方通过友好协商，解决在执行本合同中所发生的或与本合同有关的一切争端。如从协商开始二十八（28）天内仍不能解决，双方应将争端提交阿克苏地区行业主管部门寻求可能解决的办法。如果提交行业主管部门后二十八（28）天内仍得不到解决，则应提请仲裁。</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22.2仲裁应按照双方商定的仲裁委员会根据其仲裁程序进行仲裁；</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22.3仲裁裁决应为最终裁决，对双方均具有约束力。</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22.4仲裁费除仲裁机关另有裁决外均应由败诉方负担。</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22.5在仲裁期间，除正在进行仲裁的部分外，本合同的其它部分应继续执行。</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23.违约终止合同</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23.1在买方对卖方违约而采取的任何补救措施对工程都受影响的情况下，买方可向卖方发出书面通知书，提出终止部分或全部合同。</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1、如果卖方未能在合同规定的期限或买方同意延长的期限内提供部分或全部货物；</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2、如果卖方未能履行合同规定的其它任何义务。</w:t>
      </w:r>
    </w:p>
    <w:p>
      <w:pPr>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24.转让和分包</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24.1除买方事先书面同意外，卖方不得部分转让或全部转让其应履行的合同义务。</w:t>
      </w:r>
    </w:p>
    <w:p>
      <w:pPr>
        <w:spacing w:line="360" w:lineRule="auto"/>
        <w:outlineLvl w:val="1"/>
        <w:rPr>
          <w:rFonts w:hint="eastAsia" w:ascii="宋体" w:hAnsi="宋体" w:cs="宋体"/>
          <w:color w:val="auto"/>
          <w:sz w:val="24"/>
          <w:highlight w:val="none"/>
        </w:rPr>
      </w:pPr>
      <w:r>
        <w:rPr>
          <w:rFonts w:hint="eastAsia" w:ascii="宋体" w:hAnsi="宋体" w:cs="宋体"/>
          <w:b/>
          <w:color w:val="auto"/>
          <w:sz w:val="24"/>
          <w:highlight w:val="none"/>
        </w:rPr>
        <w:t>25.适用法律</w:t>
      </w:r>
    </w:p>
    <w:p>
      <w:pPr>
        <w:spacing w:line="360" w:lineRule="auto"/>
        <w:ind w:firstLine="510"/>
        <w:outlineLvl w:val="2"/>
        <w:rPr>
          <w:rFonts w:hint="eastAsia" w:ascii="宋体" w:hAnsi="宋体" w:cs="宋体"/>
          <w:color w:val="auto"/>
          <w:sz w:val="24"/>
          <w:highlight w:val="none"/>
        </w:rPr>
      </w:pPr>
      <w:r>
        <w:rPr>
          <w:rFonts w:hint="eastAsia" w:ascii="宋体" w:hAnsi="宋体" w:cs="宋体"/>
          <w:color w:val="auto"/>
          <w:sz w:val="24"/>
          <w:highlight w:val="none"/>
        </w:rPr>
        <w:t>24.1本合同应按照中华人民共和国的现行法律进行解释。</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25.合同生效</w:t>
      </w:r>
    </w:p>
    <w:p>
      <w:pPr>
        <w:spacing w:line="360" w:lineRule="auto"/>
        <w:ind w:firstLine="510"/>
        <w:rPr>
          <w:rFonts w:hint="eastAsia" w:ascii="宋体" w:hAnsi="宋体" w:cs="宋体"/>
          <w:color w:val="auto"/>
          <w:sz w:val="24"/>
          <w:highlight w:val="none"/>
        </w:rPr>
      </w:pPr>
      <w:r>
        <w:rPr>
          <w:rFonts w:hint="eastAsia" w:ascii="宋体" w:hAnsi="宋体" w:cs="宋体"/>
          <w:b/>
          <w:color w:val="auto"/>
          <w:sz w:val="24"/>
          <w:highlight w:val="none"/>
        </w:rPr>
        <w:t>25</w:t>
      </w:r>
      <w:r>
        <w:rPr>
          <w:rFonts w:hint="eastAsia" w:ascii="宋体" w:hAnsi="宋体" w:cs="宋体"/>
          <w:color w:val="auto"/>
          <w:sz w:val="24"/>
          <w:highlight w:val="none"/>
        </w:rPr>
        <w:t>.1本合同应在双方签字和买方收到卖方提供的履约保证金后生效。</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26.主导语言</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26.1本合同一式四份，以中文书写，买方执三份，卖方执一份。</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27.合同修改</w:t>
      </w:r>
    </w:p>
    <w:p>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27.1除了双方签署书面修改协议，并成为本合同不可分割的一部分的情况之外，本合同的条件不得有任何变化或修改。</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28. 其它事项</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28.1 本合同所确定的价格为最终价格,已包含包装费、运杂费、保险费、卖方的现场验收、安装调试费、现场服务费等各项费用。</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在设备明显位置装有固定金属铭牌，铭牌至少应载明以下内容：</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A、制造厂名称</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B、设备名称和型号规格</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C、制造厂产品编号</w:t>
      </w:r>
    </w:p>
    <w:p>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D、出厂日期</w:t>
      </w:r>
    </w:p>
    <w:p>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29.  </w:t>
      </w:r>
      <w:r>
        <w:rPr>
          <w:rFonts w:hint="eastAsia" w:ascii="宋体" w:hAnsi="宋体" w:cs="宋体"/>
          <w:b/>
          <w:bCs/>
          <w:color w:val="auto"/>
          <w:sz w:val="24"/>
          <w:highlight w:val="none"/>
        </w:rPr>
        <w:t>其它要求</w:t>
      </w:r>
      <w:r>
        <w:rPr>
          <w:rFonts w:hint="eastAsia" w:ascii="宋体" w:hAnsi="宋体" w:cs="宋体"/>
          <w:b/>
          <w:bCs/>
          <w:color w:val="auto"/>
          <w:kern w:val="0"/>
          <w:sz w:val="24"/>
          <w:highlight w:val="none"/>
        </w:rPr>
        <w:t xml:space="preserve">  </w:t>
      </w:r>
    </w:p>
    <w:p>
      <w:pPr>
        <w:spacing w:line="360" w:lineRule="auto"/>
        <w:ind w:firstLine="482" w:firstLineChars="200"/>
        <w:rPr>
          <w:rFonts w:hint="eastAsia" w:ascii="宋体" w:hAnsi="宋体" w:cs="宋体"/>
          <w:b/>
          <w:bCs/>
          <w:color w:val="auto"/>
          <w:sz w:val="32"/>
          <w:szCs w:val="32"/>
          <w:highlight w:val="none"/>
        </w:rPr>
        <w:sectPr>
          <w:footerReference r:id="rId7" w:type="first"/>
          <w:footerReference r:id="rId6" w:type="default"/>
          <w:pgSz w:w="11849" w:h="16781"/>
          <w:pgMar w:top="1440" w:right="1080" w:bottom="1440" w:left="1080" w:header="851" w:footer="850" w:gutter="0"/>
          <w:cols w:space="720" w:num="1"/>
          <w:titlePg/>
          <w:docGrid w:type="linesAndChars" w:linePitch="320" w:charSpace="269"/>
        </w:sectPr>
      </w:pPr>
      <w:r>
        <w:rPr>
          <w:rFonts w:hint="eastAsia" w:ascii="宋体" w:hAnsi="宋体" w:cs="宋体"/>
          <w:color w:val="auto"/>
          <w:kern w:val="0"/>
          <w:sz w:val="24"/>
          <w:highlight w:val="none"/>
        </w:rPr>
        <w:t xml:space="preserve"> 质保期内，如设备有损坏，请按照合同规定及时派人到场维修。</w:t>
      </w:r>
      <w:bookmarkStart w:id="33" w:name="_Toc179632789"/>
      <w:bookmarkStart w:id="34" w:name="_Toc152045772"/>
      <w:bookmarkStart w:id="35" w:name="_Toc30045"/>
      <w:bookmarkStart w:id="36" w:name="_Toc27253"/>
      <w:bookmarkStart w:id="37" w:name="_Toc152042554"/>
      <w:bookmarkStart w:id="38" w:name="_Toc5648"/>
      <w:bookmarkStart w:id="39" w:name="_Toc144974834"/>
      <w:bookmarkStart w:id="40" w:name="_Toc4547"/>
    </w:p>
    <w:p>
      <w:pPr>
        <w:pStyle w:val="27"/>
        <w:numPr>
          <w:ilvl w:val="0"/>
          <w:numId w:val="0"/>
        </w:numPr>
        <w:ind w:leftChars="0"/>
        <w:jc w:val="center"/>
        <w:rPr>
          <w:rFonts w:hint="eastAsia" w:ascii="宋体" w:hAnsi="宋体" w:cs="宋体"/>
          <w:b/>
          <w:bCs/>
          <w:color w:val="auto"/>
          <w:sz w:val="32"/>
          <w:szCs w:val="32"/>
          <w:highlight w:val="none"/>
        </w:rPr>
      </w:pPr>
      <w:r>
        <w:rPr>
          <w:rFonts w:hint="eastAsia" w:hAnsi="宋体" w:cs="宋体"/>
          <w:b/>
          <w:bCs/>
          <w:color w:val="auto"/>
          <w:sz w:val="32"/>
          <w:szCs w:val="32"/>
          <w:highlight w:val="none"/>
          <w:lang w:val="en-US" w:eastAsia="zh-CN"/>
        </w:rPr>
        <w:t xml:space="preserve">第四章 </w:t>
      </w:r>
      <w:r>
        <w:rPr>
          <w:rFonts w:hint="eastAsia" w:ascii="宋体" w:hAnsi="宋体" w:cs="宋体"/>
          <w:b/>
          <w:bCs/>
          <w:color w:val="auto"/>
          <w:sz w:val="32"/>
          <w:szCs w:val="32"/>
          <w:highlight w:val="none"/>
        </w:rPr>
        <w:t>采购需求</w:t>
      </w:r>
      <w:r>
        <w:rPr>
          <w:rFonts w:hint="eastAsia"/>
          <w:b/>
          <w:bCs/>
          <w:color w:val="auto"/>
          <w:sz w:val="30"/>
          <w:szCs w:val="30"/>
          <w:highlight w:val="none"/>
        </w:rPr>
        <w:t>清单</w:t>
      </w:r>
    </w:p>
    <w:bookmarkEnd w:id="33"/>
    <w:bookmarkEnd w:id="34"/>
    <w:bookmarkEnd w:id="35"/>
    <w:bookmarkEnd w:id="36"/>
    <w:bookmarkEnd w:id="37"/>
    <w:bookmarkEnd w:id="38"/>
    <w:bookmarkEnd w:id="39"/>
    <w:bookmarkEnd w:id="40"/>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lang w:eastAsia="zh-CN"/>
        </w:rPr>
      </w:pPr>
      <w:bookmarkStart w:id="41" w:name="_Toc31265"/>
      <w:bookmarkStart w:id="42" w:name="_Toc16742"/>
      <w:bookmarkStart w:id="43" w:name="_Toc3191"/>
      <w:bookmarkStart w:id="44" w:name="_Toc179632806"/>
      <w:bookmarkStart w:id="45" w:name="_Toc5416"/>
      <w:r>
        <w:rPr>
          <w:rFonts w:hint="eastAsia" w:ascii="宋体" w:hAnsi="宋体" w:cs="宋体"/>
          <w:b/>
          <w:bCs/>
          <w:color w:val="auto"/>
          <w:sz w:val="24"/>
          <w:highlight w:val="none"/>
          <w:lang w:eastAsia="zh-CN"/>
        </w:rPr>
        <w:t>2022年冬季用煤标准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51"/>
        <w:gridCol w:w="3043"/>
        <w:gridCol w:w="1454"/>
        <w:gridCol w:w="137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序号</w:t>
            </w:r>
          </w:p>
        </w:tc>
        <w:tc>
          <w:tcPr>
            <w:tcW w:w="1651"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品名</w:t>
            </w:r>
          </w:p>
        </w:tc>
        <w:tc>
          <w:tcPr>
            <w:tcW w:w="3043" w:type="dxa"/>
            <w:vAlign w:val="center"/>
          </w:tcPr>
          <w:p>
            <w:pPr>
              <w:tabs>
                <w:tab w:val="left" w:pos="3780"/>
              </w:tabs>
              <w:topLinePunct/>
              <w:adjustRightInd w:val="0"/>
              <w:snapToGrid w:val="0"/>
              <w:spacing w:line="360" w:lineRule="auto"/>
              <w:jc w:val="center"/>
              <w:outlineLvl w:val="0"/>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规格及参数</w:t>
            </w:r>
          </w:p>
        </w:tc>
        <w:tc>
          <w:tcPr>
            <w:tcW w:w="1454"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数量（吨）</w:t>
            </w:r>
          </w:p>
        </w:tc>
        <w:tc>
          <w:tcPr>
            <w:tcW w:w="1378"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单价    （元/吨）</w:t>
            </w:r>
          </w:p>
        </w:tc>
        <w:tc>
          <w:tcPr>
            <w:tcW w:w="729"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1650"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w:t>
            </w:r>
          </w:p>
        </w:tc>
        <w:tc>
          <w:tcPr>
            <w:tcW w:w="1651" w:type="dxa"/>
            <w:vAlign w:val="center"/>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lang w:eastAsia="zh-CN"/>
              </w:rPr>
            </w:pPr>
            <w:r>
              <w:rPr>
                <w:rFonts w:hint="eastAsia" w:ascii="宋体" w:hAnsi="宋体" w:cs="宋体"/>
                <w:b/>
                <w:bCs/>
                <w:color w:val="auto"/>
                <w:sz w:val="24"/>
                <w:highlight w:val="none"/>
                <w:vertAlign w:val="baseline"/>
                <w:lang w:eastAsia="zh-CN"/>
              </w:rPr>
              <w:t>有烟块煤</w:t>
            </w: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c>
          <w:tcPr>
            <w:tcW w:w="3043" w:type="dxa"/>
            <w:vAlign w:val="center"/>
          </w:tcPr>
          <w:p>
            <w:pPr>
              <w:jc w:val="center"/>
              <w:rPr>
                <w:rFonts w:hint="eastAsia"/>
                <w:lang w:eastAsia="zh-CN"/>
              </w:rPr>
            </w:pPr>
            <w:r>
              <w:rPr>
                <w:rFonts w:hint="eastAsia"/>
                <w:lang w:val="en-US" w:eastAsia="zh-CN"/>
              </w:rPr>
              <w:t>1、</w:t>
            </w:r>
            <w:r>
              <w:rPr>
                <w:rFonts w:hint="eastAsia"/>
                <w:lang w:eastAsia="zh-CN"/>
              </w:rPr>
              <w:t xml:space="preserve">纯块煤，直径不小于10厘米，零矸石（如有矸石，按同等重量补偿）零沫子、零水分，发热量≥24MJ/kg； </w:t>
            </w:r>
            <w:r>
              <w:rPr>
                <w:rFonts w:hint="eastAsia"/>
                <w:lang w:val="en-US" w:eastAsia="zh-CN"/>
              </w:rPr>
              <w:t>2、</w:t>
            </w:r>
            <w:r>
              <w:rPr>
                <w:rFonts w:hint="eastAsia"/>
                <w:lang w:eastAsia="zh-CN"/>
              </w:rPr>
              <w:t>全硫（St）≤0.6%以下；灰分≤20%；全水分（Mt）≤8%以下；3、热值（大卡/千克）≥5200；</w:t>
            </w:r>
          </w:p>
          <w:p>
            <w:pPr>
              <w:jc w:val="center"/>
              <w:rPr>
                <w:rFonts w:hint="default"/>
                <w:lang w:val="en-US" w:eastAsia="zh-CN"/>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c>
          <w:tcPr>
            <w:tcW w:w="1454" w:type="dxa"/>
            <w:vAlign w:val="center"/>
          </w:tcPr>
          <w:p>
            <w:pPr>
              <w:tabs>
                <w:tab w:val="left" w:pos="3780"/>
              </w:tabs>
              <w:topLinePunct/>
              <w:adjustRightInd w:val="0"/>
              <w:snapToGrid w:val="0"/>
              <w:spacing w:line="360" w:lineRule="auto"/>
              <w:jc w:val="center"/>
              <w:outlineLvl w:val="0"/>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1502</w:t>
            </w:r>
          </w:p>
        </w:tc>
        <w:tc>
          <w:tcPr>
            <w:tcW w:w="1378" w:type="dxa"/>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c>
          <w:tcPr>
            <w:tcW w:w="729" w:type="dxa"/>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2</w:t>
            </w:r>
          </w:p>
        </w:tc>
        <w:tc>
          <w:tcPr>
            <w:tcW w:w="1651" w:type="dxa"/>
            <w:vAlign w:val="center"/>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r>
              <w:rPr>
                <w:rFonts w:hint="eastAsia" w:ascii="宋体" w:hAnsi="宋体" w:cs="宋体"/>
                <w:b/>
                <w:bCs/>
                <w:color w:val="auto"/>
                <w:sz w:val="24"/>
                <w:highlight w:val="none"/>
                <w:vertAlign w:val="baseline"/>
                <w:lang w:eastAsia="zh-CN"/>
              </w:rPr>
              <w:t>无烟块煤</w:t>
            </w:r>
          </w:p>
        </w:tc>
        <w:tc>
          <w:tcPr>
            <w:tcW w:w="3043" w:type="dxa"/>
            <w:vAlign w:val="center"/>
          </w:tcPr>
          <w:p>
            <w:pPr>
              <w:jc w:val="center"/>
              <w:rPr>
                <w:rFonts w:hint="eastAsia"/>
                <w:lang w:eastAsia="zh-CN"/>
              </w:rPr>
            </w:pPr>
            <w:r>
              <w:rPr>
                <w:rFonts w:hint="eastAsia"/>
                <w:lang w:val="en-US" w:eastAsia="zh-CN"/>
              </w:rPr>
              <w:t>1、</w:t>
            </w:r>
            <w:r>
              <w:rPr>
                <w:rFonts w:hint="eastAsia"/>
                <w:lang w:eastAsia="zh-CN"/>
              </w:rPr>
              <w:t>零矸石（如有矸石，</w:t>
            </w:r>
          </w:p>
          <w:p>
            <w:pPr>
              <w:jc w:val="center"/>
              <w:rPr>
                <w:rFonts w:hint="eastAsia"/>
                <w:lang w:eastAsia="zh-CN"/>
              </w:rPr>
            </w:pPr>
            <w:r>
              <w:rPr>
                <w:rFonts w:hint="eastAsia"/>
                <w:lang w:eastAsia="zh-CN"/>
              </w:rPr>
              <w:t>按同等重量补偿）发热量≥24MJ/kg；</w:t>
            </w:r>
            <w:r>
              <w:rPr>
                <w:rFonts w:hint="eastAsia"/>
                <w:lang w:val="en-US" w:eastAsia="zh-CN"/>
              </w:rPr>
              <w:t>2、</w:t>
            </w:r>
            <w:r>
              <w:rPr>
                <w:rFonts w:hint="eastAsia"/>
                <w:lang w:eastAsia="zh-CN"/>
              </w:rPr>
              <w:t>全硫（St）≤0.5%以下；灰分≤3%；全水分</w:t>
            </w:r>
          </w:p>
          <w:p>
            <w:pPr>
              <w:jc w:val="center"/>
              <w:rPr>
                <w:rFonts w:hint="eastAsia"/>
                <w:lang w:eastAsia="zh-CN"/>
              </w:rPr>
            </w:pPr>
            <w:r>
              <w:rPr>
                <w:rFonts w:hint="eastAsia"/>
                <w:lang w:eastAsia="zh-CN"/>
              </w:rPr>
              <w:t>（Mt）≤2%以下；杂质≤0.1%以下；</w:t>
            </w:r>
          </w:p>
          <w:p>
            <w:pPr>
              <w:jc w:val="center"/>
              <w:rPr>
                <w:rFonts w:hint="eastAsia"/>
                <w:lang w:eastAsia="zh-CN"/>
              </w:rPr>
            </w:pPr>
            <w:r>
              <w:rPr>
                <w:rFonts w:hint="eastAsia"/>
                <w:lang w:eastAsia="zh-CN"/>
              </w:rPr>
              <w:t>3、热值（大卡/千克）≥4700；</w:t>
            </w:r>
          </w:p>
          <w:p>
            <w:pPr>
              <w:tabs>
                <w:tab w:val="left" w:pos="3780"/>
              </w:tabs>
              <w:topLinePunct/>
              <w:adjustRightInd w:val="0"/>
              <w:snapToGrid w:val="0"/>
              <w:spacing w:line="360" w:lineRule="auto"/>
              <w:jc w:val="center"/>
              <w:outlineLvl w:val="0"/>
              <w:rPr>
                <w:rFonts w:hint="default" w:ascii="宋体" w:hAnsi="宋体" w:cs="宋体"/>
                <w:b/>
                <w:bCs/>
                <w:color w:val="auto"/>
                <w:sz w:val="24"/>
                <w:highlight w:val="none"/>
                <w:vertAlign w:val="baseline"/>
                <w:lang w:val="en-US"/>
              </w:rPr>
            </w:pPr>
          </w:p>
        </w:tc>
        <w:tc>
          <w:tcPr>
            <w:tcW w:w="1454" w:type="dxa"/>
            <w:vAlign w:val="center"/>
          </w:tcPr>
          <w:p>
            <w:pPr>
              <w:tabs>
                <w:tab w:val="left" w:pos="3780"/>
              </w:tabs>
              <w:topLinePunct/>
              <w:adjustRightInd w:val="0"/>
              <w:snapToGrid w:val="0"/>
              <w:spacing w:line="360" w:lineRule="auto"/>
              <w:jc w:val="center"/>
              <w:outlineLvl w:val="0"/>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29978</w:t>
            </w:r>
          </w:p>
        </w:tc>
        <w:tc>
          <w:tcPr>
            <w:tcW w:w="1378" w:type="dxa"/>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c>
          <w:tcPr>
            <w:tcW w:w="729" w:type="dxa"/>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650" w:type="dxa"/>
            <w:vAlign w:val="center"/>
          </w:tcPr>
          <w:p>
            <w:pPr>
              <w:tabs>
                <w:tab w:val="left" w:pos="3780"/>
              </w:tabs>
              <w:topLinePunct/>
              <w:adjustRightInd w:val="0"/>
              <w:snapToGrid w:val="0"/>
              <w:spacing w:line="360" w:lineRule="auto"/>
              <w:jc w:val="center"/>
              <w:outlineLvl w:val="0"/>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3</w:t>
            </w:r>
          </w:p>
        </w:tc>
        <w:tc>
          <w:tcPr>
            <w:tcW w:w="1651" w:type="dxa"/>
            <w:vAlign w:val="center"/>
          </w:tcPr>
          <w:p>
            <w:pPr>
              <w:tabs>
                <w:tab w:val="left" w:pos="3780"/>
              </w:tabs>
              <w:topLinePunct/>
              <w:adjustRightInd w:val="0"/>
              <w:snapToGrid w:val="0"/>
              <w:spacing w:line="360" w:lineRule="auto"/>
              <w:jc w:val="center"/>
              <w:outlineLvl w:val="0"/>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有烟沫子煤</w:t>
            </w:r>
          </w:p>
        </w:tc>
        <w:tc>
          <w:tcPr>
            <w:tcW w:w="3043" w:type="dxa"/>
            <w:vAlign w:val="center"/>
          </w:tcPr>
          <w:p>
            <w:pPr>
              <w:jc w:val="center"/>
              <w:rPr>
                <w:rFonts w:hint="eastAsia"/>
                <w:lang w:eastAsia="zh-CN"/>
              </w:rPr>
            </w:pPr>
            <w:r>
              <w:rPr>
                <w:rFonts w:hint="eastAsia"/>
                <w:lang w:eastAsia="zh-CN"/>
              </w:rPr>
              <w:t>1、全硫（St）≤0.6%以下；零矸石（如有矸石，按同等重量补偿）；全水分（Mt）≤3%以下；杂质≤0.1%；灰分≤20%；2、低位发热量（大卡/千克）≥5000；</w:t>
            </w:r>
          </w:p>
          <w:p>
            <w:pPr>
              <w:jc w:val="center"/>
              <w:rPr>
                <w:rFonts w:hint="eastAsia"/>
                <w:lang w:eastAsia="zh-CN"/>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c>
          <w:tcPr>
            <w:tcW w:w="1454" w:type="dxa"/>
            <w:vAlign w:val="center"/>
          </w:tcPr>
          <w:p>
            <w:pPr>
              <w:tabs>
                <w:tab w:val="left" w:pos="3780"/>
              </w:tabs>
              <w:topLinePunct/>
              <w:adjustRightInd w:val="0"/>
              <w:snapToGrid w:val="0"/>
              <w:spacing w:line="360" w:lineRule="auto"/>
              <w:jc w:val="center"/>
              <w:outlineLvl w:val="0"/>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1480</w:t>
            </w:r>
          </w:p>
        </w:tc>
        <w:tc>
          <w:tcPr>
            <w:tcW w:w="1378" w:type="dxa"/>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c>
          <w:tcPr>
            <w:tcW w:w="729" w:type="dxa"/>
          </w:tcPr>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vertAlign w:val="baseline"/>
              </w:rPr>
            </w:pPr>
          </w:p>
        </w:tc>
      </w:tr>
    </w:tbl>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第五章 投标文件格式</w:t>
      </w:r>
      <w:bookmarkEnd w:id="41"/>
      <w:bookmarkEnd w:id="42"/>
      <w:bookmarkEnd w:id="43"/>
      <w:bookmarkEnd w:id="44"/>
      <w:bookmarkEnd w:id="45"/>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200"/>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adjustRightInd w:val="0"/>
        <w:snapToGrid w:val="0"/>
        <w:spacing w:line="360" w:lineRule="auto"/>
        <w:jc w:val="center"/>
        <w:rPr>
          <w:rFonts w:hint="eastAsia" w:ascii="宋体" w:hAnsi="宋体" w:cs="宋体"/>
          <w:color w:val="auto"/>
          <w:sz w:val="24"/>
          <w:highlight w:val="none"/>
          <w:u w:val="singl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一、投标函</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二、法定代表人身份证明</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三、授权委托书</w:t>
      </w:r>
    </w:p>
    <w:p>
      <w:pPr>
        <w:adjustRightInd w:val="0"/>
        <w:spacing w:line="360" w:lineRule="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rPr>
        <w:t>四、投标保证金</w:t>
      </w:r>
      <w:r>
        <w:rPr>
          <w:rFonts w:hint="eastAsia" w:ascii="宋体" w:hAnsi="宋体" w:cs="宋体"/>
          <w:color w:val="auto"/>
          <w:sz w:val="24"/>
          <w:highlight w:val="none"/>
          <w:lang w:val="en-US" w:eastAsia="zh-CN"/>
        </w:rPr>
        <w:t>缴纳凭证</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五、开标一览表</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六、投标产品名称、数量、规格及报价明细表</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七、技术规格偏离表</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lang w:eastAsia="zh-CN"/>
        </w:rPr>
        <w:t>八</w:t>
      </w:r>
      <w:r>
        <w:rPr>
          <w:rFonts w:hint="eastAsia" w:ascii="宋体" w:hAnsi="宋体" w:cs="宋体"/>
          <w:color w:val="auto"/>
          <w:sz w:val="24"/>
          <w:highlight w:val="none"/>
        </w:rPr>
        <w:t>、技术性能参数</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lang w:eastAsia="zh-CN"/>
        </w:rPr>
        <w:t>九</w:t>
      </w:r>
      <w:r>
        <w:rPr>
          <w:rFonts w:hint="eastAsia" w:ascii="宋体" w:hAnsi="宋体" w:cs="宋体"/>
          <w:color w:val="auto"/>
          <w:sz w:val="24"/>
          <w:highlight w:val="none"/>
        </w:rPr>
        <w:t>、投标承诺书</w:t>
      </w:r>
    </w:p>
    <w:p>
      <w:p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十、资格审查资料</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附：原件的复印件</w:t>
      </w:r>
    </w:p>
    <w:p>
      <w:pPr>
        <w:numPr>
          <w:ilvl w:val="0"/>
          <w:numId w:val="0"/>
        </w:numPr>
        <w:adjustRightIn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lang w:eastAsia="zh-CN"/>
        </w:rPr>
        <w:t>十一、</w:t>
      </w:r>
      <w:r>
        <w:rPr>
          <w:rFonts w:hint="eastAsia" w:ascii="宋体" w:hAnsi="宋体" w:cs="宋体"/>
          <w:color w:val="auto"/>
          <w:sz w:val="24"/>
          <w:highlight w:val="none"/>
        </w:rPr>
        <w:t>其他材料</w:t>
      </w: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outlineLvl w:val="0"/>
        <w:rPr>
          <w:rFonts w:hint="eastAsia" w:ascii="宋体" w:hAnsi="宋体" w:cs="宋体"/>
          <w:color w:val="auto"/>
          <w:sz w:val="18"/>
          <w:szCs w:val="18"/>
          <w:highlight w:val="none"/>
          <w:lang w:val="en-US" w:eastAsia="zh-CN"/>
        </w:rPr>
      </w:pPr>
    </w:p>
    <w:p>
      <w:pPr>
        <w:numPr>
          <w:ilvl w:val="0"/>
          <w:numId w:val="0"/>
        </w:num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18"/>
          <w:szCs w:val="18"/>
          <w:highlight w:val="none"/>
          <w:lang w:val="en-US" w:eastAsia="zh-CN"/>
        </w:rPr>
        <w:t>注：格式顺序自拟</w:t>
      </w:r>
      <w:r>
        <w:rPr>
          <w:rFonts w:hint="eastAsia" w:ascii="宋体" w:hAnsi="宋体" w:cs="宋体"/>
          <w:color w:val="auto"/>
          <w:sz w:val="18"/>
          <w:szCs w:val="18"/>
          <w:highlight w:val="none"/>
        </w:rPr>
        <w:br w:type="page"/>
      </w:r>
      <w:r>
        <w:rPr>
          <w:rFonts w:hint="eastAsia" w:ascii="宋体" w:hAnsi="宋体" w:cs="宋体"/>
          <w:b/>
          <w:color w:val="auto"/>
          <w:sz w:val="24"/>
          <w:highlight w:val="none"/>
        </w:rPr>
        <w:t>1、投标函及投标报价表</w:t>
      </w:r>
    </w:p>
    <w:p>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号招标文件，经认真研究，我们决定参加投标。</w:t>
      </w:r>
    </w:p>
    <w:p>
      <w:pPr>
        <w:spacing w:line="360" w:lineRule="auto"/>
        <w:ind w:firstLine="482" w:firstLineChars="200"/>
        <w:jc w:val="left"/>
        <w:rPr>
          <w:rFonts w:hint="eastAsia" w:ascii="宋体" w:hAnsi="宋体" w:cs="宋体"/>
          <w:color w:val="auto"/>
          <w:sz w:val="24"/>
          <w:highlight w:val="none"/>
        </w:rPr>
      </w:pPr>
      <w:r>
        <w:rPr>
          <w:rFonts w:hint="eastAsia" w:ascii="宋体" w:hAnsi="宋体" w:cs="宋体"/>
          <w:color w:val="auto"/>
          <w:sz w:val="24"/>
          <w:highlight w:val="none"/>
        </w:rPr>
        <w:t>⒈按照招标文件中的一切要求，提供招标货物、安装及技术服务投标总价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元（用阿拉伯数字书写）人民币，明细见投标产品名称数量报价表。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⒊我们同意按招标文件的规定，本投标书的有效期为开标后</w:t>
      </w:r>
      <w:r>
        <w:rPr>
          <w:rFonts w:hint="eastAsia" w:ascii="宋体" w:hAnsi="宋体" w:cs="宋体"/>
          <w:color w:val="auto"/>
          <w:sz w:val="24"/>
          <w:highlight w:val="none"/>
          <w:u w:val="single"/>
        </w:rPr>
        <w:t>60</w:t>
      </w:r>
      <w:r>
        <w:rPr>
          <w:rFonts w:hint="eastAsia" w:ascii="宋体" w:hAnsi="宋体" w:cs="宋体"/>
          <w:color w:val="auto"/>
          <w:sz w:val="24"/>
          <w:highlight w:val="none"/>
        </w:rPr>
        <w:t xml:space="preserve"> 天。</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⒋我们愿意提供采购人在招标文件中要求的所有资料。</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综合说明：</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（1）材料的详细技术参数、技术条件、技术标准、拟达到的质量标准和保险期限。</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（2）易损件、配件及供应方式。</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（3）安装计划、组织机构及人员安排。</w:t>
      </w:r>
    </w:p>
    <w:p>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（5）技术服务。</w:t>
      </w:r>
    </w:p>
    <w:p>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（6）运输方式。</w:t>
      </w:r>
    </w:p>
    <w:p>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（7）要求项目单位提供的配合。</w:t>
      </w:r>
    </w:p>
    <w:p>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（8）对招标文件内容有不同意见的偏离说明。</w:t>
      </w:r>
    </w:p>
    <w:p>
      <w:pPr>
        <w:spacing w:line="360" w:lineRule="auto"/>
        <w:ind w:firstLine="567"/>
        <w:outlineLvl w:val="2"/>
        <w:rPr>
          <w:rFonts w:hint="eastAsia" w:ascii="宋体" w:hAnsi="宋体" w:cs="宋体"/>
          <w:color w:val="auto"/>
          <w:sz w:val="24"/>
          <w:highlight w:val="none"/>
        </w:rPr>
      </w:pPr>
      <w:r>
        <w:rPr>
          <w:rFonts w:hint="eastAsia" w:ascii="宋体" w:hAnsi="宋体" w:cs="宋体"/>
          <w:color w:val="auto"/>
          <w:sz w:val="24"/>
          <w:highlight w:val="none"/>
        </w:rPr>
        <w:t>（9）其它。</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60" w:lineRule="auto"/>
        <w:ind w:firstLine="567"/>
        <w:rPr>
          <w:rFonts w:hint="eastAsia" w:ascii="宋体" w:hAnsi="宋体" w:cs="宋体"/>
          <w:color w:val="auto"/>
          <w:sz w:val="24"/>
          <w:highlight w:val="none"/>
        </w:rPr>
      </w:pPr>
    </w:p>
    <w:p>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360" w:lineRule="auto"/>
        <w:jc w:val="center"/>
        <w:rPr>
          <w:rFonts w:hint="eastAsia" w:ascii="宋体" w:hAnsi="宋体" w:cs="宋体"/>
          <w:bCs/>
          <w:color w:val="auto"/>
          <w:sz w:val="24"/>
          <w:highlight w:val="none"/>
        </w:rPr>
      </w:pPr>
    </w:p>
    <w:p>
      <w:pPr>
        <w:spacing w:line="360" w:lineRule="auto"/>
        <w:jc w:val="center"/>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pStyle w:val="27"/>
        <w:rPr>
          <w:rFonts w:hint="eastAsia" w:ascii="宋体" w:hAnsi="宋体" w:cs="宋体"/>
          <w:bCs/>
          <w:color w:val="auto"/>
          <w:sz w:val="24"/>
          <w:highlight w:val="none"/>
        </w:rPr>
      </w:pPr>
    </w:p>
    <w:p>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（二）、法定代表人身份证明</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注：后附法定代表人身份证复印件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pStyle w:val="27"/>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（三）、法定代表人的授权委托书</w:t>
      </w:r>
    </w:p>
    <w:p>
      <w:pPr>
        <w:spacing w:line="360" w:lineRule="auto"/>
        <w:rPr>
          <w:rFonts w:hint="eastAsia" w:ascii="宋体" w:hAnsi="宋体" w:cs="宋体"/>
          <w:color w:val="auto"/>
          <w:sz w:val="24"/>
          <w:highlight w:val="none"/>
        </w:rPr>
      </w:pPr>
    </w:p>
    <w:p>
      <w:pPr>
        <w:topLinePunct/>
        <w:spacing w:line="360" w:lineRule="auto"/>
        <w:ind w:firstLine="723" w:firstLineChars="3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投标文件、签订合同和处理有关事宜，其法律后果由我方承担。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2" w:firstLineChars="200"/>
        <w:rPr>
          <w:rFonts w:hint="eastAsia" w:ascii="宋体" w:hAnsi="宋体" w:cs="宋体"/>
          <w:color w:val="auto"/>
          <w:sz w:val="24"/>
          <w:highlight w:val="none"/>
        </w:rPr>
      </w:pP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附：法定代表人身份证、委托代理人身份证复印件</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jc w:val="center"/>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spacing w:line="360" w:lineRule="auto"/>
        <w:jc w:val="left"/>
        <w:outlineLvl w:val="1"/>
        <w:rPr>
          <w:rFonts w:hint="eastAsia" w:ascii="宋体" w:hAnsi="宋体" w:cs="宋体"/>
          <w:b/>
          <w:color w:val="auto"/>
          <w:sz w:val="24"/>
          <w:highlight w:val="none"/>
        </w:rPr>
      </w:pPr>
    </w:p>
    <w:p>
      <w:pPr>
        <w:pStyle w:val="9"/>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9"/>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9"/>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9"/>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9"/>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9"/>
        <w:rPr>
          <w:rFonts w:hint="eastAsia"/>
          <w:color w:val="auto"/>
        </w:rPr>
      </w:pPr>
    </w:p>
    <w:p>
      <w:pPr>
        <w:spacing w:line="360" w:lineRule="auto"/>
        <w:jc w:val="left"/>
        <w:outlineLvl w:val="1"/>
        <w:rPr>
          <w:rFonts w:hint="eastAsia" w:ascii="宋体" w:hAnsi="宋体" w:cs="宋体"/>
          <w:b/>
          <w:color w:val="auto"/>
          <w:sz w:val="24"/>
          <w:highlight w:val="none"/>
        </w:rPr>
      </w:pPr>
    </w:p>
    <w:p>
      <w:pPr>
        <w:numPr>
          <w:ilvl w:val="0"/>
          <w:numId w:val="5"/>
        </w:numPr>
        <w:spacing w:line="360" w:lineRule="auto"/>
        <w:jc w:val="center"/>
        <w:outlineLvl w:val="1"/>
        <w:rPr>
          <w:rFonts w:hint="eastAsia" w:ascii="宋体" w:hAnsi="宋体" w:cs="宋体"/>
          <w:b/>
          <w:color w:val="auto"/>
          <w:sz w:val="24"/>
          <w:highlight w:val="none"/>
          <w:lang w:eastAsia="zh-CN"/>
        </w:rPr>
      </w:pPr>
      <w:r>
        <w:rPr>
          <w:rFonts w:hint="eastAsia" w:ascii="宋体" w:hAnsi="宋体" w:cs="宋体"/>
          <w:b/>
          <w:color w:val="auto"/>
          <w:sz w:val="24"/>
          <w:highlight w:val="none"/>
        </w:rPr>
        <w:t>、投标保证金</w:t>
      </w:r>
      <w:r>
        <w:rPr>
          <w:rFonts w:hint="eastAsia" w:ascii="宋体" w:hAnsi="宋体" w:cs="宋体"/>
          <w:b/>
          <w:color w:val="auto"/>
          <w:sz w:val="24"/>
          <w:highlight w:val="none"/>
          <w:lang w:eastAsia="zh-CN"/>
        </w:rPr>
        <w:t>（应附开户信息、投标保证金打款凭证）</w:t>
      </w:r>
    </w:p>
    <w:p>
      <w:pPr>
        <w:rPr>
          <w:rFonts w:hint="eastAsia"/>
          <w:color w:val="auto"/>
          <w:lang w:eastAsia="zh-CN"/>
        </w:rPr>
      </w:pPr>
    </w:p>
    <w:p>
      <w:pPr>
        <w:pStyle w:val="9"/>
        <w:rPr>
          <w:rFonts w:hint="eastAsia"/>
          <w:color w:val="auto"/>
          <w:lang w:eastAsia="zh-CN"/>
        </w:rPr>
      </w:pPr>
    </w:p>
    <w:p>
      <w:pPr>
        <w:rPr>
          <w:rFonts w:hint="eastAsia"/>
          <w:color w:val="auto"/>
          <w:lang w:eastAsia="zh-CN"/>
        </w:rPr>
      </w:pPr>
    </w:p>
    <w:p>
      <w:pPr>
        <w:pStyle w:val="9"/>
        <w:rPr>
          <w:rFonts w:hint="eastAsia"/>
          <w:color w:val="auto"/>
          <w:lang w:eastAsia="zh-CN"/>
        </w:rPr>
        <w:sectPr>
          <w:pgSz w:w="11849" w:h="16781"/>
          <w:pgMar w:top="1440" w:right="1080" w:bottom="1440" w:left="1080" w:header="851" w:footer="850" w:gutter="0"/>
          <w:cols w:space="720" w:num="1"/>
          <w:titlePg/>
          <w:docGrid w:type="linesAndChars" w:linePitch="320" w:charSpace="269"/>
        </w:sectPr>
      </w:pPr>
    </w:p>
    <w:p>
      <w:pPr>
        <w:tabs>
          <w:tab w:val="center" w:pos="7115"/>
          <w:tab w:val="right" w:pos="14230"/>
        </w:tabs>
        <w:spacing w:line="360" w:lineRule="auto"/>
        <w:jc w:val="center"/>
        <w:outlineLvl w:val="1"/>
        <w:rPr>
          <w:rFonts w:hint="eastAsia" w:ascii="仿宋_GB2312" w:hAnsi="Dotum" w:eastAsia="仿宋_GB2312"/>
          <w:b/>
          <w:color w:val="auto"/>
          <w:sz w:val="28"/>
          <w:highlight w:val="none"/>
        </w:rPr>
      </w:pPr>
      <w:r>
        <w:rPr>
          <w:rFonts w:hint="eastAsia" w:ascii="宋体" w:hAnsi="宋体" w:cs="宋体"/>
          <w:b/>
          <w:color w:val="auto"/>
          <w:sz w:val="24"/>
          <w:highlight w:val="none"/>
        </w:rPr>
        <w:t>(五)开标一览表</w:t>
      </w:r>
      <w:r>
        <w:rPr>
          <w:rFonts w:hint="eastAsia" w:ascii="仿宋_GB2312" w:hAnsi="Dotum" w:eastAsia="仿宋_GB2312"/>
          <w:b/>
          <w:color w:val="auto"/>
          <w:sz w:val="28"/>
          <w:highlight w:val="none"/>
        </w:rPr>
        <w:t xml:space="preserve">  </w:t>
      </w:r>
      <w:r>
        <w:rPr>
          <w:rFonts w:hint="eastAsia" w:ascii="仿宋_GB2312" w:hAnsi="Dotum" w:eastAsia="仿宋_GB2312"/>
          <w:color w:val="auto"/>
          <w:sz w:val="28"/>
          <w:highlight w:val="none"/>
        </w:rPr>
        <w:t xml:space="preserve">                                                                            </w:t>
      </w:r>
    </w:p>
    <w:p>
      <w:pPr>
        <w:spacing w:line="360" w:lineRule="auto"/>
        <w:ind w:left="121" w:hanging="120" w:hangingChars="5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ind w:left="121" w:hanging="120" w:hangingChars="50"/>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18"/>
        <w:tblW w:w="10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3261"/>
        <w:gridCol w:w="422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exact"/>
          <w:jc w:val="center"/>
        </w:trPr>
        <w:tc>
          <w:tcPr>
            <w:tcW w:w="2353"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项目</w:t>
            </w:r>
            <w:r>
              <w:rPr>
                <w:rFonts w:hint="eastAsia" w:ascii="宋体" w:hAnsi="宋体" w:cs="宋体"/>
                <w:color w:val="auto"/>
                <w:sz w:val="24"/>
                <w:highlight w:val="none"/>
              </w:rPr>
              <w:t>名称</w:t>
            </w:r>
          </w:p>
        </w:tc>
        <w:tc>
          <w:tcPr>
            <w:tcW w:w="3261" w:type="dxa"/>
            <w:tcBorders>
              <w:bottom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w:t>
            </w:r>
            <w:r>
              <w:rPr>
                <w:rFonts w:hint="eastAsia" w:ascii="宋体" w:hAnsi="宋体" w:cs="宋体"/>
                <w:color w:val="auto"/>
                <w:sz w:val="24"/>
                <w:highlight w:val="none"/>
              </w:rPr>
              <w:t>价</w:t>
            </w:r>
            <w:r>
              <w:rPr>
                <w:rFonts w:hint="eastAsia" w:ascii="宋体" w:hAnsi="宋体" w:cs="宋体"/>
                <w:color w:val="auto"/>
                <w:sz w:val="24"/>
                <w:highlight w:val="none"/>
                <w:lang w:eastAsia="zh-CN"/>
              </w:rPr>
              <w:t>（元）</w:t>
            </w:r>
          </w:p>
        </w:tc>
        <w:tc>
          <w:tcPr>
            <w:tcW w:w="4225"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交货期</w:t>
            </w:r>
          </w:p>
        </w:tc>
        <w:tc>
          <w:tcPr>
            <w:tcW w:w="959"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2353" w:type="dxa"/>
            <w:tcBorders>
              <w:bottom w:val="single" w:color="auto" w:sz="4" w:space="0"/>
            </w:tcBorders>
            <w:noWrap w:val="0"/>
            <w:vAlign w:val="center"/>
          </w:tcPr>
          <w:p>
            <w:pPr>
              <w:pStyle w:val="25"/>
              <w:spacing w:line="360" w:lineRule="auto"/>
              <w:ind w:firstLine="0" w:firstLineChars="0"/>
              <w:jc w:val="center"/>
              <w:rPr>
                <w:rFonts w:hint="eastAsia" w:ascii="宋体" w:hAnsi="宋体" w:eastAsia="宋体" w:cs="宋体"/>
                <w:color w:val="auto"/>
                <w:sz w:val="24"/>
                <w:highlight w:val="none"/>
              </w:rPr>
            </w:pPr>
          </w:p>
        </w:tc>
        <w:tc>
          <w:tcPr>
            <w:tcW w:w="3261"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4225"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959"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3" w:hRule="exact"/>
          <w:jc w:val="center"/>
        </w:trPr>
        <w:tc>
          <w:tcPr>
            <w:tcW w:w="2353" w:type="dxa"/>
            <w:tcBorders>
              <w:bottom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8445" w:type="dxa"/>
            <w:gridSpan w:val="3"/>
            <w:tcBorders>
              <w:bottom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bl>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360" w:lineRule="auto"/>
        <w:outlineLvl w:val="2"/>
        <w:rPr>
          <w:rFonts w:hint="eastAsia" w:ascii="宋体" w:hAnsi="宋体" w:cs="宋体"/>
          <w:b/>
          <w:color w:val="auto"/>
          <w:sz w:val="24"/>
          <w:highlight w:val="none"/>
        </w:rPr>
      </w:pPr>
      <w:r>
        <w:rPr>
          <w:rFonts w:hint="eastAsia" w:ascii="宋体" w:hAnsi="宋体" w:cs="宋体"/>
          <w:b/>
          <w:color w:val="auto"/>
          <w:sz w:val="24"/>
          <w:highlight w:val="none"/>
        </w:rPr>
        <w:t>注：1、请单独封装一份在信封内。</w:t>
      </w:r>
    </w:p>
    <w:p>
      <w:pPr>
        <w:numPr>
          <w:ilvl w:val="0"/>
          <w:numId w:val="6"/>
        </w:numPr>
        <w:spacing w:line="360" w:lineRule="auto"/>
        <w:ind w:firstLine="564"/>
        <w:rPr>
          <w:rFonts w:hint="eastAsia" w:ascii="宋体" w:hAnsi="宋体" w:cs="宋体"/>
          <w:b/>
          <w:color w:val="auto"/>
          <w:sz w:val="24"/>
          <w:highlight w:val="none"/>
        </w:rPr>
      </w:pPr>
      <w:r>
        <w:rPr>
          <w:rFonts w:hint="eastAsia" w:ascii="宋体" w:hAnsi="宋体" w:cs="宋体"/>
          <w:b/>
          <w:color w:val="auto"/>
          <w:sz w:val="24"/>
          <w:highlight w:val="none"/>
        </w:rPr>
        <w:t>在开标一览表中，按第二章投标人须知11.2条款的规定不允许出现两种报价，否则其投标将被拒绝。</w:t>
      </w:r>
    </w:p>
    <w:p>
      <w:pPr>
        <w:spacing w:line="360" w:lineRule="auto"/>
        <w:ind w:left="564"/>
        <w:rPr>
          <w:rFonts w:hint="eastAsia" w:ascii="宋体" w:hAnsi="宋体" w:cs="宋体"/>
          <w:b/>
          <w:color w:val="auto"/>
          <w:sz w:val="24"/>
          <w:highlight w:val="none"/>
        </w:rPr>
      </w:pPr>
    </w:p>
    <w:p>
      <w:pPr>
        <w:spacing w:line="360" w:lineRule="auto"/>
        <w:ind w:left="564"/>
        <w:rPr>
          <w:rFonts w:hint="eastAsia" w:ascii="宋体" w:hAnsi="宋体" w:cs="宋体"/>
          <w:b/>
          <w:color w:val="auto"/>
          <w:sz w:val="24"/>
          <w:highlight w:val="none"/>
        </w:rPr>
      </w:pPr>
    </w:p>
    <w:p>
      <w:pPr>
        <w:pStyle w:val="28"/>
        <w:spacing w:line="360" w:lineRule="auto"/>
        <w:ind w:firstLine="485"/>
        <w:outlineLvl w:val="1"/>
        <w:rPr>
          <w:rFonts w:hint="eastAsia"/>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(六)投标产品名称、数量、规格及报价明细表</w:t>
      </w:r>
    </w:p>
    <w:p>
      <w:pPr>
        <w:pStyle w:val="25"/>
        <w:spacing w:after="160" w:afterLines="50"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（此表参照下表或者由各投标人自行编制填写，须包括详细的产品清单、价格、供货范围、名称、规格、技术参数、主要配件的品牌及供货厂家等。）</w:t>
      </w:r>
    </w:p>
    <w:tbl>
      <w:tblPr>
        <w:tblStyle w:val="18"/>
        <w:tblW w:w="9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56"/>
        <w:gridCol w:w="1227"/>
        <w:gridCol w:w="1571"/>
        <w:gridCol w:w="1178"/>
        <w:gridCol w:w="145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exact"/>
        </w:trPr>
        <w:tc>
          <w:tcPr>
            <w:tcW w:w="78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5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2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5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数量（标明单位）</w:t>
            </w:r>
          </w:p>
        </w:tc>
        <w:tc>
          <w:tcPr>
            <w:tcW w:w="117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5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生产厂家及品牌</w:t>
            </w:r>
          </w:p>
        </w:tc>
        <w:tc>
          <w:tcPr>
            <w:tcW w:w="118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5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（所投的全部货物内容）</w:t>
            </w:r>
          </w:p>
        </w:tc>
        <w:tc>
          <w:tcPr>
            <w:tcW w:w="1227" w:type="dxa"/>
            <w:noWrap w:val="0"/>
            <w:vAlign w:val="center"/>
          </w:tcPr>
          <w:p>
            <w:pPr>
              <w:spacing w:line="360" w:lineRule="auto"/>
              <w:jc w:val="center"/>
              <w:rPr>
                <w:rFonts w:hint="eastAsia" w:ascii="宋体" w:hAnsi="宋体" w:cs="宋体"/>
                <w:color w:val="auto"/>
                <w:sz w:val="24"/>
                <w:highlight w:val="none"/>
              </w:rPr>
            </w:pPr>
          </w:p>
        </w:tc>
        <w:tc>
          <w:tcPr>
            <w:tcW w:w="1571" w:type="dxa"/>
            <w:noWrap w:val="0"/>
            <w:vAlign w:val="center"/>
          </w:tcPr>
          <w:p>
            <w:pPr>
              <w:spacing w:line="360" w:lineRule="auto"/>
              <w:jc w:val="center"/>
              <w:rPr>
                <w:rFonts w:hint="eastAsia" w:ascii="宋体" w:hAnsi="宋体" w:cs="宋体"/>
                <w:color w:val="auto"/>
                <w:sz w:val="24"/>
                <w:highlight w:val="none"/>
              </w:rPr>
            </w:pPr>
          </w:p>
        </w:tc>
        <w:tc>
          <w:tcPr>
            <w:tcW w:w="1178" w:type="dxa"/>
            <w:noWrap w:val="0"/>
            <w:vAlign w:val="center"/>
          </w:tcPr>
          <w:p>
            <w:pPr>
              <w:spacing w:line="360" w:lineRule="auto"/>
              <w:jc w:val="center"/>
              <w:rPr>
                <w:rFonts w:hint="eastAsia" w:ascii="宋体" w:hAnsi="宋体" w:cs="宋体"/>
                <w:color w:val="auto"/>
                <w:sz w:val="24"/>
                <w:highlight w:val="none"/>
              </w:rPr>
            </w:pPr>
          </w:p>
        </w:tc>
        <w:tc>
          <w:tcPr>
            <w:tcW w:w="1456"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exact"/>
        </w:trPr>
        <w:tc>
          <w:tcPr>
            <w:tcW w:w="78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5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7" w:type="dxa"/>
            <w:noWrap w:val="0"/>
            <w:vAlign w:val="center"/>
          </w:tcPr>
          <w:p>
            <w:pPr>
              <w:spacing w:line="360" w:lineRule="auto"/>
              <w:jc w:val="center"/>
              <w:rPr>
                <w:rFonts w:hint="eastAsia" w:ascii="宋体" w:hAnsi="宋体" w:cs="宋体"/>
                <w:color w:val="auto"/>
                <w:sz w:val="24"/>
                <w:highlight w:val="none"/>
              </w:rPr>
            </w:pPr>
          </w:p>
        </w:tc>
        <w:tc>
          <w:tcPr>
            <w:tcW w:w="1571" w:type="dxa"/>
            <w:noWrap w:val="0"/>
            <w:vAlign w:val="center"/>
          </w:tcPr>
          <w:p>
            <w:pPr>
              <w:spacing w:line="360" w:lineRule="auto"/>
              <w:jc w:val="center"/>
              <w:rPr>
                <w:rFonts w:hint="eastAsia" w:ascii="宋体" w:hAnsi="宋体" w:cs="宋体"/>
                <w:color w:val="auto"/>
                <w:sz w:val="24"/>
                <w:highlight w:val="none"/>
              </w:rPr>
            </w:pPr>
          </w:p>
        </w:tc>
        <w:tc>
          <w:tcPr>
            <w:tcW w:w="1178" w:type="dxa"/>
            <w:noWrap w:val="0"/>
            <w:vAlign w:val="center"/>
          </w:tcPr>
          <w:p>
            <w:pPr>
              <w:spacing w:line="360" w:lineRule="auto"/>
              <w:jc w:val="center"/>
              <w:rPr>
                <w:rFonts w:hint="eastAsia" w:ascii="宋体" w:hAnsi="宋体" w:cs="宋体"/>
                <w:color w:val="auto"/>
                <w:sz w:val="24"/>
                <w:highlight w:val="none"/>
              </w:rPr>
            </w:pPr>
          </w:p>
        </w:tc>
        <w:tc>
          <w:tcPr>
            <w:tcW w:w="1456"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5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7" w:type="dxa"/>
            <w:noWrap w:val="0"/>
            <w:vAlign w:val="center"/>
          </w:tcPr>
          <w:p>
            <w:pPr>
              <w:spacing w:line="360" w:lineRule="auto"/>
              <w:jc w:val="center"/>
              <w:rPr>
                <w:rFonts w:hint="eastAsia" w:ascii="宋体" w:hAnsi="宋体" w:cs="宋体"/>
                <w:color w:val="auto"/>
                <w:sz w:val="24"/>
                <w:highlight w:val="none"/>
              </w:rPr>
            </w:pPr>
          </w:p>
        </w:tc>
        <w:tc>
          <w:tcPr>
            <w:tcW w:w="1571" w:type="dxa"/>
            <w:noWrap w:val="0"/>
            <w:vAlign w:val="center"/>
          </w:tcPr>
          <w:p>
            <w:pPr>
              <w:spacing w:line="360" w:lineRule="auto"/>
              <w:jc w:val="center"/>
              <w:rPr>
                <w:rFonts w:hint="eastAsia" w:ascii="宋体" w:hAnsi="宋体" w:cs="宋体"/>
                <w:color w:val="auto"/>
                <w:sz w:val="24"/>
                <w:highlight w:val="none"/>
              </w:rPr>
            </w:pPr>
          </w:p>
        </w:tc>
        <w:tc>
          <w:tcPr>
            <w:tcW w:w="1178" w:type="dxa"/>
            <w:noWrap w:val="0"/>
            <w:vAlign w:val="center"/>
          </w:tcPr>
          <w:p>
            <w:pPr>
              <w:spacing w:line="360" w:lineRule="auto"/>
              <w:jc w:val="center"/>
              <w:rPr>
                <w:rFonts w:hint="eastAsia" w:ascii="宋体" w:hAnsi="宋体" w:cs="宋体"/>
                <w:color w:val="auto"/>
                <w:sz w:val="24"/>
                <w:highlight w:val="none"/>
              </w:rPr>
            </w:pPr>
          </w:p>
        </w:tc>
        <w:tc>
          <w:tcPr>
            <w:tcW w:w="1456"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78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5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备品备件</w:t>
            </w:r>
          </w:p>
        </w:tc>
        <w:tc>
          <w:tcPr>
            <w:tcW w:w="6617" w:type="dxa"/>
            <w:gridSpan w:val="5"/>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exact"/>
        </w:trPr>
        <w:tc>
          <w:tcPr>
            <w:tcW w:w="784" w:type="dxa"/>
            <w:noWrap w:val="0"/>
            <w:vAlign w:val="center"/>
          </w:tcPr>
          <w:p>
            <w:pPr>
              <w:spacing w:line="360" w:lineRule="auto"/>
              <w:jc w:val="center"/>
              <w:rPr>
                <w:rFonts w:hint="eastAsia" w:ascii="宋体" w:hAnsi="宋体" w:cs="宋体"/>
                <w:color w:val="auto"/>
                <w:sz w:val="24"/>
                <w:highlight w:val="none"/>
              </w:rPr>
            </w:pPr>
          </w:p>
        </w:tc>
        <w:tc>
          <w:tcPr>
            <w:tcW w:w="2456" w:type="dxa"/>
            <w:noWrap w:val="0"/>
            <w:vAlign w:val="center"/>
          </w:tcPr>
          <w:p>
            <w:pPr>
              <w:spacing w:line="360" w:lineRule="auto"/>
              <w:jc w:val="center"/>
              <w:rPr>
                <w:rFonts w:hint="eastAsia" w:ascii="宋体" w:hAnsi="宋体" w:cs="宋体"/>
                <w:color w:val="auto"/>
                <w:sz w:val="24"/>
                <w:highlight w:val="none"/>
              </w:rPr>
            </w:pPr>
          </w:p>
        </w:tc>
        <w:tc>
          <w:tcPr>
            <w:tcW w:w="6617" w:type="dxa"/>
            <w:gridSpan w:val="5"/>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3240"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合计总价（元）</w:t>
            </w:r>
          </w:p>
        </w:tc>
        <w:tc>
          <w:tcPr>
            <w:tcW w:w="6617" w:type="dxa"/>
            <w:gridSpan w:val="5"/>
            <w:noWrap w:val="0"/>
            <w:vAlign w:val="center"/>
          </w:tcPr>
          <w:p>
            <w:pPr>
              <w:spacing w:line="360" w:lineRule="auto"/>
              <w:jc w:val="center"/>
              <w:rPr>
                <w:rFonts w:hint="eastAsia" w:ascii="宋体" w:hAnsi="宋体" w:cs="宋体"/>
                <w:color w:val="auto"/>
                <w:sz w:val="24"/>
                <w:highlight w:val="none"/>
              </w:rPr>
            </w:pPr>
          </w:p>
        </w:tc>
      </w:tr>
    </w:tbl>
    <w:p>
      <w:pPr>
        <w:spacing w:before="160" w:beforeLines="50"/>
        <w:ind w:firstLine="482" w:firstLineChars="200"/>
        <w:outlineLvl w:val="2"/>
        <w:rPr>
          <w:rFonts w:hint="eastAsia" w:ascii="宋体" w:hAnsi="宋体" w:cs="宋体"/>
          <w:color w:val="auto"/>
          <w:sz w:val="24"/>
          <w:highlight w:val="none"/>
        </w:rPr>
      </w:pPr>
      <w:r>
        <w:rPr>
          <w:rFonts w:hint="eastAsia" w:ascii="宋体" w:hAnsi="宋体" w:cs="宋体"/>
          <w:b/>
          <w:color w:val="auto"/>
          <w:sz w:val="24"/>
          <w:highlight w:val="none"/>
        </w:rPr>
        <w:t>注明</w:t>
      </w:r>
      <w:r>
        <w:rPr>
          <w:rFonts w:hint="eastAsia" w:ascii="宋体" w:hAnsi="宋体" w:cs="宋体"/>
          <w:color w:val="auto"/>
          <w:sz w:val="24"/>
          <w:highlight w:val="none"/>
        </w:rPr>
        <w:t>：</w:t>
      </w:r>
    </w:p>
    <w:p>
      <w:pPr>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1、如果按单价计算的结果与总价不一致，以单价为准修正总价。</w:t>
      </w:r>
    </w:p>
    <w:p>
      <w:pPr>
        <w:pStyle w:val="12"/>
        <w:ind w:right="-15" w:firstLine="482" w:firstLineChars="200"/>
        <w:rPr>
          <w:rFonts w:hint="eastAsia" w:hAnsi="宋体" w:cs="宋体"/>
          <w:b/>
          <w:color w:val="auto"/>
          <w:sz w:val="24"/>
          <w:highlight w:val="none"/>
        </w:rPr>
      </w:pPr>
      <w:r>
        <w:rPr>
          <w:rFonts w:hint="eastAsia" w:hAnsi="宋体" w:cs="宋体"/>
          <w:b/>
          <w:color w:val="auto"/>
          <w:sz w:val="24"/>
          <w:highlight w:val="none"/>
        </w:rPr>
        <w:t>2、投标人须参照第四章所列明的内容全部报价。如果不提供详细分项报价将视为没有实质性响应招标文件。</w:t>
      </w:r>
    </w:p>
    <w:p>
      <w:pPr>
        <w:pStyle w:val="12"/>
        <w:ind w:right="-553" w:firstLine="461" w:firstLineChars="192"/>
        <w:rPr>
          <w:rFonts w:hint="eastAsia" w:hAnsi="宋体" w:cs="宋体"/>
          <w:b/>
          <w:color w:val="auto"/>
          <w:sz w:val="24"/>
          <w:highlight w:val="none"/>
        </w:rPr>
      </w:pPr>
      <w:r>
        <w:rPr>
          <w:rFonts w:hint="eastAsia" w:hAnsi="宋体" w:cs="宋体"/>
          <w:b/>
          <w:color w:val="auto"/>
          <w:sz w:val="24"/>
          <w:highlight w:val="none"/>
        </w:rPr>
        <w:t>3、技术参数中要求单独报价部分必须填报，如不提供将视为没有实质性响应招标文件。</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12"/>
        <w:ind w:right="-553"/>
        <w:jc w:val="center"/>
        <w:outlineLvl w:val="1"/>
        <w:rPr>
          <w:rFonts w:hint="eastAsia" w:hAnsi="宋体" w:cs="宋体"/>
          <w:color w:val="auto"/>
          <w:sz w:val="24"/>
          <w:highlight w:val="none"/>
        </w:rPr>
      </w:pPr>
      <w:r>
        <w:rPr>
          <w:color w:val="auto"/>
          <w:highlight w:val="none"/>
        </w:rPr>
        <w:br w:type="page"/>
      </w:r>
      <w:r>
        <w:rPr>
          <w:rFonts w:hint="eastAsia" w:hAnsi="宋体" w:cs="宋体"/>
          <w:b/>
          <w:color w:val="auto"/>
          <w:sz w:val="24"/>
          <w:highlight w:val="none"/>
        </w:rPr>
        <w:t>（七）技 术 规 格 偏 离 表</w:t>
      </w:r>
    </w:p>
    <w:p>
      <w:pPr>
        <w:spacing w:line="360" w:lineRule="auto"/>
        <w:ind w:hanging="23"/>
        <w:jc w:val="left"/>
        <w:rPr>
          <w:rFonts w:hint="eastAsia" w:ascii="宋体" w:hAnsi="宋体" w:cs="宋体"/>
          <w:color w:val="auto"/>
          <w:sz w:val="24"/>
          <w:highlight w:val="none"/>
        </w:rPr>
      </w:pPr>
      <w:r>
        <w:rPr>
          <w:rFonts w:hint="eastAsia" w:ascii="宋体" w:hAnsi="宋体" w:cs="宋体"/>
          <w:color w:val="auto"/>
          <w:sz w:val="24"/>
          <w:highlight w:val="none"/>
        </w:rPr>
        <w:t xml:space="preserve">项目编号：                                                    </w:t>
      </w:r>
    </w:p>
    <w:tbl>
      <w:tblPr>
        <w:tblStyle w:val="18"/>
        <w:tblpPr w:leftFromText="180" w:rightFromText="180" w:vertAnchor="text" w:horzAnchor="page" w:tblpX="701" w:tblpY="494"/>
        <w:tblOverlap w:val="never"/>
        <w:tblW w:w="10738" w:type="dxa"/>
        <w:tblInd w:w="0" w:type="dxa"/>
        <w:tblLayout w:type="fixed"/>
        <w:tblCellMar>
          <w:top w:w="0" w:type="dxa"/>
          <w:left w:w="108" w:type="dxa"/>
          <w:bottom w:w="0" w:type="dxa"/>
          <w:right w:w="108" w:type="dxa"/>
        </w:tblCellMar>
      </w:tblPr>
      <w:tblGrid>
        <w:gridCol w:w="701"/>
        <w:gridCol w:w="2877"/>
        <w:gridCol w:w="3443"/>
        <w:gridCol w:w="3717"/>
      </w:tblGrid>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招标规格</w:t>
            </w: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投标规格</w:t>
            </w: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   注</w:t>
            </w: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662" w:hRule="atLeast"/>
        </w:trPr>
        <w:tc>
          <w:tcPr>
            <w:tcW w:w="7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287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44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c>
          <w:tcPr>
            <w:tcW w:w="37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9520"/>
        <w:rPr>
          <w:rFonts w:hint="eastAsia" w:ascii="宋体" w:hAnsi="宋体" w:cs="宋体"/>
          <w:color w:val="auto"/>
          <w:kern w:val="0"/>
          <w:sz w:val="24"/>
          <w:highlight w:val="none"/>
        </w:rPr>
      </w:pP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360" w:lineRule="auto"/>
        <w:ind w:firstLine="3754" w:firstLineChars="1558"/>
        <w:jc w:val="left"/>
        <w:outlineLvl w:val="1"/>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eastAsia="zh-CN"/>
        </w:rPr>
        <w:t>八</w:t>
      </w:r>
      <w:r>
        <w:rPr>
          <w:rFonts w:hint="eastAsia" w:ascii="宋体" w:hAnsi="宋体" w:cs="宋体"/>
          <w:b/>
          <w:color w:val="auto"/>
          <w:sz w:val="24"/>
          <w:highlight w:val="none"/>
        </w:rPr>
        <w:t>）、技术性能参数</w:t>
      </w:r>
    </w:p>
    <w:p>
      <w:pPr>
        <w:spacing w:line="360" w:lineRule="auto"/>
        <w:outlineLvl w:val="2"/>
        <w:rPr>
          <w:rFonts w:hint="eastAsia" w:ascii="宋体" w:hAnsi="宋体" w:cs="宋体"/>
          <w:color w:val="auto"/>
          <w:sz w:val="24"/>
          <w:highlight w:val="none"/>
        </w:rPr>
      </w:pPr>
      <w:r>
        <w:rPr>
          <w:rFonts w:hint="eastAsia" w:ascii="宋体" w:hAnsi="宋体" w:cs="宋体"/>
          <w:color w:val="auto"/>
          <w:sz w:val="24"/>
          <w:highlight w:val="none"/>
        </w:rPr>
        <w:t>应针对采购的</w:t>
      </w:r>
      <w:r>
        <w:rPr>
          <w:rFonts w:hint="eastAsia" w:ascii="宋体" w:hAnsi="宋体" w:cs="宋体"/>
          <w:b/>
          <w:color w:val="auto"/>
          <w:sz w:val="24"/>
          <w:highlight w:val="none"/>
        </w:rPr>
        <w:t>货物需求一览表及技术规格要求</w:t>
      </w:r>
      <w:r>
        <w:rPr>
          <w:rFonts w:hint="eastAsia" w:ascii="宋体" w:hAnsi="宋体" w:cs="宋体"/>
          <w:color w:val="auto"/>
          <w:sz w:val="24"/>
          <w:highlight w:val="none"/>
        </w:rPr>
        <w:t>进行详细的论述</w:t>
      </w:r>
    </w:p>
    <w:p>
      <w:pPr>
        <w:spacing w:line="360" w:lineRule="auto"/>
        <w:ind w:firstLine="3856" w:firstLineChars="1600"/>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九</w:t>
      </w:r>
      <w:r>
        <w:rPr>
          <w:rFonts w:hint="eastAsia" w:ascii="宋体" w:hAnsi="宋体" w:cs="宋体"/>
          <w:b/>
          <w:color w:val="auto"/>
          <w:sz w:val="24"/>
          <w:highlight w:val="none"/>
        </w:rPr>
        <w:t>）、投标承诺书</w:t>
      </w:r>
    </w:p>
    <w:p>
      <w:pPr>
        <w:spacing w:line="360" w:lineRule="auto"/>
        <w:outlineLvl w:val="1"/>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格式自拟</w:t>
      </w: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pStyle w:val="9"/>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9"/>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9"/>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9"/>
        <w:rPr>
          <w:rFonts w:hint="eastAsia"/>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outlineLvl w:val="1"/>
        <w:rPr>
          <w:rFonts w:hint="eastAsia" w:ascii="宋体" w:hAnsi="宋体" w:cs="宋体"/>
          <w:b/>
          <w:color w:val="auto"/>
          <w:kern w:val="0"/>
          <w:sz w:val="24"/>
          <w:highlight w:val="none"/>
        </w:rPr>
      </w:pPr>
    </w:p>
    <w:p>
      <w:pPr>
        <w:spacing w:line="360" w:lineRule="auto"/>
        <w:jc w:val="center"/>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（十）、资格审查资料</w:t>
      </w:r>
    </w:p>
    <w:p>
      <w:pPr>
        <w:autoSpaceDE w:val="0"/>
        <w:autoSpaceDN w:val="0"/>
        <w:adjustRightInd w:val="0"/>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（１）投标人基本情况表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3813" w:type="dxa"/>
            <w:gridSpan w:val="5"/>
            <w:noWrap w:val="0"/>
            <w:vAlign w:val="center"/>
          </w:tcPr>
          <w:p>
            <w:pPr>
              <w:spacing w:line="360" w:lineRule="auto"/>
              <w:jc w:val="center"/>
              <w:rPr>
                <w:rFonts w:hint="eastAsia" w:ascii="宋体" w:hAnsi="宋体" w:cs="宋体"/>
                <w:color w:val="auto"/>
                <w:sz w:val="24"/>
                <w:highlight w:val="none"/>
              </w:rPr>
            </w:pPr>
          </w:p>
        </w:tc>
        <w:tc>
          <w:tcPr>
            <w:tcW w:w="14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2685"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1"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1292"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521" w:type="dxa"/>
            <w:gridSpan w:val="3"/>
            <w:noWrap w:val="0"/>
            <w:vAlign w:val="center"/>
          </w:tcPr>
          <w:p>
            <w:pPr>
              <w:spacing w:line="360" w:lineRule="auto"/>
              <w:jc w:val="center"/>
              <w:rPr>
                <w:rFonts w:hint="eastAsia" w:ascii="宋体" w:hAnsi="宋体" w:cs="宋体"/>
                <w:color w:val="auto"/>
                <w:sz w:val="24"/>
                <w:highlight w:val="none"/>
              </w:rPr>
            </w:pPr>
          </w:p>
        </w:tc>
        <w:tc>
          <w:tcPr>
            <w:tcW w:w="14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  话</w:t>
            </w:r>
          </w:p>
        </w:tc>
        <w:tc>
          <w:tcPr>
            <w:tcW w:w="2685"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71" w:type="dxa"/>
            <w:vMerge w:val="continue"/>
            <w:noWrap w:val="0"/>
            <w:vAlign w:val="center"/>
          </w:tcPr>
          <w:p>
            <w:pPr>
              <w:spacing w:line="360" w:lineRule="auto"/>
              <w:jc w:val="center"/>
              <w:rPr>
                <w:rFonts w:hint="eastAsia" w:ascii="宋体" w:hAnsi="宋体" w:cs="宋体"/>
                <w:color w:val="auto"/>
                <w:sz w:val="24"/>
                <w:highlight w:val="none"/>
              </w:rPr>
            </w:pPr>
          </w:p>
        </w:tc>
        <w:tc>
          <w:tcPr>
            <w:tcW w:w="1292"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传  真</w:t>
            </w:r>
          </w:p>
        </w:tc>
        <w:tc>
          <w:tcPr>
            <w:tcW w:w="2521" w:type="dxa"/>
            <w:gridSpan w:val="3"/>
            <w:noWrap w:val="0"/>
            <w:vAlign w:val="center"/>
          </w:tcPr>
          <w:p>
            <w:pPr>
              <w:spacing w:line="360" w:lineRule="auto"/>
              <w:jc w:val="center"/>
              <w:rPr>
                <w:rFonts w:hint="eastAsia" w:ascii="宋体" w:hAnsi="宋体" w:cs="宋体"/>
                <w:color w:val="auto"/>
                <w:sz w:val="24"/>
                <w:highlight w:val="none"/>
              </w:rPr>
            </w:pPr>
          </w:p>
        </w:tc>
        <w:tc>
          <w:tcPr>
            <w:tcW w:w="140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网  址</w:t>
            </w:r>
          </w:p>
        </w:tc>
        <w:tc>
          <w:tcPr>
            <w:tcW w:w="2685"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组织结构</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009"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1443"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96" w:type="dxa"/>
            <w:gridSpan w:val="2"/>
            <w:noWrap w:val="0"/>
            <w:vAlign w:val="center"/>
          </w:tcPr>
          <w:p>
            <w:pPr>
              <w:spacing w:line="360" w:lineRule="auto"/>
              <w:jc w:val="center"/>
              <w:rPr>
                <w:rFonts w:hint="eastAsia" w:ascii="宋体" w:hAnsi="宋体" w:cs="宋体"/>
                <w:color w:val="auto"/>
                <w:sz w:val="24"/>
                <w:highlight w:val="none"/>
              </w:rPr>
            </w:pPr>
          </w:p>
        </w:tc>
        <w:tc>
          <w:tcPr>
            <w:tcW w:w="79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593"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009"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61" w:type="dxa"/>
            <w:gridSpan w:val="2"/>
            <w:noWrap w:val="0"/>
            <w:vAlign w:val="center"/>
          </w:tcPr>
          <w:p>
            <w:pPr>
              <w:spacing w:line="360" w:lineRule="auto"/>
              <w:jc w:val="center"/>
              <w:rPr>
                <w:rFonts w:hint="eastAsia" w:ascii="宋体" w:hAnsi="宋体" w:cs="宋体"/>
                <w:color w:val="auto"/>
                <w:sz w:val="24"/>
                <w:highlight w:val="none"/>
              </w:rPr>
            </w:pPr>
          </w:p>
        </w:tc>
        <w:tc>
          <w:tcPr>
            <w:tcW w:w="1443"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96" w:type="dxa"/>
            <w:gridSpan w:val="2"/>
            <w:noWrap w:val="0"/>
            <w:vAlign w:val="center"/>
          </w:tcPr>
          <w:p>
            <w:pPr>
              <w:spacing w:line="360" w:lineRule="auto"/>
              <w:jc w:val="center"/>
              <w:rPr>
                <w:rFonts w:hint="eastAsia" w:ascii="宋体" w:hAnsi="宋体" w:cs="宋体"/>
                <w:color w:val="auto"/>
                <w:sz w:val="24"/>
                <w:highlight w:val="none"/>
              </w:rPr>
            </w:pPr>
          </w:p>
        </w:tc>
        <w:tc>
          <w:tcPr>
            <w:tcW w:w="79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593"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5530" w:type="dxa"/>
            <w:gridSpan w:val="6"/>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企业资质等级</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906"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营业执照号</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高级职称人员</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中级职称人员</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初级职称人员</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账号</w:t>
            </w:r>
          </w:p>
        </w:tc>
        <w:tc>
          <w:tcPr>
            <w:tcW w:w="2370" w:type="dxa"/>
            <w:gridSpan w:val="3"/>
            <w:noWrap w:val="0"/>
            <w:vAlign w:val="center"/>
          </w:tcPr>
          <w:p>
            <w:pPr>
              <w:spacing w:line="360" w:lineRule="auto"/>
              <w:jc w:val="center"/>
              <w:rPr>
                <w:rFonts w:hint="eastAsia" w:ascii="宋体" w:hAnsi="宋体" w:cs="宋体"/>
                <w:color w:val="auto"/>
                <w:sz w:val="24"/>
                <w:highlight w:val="none"/>
              </w:rPr>
            </w:pPr>
          </w:p>
        </w:tc>
        <w:tc>
          <w:tcPr>
            <w:tcW w:w="906" w:type="dxa"/>
            <w:vMerge w:val="continue"/>
            <w:noWrap w:val="0"/>
            <w:vAlign w:val="center"/>
          </w:tcPr>
          <w:p>
            <w:pPr>
              <w:spacing w:line="360" w:lineRule="auto"/>
              <w:jc w:val="center"/>
              <w:rPr>
                <w:rFonts w:hint="eastAsia" w:ascii="宋体" w:hAnsi="宋体" w:cs="宋体"/>
                <w:color w:val="auto"/>
                <w:sz w:val="24"/>
                <w:highlight w:val="none"/>
              </w:rPr>
            </w:pPr>
          </w:p>
        </w:tc>
        <w:tc>
          <w:tcPr>
            <w:tcW w:w="2233"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  工</w:t>
            </w:r>
          </w:p>
        </w:tc>
        <w:tc>
          <w:tcPr>
            <w:tcW w:w="2391"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900" w:type="dxa"/>
            <w:gridSpan w:val="9"/>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备注：本表后应附企业法人营业执照等材料的复印件。</w:t>
      </w:r>
    </w:p>
    <w:p>
      <w:pPr>
        <w:spacing w:line="360" w:lineRule="auto"/>
        <w:rPr>
          <w:rFonts w:hint="eastAsia" w:ascii="宋体" w:hAnsi="宋体" w:cs="宋体"/>
          <w:color w:val="auto"/>
          <w:sz w:val="24"/>
          <w:highlight w:val="none"/>
        </w:rPr>
      </w:pPr>
    </w:p>
    <w:p>
      <w:pPr>
        <w:spacing w:before="160" w:beforeLines="50" w:after="160" w:afterLines="50" w:line="360" w:lineRule="auto"/>
        <w:jc w:val="both"/>
        <w:rPr>
          <w:rFonts w:hint="eastAsia" w:ascii="宋体" w:hAnsi="宋体" w:cs="宋体"/>
          <w:b/>
          <w:color w:val="auto"/>
          <w:sz w:val="24"/>
          <w:highlight w:val="none"/>
        </w:rPr>
      </w:pPr>
      <w:r>
        <w:rPr>
          <w:rFonts w:hint="eastAsia" w:ascii="宋体" w:hAnsi="宋体" w:cs="宋体"/>
          <w:b/>
          <w:color w:val="auto"/>
          <w:sz w:val="24"/>
          <w:highlight w:val="none"/>
        </w:rPr>
        <w:t>（2）企业其他信誉情况表</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1）近三年企业不良行为记录情况</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2）在供货以及近年已完成供货合同履行情况</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3）其  他</w:t>
      </w:r>
    </w:p>
    <w:p>
      <w:pPr>
        <w:spacing w:line="360" w:lineRule="auto"/>
        <w:ind w:left="724" w:hanging="723" w:hangingChars="300"/>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color w:val="auto"/>
        </w:rPr>
      </w:pPr>
    </w:p>
    <w:p>
      <w:pPr>
        <w:numPr>
          <w:ilvl w:val="0"/>
          <w:numId w:val="0"/>
        </w:numPr>
        <w:autoSpaceDE w:val="0"/>
        <w:autoSpaceDN w:val="0"/>
        <w:adjustRightInd w:val="0"/>
        <w:snapToGrid w:val="0"/>
        <w:spacing w:line="360" w:lineRule="auto"/>
        <w:jc w:val="center"/>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（十一）</w:t>
      </w:r>
      <w:r>
        <w:rPr>
          <w:rFonts w:hint="eastAsia" w:ascii="宋体" w:hAnsi="宋体" w:cs="宋体"/>
          <w:b/>
          <w:color w:val="auto"/>
          <w:kern w:val="0"/>
          <w:sz w:val="24"/>
          <w:highlight w:val="none"/>
        </w:rPr>
        <w:t>、其他材料</w:t>
      </w:r>
    </w:p>
    <w:p>
      <w:pPr>
        <w:autoSpaceDE w:val="0"/>
        <w:autoSpaceDN w:val="0"/>
        <w:adjustRightInd w:val="0"/>
        <w:snapToGrid w:val="0"/>
        <w:spacing w:line="360" w:lineRule="auto"/>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企业认为有必要提供的其他材料（产品样本、说明书</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企业综合实力、近三个月（连续）社保缴纳明细（需有相关人员的社保缴纳明细，退休人员需提供退休证明），近三个月（连续）完税证明，近三年审计报告或财务报表（成立不足三年的提供成立至今的财务审计报告或财务报表，成立不足一年的提供成立至今的财务报表，包含资产负债表、现金流量表、利润表）、信用中国网站信用信息报告和国家企业信用信息公示报告和中国政府采购查询信用记录</w:t>
      </w:r>
      <w:r>
        <w:rPr>
          <w:rFonts w:hint="eastAsia" w:ascii="宋体" w:hAnsi="宋体" w:cs="宋体"/>
          <w:b/>
          <w:color w:val="auto"/>
          <w:kern w:val="0"/>
          <w:sz w:val="24"/>
          <w:highlight w:val="none"/>
        </w:rPr>
        <w:t>等资料）</w:t>
      </w:r>
    </w:p>
    <w:p>
      <w:pPr>
        <w:autoSpaceDE w:val="0"/>
        <w:autoSpaceDN w:val="0"/>
        <w:adjustRightInd w:val="0"/>
        <w:snapToGrid w:val="0"/>
        <w:spacing w:line="360" w:lineRule="auto"/>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ascii="宋体" w:hAnsi="宋体" w:cs="宋体"/>
          <w:color w:val="auto"/>
          <w:sz w:val="24"/>
          <w:highlight w:val="none"/>
        </w:rPr>
      </w:pPr>
    </w:p>
    <w:p>
      <w:pPr>
        <w:pStyle w:val="9"/>
        <w:rPr>
          <w:rFonts w:hint="eastAsia" w:ascii="宋体" w:hAnsi="宋体" w:cs="宋体"/>
          <w:color w:val="auto"/>
          <w:sz w:val="24"/>
          <w:highlight w:val="none"/>
        </w:rPr>
      </w:pPr>
    </w:p>
    <w:p>
      <w:pPr>
        <w:pStyle w:val="9"/>
        <w:rPr>
          <w:rFonts w:hint="eastAsia" w:ascii="宋体" w:hAnsi="宋体" w:cs="宋体"/>
          <w:color w:val="auto"/>
          <w:sz w:val="24"/>
          <w:highlight w:val="none"/>
        </w:rPr>
      </w:pPr>
    </w:p>
    <w:p>
      <w:pPr>
        <w:rPr>
          <w:rFonts w:hint="eastAsia"/>
        </w:rPr>
      </w:pPr>
    </w:p>
    <w:p>
      <w:pPr>
        <w:keepNext w:val="0"/>
        <w:keepLines w:val="0"/>
        <w:widowControl/>
        <w:numPr>
          <w:ilvl w:val="0"/>
          <w:numId w:val="0"/>
        </w:numPr>
        <w:suppressLineNumbers w:val="0"/>
        <w:jc w:val="center"/>
        <w:rPr>
          <w:rFonts w:hint="eastAsia" w:ascii="宋体" w:hAnsi="宋体" w:eastAsia="宋体" w:cs="宋体"/>
          <w:b/>
          <w:color w:val="auto"/>
          <w:kern w:val="0"/>
          <w:sz w:val="36"/>
          <w:szCs w:val="36"/>
          <w:lang w:val="en-US" w:eastAsia="zh-CN" w:bidi="ar"/>
        </w:rPr>
      </w:pPr>
      <w:r>
        <w:rPr>
          <w:rFonts w:hint="eastAsia" w:ascii="宋体" w:hAnsi="宋体" w:eastAsia="宋体" w:cs="宋体"/>
          <w:b/>
          <w:color w:val="auto"/>
          <w:kern w:val="0"/>
          <w:sz w:val="36"/>
          <w:szCs w:val="36"/>
          <w:lang w:val="en-US" w:eastAsia="zh-CN" w:bidi="ar"/>
        </w:rPr>
        <w:t>中小企业声明函</w:t>
      </w:r>
    </w:p>
    <w:p>
      <w:pPr>
        <w:pStyle w:val="9"/>
        <w:numPr>
          <w:ilvl w:val="0"/>
          <w:numId w:val="0"/>
        </w:numPr>
        <w:rPr>
          <w:rFonts w:hint="eastAsia"/>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color w:val="auto"/>
          <w:kern w:val="0"/>
          <w:sz w:val="24"/>
          <w:szCs w:val="24"/>
          <w:lang w:val="en-US" w:eastAsia="zh-CN" w:bidi="ar"/>
        </w:rPr>
        <w:t>本公司（联合</w:t>
      </w:r>
      <w:r>
        <w:rPr>
          <w:rFonts w:hint="eastAsia" w:ascii="宋体" w:hAnsi="宋体" w:eastAsia="宋体" w:cs="宋体"/>
          <w:i w:val="0"/>
          <w:iCs w:val="0"/>
          <w:color w:val="auto"/>
          <w:kern w:val="0"/>
          <w:sz w:val="24"/>
          <w:szCs w:val="24"/>
          <w:lang w:val="en-US" w:eastAsia="zh-CN" w:bidi="ar"/>
        </w:rPr>
        <w:t>体）郑重声明，根据《政府采购促进中小企业发展管理办法》（财库﹝2020﹞46号）的规定，本公司（联合体）参加</w:t>
      </w:r>
      <w:r>
        <w:rPr>
          <w:rFonts w:hint="eastAsia" w:ascii="宋体" w:hAnsi="宋体" w:eastAsia="宋体" w:cs="宋体"/>
          <w:i w:val="0"/>
          <w:iCs w:val="0"/>
          <w:color w:val="auto"/>
          <w:kern w:val="0"/>
          <w:sz w:val="24"/>
          <w:szCs w:val="24"/>
          <w:u w:val="single"/>
          <w:lang w:val="en-US" w:eastAsia="zh-CN" w:bidi="ar"/>
        </w:rPr>
        <w:t xml:space="preserve">  （单位名称）  </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 xml:space="preserve">  （项目名称）  </w:t>
      </w:r>
      <w:r>
        <w:rPr>
          <w:rFonts w:hint="eastAsia" w:ascii="宋体" w:hAnsi="宋体" w:eastAsia="宋体" w:cs="宋体"/>
          <w:i w:val="0"/>
          <w:iCs w:val="0"/>
          <w:color w:val="auto"/>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日 期： </w:t>
      </w:r>
    </w:p>
    <w:p>
      <w:pPr>
        <w:rPr>
          <w:rFonts w:hint="eastAsia"/>
          <w:color w:val="auto"/>
        </w:rPr>
      </w:pPr>
    </w:p>
    <w:p>
      <w:pPr>
        <w:rPr>
          <w:color w:val="auto"/>
        </w:rPr>
      </w:pPr>
    </w:p>
    <w:sectPr>
      <w:pgSz w:w="11849" w:h="16781"/>
      <w:pgMar w:top="1440" w:right="1080" w:bottom="1440" w:left="1080" w:header="851" w:footer="850" w:gutter="0"/>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CBEAC"/>
    <w:multiLevelType w:val="singleLevel"/>
    <w:tmpl w:val="E17CBEAC"/>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1."/>
      <w:lvlJc w:val="left"/>
      <w:pPr>
        <w:tabs>
          <w:tab w:val="left" w:pos="300"/>
        </w:tabs>
        <w:ind w:left="300" w:hanging="300"/>
      </w:pPr>
      <w:rPr>
        <w:rFonts w:hint="eastAsia"/>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decimal"/>
      <w:isLgl/>
      <w:lvlText w:val="%1.%2.%4.%5.%6.%7.%8.%9."/>
      <w:lvlJc w:val="left"/>
      <w:pPr>
        <w:tabs>
          <w:tab w:val="left" w:pos="5280"/>
        </w:tabs>
        <w:ind w:left="5280" w:hanging="2880"/>
      </w:pPr>
      <w:rPr>
        <w:rFonts w:hint="eastAsia"/>
      </w:rPr>
    </w:lvl>
  </w:abstractNum>
  <w:abstractNum w:abstractNumId="2">
    <w:nsid w:val="00000013"/>
    <w:multiLevelType w:val="multilevel"/>
    <w:tmpl w:val="00000013"/>
    <w:lvl w:ilvl="0" w:tentative="0">
      <w:start w:val="8"/>
      <w:numFmt w:val="decimal"/>
      <w:lvlText w:val=""/>
      <w:lvlJc w:val="left"/>
      <w:pPr>
        <w:tabs>
          <w:tab w:val="left" w:pos="360"/>
        </w:tabs>
        <w:ind w:left="360" w:hanging="360"/>
      </w:pPr>
      <w:rPr>
        <w:rFonts w:hint="default" w:ascii="Times New Roman"/>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2.%4.%5.%6.%7.%8.%9."/>
      <w:lvlJc w:val="left"/>
      <w:pPr>
        <w:tabs>
          <w:tab w:val="left" w:pos="5280"/>
        </w:tabs>
        <w:ind w:left="5280" w:hanging="2880"/>
      </w:pPr>
      <w:rPr>
        <w:rFonts w:hint="eastAsia"/>
      </w:rPr>
    </w:lvl>
  </w:abstractNum>
  <w:abstractNum w:abstractNumId="3">
    <w:nsid w:val="00E8B9D2"/>
    <w:multiLevelType w:val="singleLevel"/>
    <w:tmpl w:val="00E8B9D2"/>
    <w:lvl w:ilvl="0" w:tentative="0">
      <w:start w:val="1"/>
      <w:numFmt w:val="chineseCounting"/>
      <w:suff w:val="space"/>
      <w:lvlText w:val="第%1章"/>
      <w:lvlJc w:val="left"/>
      <w:rPr>
        <w:rFonts w:hint="eastAsia"/>
      </w:rPr>
    </w:lvl>
  </w:abstractNum>
  <w:abstractNum w:abstractNumId="4">
    <w:nsid w:val="501CD0D1"/>
    <w:multiLevelType w:val="singleLevel"/>
    <w:tmpl w:val="501CD0D1"/>
    <w:lvl w:ilvl="0" w:tentative="0">
      <w:start w:val="2"/>
      <w:numFmt w:val="decimal"/>
      <w:suff w:val="nothing"/>
      <w:lvlText w:val="%1、"/>
      <w:lvlJc w:val="left"/>
    </w:lvl>
  </w:abstractNum>
  <w:abstractNum w:abstractNumId="5">
    <w:nsid w:val="58F38001"/>
    <w:multiLevelType w:val="singleLevel"/>
    <w:tmpl w:val="58F38001"/>
    <w:lvl w:ilvl="0" w:tentative="0">
      <w:start w:val="4"/>
      <w:numFmt w:val="chineseCounting"/>
      <w:suff w:val="nothing"/>
      <w:lvlText w:val="（%1）"/>
      <w:lvlJc w:val="left"/>
      <w:rPr>
        <w:rFonts w:hint="eastAsia"/>
      </w:rPr>
    </w:lvl>
  </w:abstractNum>
  <w:abstractNum w:abstractNumId="6">
    <w:nsid w:val="59E084C5"/>
    <w:multiLevelType w:val="singleLevel"/>
    <w:tmpl w:val="59E084C5"/>
    <w:lvl w:ilvl="0" w:tentative="0">
      <w:start w:val="1"/>
      <w:numFmt w:val="decimal"/>
      <w:suff w:val="nothing"/>
      <w:lvlText w:val="（%1）"/>
      <w:lvlJc w:val="left"/>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OWJlYjczMGRkY2IyMjM4OTYwODk1NzBjMWM1NGUifQ=="/>
  </w:docVars>
  <w:rsids>
    <w:rsidRoot w:val="74CB4C80"/>
    <w:rsid w:val="033039E6"/>
    <w:rsid w:val="03D351A4"/>
    <w:rsid w:val="06B64A6C"/>
    <w:rsid w:val="06F04422"/>
    <w:rsid w:val="08FA1E46"/>
    <w:rsid w:val="095962AF"/>
    <w:rsid w:val="0B7F4153"/>
    <w:rsid w:val="0CA84BEE"/>
    <w:rsid w:val="0E0060D7"/>
    <w:rsid w:val="118616F9"/>
    <w:rsid w:val="13296F33"/>
    <w:rsid w:val="16A555EC"/>
    <w:rsid w:val="19013F4B"/>
    <w:rsid w:val="2266602F"/>
    <w:rsid w:val="25640314"/>
    <w:rsid w:val="2B855851"/>
    <w:rsid w:val="35E322CF"/>
    <w:rsid w:val="38715069"/>
    <w:rsid w:val="38AF1F70"/>
    <w:rsid w:val="39322259"/>
    <w:rsid w:val="3A741269"/>
    <w:rsid w:val="3D1E6743"/>
    <w:rsid w:val="3D750914"/>
    <w:rsid w:val="414F340E"/>
    <w:rsid w:val="42CC0474"/>
    <w:rsid w:val="45E403D8"/>
    <w:rsid w:val="49147680"/>
    <w:rsid w:val="4A5256A8"/>
    <w:rsid w:val="4B570E17"/>
    <w:rsid w:val="4EF86999"/>
    <w:rsid w:val="51FA127E"/>
    <w:rsid w:val="54201227"/>
    <w:rsid w:val="5DB8727B"/>
    <w:rsid w:val="62FB09B2"/>
    <w:rsid w:val="64C32513"/>
    <w:rsid w:val="68D55C46"/>
    <w:rsid w:val="6A487251"/>
    <w:rsid w:val="6A7268B4"/>
    <w:rsid w:val="6A983BCB"/>
    <w:rsid w:val="6BE5299E"/>
    <w:rsid w:val="6D340194"/>
    <w:rsid w:val="6FC62946"/>
    <w:rsid w:val="74CB4C80"/>
    <w:rsid w:val="74F23177"/>
    <w:rsid w:val="76536F05"/>
    <w:rsid w:val="7A2D67DE"/>
    <w:rsid w:val="7B594F55"/>
    <w:rsid w:val="7C9E2682"/>
    <w:rsid w:val="7F9F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7">
    <w:name w:val="table of authorities"/>
    <w:basedOn w:val="1"/>
    <w:next w:val="1"/>
    <w:qFormat/>
    <w:uiPriority w:val="0"/>
    <w:pPr>
      <w:ind w:left="420" w:leftChars="200"/>
    </w:pPr>
    <w:rPr>
      <w:sz w:val="28"/>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Body Text"/>
    <w:basedOn w:val="1"/>
    <w:next w:val="1"/>
    <w:qFormat/>
    <w:uiPriority w:val="0"/>
    <w:rPr>
      <w:rFonts w:eastAsia="黑体"/>
      <w:sz w:val="36"/>
    </w:rPr>
  </w:style>
  <w:style w:type="paragraph" w:styleId="10">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1">
    <w:name w:val="Block Text"/>
    <w:basedOn w:val="1"/>
    <w:qFormat/>
    <w:uiPriority w:val="0"/>
    <w:pPr>
      <w:spacing w:after="120"/>
      <w:ind w:left="1440" w:leftChars="700" w:right="1440" w:rightChars="700"/>
    </w:pPr>
  </w:style>
  <w:style w:type="paragraph" w:styleId="12">
    <w:name w:val="Plain Text"/>
    <w:basedOn w:val="1"/>
    <w:next w:val="13"/>
    <w:qFormat/>
    <w:uiPriority w:val="0"/>
    <w:rPr>
      <w:rFonts w:ascii="宋体" w:hAnsi="Courier New" w:eastAsia="宋体"/>
      <w:kern w:val="2"/>
      <w:sz w:val="21"/>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1"/>
    <w:basedOn w:val="1"/>
    <w:next w:val="7"/>
    <w:qFormat/>
    <w:uiPriority w:val="0"/>
  </w:style>
  <w:style w:type="paragraph" w:styleId="15">
    <w:name w:val="footnote text"/>
    <w:basedOn w:val="1"/>
    <w:unhideWhenUsed/>
    <w:qFormat/>
    <w:uiPriority w:val="99"/>
    <w:pPr>
      <w:snapToGrid w:val="0"/>
      <w:jc w:val="left"/>
    </w:pPr>
    <w:rPr>
      <w:sz w:val="18"/>
    </w:rPr>
  </w:style>
  <w:style w:type="paragraph" w:styleId="16">
    <w:name w:val="Normal (Web)"/>
    <w:basedOn w:val="1"/>
    <w:next w:val="2"/>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2"/>
    <w:basedOn w:val="10"/>
    <w:qFormat/>
    <w:uiPriority w:val="0"/>
    <w:pPr>
      <w:ind w:left="0" w:leftChars="0" w:firstLine="210"/>
    </w:pPr>
    <w:rPr>
      <w:szCs w:val="20"/>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paragraph" w:customStyle="1" w:styleId="23">
    <w:name w:val="样式 标题 3 + (中文) 黑体 小四 非加粗 段前: 7.8 磅 段后: 0 磅 行距: 固定值 20 磅"/>
    <w:basedOn w:val="6"/>
    <w:qFormat/>
    <w:uiPriority w:val="0"/>
    <w:pPr>
      <w:spacing w:before="120" w:after="120" w:line="400" w:lineRule="exact"/>
    </w:pPr>
    <w:rPr>
      <w:rFonts w:ascii="Times New Roman" w:hAnsi="Times New Roman" w:eastAsia="宋体"/>
      <w:b w:val="0"/>
      <w:bCs w:val="0"/>
      <w:sz w:val="24"/>
      <w:szCs w:val="20"/>
    </w:rPr>
  </w:style>
  <w:style w:type="paragraph" w:customStyle="1" w:styleId="24">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6">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9">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styleId="3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26438</Words>
  <Characters>28366</Characters>
  <Lines>0</Lines>
  <Paragraphs>0</Paragraphs>
  <TotalTime>0</TotalTime>
  <ScaleCrop>false</ScaleCrop>
  <LinksUpToDate>false</LinksUpToDate>
  <CharactersWithSpaces>30619</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2022-06-22T11:57:00Z</dcterms:created>
  <dc:creator> 十二</dc:creator>
  <cp:lastModifiedBy>人心難懂i</cp:lastModifiedBy>
  <cp:lastPrinted>2022-08-01T07:20:00Z</cp:lastPrinted>
  <dcterms:modified xsi:type="dcterms:W3CDTF">2022-08-03T11:31:58Z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57BCF7D4A9604AD7B5C290A03C0C2320</vt:lpwstr>
  </property>
</Properties>
</file>