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0"/>
        <w:rPr>
          <w:rFonts w:hint="eastAsia" w:ascii="宋体" w:hAnsi="宋体" w:cs="宋体"/>
          <w:color w:val="auto"/>
          <w:sz w:val="48"/>
          <w:szCs w:val="48"/>
          <w:highlight w:val="none"/>
        </w:rPr>
      </w:pPr>
      <w:bookmarkStart w:id="64" w:name="_GoBack"/>
      <w:bookmarkEnd w:id="64"/>
      <w:r>
        <w:rPr>
          <w:rFonts w:hint="eastAsia" w:ascii="宋体" w:hAnsi="宋体" w:cs="宋体"/>
          <w:color w:val="auto"/>
          <w:sz w:val="48"/>
          <w:szCs w:val="48"/>
          <w:highlight w:val="none"/>
        </w:rPr>
        <w:t xml:space="preserve"> </w:t>
      </w:r>
    </w:p>
    <w:p>
      <w:pPr>
        <w:pStyle w:val="18"/>
        <w:jc w:val="center"/>
        <w:rPr>
          <w:rFonts w:hint="eastAsia" w:ascii="仿宋" w:hAnsi="仿宋" w:eastAsia="仿宋" w:cs="仿宋"/>
          <w:b/>
          <w:bCs/>
          <w:color w:val="auto"/>
          <w:sz w:val="72"/>
          <w:szCs w:val="72"/>
          <w:highlight w:val="none"/>
          <w:lang w:eastAsia="zh-CN"/>
        </w:rPr>
      </w:pPr>
      <w:r>
        <w:rPr>
          <w:rFonts w:hint="eastAsia" w:ascii="仿宋" w:hAnsi="仿宋" w:eastAsia="仿宋" w:cs="仿宋"/>
          <w:b/>
          <w:bCs/>
          <w:color w:val="auto"/>
          <w:sz w:val="72"/>
          <w:szCs w:val="72"/>
          <w:highlight w:val="none"/>
          <w:lang w:eastAsia="zh-CN"/>
        </w:rPr>
        <w:t>阿瓦提县农用地航飞测量技术服务</w:t>
      </w:r>
    </w:p>
    <w:p>
      <w:pPr>
        <w:rPr>
          <w:rFonts w:hint="eastAsia" w:ascii="仿宋" w:hAnsi="仿宋" w:eastAsia="仿宋" w:cs="仿宋"/>
          <w:b/>
          <w:bCs/>
          <w:color w:val="auto"/>
          <w:sz w:val="72"/>
          <w:szCs w:val="72"/>
          <w:highlight w:val="none"/>
          <w:lang w:eastAsia="zh-CN"/>
        </w:rPr>
      </w:pPr>
    </w:p>
    <w:p>
      <w:pPr>
        <w:pStyle w:val="18"/>
        <w:rPr>
          <w:rFonts w:hint="eastAsia" w:ascii="仿宋" w:hAnsi="仿宋" w:eastAsia="仿宋" w:cs="仿宋"/>
          <w:b/>
          <w:bCs/>
          <w:color w:val="auto"/>
          <w:sz w:val="72"/>
          <w:szCs w:val="72"/>
          <w:highlight w:val="none"/>
          <w:lang w:eastAsia="zh-CN"/>
        </w:rPr>
      </w:pPr>
    </w:p>
    <w:p>
      <w:pPr>
        <w:rPr>
          <w:rFonts w:hint="eastAsia"/>
        </w:rPr>
      </w:pPr>
    </w:p>
    <w:p>
      <w:pPr>
        <w:spacing w:line="360" w:lineRule="auto"/>
        <w:jc w:val="center"/>
        <w:outlineLvl w:val="0"/>
        <w:rPr>
          <w:rFonts w:hint="eastAsia" w:ascii="宋体" w:hAnsi="宋体" w:cs="宋体"/>
          <w:b/>
          <w:color w:val="auto"/>
          <w:sz w:val="84"/>
          <w:szCs w:val="84"/>
          <w:highlight w:val="none"/>
        </w:rPr>
      </w:pPr>
      <w:r>
        <w:rPr>
          <w:rFonts w:hint="eastAsia" w:ascii="宋体" w:hAnsi="宋体" w:cs="宋体"/>
          <w:b/>
          <w:color w:val="auto"/>
          <w:sz w:val="84"/>
          <w:szCs w:val="84"/>
          <w:highlight w:val="none"/>
          <w:lang w:val="en-US" w:eastAsia="zh-CN"/>
        </w:rPr>
        <w:t xml:space="preserve">招  标 </w:t>
      </w:r>
      <w:r>
        <w:rPr>
          <w:rFonts w:hint="eastAsia" w:ascii="宋体" w:hAnsi="宋体" w:cs="宋体"/>
          <w:b/>
          <w:color w:val="auto"/>
          <w:sz w:val="84"/>
          <w:szCs w:val="84"/>
          <w:highlight w:val="none"/>
        </w:rPr>
        <w:t>文 件</w:t>
      </w:r>
    </w:p>
    <w:p>
      <w:pPr>
        <w:adjustRightInd w:val="0"/>
        <w:snapToGrid w:val="0"/>
        <w:spacing w:line="360" w:lineRule="auto"/>
        <w:jc w:val="center"/>
        <w:rPr>
          <w:rFonts w:hint="eastAsia" w:ascii="宋体" w:hAnsi="宋体" w:cs="宋体"/>
          <w:color w:val="auto"/>
          <w:sz w:val="24"/>
          <w:highlight w:val="none"/>
        </w:rPr>
      </w:pPr>
    </w:p>
    <w:p>
      <w:pPr>
        <w:pStyle w:val="47"/>
        <w:ind w:left="0" w:leftChars="0" w:firstLine="0" w:firstLineChars="0"/>
        <w:rPr>
          <w:rFonts w:hint="eastAsia"/>
          <w:color w:val="auto"/>
          <w:highlight w:val="none"/>
        </w:rPr>
      </w:pPr>
    </w:p>
    <w:p>
      <w:pPr>
        <w:pStyle w:val="18"/>
        <w:rPr>
          <w:rFonts w:hint="eastAsia"/>
          <w:color w:val="auto"/>
          <w:highlight w:val="none"/>
        </w:rPr>
      </w:pPr>
    </w:p>
    <w:p>
      <w:pPr>
        <w:pStyle w:val="111"/>
        <w:rPr>
          <w:rFonts w:hint="eastAsia"/>
          <w:color w:val="auto"/>
          <w:highlight w:val="none"/>
        </w:rPr>
      </w:pPr>
    </w:p>
    <w:p>
      <w:pPr>
        <w:adjustRightInd w:val="0"/>
        <w:snapToGrid w:val="0"/>
        <w:spacing w:line="360" w:lineRule="auto"/>
        <w:ind w:firstLine="1285" w:firstLineChars="400"/>
        <w:outlineLvl w:val="0"/>
        <w:rPr>
          <w:rFonts w:hint="eastAsia" w:ascii="宋体" w:hAnsi="宋体" w:cs="宋体"/>
          <w:b/>
          <w:bCs/>
          <w:color w:val="auto"/>
          <w:sz w:val="32"/>
          <w:szCs w:val="32"/>
          <w:highlight w:val="none"/>
        </w:rPr>
      </w:pPr>
    </w:p>
    <w:p>
      <w:pPr>
        <w:adjustRightInd w:val="0"/>
        <w:snapToGrid w:val="0"/>
        <w:spacing w:line="360" w:lineRule="auto"/>
        <w:outlineLvl w:val="0"/>
        <w:rPr>
          <w:rFonts w:hint="eastAsia" w:ascii="宋体" w:hAnsi="宋体" w:cs="宋体"/>
          <w:b/>
          <w:bCs/>
          <w:color w:val="auto"/>
          <w:sz w:val="32"/>
          <w:szCs w:val="32"/>
          <w:highlight w:val="none"/>
        </w:rPr>
      </w:pPr>
    </w:p>
    <w:p>
      <w:pPr>
        <w:adjustRightInd w:val="0"/>
        <w:snapToGrid w:val="0"/>
        <w:spacing w:line="360" w:lineRule="auto"/>
        <w:ind w:firstLine="1285" w:firstLineChars="400"/>
        <w:outlineLvl w:val="0"/>
        <w:rPr>
          <w:rFonts w:hint="eastAsia" w:ascii="宋体" w:hAnsi="宋体" w:cs="宋体"/>
          <w:b/>
          <w:bCs/>
          <w:color w:val="auto"/>
          <w:sz w:val="32"/>
          <w:szCs w:val="32"/>
          <w:highlight w:val="none"/>
        </w:rPr>
      </w:pPr>
    </w:p>
    <w:p>
      <w:pPr>
        <w:adjustRightInd w:val="0"/>
        <w:snapToGrid w:val="0"/>
        <w:spacing w:line="360" w:lineRule="auto"/>
        <w:ind w:firstLine="1285" w:firstLineChars="400"/>
        <w:outlineLvl w:val="0"/>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采 购 人：阿瓦提县自然资源局</w:t>
      </w:r>
    </w:p>
    <w:p>
      <w:pPr>
        <w:adjustRightInd w:val="0"/>
        <w:snapToGrid w:val="0"/>
        <w:spacing w:line="360" w:lineRule="auto"/>
        <w:ind w:firstLine="1285" w:firstLineChars="400"/>
        <w:outlineLvl w:val="0"/>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lang w:eastAsia="zh-CN"/>
        </w:rPr>
        <w:t>项目</w:t>
      </w:r>
      <w:r>
        <w:rPr>
          <w:rFonts w:hint="eastAsia" w:ascii="宋体" w:hAnsi="宋体" w:cs="宋体"/>
          <w:b/>
          <w:bCs/>
          <w:color w:val="auto"/>
          <w:sz w:val="32"/>
          <w:szCs w:val="32"/>
          <w:highlight w:val="none"/>
        </w:rPr>
        <w:t>编号：20232739</w:t>
      </w:r>
    </w:p>
    <w:p>
      <w:pPr>
        <w:adjustRightInd w:val="0"/>
        <w:snapToGrid w:val="0"/>
        <w:spacing w:line="360" w:lineRule="auto"/>
        <w:ind w:firstLine="1285" w:firstLineChars="400"/>
        <w:outlineLvl w:val="0"/>
        <w:rPr>
          <w:rFonts w:hint="eastAsia" w:ascii="宋体" w:hAnsi="宋体" w:cs="宋体"/>
          <w:b/>
          <w:bCs/>
          <w:color w:val="auto"/>
          <w:sz w:val="32"/>
          <w:szCs w:val="32"/>
          <w:highlight w:val="none"/>
          <w:lang w:eastAsia="zh-CN"/>
        </w:rPr>
      </w:pPr>
      <w:r>
        <w:rPr>
          <w:rFonts w:hint="eastAsia" w:ascii="宋体" w:hAnsi="宋体" w:cs="宋体"/>
          <w:b/>
          <w:bCs/>
          <w:color w:val="auto"/>
          <w:sz w:val="32"/>
          <w:szCs w:val="32"/>
          <w:highlight w:val="none"/>
        </w:rPr>
        <w:t>采购代理机构：</w:t>
      </w:r>
      <w:r>
        <w:rPr>
          <w:rFonts w:hint="eastAsia" w:ascii="宋体" w:hAnsi="宋体" w:cs="宋体"/>
          <w:b/>
          <w:bCs/>
          <w:color w:val="auto"/>
          <w:sz w:val="32"/>
          <w:szCs w:val="32"/>
          <w:highlight w:val="none"/>
          <w:lang w:eastAsia="zh-CN"/>
        </w:rPr>
        <w:t>新疆安航工程项目管理有限公司</w:t>
      </w:r>
    </w:p>
    <w:p>
      <w:pPr>
        <w:adjustRightInd w:val="0"/>
        <w:snapToGrid w:val="0"/>
        <w:spacing w:line="360" w:lineRule="auto"/>
        <w:jc w:val="both"/>
        <w:outlineLvl w:val="0"/>
        <w:rPr>
          <w:rFonts w:hint="eastAsia" w:ascii="宋体" w:hAnsi="宋体" w:cs="宋体"/>
          <w:b/>
          <w:bCs/>
          <w:color w:val="auto"/>
          <w:sz w:val="32"/>
          <w:szCs w:val="32"/>
          <w:highlight w:val="none"/>
        </w:rPr>
      </w:pPr>
    </w:p>
    <w:p>
      <w:pPr>
        <w:adjustRightInd w:val="0"/>
        <w:snapToGrid w:val="0"/>
        <w:spacing w:line="360" w:lineRule="auto"/>
        <w:ind w:firstLine="1285" w:firstLineChars="400"/>
        <w:jc w:val="center"/>
        <w:outlineLvl w:val="0"/>
        <w:rPr>
          <w:rFonts w:hint="eastAsia" w:ascii="宋体" w:hAnsi="宋体" w:cs="宋体"/>
          <w:b/>
          <w:bCs/>
          <w:color w:val="auto"/>
          <w:sz w:val="32"/>
          <w:szCs w:val="32"/>
          <w:highlight w:val="none"/>
        </w:rPr>
      </w:pPr>
    </w:p>
    <w:p>
      <w:pPr>
        <w:adjustRightInd w:val="0"/>
        <w:snapToGrid w:val="0"/>
        <w:spacing w:line="360" w:lineRule="auto"/>
        <w:ind w:firstLine="1285" w:firstLineChars="400"/>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九</w:t>
      </w:r>
      <w:r>
        <w:rPr>
          <w:rFonts w:hint="eastAsia" w:ascii="宋体" w:hAnsi="宋体" w:cs="宋体"/>
          <w:b/>
          <w:bCs/>
          <w:color w:val="auto"/>
          <w:sz w:val="32"/>
          <w:szCs w:val="32"/>
          <w:highlight w:val="none"/>
        </w:rPr>
        <w:t>月</w:t>
      </w:r>
    </w:p>
    <w:p>
      <w:pPr>
        <w:pStyle w:val="31"/>
        <w:keepNext/>
        <w:pageBreakBefore/>
        <w:tabs>
          <w:tab w:val="right" w:leader="dot" w:pos="9354"/>
        </w:tabs>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目录</w:t>
      </w:r>
    </w:p>
    <w:p>
      <w:pPr>
        <w:pStyle w:val="12"/>
        <w:spacing w:line="360" w:lineRule="auto"/>
        <w:rPr>
          <w:rFonts w:hint="eastAsia"/>
          <w:color w:val="auto"/>
          <w:highlight w:val="none"/>
        </w:rPr>
      </w:pPr>
    </w:p>
    <w:p>
      <w:pPr>
        <w:pStyle w:val="31"/>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fldChar w:fldCharType="begin"/>
      </w:r>
      <w:r>
        <w:instrText xml:space="preserve"> HYPERLINK \l "_Toc13366" </w:instrText>
      </w:r>
      <w:r>
        <w:fldChar w:fldCharType="separate"/>
      </w:r>
      <w:r>
        <w:rPr>
          <w:rFonts w:hint="eastAsia" w:ascii="宋体" w:hAnsi="宋体" w:cs="宋体"/>
          <w:color w:val="auto"/>
          <w:sz w:val="28"/>
          <w:szCs w:val="28"/>
          <w:highlight w:val="none"/>
        </w:rPr>
        <w:t>第一章 招标公告</w:t>
      </w:r>
      <w:r>
        <w:rPr>
          <w:rFonts w:hint="eastAsia" w:ascii="宋体" w:hAnsi="宋体" w:cs="宋体"/>
          <w:color w:val="auto"/>
          <w:sz w:val="28"/>
          <w:szCs w:val="28"/>
          <w:highlight w:val="none"/>
        </w:rPr>
        <w:tab/>
      </w:r>
      <w:r>
        <w:rPr>
          <w:rFonts w:hint="eastAsia" w:ascii="宋体" w:hAnsi="宋体" w:cs="宋体"/>
          <w:color w:val="auto"/>
          <w:sz w:val="28"/>
          <w:szCs w:val="28"/>
          <w:highlight w:val="none"/>
        </w:rPr>
        <w:t>1</w:t>
      </w:r>
      <w:r>
        <w:rPr>
          <w:rFonts w:hint="eastAsia" w:ascii="宋体" w:hAnsi="宋体" w:cs="宋体"/>
          <w:color w:val="auto"/>
          <w:sz w:val="28"/>
          <w:szCs w:val="28"/>
          <w:highlight w:val="none"/>
        </w:rPr>
        <w:fldChar w:fldCharType="end"/>
      </w:r>
    </w:p>
    <w:p>
      <w:pPr>
        <w:pStyle w:val="31"/>
        <w:tabs>
          <w:tab w:val="right" w:leader="dot" w:pos="9746"/>
        </w:tabs>
        <w:rPr>
          <w:rFonts w:hint="eastAsia" w:ascii="宋体" w:hAnsi="宋体" w:cs="宋体"/>
          <w:color w:val="auto"/>
          <w:sz w:val="28"/>
          <w:szCs w:val="28"/>
          <w:highlight w:val="none"/>
        </w:rPr>
      </w:pPr>
      <w:r>
        <w:fldChar w:fldCharType="begin"/>
      </w:r>
      <w:r>
        <w:instrText xml:space="preserve"> HYPERLINK \l "_Toc5463" </w:instrText>
      </w:r>
      <w:r>
        <w:fldChar w:fldCharType="separate"/>
      </w:r>
      <w:r>
        <w:rPr>
          <w:rFonts w:hint="eastAsia" w:ascii="宋体" w:hAnsi="宋体" w:cs="宋体"/>
          <w:color w:val="auto"/>
          <w:sz w:val="28"/>
          <w:szCs w:val="28"/>
          <w:highlight w:val="none"/>
        </w:rPr>
        <w:t>第二章 投标人须知</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val="en-US" w:eastAsia="zh-CN"/>
        </w:rPr>
        <w:fldChar w:fldCharType="end"/>
      </w:r>
    </w:p>
    <w:p>
      <w:pPr>
        <w:pStyle w:val="31"/>
        <w:tabs>
          <w:tab w:val="right" w:leader="dot" w:pos="9746"/>
        </w:tabs>
        <w:rPr>
          <w:rFonts w:hint="eastAsia" w:ascii="宋体" w:hAnsi="宋体" w:eastAsia="宋体" w:cs="宋体"/>
          <w:color w:val="auto"/>
          <w:sz w:val="28"/>
          <w:szCs w:val="28"/>
          <w:highlight w:val="none"/>
          <w:lang w:val="en-US" w:eastAsia="zh-CN"/>
        </w:rPr>
      </w:pPr>
      <w:r>
        <w:fldChar w:fldCharType="begin"/>
      </w:r>
      <w:r>
        <w:instrText xml:space="preserve"> HYPERLINK \l "_Toc7110" </w:instrText>
      </w:r>
      <w:r>
        <w:fldChar w:fldCharType="separate"/>
      </w:r>
      <w:r>
        <w:rPr>
          <w:rFonts w:hint="eastAsia" w:ascii="宋体" w:hAnsi="宋体" w:cs="宋体"/>
          <w:color w:val="auto"/>
          <w:sz w:val="28"/>
          <w:szCs w:val="28"/>
          <w:highlight w:val="none"/>
        </w:rPr>
        <w:t>第三章 合同条款</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lang w:val="en-US" w:eastAsia="zh-CN"/>
        </w:rPr>
        <w:fldChar w:fldCharType="end"/>
      </w:r>
      <w:r>
        <w:rPr>
          <w:rFonts w:hint="eastAsia" w:ascii="宋体" w:hAnsi="宋体" w:cs="宋体"/>
          <w:color w:val="auto"/>
          <w:sz w:val="28"/>
          <w:szCs w:val="28"/>
          <w:highlight w:val="none"/>
          <w:lang w:val="en-US" w:eastAsia="zh-CN"/>
        </w:rPr>
        <w:t>5</w:t>
      </w:r>
    </w:p>
    <w:p>
      <w:pPr>
        <w:pStyle w:val="31"/>
        <w:tabs>
          <w:tab w:val="right" w:leader="dot" w:pos="9746"/>
        </w:tabs>
        <w:rPr>
          <w:rFonts w:hint="default" w:ascii="宋体" w:hAnsi="宋体" w:eastAsia="宋体" w:cs="宋体"/>
          <w:color w:val="auto"/>
          <w:sz w:val="28"/>
          <w:szCs w:val="28"/>
          <w:highlight w:val="none"/>
          <w:lang w:val="en-US" w:eastAsia="zh-CN"/>
        </w:rPr>
      </w:pPr>
      <w:r>
        <w:fldChar w:fldCharType="begin"/>
      </w:r>
      <w:r>
        <w:instrText xml:space="preserve"> HYPERLINK \l "_Toc27253" </w:instrText>
      </w:r>
      <w:r>
        <w:fldChar w:fldCharType="separate"/>
      </w:r>
      <w:r>
        <w:rPr>
          <w:rFonts w:hint="eastAsia" w:ascii="宋体" w:hAnsi="宋体" w:cs="宋体"/>
          <w:bCs/>
          <w:color w:val="auto"/>
          <w:sz w:val="28"/>
          <w:szCs w:val="28"/>
          <w:highlight w:val="none"/>
        </w:rPr>
        <w:t>第四章 采购需求</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lang w:val="en-US" w:eastAsia="zh-CN"/>
        </w:rPr>
        <w:t>29</w:t>
      </w:r>
    </w:p>
    <w:p>
      <w:pPr>
        <w:pStyle w:val="31"/>
        <w:tabs>
          <w:tab w:val="right" w:leader="dot" w:pos="9746"/>
        </w:tabs>
        <w:rPr>
          <w:rFonts w:hint="eastAsia" w:ascii="宋体" w:hAnsi="宋体" w:eastAsia="宋体" w:cs="宋体"/>
          <w:color w:val="auto"/>
          <w:sz w:val="28"/>
          <w:szCs w:val="28"/>
          <w:highlight w:val="none"/>
          <w:lang w:val="en-US" w:eastAsia="zh-CN"/>
        </w:rPr>
      </w:pPr>
      <w:r>
        <w:fldChar w:fldCharType="begin"/>
      </w:r>
      <w:r>
        <w:instrText xml:space="preserve"> HYPERLINK \l "_Toc31265" </w:instrText>
      </w:r>
      <w:r>
        <w:fldChar w:fldCharType="separate"/>
      </w:r>
      <w:r>
        <w:rPr>
          <w:rFonts w:hint="eastAsia" w:ascii="宋体" w:hAnsi="宋体" w:cs="宋体"/>
          <w:bCs/>
          <w:color w:val="auto"/>
          <w:sz w:val="28"/>
          <w:szCs w:val="28"/>
          <w:highlight w:val="none"/>
        </w:rPr>
        <w:t xml:space="preserve">第五章 </w:t>
      </w:r>
      <w:r>
        <w:rPr>
          <w:rFonts w:hint="eastAsia" w:ascii="宋体" w:hAnsi="宋体" w:cs="宋体"/>
          <w:bCs/>
          <w:color w:val="auto"/>
          <w:sz w:val="28"/>
          <w:szCs w:val="28"/>
          <w:highlight w:val="none"/>
          <w:lang w:eastAsia="zh-CN"/>
        </w:rPr>
        <w:t>投标文件</w:t>
      </w:r>
      <w:r>
        <w:rPr>
          <w:rFonts w:hint="eastAsia" w:ascii="宋体" w:hAnsi="宋体" w:cs="宋体"/>
          <w:bCs/>
          <w:color w:val="auto"/>
          <w:sz w:val="28"/>
          <w:szCs w:val="28"/>
          <w:highlight w:val="none"/>
        </w:rPr>
        <w:t>格式</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lang w:val="en-US" w:eastAsia="zh-CN"/>
        </w:rPr>
        <w:fldChar w:fldCharType="end"/>
      </w:r>
      <w:r>
        <w:rPr>
          <w:rFonts w:hint="eastAsia" w:ascii="宋体" w:hAnsi="宋体" w:cs="宋体"/>
          <w:color w:val="auto"/>
          <w:sz w:val="28"/>
          <w:szCs w:val="28"/>
          <w:highlight w:val="none"/>
          <w:lang w:val="en-US" w:eastAsia="zh-CN"/>
        </w:rPr>
        <w:t>0</w:t>
      </w:r>
    </w:p>
    <w:p>
      <w:pPr>
        <w:spacing w:line="360" w:lineRule="auto"/>
        <w:rPr>
          <w:rFonts w:hint="eastAsia"/>
          <w:color w:val="auto"/>
          <w:highlight w:val="none"/>
        </w:rPr>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start="0"/>
          <w:cols w:space="720" w:num="1"/>
          <w:formProt w:val="1"/>
          <w:titlePg/>
          <w:docGrid w:type="lines" w:linePitch="312" w:charSpace="0"/>
        </w:sectPr>
      </w:pPr>
      <w:r>
        <w:rPr>
          <w:rFonts w:hint="eastAsia" w:ascii="宋体" w:hAnsi="宋体" w:cs="宋体"/>
          <w:color w:val="auto"/>
          <w:sz w:val="28"/>
          <w:szCs w:val="28"/>
          <w:highlight w:val="none"/>
        </w:rPr>
        <w:fldChar w:fldCharType="end"/>
      </w:r>
    </w:p>
    <w:p>
      <w:pPr>
        <w:pStyle w:val="3"/>
        <w:spacing w:line="400" w:lineRule="exact"/>
        <w:jc w:val="center"/>
        <w:rPr>
          <w:rFonts w:hint="eastAsia"/>
          <w:color w:val="auto"/>
          <w:sz w:val="48"/>
          <w:szCs w:val="48"/>
          <w:highlight w:val="none"/>
        </w:rPr>
      </w:pPr>
      <w:r>
        <w:rPr>
          <w:rFonts w:hint="eastAsia" w:ascii="宋体" w:hAnsi="宋体" w:eastAsia="宋体" w:cs="宋体"/>
          <w:b/>
          <w:color w:val="auto"/>
          <w:kern w:val="0"/>
          <w:sz w:val="48"/>
          <w:szCs w:val="48"/>
          <w:highlight w:val="none"/>
          <w:shd w:val="clear" w:color="auto" w:fill="FFFFFF"/>
          <w:lang w:eastAsia="zh-CN"/>
        </w:rPr>
        <w:t>第一章</w:t>
      </w:r>
      <w:bookmarkStart w:id="0" w:name="_Toc9386"/>
      <w:r>
        <w:rPr>
          <w:rFonts w:hint="eastAsia" w:ascii="宋体" w:hAnsi="宋体" w:eastAsia="宋体" w:cs="宋体"/>
          <w:b/>
          <w:color w:val="auto"/>
          <w:kern w:val="0"/>
          <w:sz w:val="48"/>
          <w:szCs w:val="48"/>
          <w:highlight w:val="none"/>
          <w:shd w:val="clear" w:color="auto" w:fill="FFFFFF"/>
        </w:rPr>
        <w:t>招标公告</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项目概况</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cs="宋体"/>
          <w:color w:val="auto"/>
          <w:sz w:val="27"/>
          <w:szCs w:val="27"/>
          <w:highlight w:val="none"/>
          <w:lang w:val="en-US" w:eastAsia="zh-CN"/>
        </w:rPr>
        <w:t>阿瓦提县农用地航飞测量技术服务</w:t>
      </w:r>
      <w:r>
        <w:rPr>
          <w:rFonts w:hint="eastAsia" w:ascii="宋体" w:hAnsi="宋体" w:eastAsia="宋体" w:cs="宋体"/>
          <w:color w:val="auto"/>
          <w:sz w:val="27"/>
          <w:szCs w:val="27"/>
          <w:highlight w:val="none"/>
          <w:lang w:val="en-US" w:eastAsia="zh-CN"/>
        </w:rPr>
        <w:t>的潜在投标人应</w:t>
      </w:r>
      <w:r>
        <w:rPr>
          <w:rFonts w:hint="eastAsia" w:cs="宋体"/>
          <w:color w:val="auto"/>
          <w:sz w:val="27"/>
          <w:szCs w:val="27"/>
          <w:highlight w:val="none"/>
          <w:lang w:val="en-US" w:eastAsia="zh-CN"/>
        </w:rPr>
        <w:t>联系招标代理</w:t>
      </w:r>
      <w:r>
        <w:rPr>
          <w:rFonts w:hint="eastAsia" w:ascii="宋体" w:hAnsi="宋体" w:eastAsia="宋体" w:cs="宋体"/>
          <w:color w:val="auto"/>
          <w:sz w:val="27"/>
          <w:szCs w:val="27"/>
          <w:highlight w:val="none"/>
          <w:lang w:val="en-US" w:eastAsia="zh-CN"/>
        </w:rPr>
        <w:t>获取招标文件，并于</w:t>
      </w:r>
      <w:r>
        <w:rPr>
          <w:rFonts w:hint="eastAsia" w:eastAsia="宋体" w:cs="宋体"/>
          <w:color w:val="auto"/>
          <w:sz w:val="27"/>
          <w:szCs w:val="27"/>
          <w:highlight w:val="none"/>
          <w:lang w:val="en-US" w:eastAsia="zh-CN"/>
        </w:rPr>
        <w:t>202</w:t>
      </w:r>
      <w:r>
        <w:rPr>
          <w:rFonts w:hint="eastAsia" w:cs="宋体"/>
          <w:color w:val="auto"/>
          <w:sz w:val="27"/>
          <w:szCs w:val="27"/>
          <w:highlight w:val="none"/>
          <w:lang w:val="en-US" w:eastAsia="zh-CN"/>
        </w:rPr>
        <w:t>3</w:t>
      </w:r>
      <w:r>
        <w:rPr>
          <w:rFonts w:hint="eastAsia" w:eastAsia="宋体" w:cs="宋体"/>
          <w:color w:val="auto"/>
          <w:sz w:val="27"/>
          <w:szCs w:val="27"/>
          <w:highlight w:val="none"/>
          <w:lang w:val="en-US" w:eastAsia="zh-CN"/>
        </w:rPr>
        <w:t>年</w:t>
      </w:r>
      <w:r>
        <w:rPr>
          <w:rFonts w:hint="eastAsia" w:cs="宋体"/>
          <w:color w:val="auto"/>
          <w:sz w:val="27"/>
          <w:szCs w:val="27"/>
          <w:highlight w:val="none"/>
          <w:lang w:val="en-US" w:eastAsia="zh-CN"/>
        </w:rPr>
        <w:t>10</w:t>
      </w:r>
      <w:r>
        <w:rPr>
          <w:rFonts w:hint="eastAsia" w:eastAsia="宋体" w:cs="宋体"/>
          <w:color w:val="auto"/>
          <w:sz w:val="27"/>
          <w:szCs w:val="27"/>
          <w:highlight w:val="none"/>
          <w:lang w:val="en-US" w:eastAsia="zh-CN"/>
        </w:rPr>
        <w:t>月</w:t>
      </w:r>
      <w:r>
        <w:rPr>
          <w:rFonts w:hint="eastAsia" w:cs="宋体"/>
          <w:color w:val="auto"/>
          <w:sz w:val="27"/>
          <w:szCs w:val="27"/>
          <w:highlight w:val="none"/>
          <w:lang w:val="en-US" w:eastAsia="zh-CN"/>
        </w:rPr>
        <w:t>8</w:t>
      </w:r>
      <w:r>
        <w:rPr>
          <w:rFonts w:hint="eastAsia" w:eastAsia="宋体" w:cs="宋体"/>
          <w:color w:val="auto"/>
          <w:sz w:val="27"/>
          <w:szCs w:val="27"/>
          <w:highlight w:val="none"/>
          <w:lang w:val="en-US" w:eastAsia="zh-CN"/>
        </w:rPr>
        <w:t>日</w:t>
      </w:r>
      <w:r>
        <w:rPr>
          <w:rFonts w:hint="eastAsia" w:ascii="宋体" w:hAnsi="宋体" w:eastAsia="宋体" w:cs="宋体"/>
          <w:color w:val="auto"/>
          <w:sz w:val="27"/>
          <w:szCs w:val="27"/>
          <w:highlight w:val="none"/>
          <w:lang w:val="en-US" w:eastAsia="zh-CN"/>
        </w:rPr>
        <w:t xml:space="preserve"> 1</w:t>
      </w:r>
      <w:r>
        <w:rPr>
          <w:rFonts w:hint="eastAsia" w:cs="宋体"/>
          <w:color w:val="auto"/>
          <w:sz w:val="27"/>
          <w:szCs w:val="27"/>
          <w:highlight w:val="none"/>
          <w:lang w:val="en-US" w:eastAsia="zh-CN"/>
        </w:rPr>
        <w:t>1</w:t>
      </w:r>
      <w:r>
        <w:rPr>
          <w:rFonts w:hint="eastAsia" w:ascii="宋体" w:hAnsi="宋体" w:eastAsia="宋体" w:cs="宋体"/>
          <w:color w:val="auto"/>
          <w:sz w:val="27"/>
          <w:szCs w:val="27"/>
          <w:highlight w:val="none"/>
          <w:lang w:val="en-US" w:eastAsia="zh-CN"/>
        </w:rPr>
        <w:t>:</w:t>
      </w:r>
      <w:r>
        <w:rPr>
          <w:rFonts w:hint="eastAsia" w:cs="宋体"/>
          <w:color w:val="auto"/>
          <w:sz w:val="27"/>
          <w:szCs w:val="27"/>
          <w:highlight w:val="none"/>
          <w:lang w:val="en-US" w:eastAsia="zh-CN"/>
        </w:rPr>
        <w:t>0</w:t>
      </w:r>
      <w:r>
        <w:rPr>
          <w:rFonts w:hint="eastAsia" w:ascii="宋体" w:hAnsi="宋体" w:eastAsia="宋体" w:cs="宋体"/>
          <w:color w:val="auto"/>
          <w:sz w:val="27"/>
          <w:szCs w:val="27"/>
          <w:highlight w:val="none"/>
          <w:lang w:val="en-US" w:eastAsia="zh-CN"/>
        </w:rPr>
        <w:t>0（北京时间）前递交投标文件。</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52"/>
          <w:rFonts w:hint="eastAsia" w:ascii="宋体" w:hAnsi="宋体" w:eastAsia="宋体" w:cs="宋体"/>
          <w:color w:val="auto"/>
          <w:sz w:val="27"/>
          <w:szCs w:val="27"/>
          <w:highlight w:val="none"/>
        </w:rPr>
        <w:t>一、项目基本情况</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cs="宋体"/>
          <w:color w:val="auto"/>
          <w:sz w:val="27"/>
          <w:szCs w:val="27"/>
          <w:highlight w:val="none"/>
          <w:lang w:val="en-US" w:eastAsia="zh-CN"/>
        </w:rPr>
      </w:pPr>
      <w:r>
        <w:rPr>
          <w:rFonts w:hint="eastAsia" w:ascii="宋体" w:hAnsi="宋体" w:eastAsia="宋体" w:cs="宋体"/>
          <w:color w:val="auto"/>
          <w:sz w:val="27"/>
          <w:szCs w:val="27"/>
          <w:highlight w:val="none"/>
        </w:rPr>
        <w:t>项目编号：20232739</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cs="宋体"/>
          <w:color w:val="auto"/>
          <w:sz w:val="27"/>
          <w:szCs w:val="27"/>
          <w:highlight w:val="none"/>
          <w:lang w:val="en-US" w:eastAsia="zh-CN"/>
        </w:rPr>
      </w:pPr>
      <w:r>
        <w:rPr>
          <w:rFonts w:hint="eastAsia" w:ascii="宋体" w:hAnsi="宋体" w:eastAsia="宋体" w:cs="宋体"/>
          <w:color w:val="auto"/>
          <w:sz w:val="27"/>
          <w:szCs w:val="27"/>
          <w:highlight w:val="none"/>
        </w:rPr>
        <w:t>项目名称：</w:t>
      </w:r>
      <w:r>
        <w:rPr>
          <w:rFonts w:hint="eastAsia" w:cs="宋体"/>
          <w:color w:val="auto"/>
          <w:sz w:val="27"/>
          <w:szCs w:val="27"/>
          <w:highlight w:val="none"/>
          <w:lang w:val="en-US" w:eastAsia="zh-CN"/>
        </w:rPr>
        <w:t>阿瓦提县农用地航飞测量技术服务</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采购方式：公开招标</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预算金额（元）：</w:t>
      </w:r>
      <w:r>
        <w:rPr>
          <w:rFonts w:hint="eastAsia" w:cs="宋体"/>
          <w:color w:val="auto"/>
          <w:sz w:val="27"/>
          <w:szCs w:val="27"/>
          <w:highlight w:val="none"/>
          <w:lang w:val="en-US" w:eastAsia="zh-CN"/>
        </w:rPr>
        <w:t>6400000.00</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最高限价（元）：</w:t>
      </w:r>
      <w:r>
        <w:rPr>
          <w:rFonts w:hint="eastAsia" w:cs="宋体"/>
          <w:color w:val="auto"/>
          <w:sz w:val="27"/>
          <w:szCs w:val="27"/>
          <w:highlight w:val="none"/>
          <w:lang w:val="en-US" w:eastAsia="zh-CN"/>
        </w:rPr>
        <w:t>6400000.00</w:t>
      </w:r>
      <w:r>
        <w:rPr>
          <w:rFonts w:hint="eastAsia" w:eastAsia="宋体" w:cs="宋体"/>
          <w:color w:val="auto"/>
          <w:sz w:val="27"/>
          <w:szCs w:val="27"/>
          <w:highlight w:val="none"/>
          <w:lang w:val="en-US" w:eastAsia="zh-CN"/>
        </w:rPr>
        <w:t>　</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cs="宋体"/>
          <w:color w:val="auto"/>
          <w:sz w:val="27"/>
          <w:szCs w:val="27"/>
          <w:highlight w:val="none"/>
          <w:lang w:val="en-US" w:eastAsia="zh-CN"/>
        </w:rPr>
      </w:pPr>
      <w:r>
        <w:rPr>
          <w:rFonts w:hint="eastAsia" w:ascii="宋体" w:hAnsi="宋体" w:eastAsia="宋体" w:cs="宋体"/>
          <w:color w:val="auto"/>
          <w:sz w:val="27"/>
          <w:szCs w:val="27"/>
          <w:highlight w:val="none"/>
        </w:rPr>
        <w:t>标项名称:</w:t>
      </w:r>
      <w:r>
        <w:rPr>
          <w:rFonts w:hint="eastAsia" w:cs="宋体"/>
          <w:color w:val="auto"/>
          <w:sz w:val="27"/>
          <w:szCs w:val="27"/>
          <w:highlight w:val="none"/>
          <w:lang w:val="en-US" w:eastAsia="zh-CN"/>
        </w:rPr>
        <w:t>阿瓦提县农用地航飞测量技术服务采购项目</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数量:</w:t>
      </w:r>
      <w:r>
        <w:rPr>
          <w:rFonts w:hint="eastAsia" w:eastAsia="宋体" w:cs="宋体"/>
          <w:color w:val="auto"/>
          <w:sz w:val="27"/>
          <w:szCs w:val="27"/>
          <w:highlight w:val="none"/>
          <w:lang w:val="en-US" w:eastAsia="zh-CN"/>
        </w:rPr>
        <w:t>1批</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预算金额（元）:</w:t>
      </w:r>
      <w:r>
        <w:rPr>
          <w:rFonts w:hint="eastAsia" w:cs="宋体"/>
          <w:color w:val="auto"/>
          <w:sz w:val="27"/>
          <w:szCs w:val="27"/>
          <w:highlight w:val="none"/>
          <w:lang w:val="en-US" w:eastAsia="zh-CN"/>
        </w:rPr>
        <w:t>6400000.00</w:t>
      </w:r>
      <w:r>
        <w:rPr>
          <w:rFonts w:hint="eastAsia" w:eastAsia="宋体" w:cs="宋体"/>
          <w:color w:val="auto"/>
          <w:sz w:val="27"/>
          <w:szCs w:val="27"/>
          <w:highlight w:val="none"/>
          <w:lang w:val="en-US" w:eastAsia="zh-CN"/>
        </w:rPr>
        <w:t>　</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简要规格描述或项目基本概况介绍、用途：</w:t>
      </w:r>
      <w:r>
        <w:rPr>
          <w:rFonts w:hint="eastAsia" w:cs="宋体"/>
          <w:color w:val="auto"/>
          <w:sz w:val="27"/>
          <w:szCs w:val="27"/>
          <w:highlight w:val="none"/>
          <w:lang w:val="en-US" w:eastAsia="zh-CN"/>
        </w:rPr>
        <w:t>农用地航飞测量技术</w:t>
      </w:r>
      <w:r>
        <w:rPr>
          <w:rFonts w:hint="eastAsia" w:ascii="宋体" w:hAnsi="宋体" w:eastAsia="宋体" w:cs="宋体"/>
          <w:color w:val="auto"/>
          <w:sz w:val="27"/>
          <w:szCs w:val="27"/>
          <w:highlight w:val="none"/>
          <w:lang w:val="en-US" w:eastAsia="zh-CN"/>
        </w:rPr>
        <w:t>（详见采购</w:t>
      </w:r>
      <w:r>
        <w:rPr>
          <w:rFonts w:hint="eastAsia" w:eastAsia="宋体" w:cs="宋体"/>
          <w:color w:val="auto"/>
          <w:sz w:val="27"/>
          <w:szCs w:val="27"/>
          <w:highlight w:val="none"/>
          <w:lang w:val="en-US" w:eastAsia="zh-CN"/>
        </w:rPr>
        <w:t>需求</w:t>
      </w:r>
      <w:r>
        <w:rPr>
          <w:rFonts w:hint="eastAsia" w:ascii="宋体" w:hAnsi="宋体" w:eastAsia="宋体" w:cs="宋体"/>
          <w:color w:val="auto"/>
          <w:sz w:val="27"/>
          <w:szCs w:val="27"/>
          <w:highlight w:val="none"/>
          <w:lang w:val="en-US" w:eastAsia="zh-CN"/>
        </w:rPr>
        <w:t>）</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default"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合同履约期限：</w:t>
      </w:r>
      <w:r>
        <w:rPr>
          <w:rFonts w:hint="eastAsia" w:ascii="宋体" w:hAnsi="宋体" w:eastAsia="宋体" w:cs="宋体"/>
          <w:color w:val="auto"/>
          <w:sz w:val="27"/>
          <w:szCs w:val="27"/>
          <w:highlight w:val="none"/>
          <w:lang w:val="en-US" w:eastAsia="zh-CN"/>
        </w:rPr>
        <w:t>按照甲乙双方合同约定执行。</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jc w:val="left"/>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本项目</w:t>
      </w:r>
      <w:r>
        <w:rPr>
          <w:rFonts w:hint="eastAsia" w:ascii="宋体" w:hAnsi="宋体" w:eastAsia="宋体" w:cs="宋体"/>
          <w:color w:val="auto"/>
          <w:sz w:val="27"/>
          <w:szCs w:val="27"/>
          <w:highlight w:val="none"/>
          <w:lang w:val="en-US" w:eastAsia="zh-CN"/>
        </w:rPr>
        <w:t>不</w:t>
      </w:r>
      <w:r>
        <w:rPr>
          <w:rFonts w:hint="eastAsia" w:eastAsia="宋体" w:cs="宋体"/>
          <w:color w:val="auto"/>
          <w:sz w:val="27"/>
          <w:szCs w:val="27"/>
          <w:highlight w:val="none"/>
          <w:lang w:val="en-US" w:eastAsia="zh-CN"/>
        </w:rPr>
        <w:t>（否）</w:t>
      </w:r>
      <w:r>
        <w:rPr>
          <w:rFonts w:hint="eastAsia" w:ascii="宋体" w:hAnsi="宋体" w:eastAsia="宋体" w:cs="宋体"/>
          <w:color w:val="auto"/>
          <w:sz w:val="27"/>
          <w:szCs w:val="27"/>
          <w:highlight w:val="none"/>
        </w:rPr>
        <w:t>接受联合体投标。</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textAlignment w:val="auto"/>
        <w:rPr>
          <w:rFonts w:hint="eastAsia" w:ascii="宋体" w:hAnsi="宋体" w:eastAsia="宋体" w:cs="宋体"/>
          <w:color w:val="auto"/>
          <w:highlight w:val="none"/>
        </w:rPr>
      </w:pPr>
      <w:r>
        <w:rPr>
          <w:rStyle w:val="52"/>
          <w:rFonts w:hint="eastAsia" w:ascii="宋体" w:hAnsi="宋体" w:eastAsia="宋体" w:cs="宋体"/>
          <w:color w:val="auto"/>
          <w:sz w:val="27"/>
          <w:szCs w:val="27"/>
          <w:highlight w:val="none"/>
        </w:rPr>
        <w:t>二、申请人的资格要求：</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1.满足《中华人民共和国政府采购法》第二十二条规定；</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2.落实政府采购政策需满足的资格要求：</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（1）财政部、国家发展改革委、生态环境部、市场监管总局《关于调整优化节能产品、环境标志产品政府采购执行机制的通知》（财库[2019]9号文）；</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（2）财政部、生态环境部《关于印发环境标志产品政府采购品目清单的通知》（财库[2019]18号文）；</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（3）财政部、发展改革委《关于印发节能产品政府采购品目清单的通知》（财库[2019]19号文）；</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（4）市场监管总局《市场监管总局关于发布参与实施政府采购节能产品、环境标志产品认证机构名录的公告》（2019年第16号）；</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（5）财政部、工业和信息化部《关于印发《政府采购促进中小企业发展管理办法》的通知》（财库[2020]46号文）；</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（6）财政部、民政部、中国残疾人联合会《关于促进残疾人就业政府采购政策的通知》（财库[2017]141号）；</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rPr>
      </w:pPr>
      <w:r>
        <w:rPr>
          <w:rFonts w:hint="eastAsia" w:ascii="宋体" w:hAnsi="宋体" w:eastAsia="宋体" w:cs="宋体"/>
          <w:color w:val="auto"/>
          <w:sz w:val="27"/>
          <w:szCs w:val="27"/>
          <w:highlight w:val="none"/>
        </w:rPr>
        <w:t>（7）财政部、司法部《关于政府采购支持监狱企业发展有关问题的通知》（财库[2014]68号文）。 </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rPr>
        <w:t>3.本项目的特定资格要求：</w:t>
      </w:r>
      <w:r>
        <w:rPr>
          <w:rFonts w:hint="eastAsia" w:cs="宋体"/>
          <w:color w:val="auto"/>
          <w:sz w:val="27"/>
          <w:szCs w:val="27"/>
          <w:highlight w:val="none"/>
          <w:lang w:val="en-US" w:eastAsia="zh-CN"/>
        </w:rPr>
        <w:t>无</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52"/>
          <w:rFonts w:hint="eastAsia" w:ascii="宋体" w:hAnsi="宋体" w:eastAsia="宋体" w:cs="宋体"/>
          <w:color w:val="auto"/>
          <w:sz w:val="27"/>
          <w:szCs w:val="27"/>
          <w:highlight w:val="none"/>
        </w:rPr>
        <w:t>三、获取招标文件</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时间：202</w:t>
      </w:r>
      <w:r>
        <w:rPr>
          <w:rFonts w:hint="eastAsia"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cs="宋体"/>
          <w:color w:val="auto"/>
          <w:sz w:val="27"/>
          <w:szCs w:val="27"/>
          <w:highlight w:val="none"/>
          <w:lang w:val="en-US" w:eastAsia="zh-CN"/>
        </w:rPr>
        <w:t>09</w:t>
      </w:r>
      <w:r>
        <w:rPr>
          <w:rFonts w:hint="eastAsia" w:ascii="宋体" w:hAnsi="宋体" w:eastAsia="宋体" w:cs="宋体"/>
          <w:color w:val="auto"/>
          <w:sz w:val="27"/>
          <w:szCs w:val="27"/>
          <w:highlight w:val="none"/>
        </w:rPr>
        <w:t>月</w:t>
      </w:r>
      <w:r>
        <w:rPr>
          <w:rFonts w:hint="eastAsia" w:cs="宋体"/>
          <w:color w:val="auto"/>
          <w:sz w:val="27"/>
          <w:szCs w:val="27"/>
          <w:highlight w:val="none"/>
          <w:lang w:val="en-US" w:eastAsia="zh-CN"/>
        </w:rPr>
        <w:t>17</w:t>
      </w:r>
      <w:r>
        <w:rPr>
          <w:rFonts w:hint="eastAsia" w:ascii="宋体" w:hAnsi="宋体" w:eastAsia="宋体" w:cs="宋体"/>
          <w:color w:val="auto"/>
          <w:sz w:val="27"/>
          <w:szCs w:val="27"/>
          <w:highlight w:val="none"/>
        </w:rPr>
        <w:t>日至202</w:t>
      </w:r>
      <w:r>
        <w:rPr>
          <w:rFonts w:hint="eastAsia" w:cs="宋体"/>
          <w:color w:val="auto"/>
          <w:sz w:val="27"/>
          <w:szCs w:val="27"/>
          <w:highlight w:val="none"/>
          <w:lang w:val="en-US" w:eastAsia="zh-CN"/>
        </w:rPr>
        <w:t>3</w:t>
      </w:r>
      <w:r>
        <w:rPr>
          <w:rFonts w:hint="eastAsia" w:ascii="宋体" w:hAnsi="宋体" w:eastAsia="宋体" w:cs="宋体"/>
          <w:color w:val="auto"/>
          <w:sz w:val="27"/>
          <w:szCs w:val="27"/>
          <w:highlight w:val="none"/>
        </w:rPr>
        <w:t>年</w:t>
      </w:r>
      <w:r>
        <w:rPr>
          <w:rFonts w:hint="eastAsia" w:cs="宋体"/>
          <w:color w:val="auto"/>
          <w:sz w:val="27"/>
          <w:szCs w:val="27"/>
          <w:highlight w:val="none"/>
          <w:lang w:val="en-US" w:eastAsia="zh-CN"/>
        </w:rPr>
        <w:t>09</w:t>
      </w:r>
      <w:r>
        <w:rPr>
          <w:rFonts w:hint="eastAsia" w:ascii="宋体" w:hAnsi="宋体" w:eastAsia="宋体" w:cs="宋体"/>
          <w:color w:val="auto"/>
          <w:sz w:val="27"/>
          <w:szCs w:val="27"/>
          <w:highlight w:val="none"/>
        </w:rPr>
        <w:t>月</w:t>
      </w:r>
      <w:r>
        <w:rPr>
          <w:rFonts w:hint="eastAsia" w:cs="宋体"/>
          <w:color w:val="auto"/>
          <w:sz w:val="27"/>
          <w:szCs w:val="27"/>
          <w:highlight w:val="none"/>
          <w:lang w:val="en-US" w:eastAsia="zh-CN"/>
        </w:rPr>
        <w:t>22</w:t>
      </w:r>
      <w:r>
        <w:rPr>
          <w:rFonts w:hint="eastAsia" w:ascii="宋体" w:hAnsi="宋体" w:eastAsia="宋体" w:cs="宋体"/>
          <w:color w:val="auto"/>
          <w:sz w:val="27"/>
          <w:szCs w:val="27"/>
          <w:highlight w:val="none"/>
        </w:rPr>
        <w:t>日，每天上午10:00至14:00，下午1</w:t>
      </w:r>
      <w:r>
        <w:rPr>
          <w:rFonts w:hint="eastAsia" w:eastAsia="宋体" w:cs="宋体"/>
          <w:color w:val="auto"/>
          <w:sz w:val="27"/>
          <w:szCs w:val="27"/>
          <w:highlight w:val="none"/>
          <w:lang w:val="en-US" w:eastAsia="zh-CN"/>
        </w:rPr>
        <w:t>5</w:t>
      </w:r>
      <w:r>
        <w:rPr>
          <w:rFonts w:hint="eastAsia" w:ascii="宋体" w:hAnsi="宋体" w:eastAsia="宋体" w:cs="宋体"/>
          <w:color w:val="auto"/>
          <w:sz w:val="27"/>
          <w:szCs w:val="27"/>
          <w:highlight w:val="none"/>
        </w:rPr>
        <w:t>:</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0至</w:t>
      </w:r>
      <w:r>
        <w:rPr>
          <w:rFonts w:hint="eastAsia" w:cs="宋体"/>
          <w:color w:val="auto"/>
          <w:sz w:val="27"/>
          <w:szCs w:val="27"/>
          <w:highlight w:val="none"/>
          <w:lang w:val="en-US" w:eastAsia="zh-CN"/>
        </w:rPr>
        <w:t>20</w:t>
      </w:r>
      <w:r>
        <w:rPr>
          <w:rFonts w:hint="eastAsia" w:ascii="宋体" w:hAnsi="宋体" w:eastAsia="宋体" w:cs="宋体"/>
          <w:color w:val="auto"/>
          <w:sz w:val="27"/>
          <w:szCs w:val="27"/>
          <w:highlight w:val="none"/>
        </w:rPr>
        <w:t>:</w:t>
      </w:r>
      <w:r>
        <w:rPr>
          <w:rFonts w:hint="eastAsia" w:cs="宋体"/>
          <w:color w:val="auto"/>
          <w:sz w:val="27"/>
          <w:szCs w:val="27"/>
          <w:highlight w:val="none"/>
          <w:lang w:val="en-US" w:eastAsia="zh-CN"/>
        </w:rPr>
        <w:t>0</w:t>
      </w:r>
      <w:r>
        <w:rPr>
          <w:rFonts w:hint="eastAsia" w:eastAsia="宋体" w:cs="宋体"/>
          <w:color w:val="auto"/>
          <w:sz w:val="27"/>
          <w:szCs w:val="27"/>
          <w:highlight w:val="none"/>
          <w:lang w:val="en-US" w:eastAsia="zh-CN"/>
        </w:rPr>
        <w:t>0</w:t>
      </w:r>
      <w:r>
        <w:rPr>
          <w:rFonts w:hint="eastAsia" w:ascii="宋体" w:hAnsi="宋体" w:eastAsia="宋体" w:cs="宋体"/>
          <w:color w:val="auto"/>
          <w:sz w:val="27"/>
          <w:szCs w:val="27"/>
          <w:highlight w:val="none"/>
        </w:rPr>
        <w:t>（北京时间，法定节假日除外）</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地点：</w:t>
      </w:r>
      <w:r>
        <w:rPr>
          <w:rFonts w:hint="eastAsia" w:cs="宋体"/>
          <w:color w:val="auto"/>
          <w:sz w:val="27"/>
          <w:szCs w:val="27"/>
          <w:highlight w:val="none"/>
          <w:lang w:val="en-US" w:eastAsia="zh-CN"/>
        </w:rPr>
        <w:t>政采云平台</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方式：供应商登录政采云平台https://www.zcygov.cn/在线申请获取采购文件（进入“项目采购”应用，在获取采购文件菜单中选择项目，申请获取采购文件）</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52"/>
          <w:rFonts w:hint="eastAsia" w:ascii="宋体" w:hAnsi="宋体" w:eastAsia="宋体" w:cs="宋体"/>
          <w:color w:val="auto"/>
          <w:sz w:val="27"/>
          <w:szCs w:val="27"/>
          <w:highlight w:val="none"/>
        </w:rPr>
        <w:t>四、提交投标文件截止时间、开标时间和地点</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提交投标文件截止时间：</w:t>
      </w:r>
      <w:r>
        <w:rPr>
          <w:rFonts w:hint="eastAsia" w:eastAsia="宋体" w:cs="宋体"/>
          <w:color w:val="auto"/>
          <w:sz w:val="27"/>
          <w:szCs w:val="27"/>
          <w:highlight w:val="none"/>
          <w:lang w:eastAsia="zh-CN"/>
        </w:rPr>
        <w:t>202</w:t>
      </w:r>
      <w:r>
        <w:rPr>
          <w:rFonts w:hint="eastAsia" w:cs="宋体"/>
          <w:color w:val="auto"/>
          <w:sz w:val="27"/>
          <w:szCs w:val="27"/>
          <w:highlight w:val="none"/>
          <w:lang w:val="en-US" w:eastAsia="zh-CN"/>
        </w:rPr>
        <w:t>3</w:t>
      </w:r>
      <w:r>
        <w:rPr>
          <w:rFonts w:hint="eastAsia" w:eastAsia="宋体" w:cs="宋体"/>
          <w:color w:val="auto"/>
          <w:sz w:val="27"/>
          <w:szCs w:val="27"/>
          <w:highlight w:val="none"/>
          <w:lang w:eastAsia="zh-CN"/>
        </w:rPr>
        <w:t>年</w:t>
      </w:r>
      <w:r>
        <w:rPr>
          <w:rFonts w:hint="eastAsia" w:cs="宋体"/>
          <w:color w:val="auto"/>
          <w:sz w:val="27"/>
          <w:szCs w:val="27"/>
          <w:highlight w:val="none"/>
          <w:lang w:val="en-US" w:eastAsia="zh-CN"/>
        </w:rPr>
        <w:t>10</w:t>
      </w:r>
      <w:r>
        <w:rPr>
          <w:rFonts w:hint="eastAsia" w:eastAsia="宋体" w:cs="宋体"/>
          <w:color w:val="auto"/>
          <w:sz w:val="27"/>
          <w:szCs w:val="27"/>
          <w:highlight w:val="none"/>
          <w:lang w:eastAsia="zh-CN"/>
        </w:rPr>
        <w:t>月</w:t>
      </w:r>
      <w:r>
        <w:rPr>
          <w:rFonts w:hint="eastAsia" w:cs="宋体"/>
          <w:color w:val="auto"/>
          <w:sz w:val="27"/>
          <w:szCs w:val="27"/>
          <w:highlight w:val="none"/>
          <w:lang w:val="en-US" w:eastAsia="zh-CN"/>
        </w:rPr>
        <w:t>8</w:t>
      </w:r>
      <w:r>
        <w:rPr>
          <w:rFonts w:hint="eastAsia" w:eastAsia="宋体" w:cs="宋体"/>
          <w:color w:val="auto"/>
          <w:sz w:val="27"/>
          <w:szCs w:val="27"/>
          <w:highlight w:val="none"/>
          <w:lang w:eastAsia="zh-CN"/>
        </w:rPr>
        <w:t>日</w:t>
      </w:r>
      <w:r>
        <w:rPr>
          <w:rFonts w:hint="eastAsia" w:ascii="宋体" w:hAnsi="宋体" w:eastAsia="宋体" w:cs="宋体"/>
          <w:color w:val="auto"/>
          <w:sz w:val="27"/>
          <w:szCs w:val="27"/>
          <w:highlight w:val="none"/>
        </w:rPr>
        <w:t xml:space="preserve"> </w:t>
      </w:r>
      <w:r>
        <w:rPr>
          <w:rFonts w:hint="eastAsia" w:ascii="宋体" w:hAnsi="宋体" w:eastAsia="宋体" w:cs="宋体"/>
          <w:color w:val="auto"/>
          <w:sz w:val="27"/>
          <w:szCs w:val="27"/>
          <w:highlight w:val="none"/>
          <w:lang w:val="en-US" w:eastAsia="zh-CN"/>
        </w:rPr>
        <w:t>1</w:t>
      </w:r>
      <w:r>
        <w:rPr>
          <w:rFonts w:hint="eastAsia" w:cs="宋体"/>
          <w:color w:val="auto"/>
          <w:sz w:val="27"/>
          <w:szCs w:val="27"/>
          <w:highlight w:val="none"/>
          <w:lang w:val="en-US" w:eastAsia="zh-CN"/>
        </w:rPr>
        <w:t>1</w:t>
      </w:r>
      <w:r>
        <w:rPr>
          <w:rFonts w:hint="eastAsia" w:ascii="宋体" w:hAnsi="宋体" w:eastAsia="宋体" w:cs="宋体"/>
          <w:color w:val="auto"/>
          <w:sz w:val="27"/>
          <w:szCs w:val="27"/>
          <w:highlight w:val="none"/>
          <w:lang w:val="en-US" w:eastAsia="zh-CN"/>
        </w:rPr>
        <w:t>:</w:t>
      </w:r>
      <w:r>
        <w:rPr>
          <w:rFonts w:hint="eastAsia" w:cs="宋体"/>
          <w:color w:val="auto"/>
          <w:sz w:val="27"/>
          <w:szCs w:val="27"/>
          <w:highlight w:val="none"/>
          <w:lang w:val="en-US" w:eastAsia="zh-CN"/>
        </w:rPr>
        <w:t>0</w:t>
      </w:r>
      <w:r>
        <w:rPr>
          <w:rFonts w:hint="eastAsia" w:ascii="宋体" w:hAnsi="宋体" w:eastAsia="宋体" w:cs="宋体"/>
          <w:color w:val="auto"/>
          <w:sz w:val="27"/>
          <w:szCs w:val="27"/>
          <w:highlight w:val="none"/>
          <w:lang w:val="en-US" w:eastAsia="zh-CN"/>
        </w:rPr>
        <w:t>0</w:t>
      </w:r>
      <w:r>
        <w:rPr>
          <w:rFonts w:hint="eastAsia" w:ascii="宋体" w:hAnsi="宋体" w:eastAsia="宋体" w:cs="宋体"/>
          <w:color w:val="auto"/>
          <w:sz w:val="27"/>
          <w:szCs w:val="27"/>
          <w:highlight w:val="none"/>
        </w:rPr>
        <w:t>（北京时间）</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cs="宋体"/>
          <w:color w:val="auto"/>
          <w:sz w:val="27"/>
          <w:szCs w:val="27"/>
          <w:highlight w:val="none"/>
          <w:lang w:val="en-US" w:eastAsia="zh-CN"/>
        </w:rPr>
      </w:pPr>
      <w:r>
        <w:rPr>
          <w:rFonts w:hint="eastAsia" w:ascii="宋体" w:hAnsi="宋体" w:eastAsia="宋体" w:cs="宋体"/>
          <w:color w:val="auto"/>
          <w:sz w:val="27"/>
          <w:szCs w:val="27"/>
          <w:highlight w:val="none"/>
        </w:rPr>
        <w:t>投标地点：</w:t>
      </w:r>
      <w:r>
        <w:rPr>
          <w:rFonts w:hint="eastAsia" w:cs="宋体"/>
          <w:color w:val="auto"/>
          <w:sz w:val="27"/>
          <w:szCs w:val="27"/>
          <w:highlight w:val="none"/>
          <w:lang w:val="en-US" w:eastAsia="zh-CN"/>
        </w:rPr>
        <w:t>政采云平台</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开标时间：</w:t>
      </w:r>
      <w:r>
        <w:rPr>
          <w:rFonts w:hint="eastAsia" w:eastAsia="宋体" w:cs="宋体"/>
          <w:color w:val="auto"/>
          <w:sz w:val="27"/>
          <w:szCs w:val="27"/>
          <w:highlight w:val="none"/>
          <w:lang w:eastAsia="zh-CN"/>
        </w:rPr>
        <w:t>202</w:t>
      </w:r>
      <w:r>
        <w:rPr>
          <w:rFonts w:hint="eastAsia" w:cs="宋体"/>
          <w:color w:val="auto"/>
          <w:sz w:val="27"/>
          <w:szCs w:val="27"/>
          <w:highlight w:val="none"/>
          <w:lang w:val="en-US" w:eastAsia="zh-CN"/>
        </w:rPr>
        <w:t>3</w:t>
      </w:r>
      <w:r>
        <w:rPr>
          <w:rFonts w:hint="eastAsia" w:eastAsia="宋体" w:cs="宋体"/>
          <w:color w:val="auto"/>
          <w:sz w:val="27"/>
          <w:szCs w:val="27"/>
          <w:highlight w:val="none"/>
          <w:lang w:eastAsia="zh-CN"/>
        </w:rPr>
        <w:t>年</w:t>
      </w:r>
      <w:r>
        <w:rPr>
          <w:rFonts w:hint="eastAsia" w:cs="宋体"/>
          <w:color w:val="auto"/>
          <w:sz w:val="27"/>
          <w:szCs w:val="27"/>
          <w:highlight w:val="none"/>
          <w:lang w:val="en-US" w:eastAsia="zh-CN"/>
        </w:rPr>
        <w:t>10</w:t>
      </w:r>
      <w:r>
        <w:rPr>
          <w:rFonts w:hint="eastAsia" w:eastAsia="宋体" w:cs="宋体"/>
          <w:color w:val="auto"/>
          <w:sz w:val="27"/>
          <w:szCs w:val="27"/>
          <w:highlight w:val="none"/>
          <w:lang w:eastAsia="zh-CN"/>
        </w:rPr>
        <w:t>月</w:t>
      </w:r>
      <w:r>
        <w:rPr>
          <w:rFonts w:hint="eastAsia" w:cs="宋体"/>
          <w:color w:val="auto"/>
          <w:sz w:val="27"/>
          <w:szCs w:val="27"/>
          <w:highlight w:val="none"/>
          <w:lang w:val="en-US" w:eastAsia="zh-CN"/>
        </w:rPr>
        <w:t>8</w:t>
      </w:r>
      <w:r>
        <w:rPr>
          <w:rFonts w:hint="eastAsia" w:eastAsia="宋体" w:cs="宋体"/>
          <w:color w:val="auto"/>
          <w:sz w:val="27"/>
          <w:szCs w:val="27"/>
          <w:highlight w:val="none"/>
          <w:lang w:eastAsia="zh-CN"/>
        </w:rPr>
        <w:t>日</w:t>
      </w:r>
      <w:r>
        <w:rPr>
          <w:rFonts w:hint="eastAsia" w:cs="宋体"/>
          <w:color w:val="auto"/>
          <w:sz w:val="27"/>
          <w:szCs w:val="27"/>
          <w:highlight w:val="none"/>
          <w:lang w:val="en-US" w:eastAsia="zh-CN"/>
        </w:rPr>
        <w:t xml:space="preserve"> </w:t>
      </w:r>
      <w:r>
        <w:rPr>
          <w:rFonts w:hint="eastAsia" w:ascii="宋体" w:hAnsi="宋体" w:eastAsia="宋体" w:cs="宋体"/>
          <w:color w:val="auto"/>
          <w:sz w:val="27"/>
          <w:szCs w:val="27"/>
          <w:highlight w:val="none"/>
          <w:lang w:val="en-US" w:eastAsia="zh-CN"/>
        </w:rPr>
        <w:t>1</w:t>
      </w:r>
      <w:r>
        <w:rPr>
          <w:rFonts w:hint="eastAsia" w:cs="宋体"/>
          <w:color w:val="auto"/>
          <w:sz w:val="27"/>
          <w:szCs w:val="27"/>
          <w:highlight w:val="none"/>
          <w:lang w:val="en-US" w:eastAsia="zh-CN"/>
        </w:rPr>
        <w:t>1</w:t>
      </w:r>
      <w:r>
        <w:rPr>
          <w:rFonts w:hint="eastAsia" w:ascii="宋体" w:hAnsi="宋体" w:eastAsia="宋体" w:cs="宋体"/>
          <w:color w:val="auto"/>
          <w:sz w:val="27"/>
          <w:szCs w:val="27"/>
          <w:highlight w:val="none"/>
          <w:lang w:val="en-US" w:eastAsia="zh-CN"/>
        </w:rPr>
        <w:t>:</w:t>
      </w:r>
      <w:r>
        <w:rPr>
          <w:rFonts w:hint="eastAsia" w:cs="宋体"/>
          <w:color w:val="auto"/>
          <w:sz w:val="27"/>
          <w:szCs w:val="27"/>
          <w:highlight w:val="none"/>
          <w:lang w:val="en-US" w:eastAsia="zh-CN"/>
        </w:rPr>
        <w:t>3</w:t>
      </w:r>
      <w:r>
        <w:rPr>
          <w:rFonts w:hint="eastAsia" w:ascii="宋体" w:hAnsi="宋体" w:eastAsia="宋体" w:cs="宋体"/>
          <w:color w:val="auto"/>
          <w:sz w:val="27"/>
          <w:szCs w:val="27"/>
          <w:highlight w:val="none"/>
          <w:lang w:val="en-US" w:eastAsia="zh-CN"/>
        </w:rPr>
        <w:t>0</w:t>
      </w:r>
      <w:r>
        <w:rPr>
          <w:rFonts w:hint="eastAsia" w:ascii="宋体" w:hAnsi="宋体" w:eastAsia="宋体" w:cs="宋体"/>
          <w:color w:val="auto"/>
          <w:sz w:val="27"/>
          <w:szCs w:val="27"/>
          <w:highlight w:val="none"/>
        </w:rPr>
        <w:t>（北京时间）</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开标地点：</w:t>
      </w:r>
      <w:r>
        <w:rPr>
          <w:rFonts w:hint="eastAsia" w:cs="宋体"/>
          <w:color w:val="auto"/>
          <w:sz w:val="27"/>
          <w:szCs w:val="27"/>
          <w:highlight w:val="none"/>
          <w:lang w:val="en-US" w:eastAsia="zh-CN"/>
        </w:rPr>
        <w:t>政采云平台</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52"/>
          <w:rFonts w:hint="eastAsia" w:ascii="宋体" w:hAnsi="宋体" w:eastAsia="宋体" w:cs="宋体"/>
          <w:color w:val="auto"/>
          <w:sz w:val="27"/>
          <w:szCs w:val="27"/>
          <w:highlight w:val="none"/>
        </w:rPr>
        <w:t>五、公告期限</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自本公告发布之日起5个工作日。</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27"/>
          <w:szCs w:val="27"/>
          <w:highlight w:val="none"/>
        </w:rPr>
      </w:pPr>
      <w:r>
        <w:rPr>
          <w:rStyle w:val="52"/>
          <w:rFonts w:hint="eastAsia" w:ascii="宋体" w:hAnsi="宋体" w:eastAsia="宋体" w:cs="宋体"/>
          <w:color w:val="auto"/>
          <w:sz w:val="27"/>
          <w:szCs w:val="27"/>
          <w:highlight w:val="none"/>
        </w:rPr>
        <w:t>六、其他补充事宜</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eastAsia="zh-CN"/>
        </w:rPr>
      </w:pPr>
      <w:r>
        <w:rPr>
          <w:rFonts w:hint="eastAsia" w:ascii="宋体" w:hAnsi="宋体" w:eastAsia="宋体" w:cs="宋体"/>
          <w:color w:val="auto"/>
          <w:sz w:val="27"/>
          <w:szCs w:val="27"/>
          <w:highlight w:val="none"/>
        </w:rPr>
        <w:t>获取招标文件时</w:t>
      </w:r>
      <w:r>
        <w:rPr>
          <w:rFonts w:hint="eastAsia" w:cs="宋体"/>
          <w:color w:val="auto"/>
          <w:sz w:val="27"/>
          <w:szCs w:val="27"/>
          <w:highlight w:val="none"/>
          <w:lang w:val="en-US" w:eastAsia="zh-CN"/>
        </w:rPr>
        <w:t>需携带</w:t>
      </w:r>
      <w:r>
        <w:rPr>
          <w:rFonts w:hint="eastAsia" w:ascii="宋体" w:hAnsi="宋体" w:eastAsia="宋体" w:cs="宋体"/>
          <w:color w:val="auto"/>
          <w:sz w:val="27"/>
          <w:szCs w:val="27"/>
          <w:highlight w:val="none"/>
        </w:rPr>
        <w:t>以下资料</w:t>
      </w:r>
      <w:r>
        <w:rPr>
          <w:rFonts w:hint="eastAsia" w:cs="宋体"/>
          <w:color w:val="auto"/>
          <w:sz w:val="27"/>
          <w:szCs w:val="27"/>
          <w:highlight w:val="none"/>
          <w:lang w:val="en-US" w:eastAsia="zh-CN"/>
        </w:rPr>
        <w:t>至代理公司</w:t>
      </w:r>
      <w:r>
        <w:rPr>
          <w:rFonts w:hint="eastAsia" w:ascii="宋体" w:hAnsi="宋体" w:eastAsia="宋体" w:cs="宋体"/>
          <w:color w:val="auto"/>
          <w:sz w:val="27"/>
          <w:szCs w:val="27"/>
          <w:highlight w:val="none"/>
        </w:rPr>
        <w:t>。（1）有效的营业执照；（</w:t>
      </w:r>
      <w:r>
        <w:rPr>
          <w:rFonts w:hint="eastAsia" w:eastAsia="宋体" w:cs="宋体"/>
          <w:color w:val="auto"/>
          <w:sz w:val="27"/>
          <w:szCs w:val="27"/>
          <w:highlight w:val="none"/>
          <w:lang w:val="en-US" w:eastAsia="zh-CN"/>
        </w:rPr>
        <w:t>2</w:t>
      </w:r>
      <w:r>
        <w:rPr>
          <w:rFonts w:hint="eastAsia" w:ascii="宋体" w:hAnsi="宋体" w:eastAsia="宋体" w:cs="宋体"/>
          <w:color w:val="auto"/>
          <w:sz w:val="27"/>
          <w:szCs w:val="27"/>
          <w:highlight w:val="none"/>
        </w:rPr>
        <w:t>）</w:t>
      </w:r>
      <w:r>
        <w:rPr>
          <w:rFonts w:hint="eastAsia" w:cs="宋体"/>
          <w:color w:val="auto"/>
          <w:sz w:val="27"/>
          <w:szCs w:val="27"/>
          <w:highlight w:val="none"/>
          <w:lang w:val="en-US" w:eastAsia="zh-CN"/>
        </w:rPr>
        <w:t>近期</w:t>
      </w:r>
      <w:r>
        <w:rPr>
          <w:rFonts w:hint="eastAsia" w:eastAsia="宋体" w:cs="宋体"/>
          <w:color w:val="auto"/>
          <w:sz w:val="27"/>
          <w:szCs w:val="27"/>
          <w:highlight w:val="none"/>
          <w:lang w:val="en-US" w:eastAsia="zh-CN"/>
        </w:rPr>
        <w:t>的</w:t>
      </w:r>
      <w:r>
        <w:rPr>
          <w:rFonts w:hint="eastAsia" w:ascii="宋体" w:hAnsi="宋体" w:eastAsia="宋体" w:cs="宋体"/>
          <w:color w:val="auto"/>
          <w:sz w:val="27"/>
          <w:szCs w:val="27"/>
          <w:highlight w:val="none"/>
        </w:rPr>
        <w:t>社保缴纳证明（需有相关人员的社保缴纳明细，退休人员需提供退休证明）和</w:t>
      </w:r>
      <w:r>
        <w:rPr>
          <w:rFonts w:hint="eastAsia" w:cs="宋体"/>
          <w:color w:val="auto"/>
          <w:sz w:val="27"/>
          <w:szCs w:val="27"/>
          <w:highlight w:val="none"/>
          <w:lang w:val="en-US" w:eastAsia="zh-CN"/>
        </w:rPr>
        <w:t>近期</w:t>
      </w:r>
      <w:r>
        <w:rPr>
          <w:rFonts w:hint="eastAsia" w:eastAsia="宋体" w:cs="宋体"/>
          <w:color w:val="auto"/>
          <w:sz w:val="27"/>
          <w:szCs w:val="27"/>
          <w:highlight w:val="none"/>
          <w:lang w:val="en-US" w:eastAsia="zh-CN"/>
        </w:rPr>
        <w:t>的</w:t>
      </w:r>
      <w:r>
        <w:rPr>
          <w:rFonts w:hint="eastAsia" w:ascii="宋体" w:hAnsi="宋体" w:eastAsia="宋体" w:cs="宋体"/>
          <w:color w:val="auto"/>
          <w:sz w:val="27"/>
          <w:szCs w:val="27"/>
          <w:highlight w:val="none"/>
        </w:rPr>
        <w:t>完税证明；（</w:t>
      </w:r>
      <w:r>
        <w:rPr>
          <w:rFonts w:hint="eastAsia" w:eastAsia="宋体" w:cs="宋体"/>
          <w:color w:val="auto"/>
          <w:sz w:val="27"/>
          <w:szCs w:val="27"/>
          <w:highlight w:val="none"/>
          <w:lang w:val="en-US" w:eastAsia="zh-CN"/>
        </w:rPr>
        <w:t>3</w:t>
      </w:r>
      <w:r>
        <w:rPr>
          <w:rFonts w:hint="eastAsia" w:ascii="宋体" w:hAnsi="宋体" w:eastAsia="宋体" w:cs="宋体"/>
          <w:color w:val="auto"/>
          <w:sz w:val="27"/>
          <w:szCs w:val="27"/>
          <w:highlight w:val="none"/>
        </w:rPr>
        <w:t>）近一年的财务报表（成立不足一年的提供成立至今的财务报表，包含资产负债表、现金流量表、利润表）（</w:t>
      </w:r>
      <w:r>
        <w:rPr>
          <w:rFonts w:hint="eastAsia" w:eastAsia="宋体" w:cs="宋体"/>
          <w:color w:val="auto"/>
          <w:sz w:val="27"/>
          <w:szCs w:val="27"/>
          <w:highlight w:val="none"/>
          <w:lang w:val="en-US" w:eastAsia="zh-CN"/>
        </w:rPr>
        <w:t>4</w:t>
      </w:r>
      <w:r>
        <w:rPr>
          <w:rFonts w:hint="eastAsia" w:ascii="宋体" w:hAnsi="宋体" w:eastAsia="宋体" w:cs="宋体"/>
          <w:color w:val="auto"/>
          <w:sz w:val="27"/>
          <w:szCs w:val="27"/>
          <w:highlight w:val="none"/>
        </w:rPr>
        <w:t>）供应商如在</w:t>
      </w:r>
      <w:r>
        <w:rPr>
          <w:rFonts w:hint="eastAsia" w:ascii="宋体" w:hAnsi="宋体" w:eastAsia="宋体" w:cs="宋体"/>
          <w:color w:val="auto"/>
          <w:sz w:val="27"/>
          <w:szCs w:val="27"/>
          <w:highlight w:val="none"/>
          <w:lang w:val="en-US" w:eastAsia="zh-CN"/>
        </w:rPr>
        <w:t>“信用中国”网站信用报告和国家企业信用信息公示报告、中国政府采购严重违法失信行为记录名单（尚在处罚期内的将被拒绝投标），</w:t>
      </w:r>
      <w:r>
        <w:rPr>
          <w:rFonts w:hint="eastAsia" w:ascii="宋体" w:hAnsi="宋体" w:eastAsia="宋体" w:cs="宋体"/>
          <w:color w:val="auto"/>
          <w:sz w:val="27"/>
          <w:szCs w:val="27"/>
          <w:highlight w:val="none"/>
        </w:rPr>
        <w:t>投标人网上自行打印</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以上资料须加盖投标人单位公章</w:t>
      </w:r>
      <w:r>
        <w:rPr>
          <w:rFonts w:hint="eastAsia" w:ascii="宋体" w:hAnsi="宋体" w:eastAsia="宋体" w:cs="宋体"/>
          <w:color w:val="auto"/>
          <w:sz w:val="27"/>
          <w:szCs w:val="27"/>
          <w:highlight w:val="none"/>
          <w:lang w:eastAsia="zh-CN"/>
        </w:rPr>
        <w:t>）</w:t>
      </w:r>
      <w:r>
        <w:rPr>
          <w:rFonts w:hint="eastAsia" w:ascii="宋体" w:hAnsi="宋体" w:eastAsia="宋体" w:cs="宋体"/>
          <w:color w:val="auto"/>
          <w:sz w:val="27"/>
          <w:szCs w:val="27"/>
          <w:highlight w:val="none"/>
          <w:lang w:val="en-US" w:eastAsia="zh-CN"/>
        </w:rPr>
        <w:t>（</w:t>
      </w:r>
      <w:r>
        <w:rPr>
          <w:rFonts w:hint="eastAsia" w:cs="宋体"/>
          <w:color w:val="auto"/>
          <w:sz w:val="27"/>
          <w:szCs w:val="27"/>
          <w:highlight w:val="none"/>
          <w:lang w:val="en-US" w:eastAsia="zh-CN"/>
        </w:rPr>
        <w:t>5</w:t>
      </w:r>
      <w:r>
        <w:rPr>
          <w:rFonts w:hint="eastAsia" w:ascii="宋体" w:hAnsi="宋体" w:eastAsia="宋体" w:cs="宋体"/>
          <w:color w:val="auto"/>
          <w:sz w:val="27"/>
          <w:szCs w:val="27"/>
          <w:highlight w:val="none"/>
          <w:lang w:val="en-US" w:eastAsia="zh-CN"/>
        </w:rPr>
        <w:t>）投标人应为具有独立法人资格的生产厂家或经销商。且具备提供本次采购所需货物、服务及在设备、资金、人员组织等方面具有完成合同的能力；（</w:t>
      </w:r>
      <w:r>
        <w:rPr>
          <w:rFonts w:hint="eastAsia" w:cs="宋体"/>
          <w:color w:val="auto"/>
          <w:sz w:val="27"/>
          <w:szCs w:val="27"/>
          <w:highlight w:val="none"/>
          <w:lang w:val="en-US" w:eastAsia="zh-CN"/>
        </w:rPr>
        <w:t>6</w:t>
      </w:r>
      <w:r>
        <w:rPr>
          <w:rFonts w:hint="eastAsia" w:ascii="宋体" w:hAnsi="宋体" w:eastAsia="宋体" w:cs="宋体"/>
          <w:color w:val="auto"/>
          <w:sz w:val="27"/>
          <w:szCs w:val="27"/>
          <w:highlight w:val="none"/>
          <w:lang w:val="en-US" w:eastAsia="zh-CN"/>
        </w:rPr>
        <w:t>）投标人的单位负责人为同一人或者存在直接控股、管理关系的不同投标人，不得参加本次投标活动同一标段的投标；</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52"/>
          <w:rFonts w:hint="eastAsia" w:ascii="宋体" w:hAnsi="宋体" w:eastAsia="宋体" w:cs="宋体"/>
          <w:b w:val="0"/>
          <w:bCs w:val="0"/>
          <w:color w:val="auto"/>
          <w:sz w:val="27"/>
          <w:szCs w:val="27"/>
          <w:highlight w:val="none"/>
        </w:rPr>
      </w:pPr>
      <w:r>
        <w:rPr>
          <w:rStyle w:val="52"/>
          <w:rFonts w:hint="eastAsia" w:ascii="宋体" w:hAnsi="宋体" w:eastAsia="宋体" w:cs="宋体"/>
          <w:b w:val="0"/>
          <w:bCs w:val="0"/>
          <w:color w:val="auto"/>
          <w:sz w:val="27"/>
          <w:szCs w:val="27"/>
          <w:highlight w:val="none"/>
        </w:rPr>
        <w:t>特别提示：</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52"/>
          <w:rFonts w:hint="eastAsia" w:ascii="宋体" w:hAnsi="宋体" w:eastAsia="宋体" w:cs="宋体"/>
          <w:b w:val="0"/>
          <w:bCs w:val="0"/>
          <w:color w:val="auto"/>
          <w:sz w:val="27"/>
          <w:szCs w:val="27"/>
          <w:highlight w:val="none"/>
        </w:rPr>
      </w:pPr>
      <w:r>
        <w:rPr>
          <w:rStyle w:val="52"/>
          <w:rFonts w:hint="eastAsia" w:ascii="宋体" w:hAnsi="宋体" w:eastAsia="宋体" w:cs="宋体"/>
          <w:b w:val="0"/>
          <w:bCs w:val="0"/>
          <w:color w:val="auto"/>
          <w:sz w:val="27"/>
          <w:szCs w:val="27"/>
          <w:highlight w:val="none"/>
        </w:rPr>
        <w:t>1、超过200万元的货物和服务采购项目、超过400万元的工程采购项目中适宜由中小企业提供的，预留该部分采购项目预算总额的40%以上专门面向中小企业采购，其中预留给小微企业的比例不低于60%。</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52"/>
          <w:rFonts w:hint="eastAsia" w:ascii="宋体" w:hAnsi="宋体" w:eastAsia="宋体" w:cs="宋体"/>
          <w:b w:val="0"/>
          <w:bCs w:val="0"/>
          <w:color w:val="auto"/>
          <w:sz w:val="27"/>
          <w:szCs w:val="27"/>
          <w:highlight w:val="none"/>
        </w:rPr>
      </w:pPr>
      <w:r>
        <w:rPr>
          <w:rStyle w:val="52"/>
          <w:rFonts w:hint="eastAsia" w:ascii="宋体" w:hAnsi="宋体" w:eastAsia="宋体" w:cs="宋体"/>
          <w:b w:val="0"/>
          <w:bCs w:val="0"/>
          <w:color w:val="auto"/>
          <w:sz w:val="27"/>
          <w:szCs w:val="27"/>
          <w:highlight w:val="none"/>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Style w:val="52"/>
          <w:rFonts w:hint="eastAsia" w:ascii="宋体" w:hAnsi="宋体" w:eastAsia="宋体" w:cs="宋体"/>
          <w:color w:val="auto"/>
          <w:sz w:val="27"/>
          <w:szCs w:val="27"/>
          <w:highlight w:val="none"/>
        </w:rPr>
      </w:pPr>
      <w:r>
        <w:rPr>
          <w:rStyle w:val="52"/>
          <w:rFonts w:hint="eastAsia" w:ascii="宋体" w:hAnsi="宋体" w:eastAsia="宋体" w:cs="宋体"/>
          <w:b w:val="0"/>
          <w:bCs w:val="0"/>
          <w:color w:val="auto"/>
          <w:sz w:val="27"/>
          <w:szCs w:val="27"/>
          <w:highlight w:val="none"/>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4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440" w:lineRule="exact"/>
        <w:ind w:left="0" w:right="0"/>
        <w:jc w:val="both"/>
        <w:textAlignment w:val="auto"/>
        <w:rPr>
          <w:rFonts w:hint="eastAsia" w:ascii="宋体" w:hAnsi="宋体" w:eastAsia="宋体" w:cs="宋体"/>
          <w:color w:val="auto"/>
          <w:sz w:val="31"/>
          <w:szCs w:val="31"/>
          <w:highlight w:val="none"/>
        </w:rPr>
      </w:pPr>
      <w:r>
        <w:rPr>
          <w:rStyle w:val="52"/>
          <w:rFonts w:hint="eastAsia" w:ascii="宋体" w:hAnsi="宋体" w:eastAsia="宋体" w:cs="宋体"/>
          <w:color w:val="auto"/>
          <w:sz w:val="27"/>
          <w:szCs w:val="27"/>
          <w:highlight w:val="none"/>
        </w:rPr>
        <w:t>七、对本次采购提出询问，请按以下方式联系</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highlight w:val="none"/>
        </w:rPr>
      </w:pPr>
      <w:r>
        <w:rPr>
          <w:rFonts w:hint="eastAsia" w:ascii="宋体" w:hAnsi="宋体" w:eastAsia="宋体" w:cs="宋体"/>
          <w:color w:val="auto"/>
          <w:sz w:val="27"/>
          <w:szCs w:val="27"/>
          <w:highlight w:val="none"/>
        </w:rPr>
        <w:t>1.采购人信息</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名 称：</w:t>
      </w:r>
      <w:r>
        <w:rPr>
          <w:rFonts w:hint="eastAsia" w:cs="宋体"/>
          <w:color w:val="auto"/>
          <w:sz w:val="27"/>
          <w:szCs w:val="27"/>
          <w:highlight w:val="none"/>
          <w:lang w:val="en-US" w:eastAsia="zh-CN"/>
        </w:rPr>
        <w:t>阿瓦提县自然资源局</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cs="宋体"/>
          <w:color w:val="auto"/>
          <w:sz w:val="27"/>
          <w:szCs w:val="27"/>
          <w:highlight w:val="none"/>
          <w:lang w:val="en-US" w:eastAsia="zh-CN"/>
        </w:rPr>
      </w:pPr>
      <w:r>
        <w:rPr>
          <w:rFonts w:hint="eastAsia" w:ascii="宋体" w:hAnsi="宋体" w:eastAsia="宋体" w:cs="宋体"/>
          <w:color w:val="auto"/>
          <w:sz w:val="27"/>
          <w:szCs w:val="27"/>
          <w:highlight w:val="none"/>
        </w:rPr>
        <w:t>地 址：</w:t>
      </w:r>
      <w:r>
        <w:rPr>
          <w:rFonts w:hint="eastAsia" w:cs="宋体"/>
          <w:color w:val="auto"/>
          <w:sz w:val="27"/>
          <w:szCs w:val="27"/>
          <w:highlight w:val="none"/>
          <w:lang w:val="en-US" w:eastAsia="zh-CN"/>
        </w:rPr>
        <w:t>阿瓦提县</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ascii="宋体" w:hAnsi="宋体" w:eastAsia="宋体" w:cs="宋体"/>
          <w:color w:val="auto"/>
          <w:highlight w:val="none"/>
          <w:lang w:val="en-US" w:eastAsia="zh-CN"/>
        </w:rPr>
      </w:pPr>
      <w:r>
        <w:rPr>
          <w:rFonts w:hint="eastAsia" w:ascii="宋体" w:hAnsi="宋体" w:eastAsia="宋体" w:cs="宋体"/>
          <w:color w:val="auto"/>
          <w:sz w:val="27"/>
          <w:szCs w:val="27"/>
          <w:highlight w:val="none"/>
        </w:rPr>
        <w:t>联系方式：</w:t>
      </w:r>
      <w:r>
        <w:rPr>
          <w:rFonts w:hint="eastAsia" w:cs="宋体"/>
          <w:color w:val="auto"/>
          <w:sz w:val="27"/>
          <w:szCs w:val="27"/>
          <w:highlight w:val="none"/>
          <w:lang w:val="en-US" w:eastAsia="zh-CN"/>
        </w:rPr>
        <w:t>18099079188</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2.采购代理机构信息</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名    称：</w:t>
      </w:r>
      <w:r>
        <w:rPr>
          <w:rFonts w:hint="eastAsia" w:eastAsia="宋体" w:cs="宋体"/>
          <w:color w:val="auto"/>
          <w:sz w:val="27"/>
          <w:szCs w:val="27"/>
          <w:highlight w:val="none"/>
          <w:lang w:val="en-US" w:eastAsia="zh-CN"/>
        </w:rPr>
        <w:t>新疆</w:t>
      </w:r>
      <w:r>
        <w:rPr>
          <w:rFonts w:hint="eastAsia" w:cs="宋体"/>
          <w:color w:val="auto"/>
          <w:sz w:val="27"/>
          <w:szCs w:val="27"/>
          <w:highlight w:val="none"/>
          <w:lang w:val="en-US" w:eastAsia="zh-CN"/>
        </w:rPr>
        <w:t>安航工程</w:t>
      </w:r>
      <w:r>
        <w:rPr>
          <w:rFonts w:hint="eastAsia" w:eastAsia="宋体" w:cs="宋体"/>
          <w:color w:val="auto"/>
          <w:sz w:val="27"/>
          <w:szCs w:val="27"/>
          <w:highlight w:val="none"/>
          <w:lang w:val="en-US" w:eastAsia="zh-CN"/>
        </w:rPr>
        <w:t>项目管理有限公司</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ascii="宋体" w:hAnsi="宋体" w:eastAsia="宋体"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地    址：</w:t>
      </w:r>
      <w:r>
        <w:rPr>
          <w:rFonts w:hint="eastAsia" w:ascii="宋体" w:hAnsi="宋体" w:eastAsia="宋体" w:cs="宋体"/>
          <w:i w:val="0"/>
          <w:iCs w:val="0"/>
          <w:color w:val="auto"/>
          <w:sz w:val="28"/>
          <w:szCs w:val="28"/>
          <w:highlight w:val="none"/>
          <w:lang w:val="en-US" w:eastAsia="zh-CN"/>
        </w:rPr>
        <w:t>阿克苏市</w:t>
      </w:r>
      <w:r>
        <w:rPr>
          <w:rFonts w:hint="eastAsia" w:cs="宋体"/>
          <w:i w:val="0"/>
          <w:iCs w:val="0"/>
          <w:color w:val="auto"/>
          <w:sz w:val="28"/>
          <w:szCs w:val="28"/>
          <w:highlight w:val="none"/>
          <w:lang w:val="en-US" w:eastAsia="zh-CN"/>
        </w:rPr>
        <w:t>城市壹号A栋3101室</w:t>
      </w:r>
      <w:r>
        <w:rPr>
          <w:rFonts w:hint="eastAsia" w:ascii="宋体" w:hAnsi="宋体" w:eastAsia="宋体" w:cs="宋体"/>
          <w:i w:val="0"/>
          <w:iCs w:val="0"/>
          <w:color w:val="auto"/>
          <w:sz w:val="28"/>
          <w:szCs w:val="28"/>
          <w:highlight w:val="none"/>
          <w:lang w:val="en-US" w:eastAsia="zh-CN"/>
        </w:rPr>
        <w:t>　　</w:t>
      </w:r>
      <w:r>
        <w:rPr>
          <w:rFonts w:hint="eastAsia" w:ascii="宋体" w:hAnsi="宋体" w:eastAsia="宋体" w:cs="宋体"/>
          <w:color w:val="auto"/>
          <w:sz w:val="27"/>
          <w:szCs w:val="27"/>
          <w:highlight w:val="none"/>
          <w:lang w:val="en-US" w:eastAsia="zh-CN"/>
        </w:rPr>
        <w:t xml:space="preserve"> </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eastAsia" w:cs="宋体"/>
          <w:color w:val="auto"/>
          <w:sz w:val="27"/>
          <w:szCs w:val="27"/>
          <w:highlight w:val="none"/>
          <w:lang w:val="en-US" w:eastAsia="zh-CN"/>
        </w:rPr>
      </w:pPr>
      <w:r>
        <w:rPr>
          <w:rFonts w:hint="eastAsia" w:ascii="宋体" w:hAnsi="宋体" w:eastAsia="宋体" w:cs="宋体"/>
          <w:color w:val="auto"/>
          <w:sz w:val="27"/>
          <w:szCs w:val="27"/>
          <w:highlight w:val="none"/>
          <w:lang w:val="en-US" w:eastAsia="zh-CN"/>
        </w:rPr>
        <w:t>联系人：</w:t>
      </w:r>
      <w:r>
        <w:rPr>
          <w:rFonts w:hint="eastAsia" w:cs="宋体"/>
          <w:color w:val="auto"/>
          <w:sz w:val="27"/>
          <w:szCs w:val="27"/>
          <w:highlight w:val="none"/>
          <w:lang w:val="en-US" w:eastAsia="zh-CN"/>
        </w:rPr>
        <w:t>侯宇辉</w:t>
      </w:r>
    </w:p>
    <w:p>
      <w:pPr>
        <w:pStyle w:val="4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40" w:lineRule="exact"/>
        <w:ind w:left="0" w:right="0" w:firstLine="420"/>
        <w:textAlignment w:val="auto"/>
        <w:rPr>
          <w:rFonts w:hint="default"/>
          <w:lang w:val="en-US"/>
        </w:rPr>
      </w:pPr>
      <w:r>
        <w:rPr>
          <w:rFonts w:hint="eastAsia" w:ascii="宋体" w:hAnsi="宋体" w:eastAsia="宋体" w:cs="宋体"/>
          <w:color w:val="auto"/>
          <w:sz w:val="27"/>
          <w:szCs w:val="27"/>
          <w:highlight w:val="none"/>
          <w:lang w:val="en-US" w:eastAsia="zh-CN"/>
        </w:rPr>
        <w:t>联系方式：</w:t>
      </w:r>
      <w:r>
        <w:rPr>
          <w:rFonts w:hint="eastAsia" w:cs="宋体"/>
          <w:color w:val="auto"/>
          <w:sz w:val="27"/>
          <w:szCs w:val="27"/>
          <w:highlight w:val="none"/>
          <w:lang w:val="en-US" w:eastAsia="zh-CN"/>
        </w:rPr>
        <w:t>15292576038</w:t>
      </w:r>
    </w:p>
    <w:p>
      <w:pPr>
        <w:pStyle w:val="3"/>
        <w:keepLines w:val="0"/>
        <w:pageBreakBefore/>
        <w:numPr>
          <w:ilvl w:val="0"/>
          <w:numId w:val="0"/>
        </w:numPr>
        <w:adjustRightInd w:val="0"/>
        <w:snapToGrid w:val="0"/>
        <w:spacing w:before="120" w:after="120" w:line="360" w:lineRule="auto"/>
        <w:ind w:left="3570" w:leftChars="0"/>
        <w:jc w:val="both"/>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lang w:eastAsia="zh-CN"/>
        </w:rPr>
        <w:t>第二章</w:t>
      </w:r>
      <w:r>
        <w:rPr>
          <w:rFonts w:hint="eastAsia" w:ascii="宋体" w:hAnsi="宋体" w:eastAsia="宋体" w:cs="宋体"/>
          <w:b/>
          <w:bCs w:val="0"/>
          <w:color w:val="auto"/>
          <w:sz w:val="32"/>
          <w:szCs w:val="32"/>
          <w:highlight w:val="none"/>
        </w:rPr>
        <w:t xml:space="preserve"> </w:t>
      </w:r>
      <w:bookmarkStart w:id="1" w:name="_Toc10132"/>
      <w:bookmarkStart w:id="2" w:name="_Toc32321"/>
      <w:bookmarkStart w:id="3" w:name="_Toc5463"/>
      <w:r>
        <w:rPr>
          <w:rFonts w:hint="eastAsia" w:ascii="宋体" w:hAnsi="宋体" w:eastAsia="宋体" w:cs="宋体"/>
          <w:b/>
          <w:bCs w:val="0"/>
          <w:color w:val="auto"/>
          <w:sz w:val="32"/>
          <w:szCs w:val="32"/>
          <w:highlight w:val="none"/>
        </w:rPr>
        <w:t>投标人须知</w:t>
      </w:r>
      <w:bookmarkEnd w:id="0"/>
      <w:bookmarkEnd w:id="1"/>
      <w:bookmarkEnd w:id="2"/>
      <w:bookmarkEnd w:id="3"/>
    </w:p>
    <w:p>
      <w:pPr>
        <w:pStyle w:val="2"/>
        <w:keepNext w:val="0"/>
        <w:keepLines w:val="0"/>
        <w:adjustRightInd w:val="0"/>
        <w:snapToGrid w:val="0"/>
        <w:spacing w:before="120" w:after="120" w:line="360" w:lineRule="auto"/>
        <w:jc w:val="center"/>
        <w:rPr>
          <w:rFonts w:hint="eastAsia" w:ascii="宋体" w:hAnsi="宋体" w:eastAsia="宋体" w:cs="宋体"/>
          <w:bCs w:val="0"/>
          <w:color w:val="auto"/>
          <w:sz w:val="28"/>
          <w:szCs w:val="28"/>
          <w:highlight w:val="none"/>
        </w:rPr>
      </w:pPr>
      <w:bookmarkStart w:id="4" w:name="_Toc152042304"/>
      <w:bookmarkStart w:id="5" w:name="_Toc665"/>
      <w:bookmarkStart w:id="6" w:name="_Toc152045528"/>
      <w:bookmarkStart w:id="7" w:name="_Toc179632545"/>
      <w:bookmarkStart w:id="8" w:name="_Toc13641"/>
      <w:bookmarkStart w:id="9" w:name="_Toc25446"/>
      <w:bookmarkStart w:id="10" w:name="_Toc144974496"/>
      <w:r>
        <w:rPr>
          <w:rFonts w:hint="eastAsia" w:ascii="宋体" w:hAnsi="宋体" w:eastAsia="宋体" w:cs="宋体"/>
          <w:bCs w:val="0"/>
          <w:color w:val="auto"/>
          <w:sz w:val="28"/>
          <w:szCs w:val="28"/>
          <w:highlight w:val="none"/>
        </w:rPr>
        <w:t>投标人须知前附表</w:t>
      </w:r>
      <w:bookmarkEnd w:id="4"/>
      <w:bookmarkEnd w:id="5"/>
      <w:bookmarkEnd w:id="6"/>
      <w:bookmarkEnd w:id="7"/>
      <w:bookmarkEnd w:id="8"/>
      <w:bookmarkEnd w:id="9"/>
      <w:bookmarkEnd w:id="10"/>
    </w:p>
    <w:tbl>
      <w:tblPr>
        <w:tblStyle w:val="49"/>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400"/>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885" w:type="dxa"/>
            <w:noWrap w:val="0"/>
            <w:vAlign w:val="center"/>
          </w:tcPr>
          <w:p>
            <w:pPr>
              <w:spacing w:line="360" w:lineRule="auto"/>
              <w:jc w:val="center"/>
              <w:rPr>
                <w:rFonts w:hint="eastAsia" w:ascii="宋体" w:hAnsi="宋体" w:cs="宋体"/>
                <w:b/>
                <w:sz w:val="24"/>
              </w:rPr>
            </w:pPr>
            <w:bookmarkStart w:id="11" w:name="_Toc2427"/>
            <w:bookmarkStart w:id="12" w:name="_Toc26931"/>
            <w:bookmarkStart w:id="13" w:name="_Toc21488"/>
            <w:bookmarkStart w:id="14" w:name="_Toc179632546"/>
            <w:bookmarkStart w:id="15" w:name="_Toc152045529"/>
            <w:bookmarkStart w:id="16" w:name="_Toc144974497"/>
            <w:bookmarkStart w:id="17" w:name="_Toc152042305"/>
            <w:r>
              <w:rPr>
                <w:rFonts w:hint="eastAsia" w:ascii="宋体" w:hAnsi="宋体" w:cs="宋体"/>
                <w:b/>
                <w:sz w:val="24"/>
              </w:rPr>
              <w:t>序号</w:t>
            </w:r>
          </w:p>
        </w:tc>
        <w:tc>
          <w:tcPr>
            <w:tcW w:w="2400" w:type="dxa"/>
            <w:noWrap w:val="0"/>
            <w:vAlign w:val="center"/>
          </w:tcPr>
          <w:p>
            <w:pPr>
              <w:keepNext/>
              <w:spacing w:line="360" w:lineRule="auto"/>
              <w:jc w:val="center"/>
              <w:rPr>
                <w:rFonts w:hint="eastAsia" w:ascii="宋体" w:hAnsi="宋体" w:cs="宋体"/>
                <w:b/>
                <w:sz w:val="24"/>
              </w:rPr>
            </w:pPr>
            <w:r>
              <w:rPr>
                <w:rFonts w:hint="eastAsia" w:ascii="宋体" w:hAnsi="宋体" w:cs="宋体"/>
                <w:b/>
                <w:bCs/>
                <w:color w:val="000000"/>
                <w:sz w:val="24"/>
              </w:rPr>
              <w:t>采购人</w:t>
            </w:r>
          </w:p>
        </w:tc>
        <w:tc>
          <w:tcPr>
            <w:tcW w:w="5871" w:type="dxa"/>
            <w:noWrap w:val="0"/>
            <w:vAlign w:val="center"/>
          </w:tcPr>
          <w:p>
            <w:pPr>
              <w:keepNext/>
              <w:spacing w:line="360" w:lineRule="auto"/>
              <w:rPr>
                <w:rFonts w:hint="eastAsia" w:ascii="宋体" w:hAnsi="宋体" w:cs="宋体"/>
                <w:sz w:val="24"/>
              </w:rPr>
            </w:pPr>
            <w:r>
              <w:rPr>
                <w:rFonts w:hint="eastAsia" w:ascii="宋体" w:hAnsi="宋体" w:cs="宋体"/>
                <w:sz w:val="24"/>
              </w:rPr>
              <w:t>名称：</w:t>
            </w:r>
            <w:r>
              <w:rPr>
                <w:rFonts w:hint="eastAsia" w:ascii="宋体" w:hAnsi="宋体" w:cs="宋体"/>
                <w:sz w:val="24"/>
                <w:szCs w:val="24"/>
                <w:lang w:eastAsia="zh-CN"/>
              </w:rPr>
              <w:t>阿瓦提县自然资源局</w:t>
            </w:r>
            <w:r>
              <w:rPr>
                <w:rFonts w:hint="eastAsia" w:ascii="宋体" w:hAnsi="宋体" w:cs="宋体"/>
                <w:sz w:val="24"/>
              </w:rPr>
              <w:t xml:space="preserve">                     </w:t>
            </w:r>
          </w:p>
          <w:p>
            <w:pPr>
              <w:keepNext/>
              <w:spacing w:line="360" w:lineRule="auto"/>
              <w:rPr>
                <w:rFonts w:hint="eastAsia" w:ascii="宋体" w:hAnsi="宋体" w:cs="宋体"/>
                <w:sz w:val="24"/>
              </w:rPr>
            </w:pPr>
            <w:r>
              <w:rPr>
                <w:rFonts w:hint="eastAsia" w:ascii="宋体" w:hAnsi="宋体" w:cs="宋体"/>
                <w:sz w:val="24"/>
              </w:rPr>
              <w:t>地址：</w:t>
            </w:r>
            <w:r>
              <w:rPr>
                <w:rFonts w:hint="eastAsia" w:ascii="宋体" w:hAnsi="宋体" w:cs="宋体"/>
                <w:sz w:val="24"/>
                <w:lang w:val="en-US" w:eastAsia="zh-CN"/>
              </w:rPr>
              <w:t>阿瓦提县</w:t>
            </w:r>
          </w:p>
          <w:p>
            <w:pPr>
              <w:keepNext/>
              <w:spacing w:line="360" w:lineRule="auto"/>
              <w:rPr>
                <w:rFonts w:hint="default" w:eastAsia="宋体"/>
                <w:sz w:val="24"/>
                <w:lang w:val="en-US" w:eastAsia="zh-CN"/>
              </w:rPr>
            </w:pPr>
            <w:r>
              <w:rPr>
                <w:rFonts w:hint="eastAsia"/>
                <w:sz w:val="24"/>
              </w:rPr>
              <w:t>联系人：</w:t>
            </w:r>
            <w:r>
              <w:rPr>
                <w:rFonts w:hint="eastAsia"/>
                <w:sz w:val="24"/>
                <w:lang w:val="en-US" w:eastAsia="zh-CN"/>
              </w:rPr>
              <w:t>古丽努尔·努尔敦</w:t>
            </w:r>
          </w:p>
          <w:p>
            <w:pPr>
              <w:keepNext/>
              <w:spacing w:line="360" w:lineRule="auto"/>
              <w:rPr>
                <w:rFonts w:hint="default" w:ascii="宋体" w:hAnsi="宋体" w:cs="宋体"/>
                <w:b/>
                <w:sz w:val="24"/>
                <w:lang w:val="en-US"/>
              </w:rPr>
            </w:pPr>
            <w:r>
              <w:rPr>
                <w:rFonts w:hint="eastAsia"/>
                <w:sz w:val="24"/>
              </w:rPr>
              <w:t>电话：</w:t>
            </w:r>
            <w:r>
              <w:rPr>
                <w:rFonts w:hint="eastAsia"/>
                <w:sz w:val="24"/>
                <w:lang w:val="en-US" w:eastAsia="zh-CN"/>
              </w:rPr>
              <w:t>13345362329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885" w:type="dxa"/>
            <w:noWrap w:val="0"/>
            <w:vAlign w:val="center"/>
          </w:tcPr>
          <w:p>
            <w:pPr>
              <w:spacing w:line="360" w:lineRule="auto"/>
              <w:rPr>
                <w:rFonts w:hint="eastAsia" w:ascii="宋体" w:hAnsi="宋体" w:cs="宋体"/>
                <w:b/>
                <w:bCs/>
                <w:sz w:val="24"/>
              </w:rPr>
            </w:pPr>
            <w:r>
              <w:rPr>
                <w:rFonts w:hint="eastAsia" w:ascii="宋体" w:hAnsi="宋体" w:cs="宋体"/>
                <w:b/>
                <w:bCs/>
                <w:sz w:val="24"/>
              </w:rPr>
              <w:t>1.2.1</w:t>
            </w:r>
          </w:p>
        </w:tc>
        <w:tc>
          <w:tcPr>
            <w:tcW w:w="2400" w:type="dxa"/>
            <w:noWrap w:val="0"/>
            <w:vAlign w:val="center"/>
          </w:tcPr>
          <w:p>
            <w:pPr>
              <w:spacing w:line="360" w:lineRule="auto"/>
              <w:jc w:val="center"/>
              <w:rPr>
                <w:rFonts w:hint="eastAsia" w:ascii="宋体" w:hAnsi="宋体" w:cs="宋体"/>
                <w:b/>
                <w:bCs/>
                <w:color w:val="000000"/>
                <w:sz w:val="24"/>
              </w:rPr>
            </w:pPr>
            <w:r>
              <w:rPr>
                <w:rFonts w:hint="eastAsia" w:ascii="宋体" w:hAnsi="宋体" w:cs="宋体"/>
                <w:b/>
                <w:bCs/>
                <w:sz w:val="24"/>
              </w:rPr>
              <w:t>采购代理机构</w:t>
            </w:r>
          </w:p>
        </w:tc>
        <w:tc>
          <w:tcPr>
            <w:tcW w:w="5871" w:type="dxa"/>
            <w:noWrap w:val="0"/>
            <w:vAlign w:val="center"/>
          </w:tcPr>
          <w:p>
            <w:pPr>
              <w:keepNext/>
              <w:spacing w:line="360" w:lineRule="auto"/>
              <w:rPr>
                <w:rFonts w:hint="eastAsia" w:ascii="宋体" w:hAnsi="宋体" w:cs="宋体"/>
                <w:sz w:val="24"/>
              </w:rPr>
            </w:pPr>
            <w:r>
              <w:rPr>
                <w:rFonts w:hint="eastAsia" w:ascii="宋体" w:hAnsi="宋体" w:cs="宋体"/>
                <w:sz w:val="24"/>
              </w:rPr>
              <w:t>名称：</w:t>
            </w:r>
            <w:r>
              <w:rPr>
                <w:rFonts w:hint="eastAsia" w:ascii="宋体" w:hAnsi="宋体" w:cs="宋体"/>
                <w:color w:val="000000"/>
                <w:sz w:val="24"/>
              </w:rPr>
              <w:t>新疆安航工程项目管理有限公司</w:t>
            </w:r>
            <w:r>
              <w:rPr>
                <w:rFonts w:hint="eastAsia" w:ascii="宋体" w:hAnsi="宋体" w:cs="宋体"/>
                <w:sz w:val="24"/>
              </w:rPr>
              <w:t xml:space="preserve">                        </w:t>
            </w:r>
          </w:p>
          <w:p>
            <w:pPr>
              <w:keepNext/>
              <w:spacing w:line="360" w:lineRule="auto"/>
              <w:rPr>
                <w:rFonts w:hint="eastAsia" w:ascii="宋体" w:hAnsi="宋体" w:cs="宋体"/>
                <w:sz w:val="24"/>
              </w:rPr>
            </w:pPr>
            <w:r>
              <w:rPr>
                <w:rFonts w:hint="eastAsia" w:ascii="宋体" w:hAnsi="宋体" w:cs="宋体"/>
                <w:sz w:val="24"/>
              </w:rPr>
              <w:t>地址：</w:t>
            </w:r>
            <w:r>
              <w:rPr>
                <w:rFonts w:hint="eastAsia" w:ascii="宋体" w:hAnsi="宋体" w:cs="宋体"/>
                <w:sz w:val="24"/>
                <w:szCs w:val="24"/>
              </w:rPr>
              <w:t>阿克苏市城市壹号A栋3101室</w:t>
            </w:r>
            <w:r>
              <w:rPr>
                <w:rFonts w:hint="eastAsia" w:ascii="宋体" w:hAnsi="宋体" w:cs="宋体"/>
                <w:sz w:val="24"/>
              </w:rPr>
              <w:t xml:space="preserve">                       </w:t>
            </w:r>
          </w:p>
          <w:p>
            <w:pPr>
              <w:keepNext/>
              <w:spacing w:line="360" w:lineRule="auto"/>
              <w:rPr>
                <w:rFonts w:hint="eastAsia" w:ascii="宋体" w:hAnsi="宋体" w:cs="宋体"/>
                <w:sz w:val="24"/>
              </w:rPr>
            </w:pPr>
            <w:r>
              <w:rPr>
                <w:rFonts w:hint="eastAsia" w:ascii="宋体" w:hAnsi="宋体" w:cs="宋体"/>
                <w:sz w:val="24"/>
              </w:rPr>
              <w:t xml:space="preserve">联系人：侯宇辉                    </w:t>
            </w:r>
          </w:p>
          <w:p>
            <w:pPr>
              <w:keepNext/>
              <w:spacing w:line="360" w:lineRule="auto"/>
              <w:rPr>
                <w:rFonts w:hint="eastAsia" w:ascii="宋体" w:hAnsi="宋体" w:cs="宋体"/>
                <w:color w:val="000000"/>
                <w:sz w:val="24"/>
              </w:rPr>
            </w:pPr>
            <w:r>
              <w:rPr>
                <w:rFonts w:hint="eastAsia" w:ascii="宋体" w:hAnsi="宋体" w:cs="宋体"/>
                <w:sz w:val="24"/>
              </w:rPr>
              <w:t xml:space="preserve">电话：15292576038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885" w:type="dxa"/>
            <w:noWrap w:val="0"/>
            <w:vAlign w:val="center"/>
          </w:tcPr>
          <w:p>
            <w:pPr>
              <w:spacing w:line="360" w:lineRule="auto"/>
              <w:rPr>
                <w:rFonts w:hint="eastAsia" w:ascii="宋体" w:hAnsi="宋体" w:cs="宋体"/>
                <w:b/>
                <w:bCs/>
                <w:sz w:val="24"/>
              </w:rPr>
            </w:pPr>
            <w:r>
              <w:rPr>
                <w:rFonts w:hint="eastAsia" w:ascii="宋体" w:hAnsi="宋体" w:cs="宋体"/>
                <w:b/>
                <w:bCs/>
                <w:sz w:val="24"/>
              </w:rPr>
              <w:t>1.2.2</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项目名称</w:t>
            </w:r>
          </w:p>
        </w:tc>
        <w:tc>
          <w:tcPr>
            <w:tcW w:w="5871" w:type="dxa"/>
            <w:noWrap w:val="0"/>
            <w:vAlign w:val="center"/>
          </w:tcPr>
          <w:p>
            <w:pPr>
              <w:widowControl/>
              <w:spacing w:line="360" w:lineRule="auto"/>
              <w:rPr>
                <w:rFonts w:hint="eastAsia" w:ascii="宋体" w:hAnsi="宋体" w:cs="宋体"/>
                <w:color w:val="FF0000"/>
                <w:kern w:val="0"/>
                <w:sz w:val="24"/>
              </w:rPr>
            </w:pPr>
            <w:r>
              <w:rPr>
                <w:rFonts w:hint="eastAsia" w:ascii="宋体" w:hAnsi="宋体" w:cs="宋体"/>
                <w:color w:val="000000"/>
                <w:kern w:val="0"/>
                <w:sz w:val="24"/>
              </w:rPr>
              <w:t xml:space="preserve">阿瓦提县农用地航飞测量技术服务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1.2.3</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项目实施地点</w:t>
            </w:r>
          </w:p>
        </w:tc>
        <w:tc>
          <w:tcPr>
            <w:tcW w:w="5871" w:type="dxa"/>
            <w:noWrap w:val="0"/>
            <w:vAlign w:val="center"/>
          </w:tcPr>
          <w:p>
            <w:pPr>
              <w:spacing w:line="360" w:lineRule="auto"/>
              <w:rPr>
                <w:rFonts w:hint="eastAsia" w:ascii="宋体" w:hAnsi="宋体" w:cs="宋体"/>
                <w:color w:val="00B0F0"/>
                <w:kern w:val="0"/>
                <w:sz w:val="24"/>
              </w:rPr>
            </w:pPr>
            <w:r>
              <w:rPr>
                <w:rFonts w:hint="eastAsia" w:ascii="宋体" w:hAnsi="宋体" w:cs="宋体"/>
                <w:sz w:val="24"/>
              </w:rPr>
              <w:t xml:space="preserve">甲方指定地点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1.2.4</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资金来源及落实情况</w:t>
            </w:r>
          </w:p>
        </w:tc>
        <w:tc>
          <w:tcPr>
            <w:tcW w:w="5871" w:type="dxa"/>
            <w:noWrap w:val="0"/>
            <w:vAlign w:val="center"/>
          </w:tcPr>
          <w:p>
            <w:pPr>
              <w:spacing w:line="360" w:lineRule="auto"/>
              <w:rPr>
                <w:rFonts w:hint="eastAsia" w:ascii="宋体" w:hAnsi="宋体" w:cs="宋体"/>
                <w:sz w:val="24"/>
              </w:rPr>
            </w:pPr>
            <w:r>
              <w:rPr>
                <w:rFonts w:hint="eastAsia" w:ascii="宋体" w:hAnsi="宋体" w:cs="宋体"/>
                <w:sz w:val="24"/>
                <w:lang w:val="en-US" w:eastAsia="zh-CN"/>
              </w:rPr>
              <w:t>财政</w:t>
            </w:r>
            <w:r>
              <w:rPr>
                <w:rFonts w:hint="eastAsia" w:ascii="宋体" w:hAnsi="宋体" w:cs="宋体"/>
                <w:sz w:val="24"/>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1.2.5</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合同履行期限</w:t>
            </w:r>
          </w:p>
        </w:tc>
        <w:tc>
          <w:tcPr>
            <w:tcW w:w="5871" w:type="dxa"/>
            <w:noWrap w:val="0"/>
            <w:vAlign w:val="center"/>
          </w:tcPr>
          <w:p>
            <w:pPr>
              <w:keepNext/>
              <w:spacing w:line="360" w:lineRule="auto"/>
              <w:jc w:val="left"/>
              <w:rPr>
                <w:rFonts w:hint="eastAsia" w:ascii="宋体" w:hAnsi="宋体" w:cs="宋体"/>
                <w:sz w:val="24"/>
              </w:rPr>
            </w:pPr>
            <w:r>
              <w:rPr>
                <w:rFonts w:hint="eastAsia" w:ascii="宋体" w:hAnsi="宋体" w:cs="宋体"/>
                <w:sz w:val="24"/>
              </w:rPr>
              <w:t>甲乙双方签订合同时自行约定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1.2.6</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供应商的资格要求</w:t>
            </w:r>
          </w:p>
        </w:tc>
        <w:tc>
          <w:tcPr>
            <w:tcW w:w="5871" w:type="dxa"/>
            <w:noWrap w:val="0"/>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有效的营业执照；</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）财务要求：企业财务状况良好，提供近一年度（202</w:t>
            </w:r>
            <w:r>
              <w:rPr>
                <w:rFonts w:hint="eastAsia" w:ascii="宋体" w:hAnsi="宋体" w:eastAsia="宋体" w:cs="宋体"/>
                <w:sz w:val="24"/>
                <w:szCs w:val="24"/>
                <w:lang w:val="en-US" w:eastAsia="zh-CN"/>
              </w:rPr>
              <w:t>2</w:t>
            </w:r>
            <w:r>
              <w:rPr>
                <w:rFonts w:hint="eastAsia" w:ascii="宋体" w:hAnsi="宋体" w:eastAsia="宋体" w:cs="宋体"/>
                <w:sz w:val="24"/>
                <w:szCs w:val="24"/>
              </w:rPr>
              <w:t>年）财务报表（含资产负债表、利润表、现金流量表）并加盖单位公章或财务专用章。</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）信誉要求：未被“国家企业信用信息公示系统”列入严重违法失信企业名单、“信用中国网站”列入失信被执行人和重大税收违法案件当事人名单、政府采购严重违法失信名单。</w:t>
            </w:r>
            <w:r>
              <w:rPr>
                <w:rFonts w:hint="eastAsia" w:ascii="宋体" w:hAnsi="宋体" w:eastAsia="宋体" w:cs="宋体"/>
                <w:sz w:val="24"/>
                <w:szCs w:val="24"/>
                <w:lang w:val="en-US" w:eastAsia="zh-CN"/>
              </w:rPr>
              <w:t xml:space="preserve">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）公司法人或法定代表人授权委托书、社保缴纳明细（需含法人或委托人）。</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）近期完税证明。</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）提供“信用中国”</w:t>
            </w:r>
            <w:r>
              <w:rPr>
                <w:rFonts w:hint="eastAsia" w:ascii="宋体" w:hAnsi="宋体" w:cs="宋体"/>
                <w:sz w:val="24"/>
                <w:szCs w:val="24"/>
                <w:lang w:val="en-US" w:eastAsia="zh-CN"/>
              </w:rPr>
              <w:t>信用报告</w:t>
            </w:r>
            <w:r>
              <w:rPr>
                <w:rFonts w:hint="eastAsia" w:ascii="宋体" w:hAnsi="宋体" w:eastAsia="宋体" w:cs="宋体"/>
                <w:sz w:val="24"/>
                <w:szCs w:val="24"/>
                <w:lang w:val="en-US" w:eastAsia="zh-CN"/>
              </w:rPr>
              <w:t>、中国政府采购网（www.ccgp.gov.cn）、国家企业信用信息公示</w:t>
            </w:r>
            <w:r>
              <w:rPr>
                <w:rFonts w:hint="eastAsia" w:ascii="宋体" w:hAnsi="宋体" w:cs="宋体"/>
                <w:sz w:val="24"/>
                <w:szCs w:val="24"/>
                <w:lang w:val="en-US" w:eastAsia="zh-CN"/>
              </w:rPr>
              <w:t>报告</w:t>
            </w:r>
            <w:r>
              <w:rPr>
                <w:rFonts w:hint="eastAsia" w:ascii="宋体" w:hAnsi="宋体" w:eastAsia="宋体" w:cs="宋体"/>
                <w:sz w:val="24"/>
                <w:szCs w:val="24"/>
                <w:lang w:val="en-US" w:eastAsia="zh-CN"/>
              </w:rPr>
              <w:t>（www.gsxt.gov.cn），需提供能体现出查询相关结果报名时间内；</w:t>
            </w:r>
          </w:p>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、本次招标不接受联合体。</w:t>
            </w:r>
          </w:p>
          <w:p>
            <w:pPr>
              <w:spacing w:line="360" w:lineRule="auto"/>
              <w:rPr>
                <w:rFonts w:hint="eastAsia" w:ascii="宋体" w:hAnsi="宋体" w:cs="宋体"/>
                <w:sz w:val="24"/>
              </w:rPr>
            </w:pPr>
            <w:r>
              <w:rPr>
                <w:rFonts w:hint="eastAsia" w:ascii="宋体" w:hAnsi="宋体" w:eastAsia="宋体" w:cs="宋体"/>
                <w:sz w:val="24"/>
                <w:szCs w:val="24"/>
                <w:lang w:val="en-US" w:eastAsia="zh-CN"/>
              </w:rPr>
              <w:t>注明：第1、2、3、4、5、6、条所述资料扫描至电子标书第八章“投标文件格式”第八项“其他投标资料”页签并加盖电子印章，扫描件为原件扫描件。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85" w:type="dxa"/>
            <w:noWrap w:val="0"/>
            <w:vAlign w:val="center"/>
          </w:tcPr>
          <w:p>
            <w:pPr>
              <w:spacing w:line="360" w:lineRule="auto"/>
              <w:jc w:val="center"/>
              <w:rPr>
                <w:rFonts w:hint="eastAsia" w:ascii="宋体" w:hAnsi="宋体" w:eastAsia="宋体" w:cs="宋体"/>
                <w:b/>
                <w:bCs/>
                <w:sz w:val="24"/>
                <w:lang w:eastAsia="zh-CN"/>
              </w:rPr>
            </w:pPr>
            <w:r>
              <w:rPr>
                <w:rFonts w:hint="eastAsia" w:ascii="宋体" w:hAnsi="宋体" w:cs="宋体"/>
                <w:b/>
                <w:bCs/>
                <w:sz w:val="24"/>
              </w:rPr>
              <w:t>1.</w:t>
            </w:r>
            <w:r>
              <w:rPr>
                <w:rFonts w:hint="eastAsia" w:ascii="宋体" w:hAnsi="宋体" w:cs="宋体"/>
                <w:b/>
                <w:bCs/>
                <w:sz w:val="24"/>
                <w:lang w:val="en-US" w:eastAsia="zh-CN"/>
              </w:rPr>
              <w:t>2</w:t>
            </w:r>
            <w:r>
              <w:rPr>
                <w:rFonts w:hint="eastAsia" w:ascii="宋体" w:hAnsi="宋体" w:cs="宋体"/>
                <w:b/>
                <w:bCs/>
                <w:sz w:val="24"/>
              </w:rPr>
              <w:t>.</w:t>
            </w:r>
            <w:r>
              <w:rPr>
                <w:rFonts w:hint="eastAsia" w:ascii="宋体" w:hAnsi="宋体" w:cs="宋体"/>
                <w:b/>
                <w:bCs/>
                <w:sz w:val="24"/>
                <w:lang w:val="en-US" w:eastAsia="zh-CN"/>
              </w:rPr>
              <w:t>7</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sz w:val="24"/>
              </w:rPr>
              <w:t>是否允许联合体投标</w:t>
            </w:r>
          </w:p>
        </w:tc>
        <w:tc>
          <w:tcPr>
            <w:tcW w:w="5871" w:type="dxa"/>
            <w:noWrap w:val="0"/>
            <w:vAlign w:val="center"/>
          </w:tcPr>
          <w:p>
            <w:pPr>
              <w:autoSpaceDE w:val="0"/>
              <w:autoSpaceDN w:val="0"/>
              <w:adjustRightInd w:val="0"/>
              <w:spacing w:line="360" w:lineRule="auto"/>
              <w:rPr>
                <w:rFonts w:hint="eastAsia" w:ascii="宋体" w:hAnsi="宋体" w:cs="宋体"/>
                <w:color w:val="000000"/>
                <w:kern w:val="0"/>
                <w:sz w:val="24"/>
              </w:rPr>
            </w:pPr>
            <w:r>
              <w:rPr>
                <w:rFonts w:hint="eastAsia" w:ascii="宋体" w:hAnsi="宋体" w:cs="宋体"/>
                <w:color w:val="000000"/>
                <w:kern w:val="0"/>
                <w:sz w:val="24"/>
              </w:rPr>
              <w:t>□是 ☑否</w:t>
            </w:r>
          </w:p>
          <w:p>
            <w:pPr>
              <w:autoSpaceDE w:val="0"/>
              <w:autoSpaceDN w:val="0"/>
              <w:adjustRightInd w:val="0"/>
              <w:spacing w:line="360" w:lineRule="auto"/>
              <w:rPr>
                <w:rFonts w:hint="eastAsia" w:ascii="宋体" w:hAnsi="宋体" w:cs="宋体"/>
                <w:sz w:val="24"/>
              </w:rPr>
            </w:pPr>
            <w:r>
              <w:rPr>
                <w:rFonts w:hint="eastAsia" w:ascii="宋体" w:hAnsi="宋体" w:cs="宋体"/>
                <w:color w:val="000000"/>
                <w:kern w:val="0"/>
                <w:sz w:val="24"/>
              </w:rPr>
              <w:t xml:space="preserve">应满足要求：/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2.1.1</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最高限价</w:t>
            </w:r>
          </w:p>
        </w:tc>
        <w:tc>
          <w:tcPr>
            <w:tcW w:w="5871" w:type="dxa"/>
            <w:noWrap w:val="0"/>
            <w:vAlign w:val="top"/>
          </w:tcPr>
          <w:p>
            <w:pPr>
              <w:spacing w:line="360" w:lineRule="auto"/>
              <w:rPr>
                <w:rFonts w:ascii="宋体" w:hAnsi="宋体" w:cs="宋体"/>
                <w:color w:val="000000"/>
                <w:kern w:val="0"/>
                <w:sz w:val="24"/>
              </w:rPr>
            </w:pPr>
            <w:r>
              <w:rPr>
                <w:rFonts w:hint="eastAsia" w:ascii="宋体" w:hAnsi="宋体" w:cs="宋体"/>
                <w:b/>
                <w:bCs/>
                <w:color w:val="000000"/>
                <w:kern w:val="0"/>
                <w:sz w:val="24"/>
                <w:lang w:val="en-US" w:eastAsia="zh-CN"/>
              </w:rPr>
              <w:t>6400000.00</w:t>
            </w:r>
            <w:r>
              <w:rPr>
                <w:rFonts w:hint="eastAsia" w:ascii="宋体" w:hAnsi="宋体" w:cs="宋体"/>
                <w:b/>
                <w:bCs/>
                <w:color w:val="000000"/>
                <w:kern w:val="0"/>
                <w:sz w:val="24"/>
              </w:rPr>
              <w:t>元(大写：</w:t>
            </w:r>
            <w:r>
              <w:rPr>
                <w:rFonts w:hint="eastAsia" w:ascii="宋体" w:hAnsi="宋体" w:cs="宋体"/>
                <w:b/>
                <w:bCs/>
                <w:color w:val="000000"/>
                <w:kern w:val="0"/>
                <w:sz w:val="24"/>
                <w:lang w:val="en-US" w:eastAsia="zh-CN"/>
              </w:rPr>
              <w:t>陆佰肆拾万元整</w:t>
            </w:r>
            <w:r>
              <w:rPr>
                <w:rFonts w:hint="eastAsia" w:ascii="宋体" w:hAnsi="宋体" w:cs="宋体"/>
                <w:b/>
                <w:bCs/>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2.1.2</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磋商保证金</w:t>
            </w:r>
          </w:p>
        </w:tc>
        <w:tc>
          <w:tcPr>
            <w:tcW w:w="5871" w:type="dxa"/>
            <w:noWrap w:val="0"/>
            <w:vAlign w:val="center"/>
          </w:tcPr>
          <w:p>
            <w:pPr>
              <w:spacing w:line="360" w:lineRule="auto"/>
              <w:rPr>
                <w:rFonts w:hint="eastAsia" w:ascii="宋体" w:hAnsi="宋体" w:cs="宋体"/>
                <w:sz w:val="24"/>
              </w:rPr>
            </w:pPr>
            <w:r>
              <w:rPr>
                <w:rFonts w:hint="eastAsia"/>
                <w:sz w:val="24"/>
              </w:rPr>
              <w:t>本项目不要求投标保证金</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2.1.3</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响应文件有效期</w:t>
            </w:r>
          </w:p>
        </w:tc>
        <w:tc>
          <w:tcPr>
            <w:tcW w:w="5871" w:type="dxa"/>
            <w:noWrap w:val="0"/>
            <w:vAlign w:val="center"/>
          </w:tcPr>
          <w:p>
            <w:pPr>
              <w:spacing w:line="360" w:lineRule="auto"/>
              <w:rPr>
                <w:rFonts w:hint="eastAsia" w:ascii="宋体" w:hAnsi="宋体" w:cs="宋体"/>
                <w:bCs/>
                <w:kern w:val="0"/>
                <w:sz w:val="24"/>
              </w:rPr>
            </w:pPr>
            <w:r>
              <w:rPr>
                <w:rFonts w:hint="eastAsia" w:ascii="宋体" w:hAnsi="宋体" w:cs="宋体"/>
                <w:sz w:val="24"/>
              </w:rPr>
              <w:t>自首次递交响应文件截止时间起30个日历日。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2.1.4</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响应文件份数</w:t>
            </w:r>
          </w:p>
        </w:tc>
        <w:tc>
          <w:tcPr>
            <w:tcW w:w="5871" w:type="dxa"/>
            <w:noWrap w:val="0"/>
            <w:vAlign w:val="center"/>
          </w:tcPr>
          <w:p>
            <w:pPr>
              <w:spacing w:line="360" w:lineRule="auto"/>
              <w:jc w:val="left"/>
              <w:rPr>
                <w:rFonts w:hint="eastAsia" w:ascii="宋体" w:hAnsi="宋体" w:cs="宋体"/>
                <w:b/>
                <w:sz w:val="24"/>
              </w:rPr>
            </w:pPr>
            <w:r>
              <w:rPr>
                <w:rFonts w:hint="eastAsia" w:ascii="宋体" w:hAnsi="宋体" w:cs="宋体"/>
                <w:b/>
                <w:sz w:val="24"/>
              </w:rPr>
              <w:t>本项目采用电子招投标。（开标结束后需向招标代理公司提供纸质版投标文件一正</w:t>
            </w:r>
            <w:ins w:id="0" w:author="李小怪" w:date="2022-05-26T17:21:00Z">
              <w:r>
                <w:rPr>
                  <w:rFonts w:hint="eastAsia" w:ascii="宋体" w:hAnsi="宋体" w:cs="宋体"/>
                  <w:b/>
                  <w:sz w:val="24"/>
                </w:rPr>
                <w:t>三</w:t>
              </w:r>
            </w:ins>
            <w:r>
              <w:rPr>
                <w:rFonts w:hint="eastAsia" w:ascii="宋体" w:hAnsi="宋体" w:cs="宋体"/>
                <w:b/>
                <w:sz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85"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2.1.5</w:t>
            </w:r>
          </w:p>
        </w:tc>
        <w:tc>
          <w:tcPr>
            <w:tcW w:w="2400" w:type="dxa"/>
            <w:noWrap w:val="0"/>
            <w:vAlign w:val="top"/>
          </w:tcPr>
          <w:p>
            <w:pPr>
              <w:spacing w:line="360" w:lineRule="auto"/>
              <w:jc w:val="center"/>
              <w:rPr>
                <w:rFonts w:hint="eastAsia" w:ascii="宋体" w:hAnsi="宋体" w:cs="宋体"/>
                <w:b/>
                <w:bCs/>
                <w:sz w:val="24"/>
              </w:rPr>
            </w:pPr>
          </w:p>
          <w:p>
            <w:pPr>
              <w:spacing w:line="360" w:lineRule="auto"/>
              <w:jc w:val="center"/>
              <w:rPr>
                <w:rFonts w:hint="eastAsia" w:ascii="宋体" w:hAnsi="宋体" w:cs="宋体"/>
                <w:b/>
                <w:bCs/>
                <w:sz w:val="24"/>
              </w:rPr>
            </w:pPr>
          </w:p>
          <w:p>
            <w:pPr>
              <w:spacing w:line="360" w:lineRule="auto"/>
              <w:jc w:val="center"/>
              <w:rPr>
                <w:rFonts w:hint="eastAsia" w:ascii="宋体" w:hAnsi="宋体" w:cs="宋体"/>
                <w:b/>
                <w:bCs/>
                <w:sz w:val="24"/>
              </w:rPr>
            </w:pPr>
          </w:p>
          <w:p>
            <w:pPr>
              <w:spacing w:line="360" w:lineRule="auto"/>
              <w:jc w:val="center"/>
              <w:rPr>
                <w:rFonts w:hint="eastAsia" w:ascii="宋体" w:hAnsi="宋体" w:cs="宋体"/>
                <w:b/>
                <w:bCs/>
                <w:sz w:val="24"/>
              </w:rPr>
            </w:pPr>
            <w:r>
              <w:rPr>
                <w:rFonts w:hint="eastAsia" w:ascii="宋体" w:hAnsi="宋体" w:cs="宋体"/>
                <w:b/>
                <w:bCs/>
                <w:sz w:val="24"/>
              </w:rPr>
              <w:t>签字或盖章要求</w:t>
            </w:r>
          </w:p>
        </w:tc>
        <w:tc>
          <w:tcPr>
            <w:tcW w:w="5871" w:type="dxa"/>
            <w:noWrap w:val="0"/>
            <w:vAlign w:val="top"/>
          </w:tcPr>
          <w:p>
            <w:pPr>
              <w:keepNext/>
              <w:spacing w:line="360" w:lineRule="auto"/>
              <w:rPr>
                <w:rFonts w:hint="eastAsia" w:ascii="宋体" w:hAnsi="宋体" w:cs="宋体"/>
                <w:sz w:val="24"/>
              </w:rPr>
            </w:pPr>
            <w:r>
              <w:rPr>
                <w:rFonts w:hint="eastAsia" w:ascii="宋体" w:hAnsi="宋体" w:cs="宋体"/>
                <w:kern w:val="0"/>
                <w:sz w:val="24"/>
              </w:rPr>
              <w:t>(1)</w:t>
            </w:r>
            <w:r>
              <w:rPr>
                <w:rFonts w:hint="eastAsia" w:ascii="宋体" w:hAnsi="宋体" w:cs="宋体"/>
                <w:kern w:val="0"/>
                <w:sz w:val="24"/>
                <w:lang w:val="en-US" w:eastAsia="zh-CN"/>
              </w:rPr>
              <w:t>公开</w:t>
            </w:r>
            <w:r>
              <w:rPr>
                <w:rFonts w:hint="eastAsia" w:ascii="宋体" w:hAnsi="宋体" w:cs="宋体"/>
                <w:kern w:val="0"/>
                <w:sz w:val="24"/>
              </w:rPr>
              <w:t>申请及附录、供应商资格声明、</w:t>
            </w:r>
            <w:r>
              <w:rPr>
                <w:rFonts w:hint="eastAsia" w:ascii="宋体" w:hAnsi="宋体" w:cs="宋体"/>
                <w:sz w:val="24"/>
              </w:rPr>
              <w:t>法定代表人身份证明或授权书应由</w:t>
            </w:r>
            <w:r>
              <w:rPr>
                <w:rFonts w:hint="eastAsia" w:ascii="宋体" w:hAnsi="宋体" w:cs="宋体"/>
                <w:bCs/>
                <w:sz w:val="24"/>
              </w:rPr>
              <w:t>法定代表人或其授权代表签字（或盖章），并加盖单位章；</w:t>
            </w:r>
          </w:p>
          <w:p>
            <w:pPr>
              <w:keepNext/>
              <w:spacing w:line="360" w:lineRule="auto"/>
              <w:rPr>
                <w:rFonts w:hint="eastAsia"/>
              </w:rPr>
            </w:pPr>
            <w:r>
              <w:rPr>
                <w:rFonts w:hint="eastAsia" w:ascii="宋体" w:hAnsi="宋体" w:cs="宋体"/>
                <w:sz w:val="24"/>
              </w:rPr>
              <w:t>(2)其他证明供应商资格的文件或证明材料应为加盖出具单位章的有效文件，样式可参照“响应文件格式”编制；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noWrap w:val="0"/>
            <w:vAlign w:val="top"/>
          </w:tcPr>
          <w:p>
            <w:pPr>
              <w:spacing w:line="360" w:lineRule="auto"/>
              <w:rPr>
                <w:rFonts w:hint="eastAsia" w:ascii="宋体" w:hAnsi="宋体" w:cs="宋体"/>
                <w:b/>
                <w:bCs/>
                <w:sz w:val="24"/>
              </w:rPr>
            </w:pPr>
          </w:p>
          <w:p>
            <w:pPr>
              <w:spacing w:line="360" w:lineRule="auto"/>
              <w:rPr>
                <w:rFonts w:hint="eastAsia" w:ascii="宋体" w:hAnsi="宋体" w:cs="宋体"/>
                <w:b/>
                <w:bCs/>
                <w:sz w:val="24"/>
              </w:rPr>
            </w:pPr>
            <w:r>
              <w:rPr>
                <w:rFonts w:hint="eastAsia" w:ascii="宋体" w:hAnsi="宋体" w:cs="宋体"/>
                <w:b/>
                <w:bCs/>
                <w:sz w:val="24"/>
              </w:rPr>
              <w:t>2.1.6</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封套上应载明的信息</w:t>
            </w:r>
          </w:p>
        </w:tc>
        <w:tc>
          <w:tcPr>
            <w:tcW w:w="5871" w:type="dxa"/>
            <w:noWrap w:val="0"/>
            <w:vAlign w:val="center"/>
          </w:tcPr>
          <w:p>
            <w:pPr>
              <w:spacing w:line="360" w:lineRule="auto"/>
              <w:rPr>
                <w:rFonts w:ascii="宋体" w:hAnsi="宋体" w:cs="宋体"/>
                <w:sz w:val="24"/>
              </w:rPr>
            </w:pPr>
            <w:r>
              <w:rPr>
                <w:rFonts w:hint="eastAsia" w:ascii="宋体" w:hAnsi="宋体" w:cs="宋体"/>
                <w:sz w:val="24"/>
              </w:rPr>
              <w:t>本项目为电子不见面开标，本项不作要求。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85" w:type="dxa"/>
            <w:noWrap w:val="0"/>
            <w:vAlign w:val="center"/>
          </w:tcPr>
          <w:p>
            <w:pPr>
              <w:spacing w:line="360" w:lineRule="auto"/>
              <w:jc w:val="center"/>
              <w:rPr>
                <w:rFonts w:hint="eastAsia" w:ascii="宋体" w:hAnsi="宋体" w:eastAsia="宋体" w:cs="宋体"/>
                <w:b/>
                <w:bCs/>
                <w:sz w:val="24"/>
                <w:lang w:eastAsia="zh-CN"/>
              </w:rPr>
            </w:pPr>
            <w:r>
              <w:rPr>
                <w:rFonts w:hint="eastAsia" w:ascii="宋体" w:hAnsi="宋体" w:cs="宋体"/>
                <w:b/>
                <w:bCs/>
                <w:sz w:val="24"/>
                <w:lang w:val="en-US" w:eastAsia="zh-CN"/>
              </w:rPr>
              <w:t>2</w:t>
            </w:r>
            <w:r>
              <w:rPr>
                <w:rFonts w:hint="eastAsia" w:ascii="宋体" w:hAnsi="宋体" w:cs="宋体"/>
                <w:b/>
                <w:bCs/>
                <w:sz w:val="24"/>
              </w:rPr>
              <w:t>.1.</w:t>
            </w:r>
            <w:r>
              <w:rPr>
                <w:rFonts w:hint="eastAsia" w:ascii="宋体" w:hAnsi="宋体" w:cs="宋体"/>
                <w:b/>
                <w:bCs/>
                <w:sz w:val="24"/>
                <w:lang w:val="en-US" w:eastAsia="zh-CN"/>
              </w:rPr>
              <w:t>7</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磋商时间、地点等要求</w:t>
            </w:r>
          </w:p>
        </w:tc>
        <w:tc>
          <w:tcPr>
            <w:tcW w:w="5871" w:type="dxa"/>
            <w:noWrap w:val="0"/>
            <w:vAlign w:val="center"/>
          </w:tcPr>
          <w:p>
            <w:pPr>
              <w:spacing w:line="360" w:lineRule="auto"/>
              <w:rPr>
                <w:rFonts w:ascii="宋体" w:hAnsi="宋体" w:cs="宋体"/>
                <w:b/>
                <w:color w:val="FF0000"/>
                <w:sz w:val="24"/>
              </w:rPr>
            </w:pPr>
            <w:r>
              <w:rPr>
                <w:rFonts w:hint="eastAsia" w:ascii="宋体" w:hAnsi="宋体" w:cs="宋体"/>
                <w:b/>
                <w:sz w:val="24"/>
              </w:rPr>
              <w:t>(1)</w:t>
            </w:r>
            <w:r>
              <w:rPr>
                <w:rFonts w:hint="eastAsia" w:ascii="宋体" w:hAnsi="宋体" w:cs="宋体"/>
                <w:b/>
                <w:color w:val="FF0000"/>
                <w:sz w:val="24"/>
              </w:rPr>
              <w:t>磋商时间202</w:t>
            </w:r>
            <w:r>
              <w:rPr>
                <w:rFonts w:hint="eastAsia" w:ascii="宋体" w:hAnsi="宋体" w:cs="宋体"/>
                <w:b/>
                <w:color w:val="FF0000"/>
                <w:sz w:val="24"/>
                <w:lang w:val="en-US" w:eastAsia="zh-CN"/>
              </w:rPr>
              <w:t>3</w:t>
            </w:r>
            <w:r>
              <w:rPr>
                <w:rFonts w:hint="eastAsia" w:ascii="宋体" w:hAnsi="宋体" w:cs="宋体"/>
                <w:b/>
                <w:color w:val="FF0000"/>
                <w:sz w:val="24"/>
              </w:rPr>
              <w:t>年</w:t>
            </w:r>
            <w:r>
              <w:rPr>
                <w:rFonts w:hint="eastAsia" w:ascii="宋体" w:hAnsi="宋体" w:cs="宋体"/>
                <w:b/>
                <w:color w:val="FF0000"/>
                <w:sz w:val="24"/>
                <w:lang w:val="en-US" w:eastAsia="zh-CN"/>
              </w:rPr>
              <w:t>10</w:t>
            </w:r>
            <w:r>
              <w:rPr>
                <w:rFonts w:hint="eastAsia" w:ascii="宋体" w:hAnsi="宋体" w:cs="宋体"/>
                <w:b/>
                <w:color w:val="FF0000"/>
                <w:sz w:val="24"/>
              </w:rPr>
              <w:t>月</w:t>
            </w:r>
            <w:r>
              <w:rPr>
                <w:rFonts w:hint="eastAsia" w:ascii="宋体" w:hAnsi="宋体" w:cs="宋体"/>
                <w:b/>
                <w:color w:val="FF0000"/>
                <w:sz w:val="24"/>
                <w:lang w:val="en-US" w:eastAsia="zh-CN"/>
              </w:rPr>
              <w:t>8</w:t>
            </w:r>
            <w:r>
              <w:rPr>
                <w:rFonts w:hint="eastAsia" w:ascii="宋体" w:hAnsi="宋体" w:cs="宋体"/>
                <w:b/>
                <w:color w:val="FF0000"/>
                <w:sz w:val="24"/>
              </w:rPr>
              <w:t>日</w:t>
            </w:r>
            <w:r>
              <w:rPr>
                <w:rFonts w:hint="eastAsia" w:ascii="宋体" w:hAnsi="宋体" w:cs="宋体"/>
                <w:b/>
                <w:color w:val="FF0000"/>
                <w:sz w:val="24"/>
                <w:lang w:val="en-US" w:eastAsia="zh-CN"/>
              </w:rPr>
              <w:t>上</w:t>
            </w:r>
            <w:r>
              <w:rPr>
                <w:rFonts w:hint="eastAsia" w:ascii="宋体" w:hAnsi="宋体" w:cs="宋体"/>
                <w:b/>
                <w:color w:val="FF0000"/>
                <w:sz w:val="24"/>
              </w:rPr>
              <w:t>午1</w:t>
            </w:r>
            <w:r>
              <w:rPr>
                <w:rFonts w:hint="eastAsia" w:ascii="宋体" w:hAnsi="宋体" w:cs="宋体"/>
                <w:b/>
                <w:color w:val="FF0000"/>
                <w:sz w:val="24"/>
                <w:lang w:val="en-US" w:eastAsia="zh-CN"/>
              </w:rPr>
              <w:t>1</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w:t>
            </w:r>
          </w:p>
          <w:p>
            <w:pPr>
              <w:spacing w:line="360" w:lineRule="auto"/>
              <w:rPr>
                <w:rFonts w:hint="eastAsia" w:ascii="宋体" w:hAnsi="宋体" w:cs="宋体"/>
                <w:sz w:val="24"/>
              </w:rPr>
            </w:pPr>
            <w:r>
              <w:rPr>
                <w:rFonts w:hint="eastAsia" w:ascii="宋体" w:hAnsi="宋体" w:cs="宋体"/>
                <w:b/>
                <w:sz w:val="24"/>
              </w:rPr>
              <w:t>(2)磋商地点：新疆</w:t>
            </w:r>
            <w:r>
              <w:rPr>
                <w:rFonts w:hint="eastAsia"/>
                <w:b/>
                <w:sz w:val="24"/>
              </w:rPr>
              <w:t>政府采购网开标系统</w:t>
            </w:r>
            <w:r>
              <w:rPr>
                <w:rFonts w:hint="eastAsia" w:ascii="宋体" w:hAnsi="宋体" w:cs="宋体"/>
                <w:b/>
                <w:sz w:val="24"/>
              </w:rPr>
              <w:t xml:space="preserve">  </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885" w:type="dxa"/>
            <w:noWrap w:val="0"/>
            <w:vAlign w:val="center"/>
          </w:tcPr>
          <w:p>
            <w:pPr>
              <w:spacing w:line="360" w:lineRule="auto"/>
              <w:jc w:val="center"/>
              <w:rPr>
                <w:rFonts w:hint="eastAsia" w:ascii="宋体" w:hAnsi="宋体" w:eastAsia="宋体" w:cs="宋体"/>
                <w:b/>
                <w:bCs/>
                <w:sz w:val="24"/>
                <w:lang w:eastAsia="zh-CN"/>
              </w:rPr>
            </w:pPr>
            <w:r>
              <w:rPr>
                <w:rFonts w:hint="eastAsia" w:ascii="宋体" w:hAnsi="宋体" w:cs="宋体"/>
                <w:b/>
                <w:bCs/>
                <w:sz w:val="24"/>
                <w:lang w:val="en-US" w:eastAsia="zh-CN"/>
              </w:rPr>
              <w:t>3</w:t>
            </w:r>
            <w:r>
              <w:rPr>
                <w:rFonts w:hint="eastAsia" w:ascii="宋体" w:hAnsi="宋体" w:cs="宋体"/>
                <w:b/>
                <w:bCs/>
                <w:sz w:val="24"/>
              </w:rPr>
              <w:t>.</w:t>
            </w:r>
            <w:r>
              <w:rPr>
                <w:rFonts w:hint="eastAsia" w:ascii="宋体" w:hAnsi="宋体" w:cs="宋体"/>
                <w:b/>
                <w:bCs/>
                <w:sz w:val="24"/>
                <w:lang w:val="en-US" w:eastAsia="zh-CN"/>
              </w:rPr>
              <w:t>1</w:t>
            </w:r>
          </w:p>
        </w:tc>
        <w:tc>
          <w:tcPr>
            <w:tcW w:w="2400" w:type="dxa"/>
            <w:noWrap w:val="0"/>
            <w:vAlign w:val="center"/>
          </w:tcPr>
          <w:p>
            <w:pPr>
              <w:spacing w:line="360" w:lineRule="auto"/>
              <w:jc w:val="center"/>
              <w:rPr>
                <w:rFonts w:hint="eastAsia" w:ascii="宋体" w:hAnsi="宋体" w:cs="宋体"/>
                <w:b/>
                <w:bCs/>
                <w:sz w:val="24"/>
              </w:rPr>
            </w:pPr>
            <w:r>
              <w:rPr>
                <w:rFonts w:hint="eastAsia" w:ascii="宋体" w:hAnsi="宋体" w:cs="宋体"/>
                <w:b/>
                <w:bCs/>
                <w:sz w:val="24"/>
              </w:rPr>
              <w:t>磋商小组的组成</w:t>
            </w:r>
          </w:p>
        </w:tc>
        <w:tc>
          <w:tcPr>
            <w:tcW w:w="5871" w:type="dxa"/>
            <w:noWrap w:val="0"/>
            <w:vAlign w:val="center"/>
          </w:tcPr>
          <w:p>
            <w:pPr>
              <w:spacing w:line="360" w:lineRule="auto"/>
              <w:rPr>
                <w:rFonts w:hint="eastAsia" w:ascii="宋体" w:hAnsi="宋体" w:cs="宋体"/>
                <w:sz w:val="24"/>
              </w:rPr>
            </w:pPr>
            <w:r>
              <w:rPr>
                <w:rFonts w:hint="eastAsia" w:ascii="宋体" w:hAnsi="宋体" w:cs="宋体"/>
                <w:sz w:val="24"/>
              </w:rPr>
              <w:t>评审专家人数：</w:t>
            </w:r>
            <w:r>
              <w:rPr>
                <w:rFonts w:hint="eastAsia" w:ascii="宋体" w:hAnsi="宋体" w:cs="宋体"/>
                <w:sz w:val="24"/>
                <w:lang w:val="en-US" w:eastAsia="zh-CN"/>
              </w:rPr>
              <w:t>5</w:t>
            </w:r>
            <w:r>
              <w:rPr>
                <w:rFonts w:hint="eastAsia" w:ascii="宋体" w:hAnsi="宋体" w:cs="宋体"/>
                <w:sz w:val="24"/>
              </w:rPr>
              <w:t>人，其中采购人代表0人，专家</w:t>
            </w:r>
            <w:r>
              <w:rPr>
                <w:rFonts w:hint="eastAsia" w:ascii="宋体" w:hAnsi="宋体" w:cs="宋体"/>
                <w:sz w:val="24"/>
                <w:lang w:val="en-US" w:eastAsia="zh-CN"/>
              </w:rPr>
              <w:t>3</w:t>
            </w:r>
            <w:r>
              <w:rPr>
                <w:rFonts w:hint="eastAsia" w:ascii="宋体" w:hAnsi="宋体" w:cs="宋体"/>
                <w:sz w:val="24"/>
              </w:rPr>
              <w:t>人。</w:t>
            </w:r>
          </w:p>
          <w:p>
            <w:pPr>
              <w:spacing w:line="360" w:lineRule="auto"/>
              <w:rPr>
                <w:rFonts w:hint="eastAsia" w:ascii="宋体" w:hAnsi="宋体" w:cs="宋体"/>
                <w:sz w:val="24"/>
              </w:rPr>
            </w:pPr>
            <w:r>
              <w:rPr>
                <w:rFonts w:hint="eastAsia" w:ascii="宋体" w:hAnsi="宋体" w:cs="宋体"/>
                <w:sz w:val="24"/>
              </w:rPr>
              <w:t>评审专家确定方式：从</w:t>
            </w:r>
            <w:r>
              <w:rPr>
                <w:rFonts w:hint="eastAsia" w:ascii="宋体" w:hAnsi="宋体" w:cs="宋体"/>
                <w:sz w:val="24"/>
                <w:lang w:val="en-US" w:eastAsia="zh-CN"/>
              </w:rPr>
              <w:t>政府采购网</w:t>
            </w:r>
            <w:r>
              <w:rPr>
                <w:rFonts w:hint="eastAsia" w:ascii="宋体" w:hAnsi="宋体" w:cs="宋体"/>
                <w:sz w:val="24"/>
              </w:rPr>
              <w:t>评标专家库中随机抽取确定。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85" w:type="dxa"/>
            <w:noWrap w:val="0"/>
            <w:vAlign w:val="center"/>
          </w:tcPr>
          <w:p>
            <w:pPr>
              <w:spacing w:line="440" w:lineRule="exact"/>
              <w:jc w:val="center"/>
              <w:rPr>
                <w:rFonts w:hint="eastAsia" w:ascii="宋体" w:hAnsi="宋体" w:eastAsia="宋体" w:cs="宋体"/>
                <w:b/>
                <w:bCs/>
                <w:sz w:val="24"/>
                <w:lang w:eastAsia="zh-CN"/>
              </w:rPr>
            </w:pPr>
            <w:r>
              <w:rPr>
                <w:rFonts w:hint="eastAsia" w:ascii="宋体" w:hAnsi="宋体" w:cs="宋体"/>
                <w:b/>
                <w:bCs/>
                <w:sz w:val="24"/>
                <w:lang w:val="en-US" w:eastAsia="zh-CN"/>
              </w:rPr>
              <w:t>3</w:t>
            </w:r>
            <w:r>
              <w:rPr>
                <w:rFonts w:hint="eastAsia" w:ascii="宋体" w:hAnsi="宋体" w:cs="宋体"/>
                <w:b/>
                <w:bCs/>
                <w:sz w:val="24"/>
              </w:rPr>
              <w:t>.</w:t>
            </w:r>
            <w:r>
              <w:rPr>
                <w:rFonts w:hint="eastAsia" w:ascii="宋体" w:hAnsi="宋体" w:cs="宋体"/>
                <w:b/>
                <w:bCs/>
                <w:sz w:val="24"/>
                <w:lang w:val="en-US" w:eastAsia="zh-CN"/>
              </w:rPr>
              <w:t>3</w:t>
            </w:r>
          </w:p>
        </w:tc>
        <w:tc>
          <w:tcPr>
            <w:tcW w:w="2400" w:type="dxa"/>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推荐成交候选供应商的数量</w:t>
            </w:r>
          </w:p>
        </w:tc>
        <w:tc>
          <w:tcPr>
            <w:tcW w:w="5871" w:type="dxa"/>
            <w:noWrap w:val="0"/>
            <w:vAlign w:val="center"/>
          </w:tcPr>
          <w:p>
            <w:pPr>
              <w:spacing w:line="440" w:lineRule="exact"/>
              <w:rPr>
                <w:rFonts w:hint="eastAsia" w:ascii="宋体" w:hAnsi="宋体" w:cs="宋体"/>
                <w:sz w:val="24"/>
              </w:rPr>
            </w:pPr>
            <w:r>
              <w:rPr>
                <w:rFonts w:hint="eastAsia" w:ascii="宋体" w:hAnsi="宋体" w:cs="宋体"/>
                <w:sz w:val="24"/>
              </w:rPr>
              <w:t>三家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85" w:type="dxa"/>
            <w:noWrap w:val="0"/>
            <w:vAlign w:val="center"/>
          </w:tcPr>
          <w:p>
            <w:pPr>
              <w:spacing w:line="440" w:lineRule="exact"/>
              <w:jc w:val="center"/>
              <w:rPr>
                <w:rFonts w:hint="eastAsia" w:ascii="宋体" w:hAnsi="宋体" w:cs="宋体"/>
                <w:b/>
                <w:bCs/>
                <w:sz w:val="24"/>
              </w:rPr>
            </w:pPr>
            <w:r>
              <w:rPr>
                <w:rFonts w:hint="eastAsia" w:ascii="宋体" w:hAnsi="宋体" w:cs="宋体"/>
                <w:b/>
                <w:bCs/>
                <w:sz w:val="24"/>
                <w:lang w:val="en-US" w:eastAsia="zh-CN"/>
              </w:rPr>
              <w:t>4</w:t>
            </w:r>
          </w:p>
        </w:tc>
        <w:tc>
          <w:tcPr>
            <w:tcW w:w="2400" w:type="dxa"/>
            <w:noWrap w:val="0"/>
            <w:vAlign w:val="center"/>
          </w:tcPr>
          <w:p>
            <w:pPr>
              <w:spacing w:line="440" w:lineRule="exact"/>
              <w:jc w:val="center"/>
              <w:rPr>
                <w:rFonts w:hint="eastAsia" w:ascii="宋体" w:hAnsi="宋体" w:cs="宋体"/>
                <w:b/>
                <w:bCs/>
                <w:sz w:val="24"/>
              </w:rPr>
            </w:pPr>
            <w:r>
              <w:rPr>
                <w:rFonts w:hint="eastAsia" w:ascii="宋体" w:hAnsi="宋体" w:cs="宋体"/>
                <w:b/>
                <w:bCs/>
                <w:sz w:val="24"/>
              </w:rPr>
              <w:t>成交结果公示媒体</w:t>
            </w:r>
          </w:p>
        </w:tc>
        <w:tc>
          <w:tcPr>
            <w:tcW w:w="5871" w:type="dxa"/>
            <w:noWrap w:val="0"/>
            <w:vAlign w:val="center"/>
          </w:tcPr>
          <w:p>
            <w:pPr>
              <w:spacing w:line="440" w:lineRule="exact"/>
              <w:rPr>
                <w:rFonts w:hint="default" w:ascii="宋体" w:hAnsi="宋体" w:eastAsia="宋体" w:cs="宋体"/>
                <w:color w:val="FF0000"/>
                <w:sz w:val="24"/>
                <w:lang w:val="en-US" w:eastAsia="zh-CN"/>
              </w:rPr>
            </w:pPr>
            <w:r>
              <w:rPr>
                <w:rFonts w:hint="eastAsia"/>
                <w:sz w:val="24"/>
              </w:rPr>
              <w:t>新疆政府采购网</w:t>
            </w:r>
            <w:r>
              <w:rPr>
                <w:rFonts w:hint="eastAsia"/>
                <w:sz w:val="24"/>
                <w:lang w:eastAsia="zh-CN"/>
              </w:rPr>
              <w:t>、</w:t>
            </w:r>
            <w:r>
              <w:rPr>
                <w:rFonts w:hint="eastAsia"/>
                <w:sz w:val="24"/>
                <w:lang w:val="en-US" w:eastAsia="zh-CN"/>
              </w:rPr>
              <w:t>阿瓦提县人民政府网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85" w:type="dxa"/>
            <w:noWrap w:val="0"/>
            <w:vAlign w:val="center"/>
          </w:tcPr>
          <w:p>
            <w:pPr>
              <w:spacing w:line="440" w:lineRule="exact"/>
              <w:jc w:val="center"/>
              <w:rPr>
                <w:rFonts w:hint="eastAsia" w:ascii="宋体" w:hAnsi="宋体" w:eastAsia="宋体" w:cs="宋体"/>
                <w:b/>
                <w:sz w:val="24"/>
                <w:lang w:eastAsia="zh-CN"/>
              </w:rPr>
            </w:pPr>
            <w:r>
              <w:rPr>
                <w:rFonts w:hint="eastAsia" w:ascii="宋体" w:hAnsi="宋体" w:cs="宋体"/>
                <w:b/>
                <w:sz w:val="24"/>
                <w:lang w:val="en-US" w:eastAsia="zh-CN"/>
              </w:rPr>
              <w:t>5</w:t>
            </w:r>
          </w:p>
        </w:tc>
        <w:tc>
          <w:tcPr>
            <w:tcW w:w="8271" w:type="dxa"/>
            <w:gridSpan w:val="2"/>
            <w:noWrap w:val="0"/>
            <w:vAlign w:val="top"/>
          </w:tcPr>
          <w:p>
            <w:pPr>
              <w:spacing w:line="440" w:lineRule="exact"/>
              <w:rPr>
                <w:rFonts w:hint="eastAsia" w:ascii="宋体" w:hAnsi="宋体" w:cs="宋体"/>
                <w:sz w:val="24"/>
              </w:rPr>
            </w:pPr>
            <w:r>
              <w:rPr>
                <w:rFonts w:hint="eastAsia" w:ascii="宋体" w:hAnsi="宋体" w:cs="宋体"/>
                <w:b/>
                <w:sz w:val="24"/>
              </w:rPr>
              <w:t xml:space="preserve">其他规定：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885" w:type="dxa"/>
            <w:noWrap w:val="0"/>
            <w:vAlign w:val="top"/>
          </w:tcPr>
          <w:p>
            <w:pPr>
              <w:spacing w:line="440" w:lineRule="exact"/>
              <w:jc w:val="center"/>
              <w:rPr>
                <w:rFonts w:hint="eastAsia"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.1</w:t>
            </w:r>
          </w:p>
        </w:tc>
        <w:tc>
          <w:tcPr>
            <w:tcW w:w="8271" w:type="dxa"/>
            <w:gridSpan w:val="2"/>
            <w:noWrap w:val="0"/>
            <w:vAlign w:val="top"/>
          </w:tcPr>
          <w:p>
            <w:pPr>
              <w:spacing w:line="440" w:lineRule="exact"/>
              <w:rPr>
                <w:rFonts w:hint="eastAsia" w:ascii="宋体" w:hAnsi="宋体" w:cs="宋体"/>
                <w:sz w:val="24"/>
              </w:rPr>
            </w:pPr>
            <w:r>
              <w:rPr>
                <w:rFonts w:hint="eastAsia" w:ascii="宋体" w:hAnsi="宋体" w:cs="宋体"/>
                <w:sz w:val="24"/>
              </w:rPr>
              <w:t>磋商代理服务费：</w:t>
            </w:r>
          </w:p>
          <w:p>
            <w:pPr>
              <w:spacing w:line="440" w:lineRule="exact"/>
              <w:rPr>
                <w:rFonts w:hint="eastAsia" w:ascii="宋体" w:hAnsi="宋体" w:cs="宋体"/>
                <w:sz w:val="24"/>
              </w:rPr>
            </w:pPr>
            <w:r>
              <w:rPr>
                <w:rFonts w:hint="eastAsia" w:ascii="宋体" w:hAnsi="宋体" w:cs="宋体"/>
                <w:sz w:val="24"/>
              </w:rPr>
              <w:t>依据《招标代理服务收费管理暂行办法》（计价格[2002]1980号）、《关于招标代理服务费收费有关问题的通知》（发改办价格[2003]857号文）、《国家发展改革委关于进一步放开建设项目专业服务价格的通知（发改价格【2015】299号）》，本工程招标代理服务费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5" w:type="dxa"/>
            <w:noWrap w:val="0"/>
            <w:vAlign w:val="top"/>
          </w:tcPr>
          <w:p>
            <w:pPr>
              <w:spacing w:line="440" w:lineRule="exact"/>
              <w:jc w:val="center"/>
              <w:rPr>
                <w:rFonts w:hint="eastAsia"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.2</w:t>
            </w:r>
          </w:p>
        </w:tc>
        <w:tc>
          <w:tcPr>
            <w:tcW w:w="8271" w:type="dxa"/>
            <w:gridSpan w:val="2"/>
            <w:noWrap w:val="0"/>
            <w:vAlign w:val="top"/>
          </w:tcPr>
          <w:p>
            <w:pPr>
              <w:spacing w:line="440" w:lineRule="exact"/>
              <w:rPr>
                <w:rFonts w:hint="eastAsia" w:ascii="宋体" w:hAnsi="宋体" w:cs="宋体"/>
                <w:b/>
                <w:sz w:val="24"/>
              </w:rPr>
            </w:pPr>
            <w:r>
              <w:rPr>
                <w:rFonts w:hint="eastAsia" w:ascii="宋体" w:hAnsi="宋体" w:cs="宋体"/>
                <w:b/>
                <w:sz w:val="24"/>
              </w:rPr>
              <w:t>解释权:</w:t>
            </w:r>
          </w:p>
          <w:p>
            <w:pPr>
              <w:spacing w:line="440" w:lineRule="exact"/>
              <w:rPr>
                <w:rFonts w:hint="eastAsia" w:ascii="宋体" w:hAnsi="宋体" w:cs="宋体"/>
                <w:sz w:val="24"/>
              </w:rPr>
            </w:pPr>
            <w:r>
              <w:rPr>
                <w:rFonts w:hint="eastAsia" w:ascii="宋体" w:hAnsi="宋体" w:cs="宋体"/>
                <w:sz w:val="24"/>
              </w:rPr>
              <w:t>构成磋商文件的各个组成文件应互为解释，互为说明；除磋商文件中有特别规定外，按磋商邀请、磋商须知、响应文件格式的先后顺序解释；同一组成文件中就同一事项的规定或约定不一致的，以编排顺序在后者为准；按本款前述规定仍不能形成结论的，由采购代理机构和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5" w:type="dxa"/>
            <w:noWrap w:val="0"/>
            <w:vAlign w:val="center"/>
          </w:tcPr>
          <w:p>
            <w:pPr>
              <w:spacing w:line="440" w:lineRule="exact"/>
              <w:jc w:val="center"/>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.3</w:t>
            </w:r>
          </w:p>
        </w:tc>
        <w:tc>
          <w:tcPr>
            <w:tcW w:w="8271" w:type="dxa"/>
            <w:gridSpan w:val="2"/>
            <w:noWrap w:val="0"/>
            <w:vAlign w:val="top"/>
          </w:tcPr>
          <w:p>
            <w:pPr>
              <w:spacing w:line="440" w:lineRule="exact"/>
              <w:rPr>
                <w:rFonts w:ascii="宋体" w:hAnsi="宋体" w:cs="宋体"/>
                <w:sz w:val="24"/>
              </w:rPr>
            </w:pPr>
            <w:r>
              <w:rPr>
                <w:rFonts w:hint="eastAsia" w:ascii="宋体" w:hAnsi="宋体" w:cs="宋体"/>
                <w:sz w:val="24"/>
              </w:rPr>
              <w:t>重大违法记录：1.供应商因违法经营受到刑事处罚或者责令停产停业、吊销许可证或者执照、较大数额罚款等行政处罚；2.在“信用中国”网站和“中国政府采购网”上被列入失信被执行人、重大税收违法案件当事人名单以及政府采购严重违法失信行为记录名单的（尚在处罚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85" w:type="dxa"/>
            <w:noWrap w:val="0"/>
            <w:vAlign w:val="center"/>
          </w:tcPr>
          <w:p>
            <w:pPr>
              <w:spacing w:line="440" w:lineRule="exact"/>
              <w:jc w:val="center"/>
              <w:rPr>
                <w:rFonts w:hint="eastAsia" w:ascii="宋体" w:hAnsi="宋体" w:cs="宋体"/>
                <w:b/>
                <w:bCs/>
                <w:sz w:val="24"/>
              </w:rPr>
            </w:pPr>
            <w:r>
              <w:rPr>
                <w:rFonts w:hint="eastAsia" w:ascii="宋体" w:hAnsi="宋体" w:cs="宋体"/>
                <w:b/>
                <w:bCs/>
                <w:kern w:val="0"/>
                <w:sz w:val="24"/>
              </w:rPr>
              <w:t>注意事项</w:t>
            </w:r>
          </w:p>
        </w:tc>
        <w:tc>
          <w:tcPr>
            <w:tcW w:w="8271" w:type="dxa"/>
            <w:gridSpan w:val="2"/>
            <w:noWrap w:val="0"/>
            <w:vAlign w:val="center"/>
          </w:tcPr>
          <w:p>
            <w:pPr>
              <w:pStyle w:val="19"/>
              <w:spacing w:line="440" w:lineRule="exact"/>
              <w:ind w:left="0" w:leftChars="0" w:right="-10"/>
              <w:rPr>
                <w:rFonts w:hint="eastAsia" w:ascii="宋体" w:hAnsi="宋体" w:eastAsia="宋体" w:cs="宋体"/>
                <w:sz w:val="24"/>
                <w:lang w:val="en-US" w:eastAsia="zh-CN"/>
              </w:rPr>
            </w:pPr>
            <w:r>
              <w:rPr>
                <w:rFonts w:hint="eastAsia" w:ascii="宋体" w:hAnsi="宋体" w:eastAsia="宋体" w:cs="宋体"/>
                <w:i w:val="0"/>
                <w:iCs w:val="0"/>
                <w:kern w:val="2"/>
                <w:sz w:val="24"/>
                <w:szCs w:val="24"/>
                <w:lang w:val="en-US" w:eastAsia="zh-CN" w:bidi="ar-SA"/>
              </w:rPr>
              <w:t>注：无论何种原因，即使投标人开标时携带了证书材料的原件，但在投标文件中未提供与之内容完全一致的扫描件的，评标委员会可以视同其未提供。（本项目为政采云不见面开标，此项不作要求）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85" w:type="dxa"/>
            <w:noWrap w:val="0"/>
            <w:vAlign w:val="center"/>
          </w:tcPr>
          <w:p>
            <w:pPr>
              <w:spacing w:line="440" w:lineRule="exact"/>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场地费</w:t>
            </w:r>
          </w:p>
        </w:tc>
        <w:tc>
          <w:tcPr>
            <w:tcW w:w="8271" w:type="dxa"/>
            <w:gridSpan w:val="2"/>
            <w:noWrap w:val="0"/>
            <w:vAlign w:val="center"/>
          </w:tcPr>
          <w:p>
            <w:pPr>
              <w:pStyle w:val="19"/>
              <w:spacing w:line="440" w:lineRule="exact"/>
              <w:ind w:left="0" w:leftChars="0" w:right="-10" w:firstLine="0" w:firstLineChars="0"/>
              <w:rPr>
                <w:rFonts w:hint="eastAsia" w:ascii="宋体" w:hAnsi="宋体" w:cs="宋体"/>
                <w:bCs/>
                <w:sz w:val="24"/>
              </w:rPr>
            </w:pPr>
            <w:r>
              <w:rPr>
                <w:rFonts w:hint="eastAsia" w:ascii="宋体" w:hAnsi="宋体" w:eastAsia="宋体" w:cs="宋体"/>
                <w:i w:val="0"/>
                <w:iCs w:val="0"/>
                <w:kern w:val="2"/>
                <w:sz w:val="24"/>
                <w:szCs w:val="24"/>
                <w:lang w:val="en-US" w:eastAsia="zh-CN" w:bidi="ar-SA"/>
              </w:rPr>
              <w:t>按照新发改服价【2020】578 号文收取场地及设施服务费，收费标准为：各地交易中心向投标企业收取的场地及设施服务费单个招投标项目最高不得超过 6000 元。投标企业少于 6 家（含 6 家）的按每个投标企业每次 1000 元收取；投标企业超过 6 家的，按单个招投标项目 6000 元由投标企业平均分摊</w:t>
            </w:r>
            <w:r>
              <w:rPr>
                <w:rFonts w:hint="eastAsia" w:cs="宋体"/>
                <w:i w:val="0"/>
                <w:iCs w:val="0"/>
                <w:kern w:val="2"/>
                <w:sz w:val="24"/>
                <w:szCs w:val="24"/>
                <w:lang w:val="en-US" w:eastAsia="zh-CN" w:bidi="ar-SA"/>
              </w:rPr>
              <w:t>，</w:t>
            </w:r>
            <w:r>
              <w:rPr>
                <w:rFonts w:hint="eastAsia" w:ascii="宋体" w:hAnsi="宋体" w:eastAsia="宋体" w:cs="宋体"/>
                <w:i w:val="0"/>
                <w:iCs w:val="0"/>
                <w:kern w:val="2"/>
                <w:sz w:val="24"/>
                <w:szCs w:val="24"/>
                <w:lang w:val="en-US" w:eastAsia="zh-CN" w:bidi="ar-SA"/>
              </w:rPr>
              <w:t>不见面开标投标人不需要到场，场地及设施服务费由投标单位转至代理公司，由代理公司代为缴纳。各投标单位将开票信息在缴纳场地费时发至招标代理公司。</w:t>
            </w:r>
          </w:p>
        </w:tc>
      </w:tr>
    </w:tbl>
    <w:p>
      <w:pPr>
        <w:spacing w:line="440" w:lineRule="exact"/>
        <w:rPr>
          <w:rFonts w:hint="eastAsia" w:ascii="宋体" w:hAnsi="宋体" w:cs="宋体"/>
          <w:kern w:val="0"/>
          <w:sz w:val="24"/>
        </w:rPr>
      </w:pPr>
      <w:r>
        <w:rPr>
          <w:rFonts w:hint="eastAsia" w:ascii="宋体" w:hAnsi="宋体" w:cs="宋体"/>
          <w:kern w:val="0"/>
          <w:sz w:val="24"/>
        </w:rPr>
        <w:t>注：本表内容与招标文件其它内容不一致的，应当以本表内容为准。</w:t>
      </w:r>
    </w:p>
    <w:p>
      <w:pPr>
        <w:pStyle w:val="2"/>
        <w:keepNext w:val="0"/>
        <w:keepLines w:val="0"/>
        <w:adjustRightInd w:val="0"/>
        <w:snapToGrid w:val="0"/>
        <w:spacing w:before="120" w:after="120" w:line="360" w:lineRule="auto"/>
        <w:jc w:val="center"/>
        <w:rPr>
          <w:rFonts w:hint="eastAsia" w:ascii="宋体" w:hAnsi="宋体" w:eastAsia="宋体" w:cs="宋体"/>
          <w:bCs w:val="0"/>
          <w:color w:val="auto"/>
          <w:sz w:val="28"/>
          <w:szCs w:val="28"/>
          <w:highlight w:val="none"/>
        </w:rPr>
      </w:pPr>
      <w:r>
        <w:rPr>
          <w:rFonts w:hint="eastAsia" w:ascii="宋体" w:hAnsi="宋体" w:eastAsia="宋体" w:cs="宋体"/>
          <w:bCs w:val="0"/>
          <w:color w:val="auto"/>
          <w:sz w:val="28"/>
          <w:szCs w:val="28"/>
          <w:highlight w:val="none"/>
        </w:rPr>
        <w:br w:type="page"/>
      </w:r>
      <w:r>
        <w:rPr>
          <w:rFonts w:hint="eastAsia" w:ascii="宋体" w:hAnsi="宋体" w:eastAsia="宋体" w:cs="宋体"/>
          <w:bCs w:val="0"/>
          <w:color w:val="auto"/>
          <w:sz w:val="28"/>
          <w:szCs w:val="28"/>
          <w:highlight w:val="none"/>
        </w:rPr>
        <w:t>投标人须知正文部分</w:t>
      </w:r>
      <w:bookmarkEnd w:id="11"/>
      <w:bookmarkEnd w:id="12"/>
      <w:bookmarkEnd w:id="13"/>
    </w:p>
    <w:bookmarkEnd w:id="14"/>
    <w:bookmarkEnd w:id="15"/>
    <w:bookmarkEnd w:id="16"/>
    <w:bookmarkEnd w:id="17"/>
    <w:p>
      <w:pPr>
        <w:pStyle w:val="113"/>
        <w:jc w:val="center"/>
        <w:rPr>
          <w:rFonts w:hint="eastAsia"/>
          <w:b/>
          <w:bCs/>
          <w:color w:val="auto"/>
          <w:highlight w:val="none"/>
        </w:rPr>
      </w:pPr>
      <w:r>
        <w:rPr>
          <w:rFonts w:hint="eastAsia"/>
          <w:b/>
          <w:bCs/>
          <w:color w:val="auto"/>
          <w:highlight w:val="none"/>
        </w:rPr>
        <w:t>一、总则</w:t>
      </w:r>
    </w:p>
    <w:p>
      <w:pPr>
        <w:pStyle w:val="92"/>
        <w:spacing w:line="24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 合格的投标人</w:t>
      </w:r>
    </w:p>
    <w:p>
      <w:pPr>
        <w:pStyle w:val="92"/>
        <w:spacing w:line="24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1.1 符合《中华人民共和国政府采购法》第二十二条规定的条件，具备独立承担民事责任能力的在中华人民共和国境内注册的，有承担本次招标采购项目</w:t>
      </w:r>
      <w:r>
        <w:rPr>
          <w:rFonts w:hint="eastAsia" w:ascii="宋体" w:hAnsi="宋体" w:cs="宋体"/>
          <w:bCs/>
          <w:color w:val="auto"/>
          <w:szCs w:val="24"/>
          <w:highlight w:val="none"/>
          <w:lang w:eastAsia="zh-CN"/>
        </w:rPr>
        <w:t>货物和</w:t>
      </w:r>
      <w:r>
        <w:rPr>
          <w:rFonts w:hint="eastAsia" w:ascii="宋体" w:hAnsi="宋体" w:cs="宋体"/>
          <w:bCs/>
          <w:color w:val="auto"/>
          <w:szCs w:val="24"/>
          <w:highlight w:val="none"/>
        </w:rPr>
        <w:t>服务能力的及符合条件的法人或其他组织。</w:t>
      </w:r>
    </w:p>
    <w:p>
      <w:pPr>
        <w:pStyle w:val="92"/>
        <w:spacing w:line="24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1.2 有效的营业执照；</w:t>
      </w:r>
    </w:p>
    <w:p>
      <w:pPr>
        <w:pStyle w:val="92"/>
        <w:spacing w:line="24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1.3 投标人在本次招标活动中，必须遵循《中华人民共和国招标投标法》、《中华人民共和国招标投标法实施条例》、《政府采购货物和服务招标投标管理办法》（财政部87号令）等相关法律法规的规定。</w:t>
      </w:r>
    </w:p>
    <w:p>
      <w:pPr>
        <w:pStyle w:val="92"/>
        <w:spacing w:line="24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1.4  投标人参加政府采购活动近三年内无违法违规记录和法律诉讼纠纷，需提供书面声明。</w:t>
      </w:r>
    </w:p>
    <w:p>
      <w:pPr>
        <w:pStyle w:val="92"/>
        <w:spacing w:line="24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1.5  为保证政府采购活动公平、公正、诚实信用，投标人提供的材料及技术参数应真实有效，</w:t>
      </w:r>
      <w:r>
        <w:rPr>
          <w:rFonts w:hint="eastAsia" w:ascii="宋体" w:hAnsi="宋体" w:cs="宋体"/>
          <w:bCs/>
          <w:color w:val="auto"/>
          <w:szCs w:val="24"/>
          <w:highlight w:val="none"/>
          <w:lang w:eastAsia="zh-CN"/>
        </w:rPr>
        <w:t>投标文件</w:t>
      </w:r>
      <w:r>
        <w:rPr>
          <w:rFonts w:hint="eastAsia" w:ascii="宋体" w:hAnsi="宋体" w:cs="宋体"/>
          <w:bCs/>
          <w:color w:val="auto"/>
          <w:szCs w:val="24"/>
          <w:highlight w:val="none"/>
        </w:rPr>
        <w:t>内提供书面诚信投标承诺书。</w:t>
      </w:r>
    </w:p>
    <w:p>
      <w:pPr>
        <w:pStyle w:val="92"/>
        <w:spacing w:line="360" w:lineRule="auto"/>
        <w:ind w:firstLine="567"/>
        <w:jc w:val="both"/>
        <w:rPr>
          <w:rFonts w:hint="eastAsia" w:ascii="宋体" w:hAnsi="宋体" w:cs="宋体"/>
          <w:bCs/>
          <w:color w:val="auto"/>
          <w:szCs w:val="24"/>
          <w:highlight w:val="none"/>
        </w:rPr>
      </w:pPr>
      <w:r>
        <w:rPr>
          <w:rFonts w:hint="eastAsia" w:ascii="宋体" w:hAnsi="宋体" w:eastAsia="宋体" w:cs="宋体"/>
          <w:i w:val="0"/>
          <w:iCs w:val="0"/>
          <w:color w:val="auto"/>
          <w:kern w:val="2"/>
          <w:sz w:val="24"/>
          <w:szCs w:val="24"/>
          <w:highlight w:val="none"/>
          <w:lang w:val="en-US" w:eastAsia="zh-CN" w:bidi="ar-SA"/>
        </w:rPr>
        <w:t>1.6  为保证本次招标活动公平竞争，杜绝任何形式的商业贿赂行为，</w:t>
      </w:r>
      <w:r>
        <w:rPr>
          <w:rFonts w:hint="eastAsia" w:ascii="宋体" w:hAnsi="宋体" w:eastAsia="宋体" w:cs="宋体"/>
          <w:color w:val="auto"/>
          <w:sz w:val="24"/>
          <w:highlight w:val="none"/>
          <w:lang w:eastAsia="zh-CN"/>
        </w:rPr>
        <w:t>响应文件</w:t>
      </w:r>
      <w:r>
        <w:rPr>
          <w:rFonts w:hint="eastAsia" w:ascii="宋体" w:hAnsi="宋体" w:eastAsia="宋体" w:cs="宋体"/>
          <w:i w:val="0"/>
          <w:iCs w:val="0"/>
          <w:color w:val="auto"/>
          <w:kern w:val="2"/>
          <w:sz w:val="24"/>
          <w:szCs w:val="24"/>
          <w:highlight w:val="none"/>
          <w:lang w:val="en-US" w:eastAsia="zh-CN" w:bidi="ar-SA"/>
        </w:rPr>
        <w:t>内必须提供反商业贿赂承诺书。</w:t>
      </w:r>
    </w:p>
    <w:p>
      <w:pPr>
        <w:pStyle w:val="92"/>
        <w:spacing w:line="240" w:lineRule="auto"/>
        <w:ind w:left="563" w:leftChars="267" w:firstLine="2" w:firstLineChars="1"/>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7</w:t>
      </w:r>
      <w:r>
        <w:rPr>
          <w:rFonts w:hint="eastAsia" w:ascii="宋体" w:hAnsi="宋体" w:cs="宋体"/>
          <w:bCs/>
          <w:color w:val="auto"/>
          <w:szCs w:val="24"/>
          <w:highlight w:val="none"/>
        </w:rPr>
        <w:t xml:space="preserve">  不符合以上条款规定的投标人，其投标无效。</w:t>
      </w:r>
    </w:p>
    <w:p>
      <w:pPr>
        <w:pStyle w:val="92"/>
        <w:spacing w:line="240" w:lineRule="auto"/>
        <w:ind w:left="563" w:leftChars="267" w:firstLine="2" w:firstLineChars="1"/>
        <w:jc w:val="both"/>
        <w:rPr>
          <w:rFonts w:hint="eastAsia" w:ascii="宋体" w:hAnsi="宋体" w:cs="宋体"/>
          <w:color w:val="auto"/>
          <w:szCs w:val="24"/>
          <w:highlight w:val="none"/>
        </w:rPr>
      </w:pPr>
      <w:r>
        <w:rPr>
          <w:rFonts w:hint="eastAsia" w:ascii="宋体" w:hAnsi="宋体" w:cs="宋体"/>
          <w:color w:val="auto"/>
          <w:szCs w:val="24"/>
          <w:highlight w:val="none"/>
        </w:rPr>
        <w:t>2. 定义</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2.1“采购代理机构”系指</w:t>
      </w:r>
      <w:r>
        <w:rPr>
          <w:rFonts w:hint="eastAsia" w:ascii="宋体" w:hAnsi="宋体" w:cs="宋体"/>
          <w:color w:val="auto"/>
          <w:highlight w:val="none"/>
          <w:lang w:eastAsia="zh-CN"/>
        </w:rPr>
        <w:t>新疆安航工程项目管理有限公司</w:t>
      </w:r>
      <w:r>
        <w:rPr>
          <w:rFonts w:hint="eastAsia" w:ascii="宋体" w:hAnsi="宋体" w:cs="宋体"/>
          <w:color w:val="auto"/>
          <w:szCs w:val="24"/>
          <w:highlight w:val="none"/>
        </w:rPr>
        <w:t>。</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2.2“投标人”系指向采购代理机构提交</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的</w:t>
      </w:r>
      <w:r>
        <w:rPr>
          <w:rFonts w:hint="eastAsia" w:ascii="宋体" w:hAnsi="宋体" w:cs="宋体"/>
          <w:color w:val="auto"/>
          <w:szCs w:val="24"/>
          <w:highlight w:val="none"/>
          <w:lang w:eastAsia="zh-CN"/>
        </w:rPr>
        <w:t>货物和</w:t>
      </w:r>
      <w:r>
        <w:rPr>
          <w:rFonts w:hint="eastAsia" w:ascii="宋体" w:hAnsi="宋体" w:cs="宋体"/>
          <w:color w:val="auto"/>
          <w:szCs w:val="24"/>
          <w:highlight w:val="none"/>
          <w:lang w:val="en-US" w:eastAsia="zh-CN"/>
        </w:rPr>
        <w:t>服务供应商或</w:t>
      </w:r>
      <w:r>
        <w:rPr>
          <w:rFonts w:hint="eastAsia" w:ascii="宋体" w:hAnsi="宋体" w:cs="宋体"/>
          <w:color w:val="auto"/>
          <w:szCs w:val="24"/>
          <w:highlight w:val="none"/>
        </w:rPr>
        <w:t>货物制造商或代理商。</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2.3“货物”系指卖方按合同要求，须向买方提供的设计文件、货物、机械、材料、备品、手册及其他技术资料和材料。详见《政府采购品目分类目录》(财库[2013]189号)。</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2.4“服务”系指按合同规定卖方须承担的运输、装卸、安装调试、技术协助、培训和交付使用后保修期内应履行的义务及售后服务等其他类似的义务。</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2.5“卖方”系指提供合同货物和服务的经济实体。本次招标指中标人。</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2.6“买方”系指购买货物和服务的单位，即为本次招标的采购人。</w:t>
      </w:r>
    </w:p>
    <w:p>
      <w:pPr>
        <w:pStyle w:val="92"/>
        <w:spacing w:line="240" w:lineRule="auto"/>
        <w:ind w:firstLine="567"/>
        <w:rPr>
          <w:rFonts w:hint="eastAsia" w:ascii="宋体" w:hAnsi="宋体" w:cs="宋体"/>
          <w:color w:val="auto"/>
          <w:szCs w:val="24"/>
          <w:highlight w:val="none"/>
        </w:rPr>
      </w:pPr>
      <w:r>
        <w:rPr>
          <w:rFonts w:hint="eastAsia" w:ascii="宋体" w:hAnsi="宋体" w:cs="宋体"/>
          <w:color w:val="auto"/>
          <w:szCs w:val="24"/>
          <w:highlight w:val="none"/>
        </w:rPr>
        <w:t>2.7“节能产品”或者“环保产品”是指财政部发布最新一期的《节能产品政府采购清单》或者《环境标志产品政府采购清单》的产品，可在中国政府采购网(www.ccgp.gov.cn)查询。</w:t>
      </w:r>
    </w:p>
    <w:p>
      <w:pPr>
        <w:pStyle w:val="92"/>
        <w:spacing w:line="240" w:lineRule="auto"/>
        <w:ind w:firstLine="567"/>
        <w:rPr>
          <w:rFonts w:hint="eastAsia" w:ascii="宋体" w:hAnsi="宋体" w:cs="宋体"/>
          <w:color w:val="auto"/>
          <w:szCs w:val="24"/>
          <w:highlight w:val="none"/>
        </w:rPr>
      </w:pPr>
      <w:r>
        <w:rPr>
          <w:rFonts w:hint="eastAsia" w:ascii="宋体" w:hAnsi="宋体" w:cs="宋体"/>
          <w:color w:val="auto"/>
          <w:szCs w:val="24"/>
          <w:highlight w:val="none"/>
        </w:rPr>
        <w:t>2.8“进口产品”是指通过中国海关报关验放进入中国境内且产自关境外的产品，详见《关于政府采购进口产品管理有关问题的通知》(财库[2007]119号)及《关于政府采购进口产品管理有关问题的通知》（财办库（2008）248号）。</w:t>
      </w:r>
    </w:p>
    <w:p>
      <w:pPr>
        <w:pStyle w:val="92"/>
        <w:spacing w:line="240" w:lineRule="auto"/>
        <w:ind w:firstLine="567"/>
        <w:rPr>
          <w:rFonts w:hint="eastAsia" w:ascii="宋体" w:hAnsi="宋体" w:cs="宋体"/>
          <w:color w:val="auto"/>
          <w:szCs w:val="24"/>
          <w:highlight w:val="none"/>
        </w:rPr>
      </w:pPr>
      <w:r>
        <w:rPr>
          <w:rFonts w:hint="eastAsia" w:ascii="宋体" w:hAnsi="宋体" w:cs="宋体"/>
          <w:color w:val="auto"/>
          <w:szCs w:val="24"/>
          <w:highlight w:val="none"/>
        </w:rPr>
        <w:t>2.9 “语言文字”招标</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使用的语言文字为中文。专用术语使用外文的，应附有中文注释。</w:t>
      </w:r>
    </w:p>
    <w:p>
      <w:pPr>
        <w:pStyle w:val="92"/>
        <w:spacing w:line="240" w:lineRule="auto"/>
        <w:ind w:firstLine="567"/>
        <w:rPr>
          <w:rFonts w:hint="eastAsia" w:ascii="宋体" w:hAnsi="宋体" w:cs="宋体"/>
          <w:color w:val="auto"/>
          <w:szCs w:val="24"/>
          <w:highlight w:val="none"/>
        </w:rPr>
      </w:pPr>
      <w:r>
        <w:rPr>
          <w:rFonts w:hint="eastAsia" w:ascii="宋体" w:hAnsi="宋体" w:cs="宋体"/>
          <w:color w:val="auto"/>
          <w:szCs w:val="24"/>
          <w:highlight w:val="none"/>
          <w:lang w:val="en-US" w:eastAsia="zh-CN"/>
        </w:rPr>
        <w:t>2.10</w:t>
      </w:r>
      <w:r>
        <w:rPr>
          <w:rFonts w:hint="eastAsia" w:ascii="宋体" w:hAnsi="宋体" w:cs="宋体"/>
          <w:color w:val="auto"/>
          <w:szCs w:val="24"/>
          <w:highlight w:val="none"/>
        </w:rPr>
        <w:t>“计量单位”所有计量均采用中华人民共和国法定计量单位。</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 其他要求</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3.1 投标费用</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 xml:space="preserve">投标人应自行承担所有与本次招标投标有关的费用，而不论投标的结果如何。 </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3.2 采购进口产品</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3.2.1 除投标人须知前附表另有规定外，本项目拒绝进口产品参加招标采购活动。</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3.2.2 本章第4.1款规定同意购买进口产品的，本项目采购活动不限制满足</w:t>
      </w:r>
      <w:r>
        <w:rPr>
          <w:rFonts w:hint="eastAsia" w:ascii="宋体" w:hAnsi="宋体" w:cs="宋体"/>
          <w:color w:val="auto"/>
          <w:szCs w:val="24"/>
          <w:highlight w:val="none"/>
          <w:lang w:eastAsia="zh-CN"/>
        </w:rPr>
        <w:t>招标文件</w:t>
      </w:r>
      <w:r>
        <w:rPr>
          <w:rFonts w:hint="eastAsia" w:ascii="宋体" w:hAnsi="宋体" w:cs="宋体"/>
          <w:color w:val="auto"/>
          <w:szCs w:val="24"/>
          <w:highlight w:val="none"/>
        </w:rPr>
        <w:t>要求的国内产品参与招标。</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 xml:space="preserve">3.3 政府采购政策支持 </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3.3.1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产品优惠累加优惠。财政部门关于政府采购强制采购、优先采购的政策规定可在中国政府采购网(www.ccgp.gov.cn)查询。本项目价格扣除比例见投标人须知前附表。</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3.3.2 同一项目中部分产品属于优先采购政策的，评审时只对该部分产品的报价实行价格优惠。</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3.3.3 为推进政府采购诚信体系建设，供应商在签署相关承诺，提供相关信息前，应认真阅读财政部门相关政策规定。</w:t>
      </w:r>
    </w:p>
    <w:p>
      <w:pPr>
        <w:pStyle w:val="92"/>
        <w:spacing w:line="240" w:lineRule="auto"/>
        <w:ind w:firstLine="567"/>
        <w:jc w:val="both"/>
        <w:rPr>
          <w:rFonts w:hint="eastAsia" w:ascii="宋体" w:hAnsi="宋体" w:cs="宋体"/>
          <w:color w:val="auto"/>
          <w:szCs w:val="24"/>
          <w:highlight w:val="none"/>
        </w:rPr>
      </w:pPr>
    </w:p>
    <w:p>
      <w:pPr>
        <w:pStyle w:val="113"/>
        <w:spacing w:line="240" w:lineRule="auto"/>
        <w:jc w:val="center"/>
        <w:rPr>
          <w:rFonts w:hint="eastAsia" w:eastAsia="宋体"/>
          <w:b/>
          <w:bCs/>
          <w:color w:val="auto"/>
          <w:highlight w:val="none"/>
          <w:lang w:eastAsia="zh-CN"/>
        </w:rPr>
      </w:pPr>
      <w:r>
        <w:rPr>
          <w:rFonts w:hint="eastAsia"/>
          <w:b/>
          <w:bCs/>
          <w:color w:val="auto"/>
          <w:highlight w:val="none"/>
        </w:rPr>
        <w:t>二、</w:t>
      </w:r>
      <w:r>
        <w:rPr>
          <w:rFonts w:hint="eastAsia"/>
          <w:b/>
          <w:bCs/>
          <w:color w:val="auto"/>
          <w:highlight w:val="none"/>
          <w:lang w:eastAsia="zh-CN"/>
        </w:rPr>
        <w:t>招标文件</w:t>
      </w:r>
    </w:p>
    <w:p>
      <w:pPr>
        <w:autoSpaceDE w:val="0"/>
        <w:autoSpaceDN w:val="0"/>
        <w:adjustRightInd w:val="0"/>
        <w:spacing w:line="336" w:lineRule="auto"/>
        <w:rPr>
          <w:rFonts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一</w:t>
      </w:r>
      <w:r>
        <w:rPr>
          <w:rFonts w:hint="eastAsia" w:ascii="宋体" w:hAnsi="宋体" w:cs="宋体"/>
          <w:b/>
          <w:bCs/>
          <w:color w:val="auto"/>
          <w:sz w:val="24"/>
          <w:szCs w:val="24"/>
          <w:highlight w:val="none"/>
          <w:lang w:val="zh-CN"/>
        </w:rPr>
        <w:t>、投标及投标文件</w:t>
      </w:r>
    </w:p>
    <w:p>
      <w:pPr>
        <w:autoSpaceDE w:val="0"/>
        <w:autoSpaceDN w:val="0"/>
        <w:adjustRightInd w:val="0"/>
        <w:spacing w:line="336" w:lineRule="auto"/>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1、各投标人应仔细阅读招标文件中的所有事项、格式、条款和要求，对招标文件的全部内容及要求作出实质性响应，提交相应资料。</w:t>
      </w:r>
    </w:p>
    <w:p>
      <w:pPr>
        <w:autoSpaceDE w:val="0"/>
        <w:autoSpaceDN w:val="0"/>
        <w:adjustRightInd w:val="0"/>
        <w:spacing w:line="336" w:lineRule="auto"/>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2、合格投标人要求：</w:t>
      </w:r>
    </w:p>
    <w:p>
      <w:pPr>
        <w:autoSpaceDE w:val="0"/>
        <w:autoSpaceDN w:val="0"/>
        <w:adjustRightInd w:val="0"/>
        <w:spacing w:line="336" w:lineRule="auto"/>
        <w:ind w:firstLine="482" w:firstLineChars="2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2-1、投标人资格要求：详见</w:t>
      </w:r>
      <w:r>
        <w:rPr>
          <w:rFonts w:hint="eastAsia" w:ascii="宋体" w:hAnsi="宋体" w:cs="宋体"/>
          <w:color w:val="auto"/>
          <w:sz w:val="24"/>
          <w:szCs w:val="24"/>
          <w:highlight w:val="none"/>
          <w:lang w:val="en-US" w:eastAsia="zh-CN"/>
        </w:rPr>
        <w:t>招标公告</w:t>
      </w:r>
    </w:p>
    <w:p>
      <w:pPr>
        <w:snapToGrid w:val="0"/>
        <w:spacing w:line="336" w:lineRule="auto"/>
        <w:ind w:firstLine="482" w:firstLineChars="200"/>
      </w:pPr>
      <w:r>
        <w:rPr>
          <w:rFonts w:hint="eastAsia" w:ascii="宋体" w:hAnsi="宋体" w:cs="宋体"/>
          <w:color w:val="auto"/>
          <w:sz w:val="24"/>
          <w:szCs w:val="24"/>
          <w:highlight w:val="none"/>
        </w:rPr>
        <w:t>2-2、投标人资信要求：投标保证金转账凭证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本项目不做要求</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p>
      <w:pPr>
        <w:snapToGrid w:val="0"/>
        <w:spacing w:line="336"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以上均为各投标人必备要求，不得缺项。投标时须将以上资质附在投标文件中，以便在评审过程中进行资格审查（法定代表人授权书必须为原件，其他资质文件为加盖投标人红色公章的复印件）。</w:t>
      </w:r>
    </w:p>
    <w:p>
      <w:pPr>
        <w:snapToGrid w:val="0"/>
        <w:spacing w:line="336" w:lineRule="auto"/>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3、本项目不接受联合体投标。</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4、投标文件的编制</w:t>
      </w:r>
    </w:p>
    <w:p>
      <w:pPr>
        <w:tabs>
          <w:tab w:val="left" w:pos="9030"/>
        </w:tabs>
        <w:snapToGrid w:val="0"/>
        <w:ind w:right="-65"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4-1、投标人必须根据招标代理机构提供的投标文件格式编制投标文件，正本一份，副本二份，电子版一份（U盘），每套投标文件须清楚地标明“正本”、“副本”、“电子版”，一旦正本与副本不符，以正本为准。</w:t>
      </w:r>
      <w:r>
        <w:rPr>
          <w:rFonts w:hint="eastAsia" w:ascii="宋体" w:hAnsi="宋体" w:cs="宋体"/>
          <w:color w:val="auto"/>
          <w:sz w:val="24"/>
          <w:szCs w:val="24"/>
          <w:highlight w:val="none"/>
          <w:lang w:val="en-US" w:eastAsia="zh-CN"/>
        </w:rPr>
        <w:t>招标文件规定相关格式的，必须按照招标文件提供的格式进行编制，</w:t>
      </w:r>
      <w:r>
        <w:rPr>
          <w:rFonts w:hint="eastAsia" w:ascii="宋体" w:hAnsi="宋体" w:cs="宋体"/>
          <w:color w:val="auto"/>
          <w:sz w:val="24"/>
          <w:szCs w:val="24"/>
          <w:highlight w:val="none"/>
          <w:lang w:val="zh-CN"/>
        </w:rPr>
        <w:t>否则视为无效标书</w:t>
      </w:r>
      <w:r>
        <w:rPr>
          <w:rFonts w:hint="eastAsia" w:ascii="宋体" w:hAnsi="宋体" w:cs="宋体"/>
          <w:color w:val="auto"/>
          <w:sz w:val="24"/>
          <w:szCs w:val="24"/>
          <w:highlight w:val="none"/>
          <w:lang w:val="en-US" w:eastAsia="zh-CN"/>
        </w:rPr>
        <w:t>，</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4-2、投标人在编制投标文件时，应依据招标文件的要求和格式内容编写，对招标文件作出实质性的响应，内容应包括：</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4-2-1、对投标函格式中内容的响应；</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4-2-2、开标一览表。投标货币用人民币，单位为元，精确到分。</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4-2-3、投标人须出具的资格证明文件，证明参加投标人具备招标采购活动要求的资格。</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4-2-4、投标人为本次招标采购活动编制的实施方案，具有履行合同所必须的设备和专业技术能力，配备了相应的商务和技术人员，项目在组织实施、财务保证、售后服务及技术支持等方面具体做法和保障措施。</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4-2-5、投标人根据招标文件载明采购活动的实际情况，拟在中标后将中标项目非主体、非关键性工作交由他人完成的，应当在投标文件中注明。</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4-3、投标文件的正本和所有的副本均需打印或用不褪色蓝（黑）墨水（汁）书写，统一装订、标码，在每一页的正下方清楚标明第几页、共多少页等字样</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未按本要求编制视为无效标</w:t>
      </w:r>
      <w:r>
        <w:rPr>
          <w:rFonts w:hint="eastAsia" w:ascii="宋体" w:hAnsi="宋体" w:cs="宋体"/>
          <w:color w:val="auto"/>
          <w:sz w:val="24"/>
          <w:szCs w:val="24"/>
          <w:highlight w:val="none"/>
        </w:rPr>
        <w:t>。</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4-4、投标文件需法定代表人逐页签字加盖公章，否则做无效标处理。</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4-5、投标文件不得行间插字、涂改和增删，如有修改错漏处，必须由投标人法定代表人签字</w:t>
      </w:r>
      <w:r>
        <w:rPr>
          <w:rFonts w:hint="eastAsia" w:ascii="宋体" w:hAnsi="宋体" w:cs="宋体"/>
          <w:color w:val="auto"/>
          <w:sz w:val="24"/>
          <w:szCs w:val="24"/>
          <w:highlight w:val="none"/>
          <w:lang w:val="en-US" w:eastAsia="zh-CN"/>
        </w:rPr>
        <w:t>并</w:t>
      </w:r>
      <w:r>
        <w:rPr>
          <w:rFonts w:hint="eastAsia" w:ascii="宋体" w:hAnsi="宋体" w:cs="宋体"/>
          <w:color w:val="auto"/>
          <w:sz w:val="24"/>
          <w:szCs w:val="24"/>
          <w:highlight w:val="none"/>
        </w:rPr>
        <w:t>盖章。</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5、投标文件的组成</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5-1、投标文件的组成：</w:t>
      </w:r>
    </w:p>
    <w:p>
      <w:pPr>
        <w:tabs>
          <w:tab w:val="left" w:pos="9030"/>
        </w:tabs>
        <w:snapToGrid w:val="0"/>
        <w:ind w:right="-65"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-1、投标函</w:t>
      </w:r>
    </w:p>
    <w:p>
      <w:pPr>
        <w:tabs>
          <w:tab w:val="left" w:pos="9030"/>
        </w:tabs>
        <w:snapToGrid w:val="0"/>
        <w:ind w:right="-65"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-2、法定代表人身份证明</w:t>
      </w:r>
    </w:p>
    <w:p>
      <w:pPr>
        <w:tabs>
          <w:tab w:val="left" w:pos="9030"/>
        </w:tabs>
        <w:snapToGrid w:val="0"/>
        <w:ind w:right="-65"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-3、授权委托书</w:t>
      </w:r>
    </w:p>
    <w:p>
      <w:pPr>
        <w:tabs>
          <w:tab w:val="left" w:pos="9030"/>
        </w:tabs>
        <w:snapToGrid w:val="0"/>
        <w:ind w:right="-65"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-4、投标保证金（</w:t>
      </w:r>
      <w:r>
        <w:rPr>
          <w:rFonts w:hint="eastAsia" w:ascii="宋体" w:hAnsi="宋体" w:cs="宋体"/>
          <w:color w:val="auto"/>
          <w:sz w:val="24"/>
          <w:szCs w:val="24"/>
          <w:highlight w:val="none"/>
          <w:lang w:val="en-US" w:eastAsia="zh-CN"/>
        </w:rPr>
        <w:t>本项目不做要求</w:t>
      </w:r>
      <w:r>
        <w:rPr>
          <w:rFonts w:hint="eastAsia" w:ascii="宋体" w:hAnsi="宋体" w:cs="宋体"/>
          <w:color w:val="auto"/>
          <w:sz w:val="24"/>
          <w:szCs w:val="24"/>
          <w:highlight w:val="none"/>
          <w:lang w:val="zh-CN"/>
        </w:rPr>
        <w:t>）和基本</w:t>
      </w:r>
      <w:r>
        <w:rPr>
          <w:rFonts w:hint="eastAsia" w:ascii="宋体" w:hAnsi="宋体" w:cs="宋体"/>
          <w:color w:val="auto"/>
          <w:sz w:val="24"/>
          <w:szCs w:val="24"/>
          <w:highlight w:val="none"/>
        </w:rPr>
        <w:t>户</w:t>
      </w:r>
      <w:r>
        <w:rPr>
          <w:rFonts w:hint="eastAsia" w:ascii="宋体" w:hAnsi="宋体" w:cs="宋体"/>
          <w:color w:val="auto"/>
          <w:sz w:val="24"/>
          <w:szCs w:val="24"/>
          <w:highlight w:val="none"/>
          <w:lang w:val="zh-CN"/>
        </w:rPr>
        <w:t>开户许可证或银行出具的基本存款账户信息表</w:t>
      </w:r>
    </w:p>
    <w:p>
      <w:pPr>
        <w:tabs>
          <w:tab w:val="left" w:pos="9030"/>
        </w:tabs>
        <w:snapToGrid w:val="0"/>
        <w:ind w:right="-65"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5、</w:t>
      </w:r>
      <w:r>
        <w:rPr>
          <w:rFonts w:hint="eastAsia" w:ascii="宋体" w:hAnsi="宋体" w:cs="宋体"/>
          <w:color w:val="auto"/>
          <w:sz w:val="24"/>
          <w:szCs w:val="24"/>
          <w:highlight w:val="none"/>
          <w:lang w:val="zh-CN"/>
        </w:rPr>
        <w:t>投标报价</w:t>
      </w:r>
    </w:p>
    <w:p>
      <w:pPr>
        <w:tabs>
          <w:tab w:val="left" w:pos="9030"/>
        </w:tabs>
        <w:snapToGrid w:val="0"/>
        <w:ind w:right="-65"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6、</w:t>
      </w:r>
      <w:r>
        <w:rPr>
          <w:rFonts w:hint="eastAsia" w:ascii="宋体" w:hAnsi="宋体" w:cs="宋体"/>
          <w:color w:val="auto"/>
          <w:sz w:val="24"/>
          <w:szCs w:val="24"/>
          <w:highlight w:val="none"/>
          <w:lang w:val="zh-CN"/>
        </w:rPr>
        <w:t>资格审查资料</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7、投标文件偏差表</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lang w:val="zh-CN"/>
        </w:rPr>
        <w:t>5-</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rPr>
        <w:t>8、技术方案及培训售后服务</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5-1-9、投标人认为需要提供的其他资料</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5-2、投标文件电子文档：</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5-2-1、电子文档中含投标文件全部内容；</w:t>
      </w:r>
    </w:p>
    <w:p>
      <w:pPr>
        <w:tabs>
          <w:tab w:val="left" w:pos="9030"/>
        </w:tabs>
        <w:snapToGrid w:val="0"/>
        <w:ind w:right="-65"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5-2-2、电子文档（U盘1份）单独密封。</w:t>
      </w:r>
    </w:p>
    <w:p>
      <w:pPr>
        <w:tabs>
          <w:tab w:val="left" w:pos="9030"/>
        </w:tabs>
        <w:snapToGrid w:val="0"/>
        <w:ind w:right="-65"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投标文件的组成</w:t>
      </w:r>
      <w:r>
        <w:rPr>
          <w:rFonts w:hint="eastAsia" w:ascii="宋体" w:hAnsi="宋体" w:cs="宋体"/>
          <w:color w:val="auto"/>
          <w:sz w:val="24"/>
          <w:szCs w:val="24"/>
          <w:highlight w:val="none"/>
          <w:lang w:val="en-US" w:eastAsia="zh-CN"/>
        </w:rPr>
        <w:t xml:space="preserve">未按本规定编制视为无效标。 </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6、投标报价</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6-1投标人依据国家级地方相关规则选择计价模式，自主报价。</w:t>
      </w:r>
    </w:p>
    <w:p>
      <w:pPr>
        <w:tabs>
          <w:tab w:val="left" w:pos="9030"/>
        </w:tabs>
        <w:snapToGrid w:val="0"/>
        <w:ind w:right="-65"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6-2投标人根据招标文件要求，结合市场情况进行投标报价，投标报价为投标人在投标文件中提出的各项支付金额的总和。除非合同中另有规定，投标人的投标报价应包括完成该项目的所有成本：人工费、</w:t>
      </w:r>
      <w:r>
        <w:rPr>
          <w:rFonts w:hint="eastAsia" w:ascii="宋体" w:hAnsi="宋体" w:cs="宋体"/>
          <w:color w:val="auto"/>
          <w:sz w:val="24"/>
          <w:szCs w:val="24"/>
          <w:highlight w:val="none"/>
          <w:lang w:val="en-US" w:eastAsia="zh-CN"/>
        </w:rPr>
        <w:t>安装费、</w:t>
      </w:r>
      <w:r>
        <w:rPr>
          <w:rFonts w:hint="eastAsia" w:ascii="宋体" w:hAnsi="宋体" w:cs="宋体"/>
          <w:color w:val="auto"/>
          <w:sz w:val="24"/>
          <w:szCs w:val="24"/>
          <w:highlight w:val="none"/>
        </w:rPr>
        <w:t>设备费、材料费、措施费、机械费、税金、利润、风险费等所有费用。</w:t>
      </w:r>
      <w:r>
        <w:rPr>
          <w:rFonts w:hint="eastAsia" w:ascii="宋体" w:hAnsi="宋体" w:cs="宋体"/>
          <w:b/>
          <w:bCs/>
          <w:color w:val="auto"/>
          <w:sz w:val="24"/>
          <w:szCs w:val="24"/>
          <w:highlight w:val="none"/>
        </w:rPr>
        <w:t>本项目同品牌同型号设备单价应保持一致，若不一致，结算时以低价为准。</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6-3、凡因投标人对招标文件阅读不深、理解不透、误解、疏漏、或因市场行情了解不清造成的后果和风险，均由投标人负责。</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6-4、投标货币：人民币。单位为元，精确到分。</w:t>
      </w:r>
    </w:p>
    <w:p>
      <w:pPr>
        <w:autoSpaceDE w:val="0"/>
        <w:autoSpaceDN w:val="0"/>
        <w:adjustRightInd w:val="0"/>
        <w:snapToGrid w:val="0"/>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6-5、只允许有一种投标方案和报价。</w:t>
      </w:r>
    </w:p>
    <w:p>
      <w:pPr>
        <w:autoSpaceDE w:val="0"/>
        <w:autoSpaceDN w:val="0"/>
        <w:adjustRightInd w:val="0"/>
        <w:snapToGrid w:val="0"/>
        <w:ind w:firstLine="482" w:firstLineChars="200"/>
        <w:rPr>
          <w:rFonts w:ascii="宋体" w:hAnsi="宋体" w:cs="宋体"/>
          <w:color w:val="auto"/>
          <w:sz w:val="24"/>
          <w:szCs w:val="24"/>
          <w:highlight w:val="none"/>
        </w:rPr>
      </w:pPr>
      <w:bookmarkStart w:id="18" w:name="_Toc179632567"/>
      <w:bookmarkStart w:id="19" w:name="_Toc144974517"/>
      <w:bookmarkStart w:id="20" w:name="_Toc152042325"/>
      <w:bookmarkStart w:id="21" w:name="_Toc152045549"/>
      <w:r>
        <w:rPr>
          <w:rFonts w:hint="eastAsia" w:ascii="宋体" w:hAnsi="宋体" w:cs="宋体"/>
          <w:color w:val="auto"/>
          <w:sz w:val="24"/>
          <w:szCs w:val="24"/>
          <w:highlight w:val="none"/>
        </w:rPr>
        <w:t>6-6、投标有效期</w:t>
      </w:r>
      <w:bookmarkEnd w:id="18"/>
      <w:bookmarkEnd w:id="19"/>
      <w:bookmarkEnd w:id="20"/>
      <w:bookmarkEnd w:id="21"/>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6-6-1、本项目投标有效期为</w:t>
      </w:r>
      <w:r>
        <w:rPr>
          <w:rFonts w:hint="eastAsia" w:ascii="宋体" w:hAnsi="宋体" w:cs="宋体"/>
          <w:color w:val="auto"/>
          <w:sz w:val="24"/>
          <w:szCs w:val="24"/>
          <w:highlight w:val="none"/>
          <w:lang w:val="en-US" w:eastAsia="zh-CN"/>
        </w:rPr>
        <w:t>60</w:t>
      </w:r>
      <w:r>
        <w:rPr>
          <w:rFonts w:hint="eastAsia" w:ascii="宋体" w:hAnsi="宋体" w:cs="宋体"/>
          <w:color w:val="auto"/>
          <w:sz w:val="24"/>
          <w:szCs w:val="24"/>
          <w:highlight w:val="none"/>
        </w:rPr>
        <w:t>天。在投标有效期内，投标人不得要求撤销或修改其投标文件。</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6-6-2、出现特殊情况需要延长投标有效期的，招标人通知所有投标人延长投标有效期。投标人同意延长的，应相应延长其投标保证金、保函或担保的有效期，但不得要求或被允许修改或撤销其投标文件；投标人拒绝延长的，其投标失效，但投标人有权收回其投标保证金、保函或担保。</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7、投标保证金：</w:t>
      </w:r>
    </w:p>
    <w:p>
      <w:pPr>
        <w:autoSpaceDE w:val="0"/>
        <w:autoSpaceDN w:val="0"/>
        <w:adjustRightInd w:val="0"/>
        <w:snapToGrid w:val="0"/>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7-1、投标人须向招标代理机构递交投标保证金（</w:t>
      </w:r>
      <w:r>
        <w:rPr>
          <w:rFonts w:hint="eastAsia" w:ascii="宋体" w:hAnsi="宋体" w:cs="宋体"/>
          <w:color w:val="auto"/>
          <w:sz w:val="24"/>
          <w:szCs w:val="24"/>
          <w:highlight w:val="none"/>
          <w:lang w:val="en-US" w:eastAsia="zh-CN"/>
        </w:rPr>
        <w:t>本项目不做要求</w:t>
      </w:r>
      <w:r>
        <w:rPr>
          <w:rFonts w:hint="eastAsia" w:ascii="宋体" w:hAnsi="宋体" w:cs="宋体"/>
          <w:color w:val="auto"/>
          <w:sz w:val="24"/>
          <w:szCs w:val="24"/>
          <w:highlight w:val="none"/>
          <w:lang w:val="zh-CN"/>
        </w:rPr>
        <w:t>），投标保证金须在投标截止时间前到帐。</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lang w:val="zh-CN"/>
        </w:rPr>
        <w:t>7-2、提交投标保证金后，各投标人须将其投标保证金转账凭证（</w:t>
      </w:r>
      <w:r>
        <w:rPr>
          <w:rFonts w:hint="eastAsia" w:ascii="宋体" w:hAnsi="宋体" w:cs="宋体"/>
          <w:color w:val="auto"/>
          <w:sz w:val="24"/>
          <w:szCs w:val="24"/>
          <w:highlight w:val="none"/>
          <w:lang w:val="en-US" w:eastAsia="zh-CN"/>
        </w:rPr>
        <w:t>本项目不做要求</w:t>
      </w:r>
      <w:r>
        <w:rPr>
          <w:rFonts w:hint="eastAsia" w:ascii="宋体" w:hAnsi="宋体" w:cs="宋体"/>
          <w:color w:val="auto"/>
          <w:sz w:val="24"/>
          <w:szCs w:val="24"/>
          <w:highlight w:val="none"/>
          <w:lang w:val="zh-CN"/>
        </w:rPr>
        <w:t>）和基本户开户证明复印件附在投标文件中，否则视为无效标书。</w:t>
      </w:r>
    </w:p>
    <w:p>
      <w:pPr>
        <w:autoSpaceDE w:val="0"/>
        <w:autoSpaceDN w:val="0"/>
        <w:adjustRightInd w:val="0"/>
        <w:snapToGrid w:val="0"/>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val="zh-CN"/>
        </w:rPr>
        <w:t>、在中标通知书发出后五</w:t>
      </w:r>
      <w:r>
        <w:rPr>
          <w:rFonts w:hint="eastAsia" w:ascii="宋体" w:hAnsi="宋体" w:cs="宋体"/>
          <w:color w:val="auto"/>
          <w:sz w:val="24"/>
          <w:szCs w:val="24"/>
          <w:highlight w:val="none"/>
          <w:lang w:val="en-US" w:eastAsia="zh-CN"/>
        </w:rPr>
        <w:t>三十</w:t>
      </w:r>
      <w:r>
        <w:rPr>
          <w:rFonts w:hint="eastAsia" w:ascii="宋体" w:hAnsi="宋体" w:cs="宋体"/>
          <w:color w:val="auto"/>
          <w:sz w:val="24"/>
          <w:szCs w:val="24"/>
          <w:highlight w:val="none"/>
          <w:lang w:val="zh-CN"/>
        </w:rPr>
        <w:t>个工作日内退还未中标供应商的投标保证金，在采购合同签订后</w:t>
      </w:r>
      <w:r>
        <w:rPr>
          <w:rFonts w:hint="eastAsia" w:ascii="宋体" w:hAnsi="宋体" w:cs="宋体"/>
          <w:color w:val="auto"/>
          <w:sz w:val="24"/>
          <w:szCs w:val="24"/>
          <w:highlight w:val="none"/>
          <w:lang w:val="en-US" w:eastAsia="zh-CN"/>
        </w:rPr>
        <w:t>三十</w:t>
      </w:r>
      <w:r>
        <w:rPr>
          <w:rFonts w:hint="eastAsia" w:ascii="宋体" w:hAnsi="宋体" w:cs="宋体"/>
          <w:color w:val="auto"/>
          <w:sz w:val="24"/>
          <w:szCs w:val="24"/>
          <w:highlight w:val="none"/>
          <w:lang w:val="zh-CN"/>
        </w:rPr>
        <w:t>个工作日内退还中标供应商的投标保证金。</w:t>
      </w:r>
    </w:p>
    <w:p>
      <w:pPr>
        <w:autoSpaceDE w:val="0"/>
        <w:autoSpaceDN w:val="0"/>
        <w:adjustRightInd w:val="0"/>
        <w:snapToGrid w:val="0"/>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val="zh-CN"/>
        </w:rPr>
        <w:t>、中标供应商有下列情形之一的，招标代理机构不予退还其交纳的投标保证金：</w:t>
      </w:r>
    </w:p>
    <w:p>
      <w:pPr>
        <w:autoSpaceDE w:val="0"/>
        <w:autoSpaceDN w:val="0"/>
        <w:adjustRightInd w:val="0"/>
        <w:snapToGrid w:val="0"/>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w:t>
      </w:r>
      <w:r>
        <w:rPr>
          <w:rFonts w:hint="eastAsia" w:ascii="宋体" w:hAnsi="宋体" w:cs="宋体"/>
          <w:color w:val="auto"/>
          <w:sz w:val="24"/>
          <w:szCs w:val="24"/>
          <w:highlight w:val="none"/>
        </w:rPr>
        <w:t>5</w:t>
      </w:r>
      <w:r>
        <w:rPr>
          <w:rFonts w:hint="eastAsia" w:ascii="宋体" w:hAnsi="宋体" w:cs="宋体"/>
          <w:color w:val="auto"/>
          <w:sz w:val="24"/>
          <w:szCs w:val="24"/>
          <w:highlight w:val="none"/>
          <w:lang w:val="zh-CN"/>
        </w:rPr>
        <w:t>-1、中标后无正当理由不与招标人签订合同的；</w:t>
      </w:r>
    </w:p>
    <w:p>
      <w:pPr>
        <w:autoSpaceDE w:val="0"/>
        <w:autoSpaceDN w:val="0"/>
        <w:adjustRightInd w:val="0"/>
        <w:snapToGrid w:val="0"/>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w:t>
      </w:r>
      <w:r>
        <w:rPr>
          <w:rFonts w:hint="eastAsia" w:ascii="宋体" w:hAnsi="宋体" w:cs="宋体"/>
          <w:color w:val="auto"/>
          <w:sz w:val="24"/>
          <w:szCs w:val="24"/>
          <w:highlight w:val="none"/>
        </w:rPr>
        <w:t>5</w:t>
      </w:r>
      <w:r>
        <w:rPr>
          <w:rFonts w:hint="eastAsia" w:ascii="宋体" w:hAnsi="宋体" w:cs="宋体"/>
          <w:color w:val="auto"/>
          <w:sz w:val="24"/>
          <w:szCs w:val="24"/>
          <w:highlight w:val="none"/>
          <w:lang w:val="zh-CN"/>
        </w:rPr>
        <w:t>-2、中标供应商将中标项目转让给他人，或者在投标文件中未说明，且未经招标人同意，将中标项目分包给他人的；</w:t>
      </w:r>
    </w:p>
    <w:p>
      <w:pPr>
        <w:autoSpaceDE w:val="0"/>
        <w:autoSpaceDN w:val="0"/>
        <w:adjustRightInd w:val="0"/>
        <w:snapToGrid w:val="0"/>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7-</w:t>
      </w:r>
      <w:r>
        <w:rPr>
          <w:rFonts w:hint="eastAsia" w:ascii="宋体" w:hAnsi="宋体" w:cs="宋体"/>
          <w:color w:val="auto"/>
          <w:sz w:val="24"/>
          <w:szCs w:val="24"/>
          <w:highlight w:val="none"/>
        </w:rPr>
        <w:t>5</w:t>
      </w:r>
      <w:r>
        <w:rPr>
          <w:rFonts w:hint="eastAsia" w:ascii="宋体" w:hAnsi="宋体" w:cs="宋体"/>
          <w:color w:val="auto"/>
          <w:sz w:val="24"/>
          <w:szCs w:val="24"/>
          <w:highlight w:val="none"/>
          <w:lang w:val="zh-CN"/>
        </w:rPr>
        <w:t>-3、中标供应商拒绝履行合同义务的。</w:t>
      </w:r>
    </w:p>
    <w:p>
      <w:pPr>
        <w:autoSpaceDE w:val="0"/>
        <w:autoSpaceDN w:val="0"/>
        <w:adjustRightInd w:val="0"/>
        <w:snapToGrid w:val="0"/>
        <w:rPr>
          <w:rFonts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二</w:t>
      </w:r>
      <w:r>
        <w:rPr>
          <w:rFonts w:hint="eastAsia" w:ascii="宋体" w:hAnsi="宋体" w:cs="宋体"/>
          <w:b/>
          <w:bCs/>
          <w:color w:val="auto"/>
          <w:sz w:val="24"/>
          <w:szCs w:val="24"/>
          <w:highlight w:val="none"/>
          <w:lang w:val="zh-CN"/>
        </w:rPr>
        <w:t>、投标文件的密封和提交</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本项目不做要求</w:t>
      </w:r>
      <w:r>
        <w:rPr>
          <w:rFonts w:hint="eastAsia" w:ascii="宋体" w:hAnsi="宋体" w:cs="宋体"/>
          <w:color w:val="auto"/>
          <w:sz w:val="24"/>
          <w:szCs w:val="24"/>
          <w:highlight w:val="none"/>
          <w:lang w:eastAsia="zh-CN"/>
        </w:rPr>
        <w:t>）</w:t>
      </w:r>
    </w:p>
    <w:p>
      <w:pPr>
        <w:autoSpaceDE w:val="0"/>
        <w:autoSpaceDN w:val="0"/>
        <w:adjustRightInd w:val="0"/>
        <w:snapToGrid w:val="0"/>
        <w:ind w:firstLine="482"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1、投标文件密封</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1-1、投标人应将投标文件的正本、副本、电子版</w:t>
      </w:r>
      <w:r>
        <w:rPr>
          <w:rFonts w:hint="eastAsia" w:ascii="宋体" w:hAnsi="宋体" w:cs="宋体"/>
          <w:color w:val="auto"/>
          <w:sz w:val="24"/>
          <w:szCs w:val="24"/>
          <w:highlight w:val="none"/>
          <w:lang w:val="en-US" w:eastAsia="zh-CN"/>
        </w:rPr>
        <w:t>单独</w:t>
      </w:r>
      <w:r>
        <w:rPr>
          <w:rFonts w:hint="eastAsia" w:ascii="宋体" w:hAnsi="宋体" w:cs="宋体"/>
          <w:color w:val="auto"/>
          <w:sz w:val="24"/>
          <w:szCs w:val="24"/>
          <w:highlight w:val="none"/>
        </w:rPr>
        <w:t>密封</w:t>
      </w:r>
      <w:r>
        <w:rPr>
          <w:rFonts w:hint="eastAsia" w:ascii="宋体" w:hAnsi="宋体" w:cs="宋体"/>
          <w:color w:val="auto"/>
          <w:sz w:val="24"/>
          <w:szCs w:val="24"/>
          <w:highlight w:val="none"/>
          <w:lang w:val="en-US" w:eastAsia="zh-CN"/>
        </w:rPr>
        <w:t>后再统一密封至一个密封袋中</w:t>
      </w:r>
      <w:r>
        <w:rPr>
          <w:rFonts w:hint="eastAsia" w:ascii="宋体" w:hAnsi="宋体" w:cs="宋体"/>
          <w:color w:val="auto"/>
          <w:sz w:val="24"/>
          <w:szCs w:val="24"/>
          <w:highlight w:val="none"/>
        </w:rPr>
        <w:t>，在信封上标明标书编号、投标项目，投标人全称（公章）、“正本”、“副本”、“电子版”等内容，再加封条密封，在封线处加盖公章（骑缝章）。</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1-2、投标文件未按要求密封和加写标记，招标代理机构有权拒收其投标文件；对误投或过早启封的标书概不负责。</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2、投标文件提交</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2-1、投标人应在投标文件要求提交投标文件的截止时间前将投标文件密封送达投标地点。招标代理机构收到投标文件后办理签收手续。</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2-2、在招标文件要求提交投标文件的截止时间之后送达的投标文件，为无效投标文件，招标代理机构应当拒绝接收。</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2-3、投标人在投标截止时间前，可以对所提交的投标文件进行补充、修改或者撤回，并书面通知招标代理机构。补充、修改的内容应当按招标文件要求签署、盖章，并作为投标文件的组成部分。</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2-4、投标文件提交截止时间后，投标人不得对其投标文件做任何修改。</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2-5、在投标文件提交截止时间后到标书规定的投标有效期满之间的这段时间内，投标人不得撤回其投标，否则，其投标保证金将不予退还。</w:t>
      </w:r>
    </w:p>
    <w:p>
      <w:pPr>
        <w:rPr>
          <w:rFonts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三</w:t>
      </w:r>
      <w:r>
        <w:rPr>
          <w:rFonts w:hint="eastAsia" w:ascii="宋体" w:hAnsi="宋体" w:cs="宋体"/>
          <w:b/>
          <w:bCs/>
          <w:color w:val="auto"/>
          <w:sz w:val="24"/>
          <w:szCs w:val="24"/>
          <w:highlight w:val="none"/>
        </w:rPr>
        <w:t>、开标</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1、在招标文件规定的开标时间和地点，由招标代理机构组织开标工作，投标人须委派代表参加，签名报到以证明其出席。招标整个过程接受监督人的监督和管理。</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2、开标时，由投标人或其推荐的代表与招标人的监督人共同检查投标文件的密封情况，经检查无误后，签字确认。</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3、对投标文件的密封确认无误后，由招标代理机构工作人员按照顺序，以公开唱标的形式将投标函的内容公布，无异议后，由投标人法定代表人（或授权代表人）和监督人签字确认。</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4、唱标过程由招标代理机构指定专人记录。</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5、公开开标后，直到向中标的投标人授予合同为止，凡与审查、澄清、评价和比较投标的有关资料及授标意见等内容，任何人均不得向投标人及与评标无关的其他人透露。</w:t>
      </w:r>
    </w:p>
    <w:p>
      <w:pPr>
        <w:rPr>
          <w:rFonts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四</w:t>
      </w:r>
      <w:r>
        <w:rPr>
          <w:rFonts w:hint="eastAsia" w:ascii="宋体" w:hAnsi="宋体" w:cs="宋体"/>
          <w:b/>
          <w:bCs/>
          <w:color w:val="auto"/>
          <w:sz w:val="24"/>
          <w:szCs w:val="24"/>
          <w:highlight w:val="none"/>
        </w:rPr>
        <w:t>、评标</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1、评标工作由招标代理机构组建的评标委员会负责。评标委员会由招标人代表及有关专家组成，专家人选在专家库中随机抽取，评标委员会成员与投标人有利害关系的应当回避。</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2、评标委员会有权对整个招标过程中出现的一切问题，根据《</w:t>
      </w:r>
      <w:r>
        <w:rPr>
          <w:rFonts w:hint="eastAsia" w:ascii="宋体" w:hAnsi="宋体" w:cs="宋体"/>
          <w:color w:val="auto"/>
          <w:sz w:val="24"/>
          <w:szCs w:val="24"/>
          <w:highlight w:val="none"/>
          <w:lang w:bidi="ar"/>
        </w:rPr>
        <w:t>国有企业采购操作规范T/CFLP 0016-2019</w:t>
      </w:r>
      <w:r>
        <w:rPr>
          <w:rFonts w:hint="eastAsia" w:ascii="宋体" w:hAnsi="宋体" w:cs="宋体"/>
          <w:color w:val="auto"/>
          <w:sz w:val="24"/>
          <w:szCs w:val="24"/>
          <w:highlight w:val="none"/>
        </w:rPr>
        <w:t>》及相关法规、政策的规定，本着公开、公平、公正的原则，进行处理。</w:t>
      </w:r>
    </w:p>
    <w:p>
      <w:pPr>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3、评标</w:t>
      </w:r>
    </w:p>
    <w:p>
      <w:pPr>
        <w:ind w:firstLine="482" w:firstLineChars="200"/>
        <w:rPr>
          <w:rFonts w:ascii="宋体" w:hAnsi="宋体" w:cs="宋体"/>
          <w:color w:val="auto"/>
          <w:sz w:val="24"/>
          <w:szCs w:val="24"/>
          <w:highlight w:val="none"/>
        </w:rPr>
      </w:pPr>
      <w:r>
        <w:rPr>
          <w:rFonts w:hint="eastAsia" w:ascii="宋体" w:hAnsi="宋体" w:cs="宋体"/>
          <w:color w:val="auto"/>
          <w:sz w:val="24"/>
          <w:highlight w:val="none"/>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en-US" w:eastAsia="zh-CN"/>
        </w:rPr>
        <w:t>五</w:t>
      </w:r>
      <w:r>
        <w:rPr>
          <w:rFonts w:hint="eastAsia" w:ascii="宋体" w:hAnsi="宋体" w:cs="宋体"/>
          <w:b/>
          <w:bCs/>
          <w:color w:val="auto"/>
          <w:sz w:val="24"/>
          <w:szCs w:val="24"/>
          <w:highlight w:val="none"/>
          <w:lang w:val="zh-CN"/>
        </w:rPr>
        <w:t>、定标</w:t>
      </w:r>
    </w:p>
    <w:p>
      <w:pPr>
        <w:autoSpaceDE w:val="0"/>
        <w:autoSpaceDN w:val="0"/>
        <w:adjustRightInd w:val="0"/>
        <w:snapToGrid w:val="0"/>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7.1 中标通知</w:t>
      </w:r>
    </w:p>
    <w:p>
      <w:pPr>
        <w:autoSpaceDE w:val="0"/>
        <w:autoSpaceDN w:val="0"/>
        <w:adjustRightInd w:val="0"/>
        <w:snapToGrid w:val="0"/>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7.1.1招标人应当自收到评标报告之日起3日内书面通知各投标单位中标候选人，公示期为3日。</w:t>
      </w:r>
    </w:p>
    <w:p>
      <w:pPr>
        <w:autoSpaceDE w:val="0"/>
        <w:autoSpaceDN w:val="0"/>
        <w:adjustRightInd w:val="0"/>
        <w:snapToGrid w:val="0"/>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7.1.2投标人或者其他利</w:t>
      </w:r>
      <w:bookmarkStart w:id="22" w:name="_Toc300834982"/>
      <w:bookmarkStart w:id="23" w:name="_Toc144974529"/>
      <w:bookmarkStart w:id="24" w:name="_Toc369531549"/>
      <w:bookmarkStart w:id="25" w:name="_Toc152042337"/>
      <w:bookmarkStart w:id="26" w:name="_Toc152045561"/>
      <w:bookmarkStart w:id="27" w:name="_Toc352691505"/>
      <w:bookmarkStart w:id="28" w:name="_Toc30095"/>
      <w:bookmarkStart w:id="29" w:name="_Toc361508618"/>
      <w:bookmarkStart w:id="30" w:name="_Toc247513985"/>
      <w:bookmarkStart w:id="31" w:name="_Toc247527586"/>
      <w:bookmarkStart w:id="32" w:name="_Toc384308243"/>
      <w:r>
        <w:rPr>
          <w:rFonts w:hint="eastAsia" w:ascii="宋体" w:hAnsi="宋体" w:cs="宋体"/>
          <w:color w:val="auto"/>
          <w:sz w:val="24"/>
          <w:szCs w:val="24"/>
          <w:highlight w:val="none"/>
        </w:rPr>
        <w:t>害关系人对评标结</w:t>
      </w:r>
      <w:bookmarkEnd w:id="22"/>
      <w:bookmarkEnd w:id="23"/>
      <w:bookmarkEnd w:id="24"/>
      <w:bookmarkEnd w:id="25"/>
      <w:bookmarkEnd w:id="26"/>
      <w:bookmarkEnd w:id="27"/>
      <w:bookmarkEnd w:id="28"/>
      <w:bookmarkEnd w:id="29"/>
      <w:bookmarkEnd w:id="30"/>
      <w:bookmarkEnd w:id="31"/>
      <w:bookmarkEnd w:id="32"/>
      <w:r>
        <w:rPr>
          <w:rFonts w:hint="eastAsia" w:ascii="宋体" w:hAnsi="宋体" w:cs="宋体"/>
          <w:color w:val="auto"/>
          <w:sz w:val="24"/>
          <w:szCs w:val="24"/>
          <w:highlight w:val="none"/>
        </w:rPr>
        <w:t>果有异议的，应当在中标候选人公示期间提出。招标人将在收到异议之日起3日内作出答复；</w:t>
      </w:r>
    </w:p>
    <w:p>
      <w:pPr>
        <w:autoSpaceDE w:val="0"/>
        <w:autoSpaceDN w:val="0"/>
        <w:adjustRightInd w:val="0"/>
        <w:snapToGrid w:val="0"/>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7.2中标候选人履约能力审查</w:t>
      </w:r>
    </w:p>
    <w:p>
      <w:pPr>
        <w:autoSpaceDE w:val="0"/>
        <w:autoSpaceDN w:val="0"/>
        <w:adjustRightInd w:val="0"/>
        <w:snapToGrid w:val="0"/>
        <w:ind w:firstLine="482" w:firstLineChars="200"/>
        <w:rPr>
          <w:rFonts w:hint="eastAsia"/>
          <w:color w:val="auto"/>
          <w:highlight w:val="none"/>
          <w:lang w:val="zh-CN"/>
        </w:rPr>
      </w:pPr>
      <w:r>
        <w:rPr>
          <w:rFonts w:hint="eastAsia" w:ascii="宋体" w:hAnsi="宋体" w:cs="宋体"/>
          <w:color w:val="auto"/>
          <w:sz w:val="24"/>
          <w:szCs w:val="24"/>
          <w:highlight w:val="none"/>
        </w:rPr>
        <w:t>中标候选人的经营、财务状况发生较大变化或存在违法行为，或其他招标人认为可能影响其履约能力的，招标人将在发出中标通知书前提请原评标委员会按照招标文件规定的标准和方法进行审查和确认。</w:t>
      </w:r>
    </w:p>
    <w:p>
      <w:pPr>
        <w:autoSpaceDE w:val="0"/>
        <w:autoSpaceDN w:val="0"/>
        <w:adjustRightInd w:val="0"/>
        <w:snapToGrid w:val="0"/>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7.3 定标方式</w:t>
      </w:r>
    </w:p>
    <w:p>
      <w:pPr>
        <w:autoSpaceDE w:val="0"/>
        <w:autoSpaceDN w:val="0"/>
        <w:adjustRightInd w:val="0"/>
        <w:snapToGrid w:val="0"/>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7.3.1</w:t>
      </w:r>
      <w:r>
        <w:rPr>
          <w:rFonts w:hint="eastAsia" w:ascii="宋体" w:hAnsi="宋体" w:cs="宋体"/>
          <w:color w:val="auto"/>
          <w:sz w:val="24"/>
          <w:szCs w:val="24"/>
          <w:highlight w:val="none"/>
          <w:lang w:val="zh-CN"/>
        </w:rPr>
        <w:t>本次</w:t>
      </w:r>
      <w:r>
        <w:rPr>
          <w:rFonts w:hint="eastAsia" w:ascii="宋体" w:hAnsi="宋体" w:cs="宋体"/>
          <w:color w:val="auto"/>
          <w:sz w:val="24"/>
          <w:szCs w:val="24"/>
          <w:highlight w:val="none"/>
          <w:lang w:val="en-US" w:eastAsia="zh-CN"/>
        </w:rPr>
        <w:t>招标采取</w:t>
      </w:r>
      <w:r>
        <w:rPr>
          <w:rFonts w:hint="eastAsia" w:ascii="宋体" w:hAnsi="宋体" w:cs="宋体"/>
          <w:color w:val="auto"/>
          <w:sz w:val="24"/>
          <w:szCs w:val="24"/>
          <w:highlight w:val="none"/>
        </w:rPr>
        <w:t>中标</w:t>
      </w:r>
      <w:r>
        <w:rPr>
          <w:rFonts w:hint="eastAsia" w:ascii="宋体" w:hAnsi="宋体" w:cs="宋体"/>
          <w:color w:val="auto"/>
          <w:sz w:val="24"/>
          <w:szCs w:val="24"/>
          <w:highlight w:val="none"/>
          <w:lang w:val="en-US" w:eastAsia="zh-CN"/>
        </w:rPr>
        <w:t>方式，</w:t>
      </w:r>
      <w:r>
        <w:rPr>
          <w:rFonts w:hint="eastAsia" w:ascii="宋体" w:hAnsi="宋体" w:cs="宋体"/>
          <w:color w:val="auto"/>
          <w:sz w:val="24"/>
          <w:szCs w:val="24"/>
          <w:highlight w:val="none"/>
          <w:lang w:val="zh-CN"/>
        </w:rPr>
        <w:t>根据得分排名，</w:t>
      </w:r>
      <w:r>
        <w:rPr>
          <w:rFonts w:hint="eastAsia" w:ascii="宋体" w:hAnsi="宋体" w:cs="宋体"/>
          <w:color w:val="auto"/>
          <w:sz w:val="24"/>
          <w:szCs w:val="24"/>
          <w:highlight w:val="none"/>
        </w:rPr>
        <w:t>中标</w:t>
      </w:r>
      <w:r>
        <w:rPr>
          <w:rFonts w:hint="eastAsia" w:ascii="宋体" w:hAnsi="宋体" w:cs="宋体"/>
          <w:color w:val="auto"/>
          <w:sz w:val="24"/>
          <w:szCs w:val="24"/>
          <w:highlight w:val="none"/>
          <w:lang w:eastAsia="zh-CN"/>
        </w:rPr>
        <w:t>家数</w:t>
      </w:r>
      <w:r>
        <w:rPr>
          <w:rFonts w:hint="eastAsia" w:ascii="宋体" w:hAnsi="宋体" w:cs="宋体"/>
          <w:color w:val="auto"/>
          <w:sz w:val="24"/>
          <w:szCs w:val="24"/>
          <w:highlight w:val="none"/>
          <w:lang w:val="en-US" w:eastAsia="zh-CN"/>
        </w:rPr>
        <w:t>为一家</w:t>
      </w:r>
      <w:r>
        <w:rPr>
          <w:rFonts w:hint="eastAsia" w:ascii="宋体" w:hAnsi="宋体" w:cs="宋体"/>
          <w:color w:val="auto"/>
          <w:sz w:val="24"/>
          <w:szCs w:val="24"/>
          <w:highlight w:val="none"/>
          <w:lang w:eastAsia="zh-CN"/>
        </w:rPr>
        <w:t>，当出现得分相等无法确定名次时，采取抽签的方式确定名次</w:t>
      </w:r>
      <w:r>
        <w:rPr>
          <w:rFonts w:hint="eastAsia" w:ascii="宋体" w:hAnsi="宋体" w:cs="宋体"/>
          <w:color w:val="auto"/>
          <w:sz w:val="24"/>
          <w:szCs w:val="24"/>
          <w:highlight w:val="none"/>
        </w:rPr>
        <w:t>。无7.1.2及7.2条规定的情形，招标人依据评标委员会提交的评审报告确定中标单位。</w:t>
      </w:r>
    </w:p>
    <w:p>
      <w:pPr>
        <w:autoSpaceDE w:val="0"/>
        <w:autoSpaceDN w:val="0"/>
        <w:adjustRightInd w:val="0"/>
        <w:snapToGrid w:val="0"/>
        <w:ind w:firstLine="482"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7.3.2如果中标候选人放弃中标、因不可抗力不能履行合同，或者被查实存在影响中标结果的违法行为等情形，不符合中标条件的，招标人将按照评标委员会提出的中标候选人名单排序依次确定其他中标候选人为中标</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，也可以重新招标。</w:t>
      </w:r>
    </w:p>
    <w:p>
      <w:pPr>
        <w:autoSpaceDE w:val="0"/>
        <w:autoSpaceDN w:val="0"/>
        <w:adjustRightInd w:val="0"/>
        <w:snapToGrid w:val="0"/>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en-US" w:eastAsia="zh-CN"/>
        </w:rPr>
        <w:t>六</w:t>
      </w:r>
      <w:r>
        <w:rPr>
          <w:rFonts w:hint="eastAsia" w:ascii="宋体" w:hAnsi="宋体" w:cs="宋体"/>
          <w:b/>
          <w:bCs/>
          <w:color w:val="auto"/>
          <w:sz w:val="24"/>
          <w:szCs w:val="24"/>
          <w:highlight w:val="none"/>
          <w:lang w:val="zh-CN"/>
        </w:rPr>
        <w:t>、合同</w:t>
      </w:r>
    </w:p>
    <w:p>
      <w:pPr>
        <w:autoSpaceDE w:val="0"/>
        <w:autoSpaceDN w:val="0"/>
        <w:adjustRightInd w:val="0"/>
        <w:snapToGrid w:val="0"/>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招标人在自中标通知书发出之日起三十日内，按照招标文件和中标供应商投标文件的约定，招标人与中标供应商洽谈合同条款，并签订合同。招标文件及中标供应商的投标文件均作为合同的组成部分。</w:t>
      </w:r>
    </w:p>
    <w:p>
      <w:pPr>
        <w:autoSpaceDE w:val="0"/>
        <w:autoSpaceDN w:val="0"/>
        <w:adjustRightInd w:val="0"/>
        <w:snapToGrid w:val="0"/>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en-US" w:eastAsia="zh-CN"/>
        </w:rPr>
        <w:t>七</w:t>
      </w:r>
      <w:r>
        <w:rPr>
          <w:rFonts w:hint="eastAsia" w:ascii="宋体" w:hAnsi="宋体" w:cs="宋体"/>
          <w:b/>
          <w:bCs/>
          <w:color w:val="auto"/>
          <w:sz w:val="24"/>
          <w:szCs w:val="24"/>
          <w:highlight w:val="none"/>
          <w:lang w:val="zh-CN"/>
        </w:rPr>
        <w:t>、中标服务费</w:t>
      </w:r>
    </w:p>
    <w:p>
      <w:pPr>
        <w:autoSpaceDE w:val="0"/>
        <w:autoSpaceDN w:val="0"/>
        <w:adjustRightInd w:val="0"/>
        <w:spacing w:line="336" w:lineRule="auto"/>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1、中标单位在领取中标通知书前，须向招标代理机构支付中标服务费。</w:t>
      </w:r>
    </w:p>
    <w:p>
      <w:pPr>
        <w:autoSpaceDE w:val="0"/>
        <w:autoSpaceDN w:val="0"/>
        <w:adjustRightInd w:val="0"/>
        <w:spacing w:line="336" w:lineRule="auto"/>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2、中标服务费收费标准参照《国家计委关于印发&lt;招标代理服务收费管理暂行办法&gt;的通知》（计价格[2002]1980号）</w:t>
      </w:r>
    </w:p>
    <w:p>
      <w:pPr>
        <w:widowControl/>
        <w:ind w:firstLine="482" w:firstLineChars="200"/>
        <w:jc w:val="left"/>
        <w:rPr>
          <w:rFonts w:ascii="宋体" w:hAnsi="宋体" w:cs="宋体"/>
          <w:color w:val="auto"/>
          <w:sz w:val="24"/>
          <w:szCs w:val="24"/>
          <w:highlight w:val="none"/>
          <w:lang w:val="zh-CN"/>
        </w:rPr>
      </w:pPr>
      <w:r>
        <w:rPr>
          <w:rFonts w:ascii="宋体" w:hAnsi="宋体" w:cs="宋体"/>
          <w:color w:val="auto"/>
          <w:kern w:val="0"/>
          <w:sz w:val="24"/>
          <w:szCs w:val="24"/>
          <w:highlight w:val="none"/>
          <w:lang w:bidi="ar"/>
        </w:rPr>
        <w:t xml:space="preserve">3、中标服务费缴纳时间：收到中标服务费缴纳通知后7天内； </w:t>
      </w:r>
    </w:p>
    <w:p>
      <w:pPr>
        <w:autoSpaceDE w:val="0"/>
        <w:autoSpaceDN w:val="0"/>
        <w:adjustRightInd w:val="0"/>
        <w:spacing w:line="336" w:lineRule="auto"/>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zh-CN"/>
        </w:rPr>
        <w:t>、中标单位服务费交纳信息</w:t>
      </w:r>
    </w:p>
    <w:p>
      <w:pPr>
        <w:autoSpaceDE w:val="0"/>
        <w:autoSpaceDN w:val="0"/>
        <w:adjustRightInd w:val="0"/>
        <w:spacing w:line="336" w:lineRule="auto"/>
        <w:ind w:firstLine="482" w:firstLineChars="20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银行户名：新疆安航工程项目管理有限公司</w:t>
      </w:r>
    </w:p>
    <w:p>
      <w:pPr>
        <w:autoSpaceDE w:val="0"/>
        <w:autoSpaceDN w:val="0"/>
        <w:adjustRightInd w:val="0"/>
        <w:spacing w:line="336" w:lineRule="auto"/>
        <w:ind w:firstLine="482"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开户银行：中国工商银行股份有限公司阿克苏分行东大街支行</w:t>
      </w:r>
    </w:p>
    <w:p>
      <w:pPr>
        <w:autoSpaceDE w:val="0"/>
        <w:autoSpaceDN w:val="0"/>
        <w:adjustRightInd w:val="0"/>
        <w:spacing w:line="336" w:lineRule="auto"/>
        <w:ind w:firstLine="482"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账    号：3014021209100017993</w:t>
      </w:r>
    </w:p>
    <w:p>
      <w:pPr>
        <w:autoSpaceDE w:val="0"/>
        <w:autoSpaceDN w:val="0"/>
        <w:adjustRightInd w:val="0"/>
        <w:spacing w:line="336" w:lineRule="auto"/>
        <w:ind w:firstLine="482" w:firstLineChars="200"/>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联 系 人：</w:t>
      </w:r>
      <w:r>
        <w:rPr>
          <w:rFonts w:hint="eastAsia" w:ascii="宋体" w:hAnsi="宋体" w:cs="宋体"/>
          <w:color w:val="auto"/>
          <w:sz w:val="24"/>
          <w:szCs w:val="24"/>
          <w:highlight w:val="none"/>
          <w:lang w:val="en-US" w:eastAsia="zh-CN"/>
        </w:rPr>
        <w:t>侯宇辉</w:t>
      </w:r>
      <w:r>
        <w:rPr>
          <w:rFonts w:hint="eastAsia" w:ascii="宋体" w:hAnsi="宋体" w:cs="宋体"/>
          <w:color w:val="auto"/>
          <w:sz w:val="24"/>
          <w:szCs w:val="24"/>
          <w:highlight w:val="none"/>
          <w:lang w:val="zh-CN"/>
        </w:rPr>
        <w:t xml:space="preserve">  </w:t>
      </w:r>
    </w:p>
    <w:p>
      <w:pPr>
        <w:autoSpaceDE w:val="0"/>
        <w:autoSpaceDN w:val="0"/>
        <w:adjustRightInd w:val="0"/>
        <w:spacing w:line="336" w:lineRule="auto"/>
        <w:ind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zh-CN"/>
        </w:rPr>
        <w:t>联系电话：</w:t>
      </w:r>
      <w:r>
        <w:rPr>
          <w:rFonts w:hint="eastAsia" w:ascii="宋体" w:hAnsi="宋体" w:cs="宋体"/>
          <w:color w:val="auto"/>
          <w:sz w:val="24"/>
          <w:szCs w:val="24"/>
          <w:highlight w:val="none"/>
          <w:lang w:val="en-US" w:eastAsia="zh-CN"/>
        </w:rPr>
        <w:t>15292576038</w:t>
      </w:r>
    </w:p>
    <w:p>
      <w:pPr>
        <w:pStyle w:val="105"/>
        <w:spacing w:line="240" w:lineRule="auto"/>
        <w:ind w:firstLine="485"/>
        <w:rPr>
          <w:rFonts w:hint="eastAsia" w:ascii="宋体" w:hAnsi="宋体" w:eastAsia="宋体" w:cs="宋体"/>
          <w:b w:val="0"/>
          <w:bCs/>
          <w:color w:val="auto"/>
          <w:sz w:val="24"/>
          <w:highlight w:val="none"/>
        </w:rPr>
      </w:pPr>
    </w:p>
    <w:p>
      <w:pPr>
        <w:pStyle w:val="113"/>
        <w:spacing w:line="240" w:lineRule="auto"/>
        <w:jc w:val="center"/>
        <w:rPr>
          <w:rFonts w:hint="eastAsia"/>
          <w:b/>
          <w:bCs/>
          <w:color w:val="auto"/>
          <w:highlight w:val="none"/>
        </w:rPr>
      </w:pPr>
      <w:r>
        <w:rPr>
          <w:rFonts w:hint="eastAsia"/>
          <w:b/>
          <w:bCs/>
          <w:color w:val="auto"/>
          <w:highlight w:val="none"/>
        </w:rPr>
        <w:t>四、</w:t>
      </w:r>
      <w:r>
        <w:rPr>
          <w:rFonts w:hint="eastAsia"/>
          <w:b/>
          <w:bCs/>
          <w:color w:val="auto"/>
          <w:highlight w:val="none"/>
          <w:lang w:eastAsia="zh-CN"/>
        </w:rPr>
        <w:t>投标文件</w:t>
      </w:r>
      <w:r>
        <w:rPr>
          <w:rFonts w:hint="eastAsia"/>
          <w:b/>
          <w:bCs/>
          <w:color w:val="auto"/>
          <w:highlight w:val="none"/>
        </w:rPr>
        <w:t>的递交</w:t>
      </w:r>
    </w:p>
    <w:p>
      <w:pPr>
        <w:pStyle w:val="92"/>
        <w:spacing w:line="240" w:lineRule="auto"/>
        <w:ind w:firstLine="567"/>
        <w:jc w:val="both"/>
        <w:rPr>
          <w:rFonts w:hint="eastAsia" w:ascii="宋体" w:hAnsi="宋体" w:eastAsia="宋体" w:cs="宋体"/>
          <w:color w:val="auto"/>
          <w:szCs w:val="24"/>
          <w:highlight w:val="none"/>
          <w:lang w:eastAsia="zh-CN"/>
        </w:rPr>
      </w:pPr>
      <w:r>
        <w:rPr>
          <w:rFonts w:hint="eastAsia" w:ascii="宋体" w:hAnsi="宋体" w:cs="宋体"/>
          <w:color w:val="auto"/>
          <w:szCs w:val="24"/>
          <w:highlight w:val="none"/>
        </w:rPr>
        <w:t xml:space="preserve">18.  </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lang w:val="en-US" w:eastAsia="zh-CN"/>
        </w:rPr>
        <w:t>递交</w:t>
      </w:r>
      <w:r>
        <w:rPr>
          <w:rFonts w:hint="eastAsia" w:ascii="宋体" w:hAnsi="宋体" w:cs="宋体"/>
          <w:color w:val="auto"/>
          <w:szCs w:val="24"/>
          <w:highlight w:val="none"/>
        </w:rPr>
        <w:t>的</w:t>
      </w:r>
      <w:r>
        <w:rPr>
          <w:rFonts w:hint="eastAsia" w:ascii="宋体" w:hAnsi="宋体" w:cs="宋体"/>
          <w:color w:val="auto"/>
          <w:szCs w:val="24"/>
          <w:highlight w:val="none"/>
          <w:lang w:val="en-US" w:eastAsia="zh-CN"/>
        </w:rPr>
        <w:t>格式</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本项目不做要求</w:t>
      </w:r>
      <w:r>
        <w:rPr>
          <w:rFonts w:hint="eastAsia" w:ascii="宋体" w:hAnsi="宋体" w:cs="宋体"/>
          <w:color w:val="auto"/>
          <w:sz w:val="24"/>
          <w:szCs w:val="24"/>
          <w:highlight w:val="none"/>
          <w:lang w:eastAsia="zh-CN"/>
        </w:rPr>
        <w:t>）</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 xml:space="preserve">18.1  </w:t>
      </w:r>
      <w:r>
        <w:rPr>
          <w:rFonts w:hint="eastAsia" w:ascii="宋体" w:hAnsi="宋体" w:cs="宋体"/>
          <w:color w:val="auto"/>
          <w:szCs w:val="24"/>
          <w:highlight w:val="none"/>
          <w:lang w:val="en-US" w:eastAsia="zh-CN"/>
        </w:rPr>
        <w:t>投标供应商应当在投标截止时间前，将投标文件送至指定的开标地点，投标截止时间以后递交的投标文件将被拒收。</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18.</w:t>
      </w: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 xml:space="preserve">  未按本须知要求投递</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，造成无法投标或投标失败等后果的由供应商自行承担。</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 xml:space="preserve">19.  </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递交的截止日期</w:t>
      </w:r>
    </w:p>
    <w:p>
      <w:pPr>
        <w:pStyle w:val="92"/>
        <w:spacing w:line="240" w:lineRule="auto"/>
        <w:ind w:firstLine="567"/>
        <w:jc w:val="both"/>
        <w:rPr>
          <w:rFonts w:hint="eastAsia" w:ascii="宋体" w:hAnsi="宋体" w:cs="宋体"/>
          <w:color w:val="auto"/>
          <w:szCs w:val="24"/>
          <w:highlight w:val="none"/>
          <w:u w:val="single"/>
        </w:rPr>
      </w:pPr>
      <w:r>
        <w:rPr>
          <w:rFonts w:hint="eastAsia" w:ascii="宋体" w:hAnsi="宋体" w:cs="宋体"/>
          <w:color w:val="auto"/>
          <w:szCs w:val="24"/>
          <w:highlight w:val="none"/>
        </w:rPr>
        <w:t>19.1  投标人必须在《投标人须知前附表》中规定的时间之前将</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送达到规定的地点。</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19.2  超过</w:t>
      </w:r>
      <w:r>
        <w:rPr>
          <w:rFonts w:hint="eastAsia" w:ascii="宋体" w:hAnsi="宋体" w:cs="宋体"/>
          <w:color w:val="auto"/>
          <w:szCs w:val="24"/>
          <w:highlight w:val="none"/>
          <w:lang w:eastAsia="zh-CN"/>
        </w:rPr>
        <w:t>招标文件</w:t>
      </w:r>
      <w:r>
        <w:rPr>
          <w:rFonts w:hint="eastAsia" w:ascii="宋体" w:hAnsi="宋体" w:cs="宋体"/>
          <w:color w:val="auto"/>
          <w:szCs w:val="24"/>
          <w:highlight w:val="none"/>
        </w:rPr>
        <w:t>规定的投标截止时间送达的</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将不予接受。</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 xml:space="preserve">20.  </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的修改和撤销</w:t>
      </w:r>
    </w:p>
    <w:p>
      <w:pPr>
        <w:pStyle w:val="103"/>
        <w:spacing w:line="240" w:lineRule="auto"/>
        <w:ind w:firstLine="567"/>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20.1  投标人对其</w:t>
      </w:r>
      <w:r>
        <w:rPr>
          <w:rFonts w:hint="eastAsia" w:ascii="宋体" w:hAnsi="宋体" w:cs="宋体"/>
          <w:color w:val="auto"/>
          <w:sz w:val="24"/>
          <w:szCs w:val="24"/>
          <w:highlight w:val="none"/>
          <w:lang w:eastAsia="zh-CN"/>
        </w:rPr>
        <w:t>投标文件</w:t>
      </w:r>
      <w:r>
        <w:rPr>
          <w:rFonts w:hint="eastAsia" w:ascii="宋体" w:hAnsi="宋体" w:cs="宋体"/>
          <w:color w:val="auto"/>
          <w:sz w:val="24"/>
          <w:szCs w:val="24"/>
          <w:highlight w:val="none"/>
        </w:rPr>
        <w:t>进行的修改或撤销应以书面形式并在</w:t>
      </w:r>
      <w:r>
        <w:rPr>
          <w:rFonts w:hint="eastAsia" w:ascii="宋体" w:hAnsi="宋体" w:cs="宋体"/>
          <w:color w:val="auto"/>
          <w:sz w:val="24"/>
          <w:szCs w:val="24"/>
          <w:highlight w:val="none"/>
          <w:lang w:eastAsia="zh-CN"/>
        </w:rPr>
        <w:t>招标文件</w:t>
      </w:r>
      <w:r>
        <w:rPr>
          <w:rFonts w:hint="eastAsia" w:ascii="宋体" w:hAnsi="宋体" w:cs="宋体"/>
          <w:color w:val="auto"/>
          <w:sz w:val="24"/>
          <w:szCs w:val="24"/>
          <w:highlight w:val="none"/>
        </w:rPr>
        <w:t>规定的投标截止时间前送达</w:t>
      </w:r>
      <w:r>
        <w:rPr>
          <w:rFonts w:hint="eastAsia" w:ascii="宋体" w:hAnsi="宋体" w:cs="宋体"/>
          <w:color w:val="auto"/>
          <w:sz w:val="24"/>
          <w:szCs w:val="24"/>
          <w:highlight w:val="none"/>
          <w:lang w:val="en-US" w:eastAsia="zh-CN"/>
        </w:rPr>
        <w:t>招标人、</w:t>
      </w:r>
      <w:r>
        <w:rPr>
          <w:rFonts w:hint="eastAsia" w:ascii="宋体" w:hAnsi="宋体" w:cs="宋体"/>
          <w:color w:val="auto"/>
          <w:sz w:val="24"/>
          <w:szCs w:val="24"/>
          <w:highlight w:val="none"/>
        </w:rPr>
        <w:t>采购代理机构手中。</w:t>
      </w:r>
    </w:p>
    <w:p>
      <w:pPr>
        <w:pStyle w:val="103"/>
        <w:spacing w:line="240" w:lineRule="auto"/>
        <w:ind w:firstLine="567"/>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20.2  投标人对</w:t>
      </w:r>
      <w:r>
        <w:rPr>
          <w:rFonts w:hint="eastAsia" w:ascii="宋体" w:hAnsi="宋体" w:cs="宋体"/>
          <w:color w:val="auto"/>
          <w:sz w:val="24"/>
          <w:szCs w:val="24"/>
          <w:highlight w:val="none"/>
          <w:lang w:eastAsia="zh-CN"/>
        </w:rPr>
        <w:t>投标文件</w:t>
      </w:r>
      <w:r>
        <w:rPr>
          <w:rFonts w:hint="eastAsia" w:ascii="宋体" w:hAnsi="宋体" w:cs="宋体"/>
          <w:color w:val="auto"/>
          <w:sz w:val="24"/>
          <w:szCs w:val="24"/>
          <w:highlight w:val="none"/>
        </w:rPr>
        <w:t>的修改或撤销应按</w:t>
      </w:r>
      <w:r>
        <w:rPr>
          <w:rFonts w:hint="eastAsia" w:ascii="宋体" w:hAnsi="宋体" w:cs="宋体"/>
          <w:color w:val="auto"/>
          <w:sz w:val="24"/>
          <w:szCs w:val="24"/>
          <w:highlight w:val="none"/>
          <w:lang w:eastAsia="zh-CN"/>
        </w:rPr>
        <w:t>招标文件</w:t>
      </w:r>
      <w:r>
        <w:rPr>
          <w:rFonts w:hint="eastAsia" w:ascii="宋体" w:hAnsi="宋体" w:cs="宋体"/>
          <w:color w:val="auto"/>
          <w:sz w:val="24"/>
          <w:szCs w:val="24"/>
          <w:highlight w:val="none"/>
        </w:rPr>
        <w:t>规定进行准备、标注和递交。</w:t>
      </w:r>
    </w:p>
    <w:p>
      <w:pPr>
        <w:pStyle w:val="103"/>
        <w:spacing w:line="240" w:lineRule="auto"/>
        <w:ind w:firstLine="567"/>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20.3  投标截止时间以后，不允许对</w:t>
      </w:r>
      <w:r>
        <w:rPr>
          <w:rFonts w:hint="eastAsia" w:ascii="宋体" w:hAnsi="宋体" w:cs="宋体"/>
          <w:color w:val="auto"/>
          <w:sz w:val="24"/>
          <w:szCs w:val="24"/>
          <w:highlight w:val="none"/>
          <w:lang w:eastAsia="zh-CN"/>
        </w:rPr>
        <w:t>投标文件</w:t>
      </w:r>
      <w:r>
        <w:rPr>
          <w:rFonts w:hint="eastAsia" w:ascii="宋体" w:hAnsi="宋体" w:cs="宋体"/>
          <w:color w:val="auto"/>
          <w:sz w:val="24"/>
          <w:szCs w:val="24"/>
          <w:highlight w:val="none"/>
        </w:rPr>
        <w:t>进行修改。</w:t>
      </w:r>
    </w:p>
    <w:p>
      <w:pPr>
        <w:pStyle w:val="103"/>
        <w:spacing w:line="240" w:lineRule="auto"/>
        <w:ind w:firstLine="567"/>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20.4  投标人不得在投标截止时间起至</w:t>
      </w:r>
      <w:r>
        <w:rPr>
          <w:rFonts w:hint="eastAsia" w:ascii="宋体" w:hAnsi="宋体" w:cs="宋体"/>
          <w:color w:val="auto"/>
          <w:sz w:val="24"/>
          <w:szCs w:val="24"/>
          <w:highlight w:val="none"/>
          <w:lang w:eastAsia="zh-CN"/>
        </w:rPr>
        <w:t>投标文件</w:t>
      </w:r>
      <w:r>
        <w:rPr>
          <w:rFonts w:hint="eastAsia" w:ascii="宋体" w:hAnsi="宋体" w:cs="宋体"/>
          <w:color w:val="auto"/>
          <w:sz w:val="24"/>
          <w:szCs w:val="24"/>
          <w:highlight w:val="none"/>
        </w:rPr>
        <w:t>有效期满前撤销</w:t>
      </w:r>
      <w:r>
        <w:rPr>
          <w:rFonts w:hint="eastAsia" w:ascii="宋体" w:hAnsi="宋体" w:cs="宋体"/>
          <w:color w:val="auto"/>
          <w:sz w:val="24"/>
          <w:szCs w:val="24"/>
          <w:highlight w:val="none"/>
          <w:lang w:eastAsia="zh-CN"/>
        </w:rPr>
        <w:t>投标文件</w:t>
      </w:r>
      <w:r>
        <w:rPr>
          <w:rFonts w:hint="eastAsia" w:ascii="宋体" w:hAnsi="宋体" w:cs="宋体"/>
          <w:color w:val="auto"/>
          <w:sz w:val="24"/>
          <w:szCs w:val="24"/>
          <w:highlight w:val="none"/>
        </w:rPr>
        <w:t>。</w:t>
      </w:r>
    </w:p>
    <w:p>
      <w:pPr>
        <w:pStyle w:val="103"/>
        <w:spacing w:line="240" w:lineRule="auto"/>
        <w:ind w:firstLine="567"/>
        <w:jc w:val="both"/>
        <w:rPr>
          <w:rFonts w:hint="eastAsia" w:ascii="宋体" w:hAnsi="宋体" w:cs="宋体"/>
          <w:color w:val="auto"/>
          <w:sz w:val="24"/>
          <w:szCs w:val="24"/>
          <w:highlight w:val="none"/>
        </w:rPr>
      </w:pPr>
    </w:p>
    <w:p>
      <w:pPr>
        <w:pStyle w:val="113"/>
        <w:spacing w:line="240" w:lineRule="auto"/>
        <w:jc w:val="center"/>
        <w:rPr>
          <w:rFonts w:hint="eastAsia"/>
          <w:b/>
          <w:bCs/>
          <w:color w:val="auto"/>
          <w:highlight w:val="none"/>
        </w:rPr>
      </w:pPr>
      <w:r>
        <w:rPr>
          <w:rFonts w:hint="eastAsia"/>
          <w:b/>
          <w:bCs/>
          <w:color w:val="auto"/>
          <w:highlight w:val="none"/>
        </w:rPr>
        <w:t>五、开标</w:t>
      </w:r>
    </w:p>
    <w:p>
      <w:pPr>
        <w:pStyle w:val="103"/>
        <w:spacing w:line="240" w:lineRule="auto"/>
        <w:ind w:firstLine="567"/>
        <w:jc w:val="both"/>
        <w:rPr>
          <w:rFonts w:hint="eastAsia" w:ascii="宋体" w:hAnsi="宋体" w:cs="宋体"/>
          <w:color w:val="auto"/>
          <w:sz w:val="24"/>
          <w:szCs w:val="24"/>
          <w:highlight w:val="none"/>
        </w:rPr>
      </w:pPr>
      <w:r>
        <w:rPr>
          <w:rFonts w:hint="eastAsia" w:ascii="宋体" w:hAnsi="宋体" w:cs="宋体"/>
          <w:color w:val="auto"/>
          <w:sz w:val="24"/>
          <w:szCs w:val="24"/>
          <w:highlight w:val="none"/>
        </w:rPr>
        <w:t>21.  开标</w:t>
      </w:r>
    </w:p>
    <w:p>
      <w:pPr>
        <w:pStyle w:val="92"/>
        <w:spacing w:line="240" w:lineRule="auto"/>
        <w:ind w:left="1" w:firstLine="484" w:firstLineChars="201"/>
        <w:jc w:val="both"/>
        <w:rPr>
          <w:rFonts w:hint="eastAsia" w:ascii="宋体" w:hAnsi="宋体" w:cs="宋体"/>
          <w:color w:val="auto"/>
          <w:szCs w:val="24"/>
          <w:highlight w:val="none"/>
          <w:u w:val="single"/>
        </w:rPr>
      </w:pPr>
      <w:r>
        <w:rPr>
          <w:rFonts w:hint="eastAsia" w:ascii="宋体" w:hAnsi="宋体" w:cs="宋体"/>
          <w:color w:val="auto"/>
          <w:szCs w:val="24"/>
          <w:highlight w:val="none"/>
        </w:rPr>
        <w:t>21.1  除非采购代理机构另外书面通知，本标将按本</w:t>
      </w:r>
      <w:r>
        <w:rPr>
          <w:rFonts w:hint="eastAsia" w:ascii="宋体" w:hAnsi="宋体" w:cs="宋体"/>
          <w:color w:val="auto"/>
          <w:szCs w:val="24"/>
          <w:highlight w:val="none"/>
          <w:lang w:eastAsia="zh-CN"/>
        </w:rPr>
        <w:t>招标文件</w:t>
      </w:r>
      <w:r>
        <w:rPr>
          <w:rFonts w:hint="eastAsia" w:ascii="宋体" w:hAnsi="宋体" w:cs="宋体"/>
          <w:color w:val="auto"/>
          <w:szCs w:val="24"/>
          <w:highlight w:val="none"/>
        </w:rPr>
        <w:t>《投标人须知前附表》中规定的时间和地点开标。</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21.2  开标时，</w:t>
      </w:r>
      <w:r>
        <w:rPr>
          <w:rFonts w:hint="eastAsia" w:ascii="宋体" w:hAnsi="宋体" w:cs="宋体"/>
          <w:color w:val="auto"/>
          <w:szCs w:val="24"/>
          <w:highlight w:val="none"/>
          <w:lang w:val="en-US" w:eastAsia="zh-CN"/>
        </w:rPr>
        <w:t>招标人、</w:t>
      </w:r>
      <w:r>
        <w:rPr>
          <w:rFonts w:hint="eastAsia" w:ascii="宋体" w:hAnsi="宋体" w:cs="宋体"/>
          <w:color w:val="auto"/>
          <w:szCs w:val="24"/>
          <w:highlight w:val="none"/>
        </w:rPr>
        <w:t>监督部门</w:t>
      </w:r>
      <w:r>
        <w:rPr>
          <w:rFonts w:hint="eastAsia" w:ascii="宋体" w:hAnsi="宋体" w:cs="宋体"/>
          <w:color w:val="auto"/>
          <w:szCs w:val="24"/>
          <w:highlight w:val="none"/>
          <w:lang w:eastAsia="zh-CN"/>
        </w:rPr>
        <w:t>、</w:t>
      </w:r>
      <w:r>
        <w:rPr>
          <w:rFonts w:hint="eastAsia" w:ascii="宋体" w:hAnsi="宋体" w:cs="宋体"/>
          <w:color w:val="auto"/>
          <w:szCs w:val="24"/>
          <w:highlight w:val="none"/>
        </w:rPr>
        <w:t>公证部门的工作人员将对</w:t>
      </w:r>
      <w:r>
        <w:rPr>
          <w:rFonts w:hint="eastAsia" w:ascii="宋体" w:hAnsi="宋体" w:cs="宋体"/>
          <w:color w:val="auto"/>
          <w:szCs w:val="24"/>
          <w:highlight w:val="none"/>
          <w:lang w:val="en-US" w:eastAsia="zh-CN"/>
        </w:rPr>
        <w:t>开标会议到场监督</w:t>
      </w:r>
      <w:r>
        <w:rPr>
          <w:rFonts w:hint="eastAsia" w:ascii="宋体" w:hAnsi="宋体" w:cs="宋体"/>
          <w:color w:val="auto"/>
          <w:szCs w:val="24"/>
          <w:highlight w:val="none"/>
        </w:rPr>
        <w:t>。</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 xml:space="preserve">21.3 </w:t>
      </w:r>
      <w:r>
        <w:rPr>
          <w:rFonts w:hint="eastAsia" w:ascii="宋体" w:hAnsi="宋体" w:cs="宋体"/>
          <w:color w:val="auto"/>
          <w:szCs w:val="24"/>
          <w:highlight w:val="none"/>
          <w:lang w:val="en-US" w:eastAsia="zh-CN"/>
        </w:rPr>
        <w:t xml:space="preserve"> 开标时，投标单位完成在线解密后，由工作人员开始唱标</w:t>
      </w:r>
      <w:r>
        <w:rPr>
          <w:rFonts w:hint="eastAsia" w:ascii="宋体" w:hAnsi="宋体" w:cs="宋体"/>
          <w:color w:val="auto"/>
          <w:szCs w:val="24"/>
          <w:highlight w:val="none"/>
        </w:rPr>
        <w:t>。</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21.4  唱标完毕后，如果投标人对所唱内容有异议，应当场立即提出。经现场监标人员确认，认为有必要重新唱标的，由唱标员重新唱标。</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21.5  所有唱标均记录在案，并经监标人员或公证人员的签字，作为各投标人</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的组成部分。</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21.6  投标人代表对开标过程和开标记录有疑义，以及认为采购人、采购代理机构相关工作人员有需要回避的情形的，应当场提出询问或者回避申请。</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21.</w:t>
      </w:r>
      <w:r>
        <w:rPr>
          <w:rFonts w:hint="eastAsia" w:ascii="宋体" w:hAnsi="宋体" w:cs="宋体"/>
          <w:color w:val="auto"/>
          <w:szCs w:val="24"/>
          <w:highlight w:val="none"/>
          <w:lang w:val="en-US" w:eastAsia="zh-CN"/>
        </w:rPr>
        <w:t>7</w:t>
      </w:r>
      <w:r>
        <w:rPr>
          <w:rFonts w:hint="eastAsia" w:ascii="宋体" w:hAnsi="宋体" w:cs="宋体"/>
          <w:color w:val="auto"/>
          <w:szCs w:val="24"/>
          <w:highlight w:val="none"/>
        </w:rPr>
        <w:t xml:space="preserve">  投标人未参加开标的，视同认可开标结果。</w:t>
      </w:r>
    </w:p>
    <w:p>
      <w:pPr>
        <w:pStyle w:val="92"/>
        <w:spacing w:line="240" w:lineRule="auto"/>
        <w:ind w:firstLine="567"/>
        <w:jc w:val="both"/>
        <w:rPr>
          <w:rFonts w:hint="eastAsia" w:ascii="宋体" w:hAnsi="宋体" w:cs="宋体"/>
          <w:color w:val="auto"/>
          <w:szCs w:val="24"/>
          <w:highlight w:val="none"/>
        </w:rPr>
      </w:pPr>
    </w:p>
    <w:p>
      <w:pPr>
        <w:pStyle w:val="113"/>
        <w:spacing w:line="240" w:lineRule="auto"/>
        <w:jc w:val="center"/>
        <w:rPr>
          <w:rFonts w:hint="eastAsia"/>
          <w:b/>
          <w:bCs/>
          <w:color w:val="auto"/>
          <w:highlight w:val="none"/>
        </w:rPr>
      </w:pPr>
      <w:r>
        <w:rPr>
          <w:rFonts w:hint="eastAsia"/>
          <w:b/>
          <w:bCs/>
          <w:color w:val="auto"/>
          <w:highlight w:val="none"/>
        </w:rPr>
        <w:t>六、评标和定标</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22. 评标原则</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22.1  本标的评标遵循公平、公正、科学、择优的原则。</w:t>
      </w:r>
    </w:p>
    <w:p>
      <w:pPr>
        <w:pStyle w:val="92"/>
        <w:spacing w:line="240" w:lineRule="auto"/>
        <w:ind w:firstLine="567"/>
        <w:rPr>
          <w:rFonts w:hint="eastAsia" w:ascii="宋体" w:hAnsi="宋体" w:cs="宋体"/>
          <w:color w:val="auto"/>
          <w:szCs w:val="24"/>
          <w:highlight w:val="none"/>
        </w:rPr>
      </w:pPr>
      <w:r>
        <w:rPr>
          <w:rFonts w:hint="eastAsia" w:ascii="宋体" w:hAnsi="宋体" w:cs="宋体"/>
          <w:color w:val="auto"/>
          <w:szCs w:val="24"/>
          <w:highlight w:val="none"/>
        </w:rPr>
        <w:t>22.2  评标委员会将严格按照《中华人民共和国招标投标法》、《中华人民共和国招标投标法实施条例》、《政府采购货物和服务招标投标管理办法》（财政部87号令）的规定及相关法律法规的规定依法评标，维护招标投标各方当事人的合法权益。法律、法规、规章和省级以上财政部门涉及政府采购政策功能及其他规定，评标委员会应根据</w:t>
      </w:r>
      <w:r>
        <w:rPr>
          <w:rFonts w:hint="eastAsia" w:ascii="宋体" w:hAnsi="宋体" w:cs="宋体"/>
          <w:color w:val="auto"/>
          <w:szCs w:val="24"/>
          <w:highlight w:val="none"/>
          <w:lang w:eastAsia="zh-CN"/>
        </w:rPr>
        <w:t>招标文件</w:t>
      </w:r>
      <w:r>
        <w:rPr>
          <w:rFonts w:hint="eastAsia" w:ascii="宋体" w:hAnsi="宋体" w:cs="宋体"/>
          <w:color w:val="auto"/>
          <w:szCs w:val="24"/>
          <w:highlight w:val="none"/>
        </w:rPr>
        <w:t>规定，优先推荐节能、环保产品，优先考虑中小企业。投标人符合规定，获得相应政府采购政策优惠的，应提供相关证明材料。</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22.3  不徇私情，不明招暗定。</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22.4  资格审查合格的投标人，均有同等机会参加竞争。</w:t>
      </w:r>
    </w:p>
    <w:p>
      <w:pPr>
        <w:pStyle w:val="92"/>
        <w:spacing w:line="24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22.5  评标人员不得私自泄露评标内容，不得进行旨在影响评标结果公正、公平的任何活动。</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cs="宋体"/>
          <w:color w:val="auto"/>
          <w:szCs w:val="24"/>
          <w:highlight w:val="none"/>
        </w:rPr>
        <w:t>22.6  对于</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中含义不明确、同类问题表述不一致或者有明显文字和计算错误的</w:t>
      </w:r>
      <w:r>
        <w:rPr>
          <w:rFonts w:hint="eastAsia" w:ascii="宋体" w:hAnsi="宋体" w:eastAsia="宋体" w:cs="宋体"/>
          <w:color w:val="auto"/>
          <w:szCs w:val="24"/>
          <w:highlight w:val="none"/>
        </w:rPr>
        <w:t>内容，评标委员会应当以书面形式要求投标人作出必要的澄清、说明或者补正。</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  评标方法</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23.1  采购代理机构将根据有关法律法规的规定组建本次招标的评标委员会。评标委员会成员由本行业相关技术、经济等方面的专家组成。其中，技术、经济等方面的专家不少于成员总人数的三分之二。</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23.2  评标的依据为</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和</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。根据相关法律法规的规定，评标委员会不以任何外部证据作为其评标的依据或标准。</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23.3  评标过程将严格保密。开标后直到授予中标人合同止，凡是属于审查、澄清、评价和比较的有关评标资料以及授标建议等均不得向投标人或其他无关的人员透露。</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23.4  在评标的整个过程中，投标人所进行的旨在影响评标结果的活动，可能导致其投标被拒绝，或者被取消中标资格。</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23.5  本次招标采用综合评分法进行评标。评标分初步评审和详细评审两个阶段。</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23.5.1  初步评审分为资格性检查和符合性检查，只有通过初步评审的</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才可进入详细评审阶段。</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23.5.2  详细评审分为经济报价部分和技术标评审两个部分。</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  初步评审</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A. 资格性检查：依据法律法规和</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的规定，对</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中的资格证明、投标保证金等进行审查，以确定投标人是否具备投标资格。</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B. 符合性检查：依据</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的规定，从</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的有效性、完整性和对</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的响应程度进行审查，以确定是否对</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的实质性要求作出响应，判定其内容是否真实可靠，是否满足</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的最基本的实质性要求，是否存在重大偏离。重大偏离系指</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的有效性、真实性、合同的</w:t>
      </w:r>
      <w:r>
        <w:rPr>
          <w:rFonts w:hint="eastAsia" w:ascii="宋体" w:hAnsi="宋体" w:eastAsia="宋体" w:cs="宋体"/>
          <w:color w:val="auto"/>
          <w:szCs w:val="24"/>
          <w:highlight w:val="none"/>
          <w:lang w:val="en-US" w:eastAsia="zh-CN"/>
        </w:rPr>
        <w:t>服务</w:t>
      </w:r>
      <w:r>
        <w:rPr>
          <w:rFonts w:hint="eastAsia" w:ascii="宋体" w:hAnsi="宋体" w:eastAsia="宋体" w:cs="宋体"/>
          <w:color w:val="auto"/>
          <w:szCs w:val="24"/>
          <w:highlight w:val="none"/>
        </w:rPr>
        <w:t>范围和</w:t>
      </w:r>
      <w:r>
        <w:rPr>
          <w:rFonts w:hint="eastAsia" w:ascii="宋体" w:hAnsi="宋体" w:eastAsia="宋体" w:cs="宋体"/>
          <w:color w:val="auto"/>
          <w:szCs w:val="24"/>
          <w:highlight w:val="none"/>
          <w:lang w:val="en-US" w:eastAsia="zh-CN"/>
        </w:rPr>
        <w:t>采购需求</w:t>
      </w:r>
      <w:r>
        <w:rPr>
          <w:rFonts w:hint="eastAsia" w:ascii="宋体" w:hAnsi="宋体" w:eastAsia="宋体" w:cs="宋体"/>
          <w:color w:val="auto"/>
          <w:szCs w:val="24"/>
          <w:highlight w:val="none"/>
        </w:rPr>
        <w:t>等内容在实质上与</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形成了重大的不一致，而这种不一致可能限制了买方的权力和投标人的义务，纠正或承认这些偏离将会对该投标人和其它投标人合理的竞争地位产生不公正的影响。与</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有重大偏离的</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将被拒绝。</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具体评审内容系指：</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23.6.1  投标人</w:t>
      </w:r>
      <w:r>
        <w:rPr>
          <w:rFonts w:hint="eastAsia" w:ascii="宋体" w:hAnsi="宋体" w:eastAsia="宋体" w:cs="宋体"/>
          <w:color w:val="auto"/>
          <w:szCs w:val="24"/>
          <w:highlight w:val="none"/>
          <w:lang w:eastAsia="zh-CN"/>
        </w:rPr>
        <w:t>是否</w:t>
      </w:r>
      <w:r>
        <w:rPr>
          <w:rFonts w:hint="eastAsia" w:ascii="宋体" w:hAnsi="宋体" w:eastAsia="宋体" w:cs="宋体"/>
          <w:color w:val="auto"/>
          <w:szCs w:val="24"/>
          <w:highlight w:val="none"/>
        </w:rPr>
        <w:t>满足本招标文件关于对合格投标人资格要求的规定；</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23.6.2  </w:t>
      </w:r>
      <w:r>
        <w:rPr>
          <w:rFonts w:hint="eastAsia" w:ascii="宋体" w:hAnsi="宋体" w:eastAsia="宋体" w:cs="宋体"/>
          <w:color w:val="auto"/>
          <w:szCs w:val="24"/>
          <w:highlight w:val="none"/>
          <w:lang w:eastAsia="zh-CN"/>
        </w:rPr>
        <w:t>投标文件组成是否完整，主要内容是否能按招标文件规定的内容、格式填写</w:t>
      </w:r>
      <w:r>
        <w:rPr>
          <w:rFonts w:hint="eastAsia" w:ascii="宋体" w:hAnsi="宋体" w:eastAsia="宋体" w:cs="宋体"/>
          <w:color w:val="auto"/>
          <w:szCs w:val="24"/>
          <w:highlight w:val="none"/>
        </w:rPr>
        <w:t>；</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lang w:eastAsia="zh-CN"/>
        </w:rPr>
        <w:t>投标文件的有效期是否满足招标文件的规定</w:t>
      </w:r>
      <w:r>
        <w:rPr>
          <w:rFonts w:hint="eastAsia" w:ascii="宋体" w:hAnsi="宋体" w:eastAsia="宋体" w:cs="宋体"/>
          <w:color w:val="auto"/>
          <w:szCs w:val="24"/>
          <w:highlight w:val="none"/>
        </w:rPr>
        <w:t>；</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lang w:eastAsia="zh-CN"/>
        </w:rPr>
        <w:t>投标文件是否按照规定签章的</w:t>
      </w:r>
      <w:r>
        <w:rPr>
          <w:rFonts w:hint="eastAsia" w:ascii="宋体" w:hAnsi="宋体" w:eastAsia="宋体" w:cs="宋体"/>
          <w:color w:val="auto"/>
          <w:szCs w:val="24"/>
          <w:highlight w:val="none"/>
        </w:rPr>
        <w:t>；</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 xml:space="preserve">  投标代表授权书</w:t>
      </w:r>
      <w:r>
        <w:rPr>
          <w:rFonts w:hint="eastAsia" w:ascii="宋体" w:hAnsi="宋体" w:eastAsia="宋体" w:cs="宋体"/>
          <w:color w:val="auto"/>
          <w:szCs w:val="24"/>
          <w:highlight w:val="none"/>
          <w:lang w:eastAsia="zh-CN"/>
        </w:rPr>
        <w:t>是否</w:t>
      </w:r>
      <w:r>
        <w:rPr>
          <w:rFonts w:hint="eastAsia" w:ascii="宋体" w:hAnsi="宋体" w:eastAsia="宋体" w:cs="宋体"/>
          <w:color w:val="auto"/>
          <w:szCs w:val="24"/>
          <w:highlight w:val="none"/>
        </w:rPr>
        <w:t>由法定代表人签署；</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w:t>
      </w:r>
      <w:r>
        <w:rPr>
          <w:rFonts w:hint="eastAsia" w:ascii="宋体" w:hAnsi="宋体" w:eastAsia="宋体" w:cs="宋体"/>
          <w:color w:val="auto"/>
          <w:szCs w:val="24"/>
          <w:highlight w:val="none"/>
          <w:lang w:val="en-US" w:eastAsia="zh-CN"/>
        </w:rPr>
        <w:t>6</w:t>
      </w:r>
      <w:r>
        <w:rPr>
          <w:rFonts w:hint="eastAsia" w:ascii="宋体" w:hAnsi="宋体" w:eastAsia="宋体" w:cs="宋体"/>
          <w:color w:val="auto"/>
          <w:szCs w:val="24"/>
          <w:highlight w:val="none"/>
        </w:rPr>
        <w:t xml:space="preserve">  </w:t>
      </w:r>
      <w:r>
        <w:rPr>
          <w:rFonts w:hint="eastAsia" w:ascii="宋体" w:hAnsi="宋体" w:eastAsia="宋体" w:cs="宋体"/>
          <w:color w:val="auto"/>
          <w:sz w:val="24"/>
          <w:highlight w:val="none"/>
          <w:lang w:eastAsia="zh-CN"/>
        </w:rPr>
        <w:t>投标文件针对每一种货物是否出现了两个报价；</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 xml:space="preserve">  投标报价</w:t>
      </w:r>
      <w:r>
        <w:rPr>
          <w:rFonts w:hint="eastAsia" w:ascii="宋体" w:hAnsi="宋体" w:eastAsia="宋体" w:cs="宋体"/>
          <w:color w:val="auto"/>
          <w:szCs w:val="24"/>
          <w:highlight w:val="none"/>
          <w:lang w:eastAsia="zh-CN"/>
        </w:rPr>
        <w:t>是否</w:t>
      </w:r>
      <w:r>
        <w:rPr>
          <w:rFonts w:hint="eastAsia" w:ascii="宋体" w:hAnsi="宋体" w:eastAsia="宋体" w:cs="宋体"/>
          <w:color w:val="auto"/>
          <w:szCs w:val="24"/>
          <w:highlight w:val="none"/>
        </w:rPr>
        <w:t>超过最高限价；</w:t>
      </w:r>
    </w:p>
    <w:p>
      <w:pPr>
        <w:pStyle w:val="92"/>
        <w:spacing w:line="240" w:lineRule="auto"/>
        <w:ind w:firstLine="567"/>
        <w:jc w:val="both"/>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23.6.</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lang w:eastAsia="zh-CN"/>
        </w:rPr>
        <w:t>是否</w:t>
      </w:r>
      <w:r>
        <w:rPr>
          <w:rFonts w:hint="eastAsia" w:ascii="宋体" w:hAnsi="宋体" w:eastAsia="宋体" w:cs="宋体"/>
          <w:color w:val="auto"/>
          <w:szCs w:val="24"/>
          <w:highlight w:val="none"/>
        </w:rPr>
        <w:t>符合招标文件关于对招标</w:t>
      </w:r>
      <w:r>
        <w:rPr>
          <w:rFonts w:hint="eastAsia" w:ascii="宋体" w:hAnsi="宋体" w:eastAsia="宋体" w:cs="宋体"/>
          <w:color w:val="auto"/>
          <w:szCs w:val="24"/>
          <w:highlight w:val="none"/>
          <w:lang w:eastAsia="zh-CN"/>
        </w:rPr>
        <w:t>货物</w:t>
      </w:r>
      <w:r>
        <w:rPr>
          <w:rFonts w:hint="eastAsia" w:ascii="宋体" w:hAnsi="宋体" w:eastAsia="宋体" w:cs="宋体"/>
          <w:color w:val="auto"/>
          <w:szCs w:val="24"/>
          <w:highlight w:val="none"/>
        </w:rPr>
        <w:t>技术规格和标准的要求；未按招标文件规定的格式填写，内容不全或关键字迹模糊、无法辨认的；（包括采购清单数量的改动）</w:t>
      </w:r>
      <w:r>
        <w:rPr>
          <w:rFonts w:hint="eastAsia" w:ascii="宋体" w:hAnsi="宋体" w:eastAsia="宋体" w:cs="宋体"/>
          <w:color w:val="auto"/>
          <w:szCs w:val="24"/>
          <w:highlight w:val="none"/>
          <w:lang w:eastAsia="zh-CN"/>
        </w:rPr>
        <w:t>；</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w:t>
      </w:r>
      <w:r>
        <w:rPr>
          <w:rFonts w:hint="eastAsia" w:ascii="宋体" w:hAnsi="宋体" w:eastAsia="宋体" w:cs="宋体"/>
          <w:color w:val="auto"/>
          <w:szCs w:val="24"/>
          <w:highlight w:val="none"/>
          <w:lang w:val="en-US" w:eastAsia="zh-CN"/>
        </w:rPr>
        <w:t xml:space="preserve">9 </w:t>
      </w:r>
      <w:r>
        <w:rPr>
          <w:rFonts w:hint="eastAsia" w:ascii="宋体" w:hAnsi="宋体" w:eastAsia="宋体" w:cs="宋体"/>
          <w:color w:val="auto"/>
          <w:szCs w:val="24"/>
          <w:highlight w:val="none"/>
        </w:rPr>
        <w:t xml:space="preserve"> </w:t>
      </w:r>
      <w:r>
        <w:rPr>
          <w:rFonts w:hint="eastAsia" w:ascii="宋体" w:hAnsi="宋体" w:eastAsia="宋体" w:cs="宋体"/>
          <w:color w:val="auto"/>
          <w:szCs w:val="24"/>
          <w:highlight w:val="none"/>
          <w:lang w:eastAsia="zh-CN"/>
        </w:rPr>
        <w:t>投标文件载明的招标项目供货期是否超过招标文件规定的期限</w:t>
      </w:r>
      <w:r>
        <w:rPr>
          <w:rFonts w:hint="eastAsia" w:ascii="宋体" w:hAnsi="宋体" w:eastAsia="宋体" w:cs="宋体"/>
          <w:color w:val="auto"/>
          <w:szCs w:val="24"/>
          <w:highlight w:val="none"/>
        </w:rPr>
        <w:t>；</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23.6.1</w:t>
      </w:r>
      <w:r>
        <w:rPr>
          <w:rFonts w:hint="eastAsia" w:ascii="宋体" w:hAnsi="宋体" w:eastAsia="宋体" w:cs="宋体"/>
          <w:color w:val="auto"/>
          <w:szCs w:val="24"/>
          <w:highlight w:val="none"/>
          <w:lang w:val="en-US" w:eastAsia="zh-CN"/>
        </w:rPr>
        <w:t xml:space="preserve">0 </w:t>
      </w:r>
      <w:r>
        <w:rPr>
          <w:rFonts w:hint="eastAsia" w:ascii="宋体" w:hAnsi="宋体" w:eastAsia="宋体" w:cs="宋体"/>
          <w:color w:val="auto"/>
          <w:szCs w:val="24"/>
          <w:highlight w:val="none"/>
          <w:lang w:eastAsia="zh-CN"/>
        </w:rPr>
        <w:t>投标文件是否附有采购人不能接受的其他条件</w:t>
      </w:r>
      <w:r>
        <w:rPr>
          <w:rFonts w:hint="eastAsia" w:ascii="宋体" w:hAnsi="宋体" w:eastAsia="宋体" w:cs="宋体"/>
          <w:color w:val="auto"/>
          <w:szCs w:val="24"/>
          <w:highlight w:val="none"/>
        </w:rPr>
        <w:t>；</w:t>
      </w:r>
    </w:p>
    <w:p>
      <w:pPr>
        <w:pStyle w:val="92"/>
        <w:spacing w:line="240" w:lineRule="auto"/>
        <w:ind w:firstLine="567"/>
        <w:jc w:val="both"/>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val="en-US" w:eastAsia="zh-CN"/>
        </w:rPr>
        <w:t xml:space="preserve">23.6.11 </w:t>
      </w:r>
      <w:r>
        <w:rPr>
          <w:rFonts w:hint="eastAsia" w:ascii="宋体" w:hAnsi="宋体" w:eastAsia="宋体" w:cs="宋体"/>
          <w:color w:val="auto"/>
          <w:szCs w:val="24"/>
          <w:highlight w:val="none"/>
          <w:lang w:eastAsia="zh-CN"/>
        </w:rPr>
        <w:t>是否</w:t>
      </w:r>
      <w:r>
        <w:rPr>
          <w:rFonts w:hint="eastAsia" w:ascii="宋体" w:hAnsi="宋体" w:eastAsia="宋体" w:cs="宋体"/>
          <w:color w:val="auto"/>
          <w:szCs w:val="24"/>
          <w:highlight w:val="none"/>
        </w:rPr>
        <w:t>符合招标文件中规定的其他实质性要求</w:t>
      </w:r>
      <w:r>
        <w:rPr>
          <w:rFonts w:hint="eastAsia" w:ascii="宋体" w:hAnsi="宋体" w:eastAsia="宋体" w:cs="宋体"/>
          <w:color w:val="auto"/>
          <w:szCs w:val="24"/>
          <w:highlight w:val="none"/>
          <w:lang w:eastAsia="zh-CN"/>
        </w:rPr>
        <w:t>；</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 对通过初步评审的</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，评标委员会将对其进行算术性修正。算术性修正是指对</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的报价明细进行校核，并对其算术上和运算上的差错给予修正。修正的原则如下：</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rPr>
        <w:t xml:space="preserve">  大写金额和小写金额不一致的，以大写金额为准；</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 xml:space="preserve">  单价金额小数点或者百分比有明显错位的，以总价为准，并修改单价；</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 xml:space="preserve">  总价金额与按单价汇总金额不一致的，以单价金额计算结果为准。</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 xml:space="preserve">  同时出现两种以上不一致的，按照前款规定的顺序修正。修正后的报价需经投标人确认后产生约束力，投标人不确认的，其投标无效。</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 xml:space="preserve">  投标人的澄清、说明或者补正应当采用书面形式，并加盖公章，或者由法定代表人或其授权的代表签字。投标人的澄清、说明或者补正不得超出</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的范围或者改变</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的实质性内容。</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6</w:t>
      </w:r>
      <w:r>
        <w:rPr>
          <w:rFonts w:hint="eastAsia" w:ascii="宋体" w:hAnsi="宋体" w:eastAsia="宋体" w:cs="宋体"/>
          <w:color w:val="auto"/>
          <w:szCs w:val="24"/>
          <w:highlight w:val="none"/>
        </w:rPr>
        <w:t xml:space="preserve">  对不同文字文本</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的解释发生异议的，以中文文本为准。</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 xml:space="preserve">  评标委员会将拒绝被定为实质上非响应性的投标，投标人不能通过修正或撤销不符之处而使其投标成为响应性投标。</w:t>
      </w:r>
    </w:p>
    <w:p>
      <w:pPr>
        <w:pStyle w:val="92"/>
        <w:spacing w:line="240" w:lineRule="auto"/>
        <w:ind w:firstLine="567"/>
        <w:jc w:val="both"/>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23.7.</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 xml:space="preserve">  评标委员会将允许投标中有微小的不正规、不一致或不规则，而该微小之处不构成重大偏离。</w:t>
      </w:r>
    </w:p>
    <w:p>
      <w:pPr>
        <w:pStyle w:val="92"/>
        <w:spacing w:line="240" w:lineRule="auto"/>
        <w:ind w:firstLine="567"/>
        <w:jc w:val="both"/>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23.8  通过初步评审及算术性修正的投标文件将进入详细评审阶段。</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23.8.1  详细评审中，评标委员会将采用综合评估法中的打分法，以投标文件</w:t>
      </w:r>
      <w:r>
        <w:rPr>
          <w:rFonts w:hint="eastAsia" w:ascii="宋体" w:hAnsi="宋体" w:eastAsia="宋体" w:cs="宋体"/>
          <w:color w:val="auto"/>
          <w:szCs w:val="24"/>
          <w:highlight w:val="none"/>
        </w:rPr>
        <w:t>能最大限度地满足</w:t>
      </w:r>
      <w:r>
        <w:rPr>
          <w:rFonts w:hint="eastAsia" w:ascii="宋体" w:hAnsi="宋体" w:eastAsia="宋体" w:cs="宋体"/>
          <w:color w:val="auto"/>
          <w:szCs w:val="24"/>
          <w:highlight w:val="none"/>
          <w:lang w:eastAsia="zh-CN"/>
        </w:rPr>
        <w:t>招标文件</w:t>
      </w:r>
      <w:r>
        <w:rPr>
          <w:rFonts w:hint="eastAsia" w:ascii="宋体" w:hAnsi="宋体" w:eastAsia="宋体" w:cs="宋体"/>
          <w:color w:val="auto"/>
          <w:szCs w:val="24"/>
          <w:highlight w:val="none"/>
        </w:rPr>
        <w:t>中规定的各项评价标准为依据，独立地对各</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进行评审和打分。</w:t>
      </w:r>
    </w:p>
    <w:p>
      <w:pPr>
        <w:pStyle w:val="92"/>
        <w:spacing w:line="240" w:lineRule="auto"/>
        <w:ind w:firstLine="567"/>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23.</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.2  评标委员会将对下述评审因素进行量化，并根据评委会每个成员对</w:t>
      </w:r>
      <w:r>
        <w:rPr>
          <w:rFonts w:hint="eastAsia" w:ascii="宋体" w:hAnsi="宋体" w:eastAsia="宋体" w:cs="宋体"/>
          <w:color w:val="auto"/>
          <w:szCs w:val="24"/>
          <w:highlight w:val="none"/>
          <w:lang w:eastAsia="zh-CN"/>
        </w:rPr>
        <w:t>投标文件</w:t>
      </w:r>
      <w:r>
        <w:rPr>
          <w:rFonts w:hint="eastAsia" w:ascii="宋体" w:hAnsi="宋体" w:eastAsia="宋体" w:cs="宋体"/>
          <w:color w:val="auto"/>
          <w:szCs w:val="24"/>
          <w:highlight w:val="none"/>
        </w:rPr>
        <w:t>的评审和理解进行打分。经济报价权重占</w:t>
      </w:r>
      <w:r>
        <w:rPr>
          <w:rFonts w:hint="eastAsia" w:ascii="宋体" w:hAnsi="宋体" w:cs="宋体"/>
          <w:color w:val="auto"/>
          <w:szCs w:val="24"/>
          <w:highlight w:val="none"/>
          <w:lang w:val="en-US" w:eastAsia="zh-CN"/>
        </w:rPr>
        <w:t>1</w:t>
      </w:r>
      <w:r>
        <w:rPr>
          <w:rFonts w:hint="eastAsia" w:ascii="宋体" w:hAnsi="宋体" w:eastAsia="宋体" w:cs="宋体"/>
          <w:color w:val="auto"/>
          <w:szCs w:val="24"/>
          <w:highlight w:val="none"/>
          <w:lang w:val="en-US" w:eastAsia="zh-CN"/>
        </w:rPr>
        <w:t>0</w:t>
      </w:r>
      <w:r>
        <w:rPr>
          <w:rFonts w:hint="eastAsia" w:ascii="宋体" w:hAnsi="宋体" w:eastAsia="宋体" w:cs="宋体"/>
          <w:color w:val="auto"/>
          <w:szCs w:val="24"/>
          <w:highlight w:val="none"/>
        </w:rPr>
        <w:t>%，技术标权重占</w:t>
      </w:r>
      <w:r>
        <w:rPr>
          <w:rFonts w:hint="eastAsia" w:ascii="宋体" w:hAnsi="宋体" w:cs="宋体"/>
          <w:color w:val="auto"/>
          <w:szCs w:val="24"/>
          <w:highlight w:val="none"/>
          <w:lang w:val="en-US" w:eastAsia="zh-CN"/>
        </w:rPr>
        <w:t>9</w:t>
      </w:r>
      <w:r>
        <w:rPr>
          <w:rFonts w:hint="eastAsia" w:ascii="宋体" w:hAnsi="宋体" w:eastAsia="宋体" w:cs="宋体"/>
          <w:color w:val="auto"/>
          <w:szCs w:val="24"/>
          <w:highlight w:val="none"/>
          <w:lang w:val="en-US" w:eastAsia="zh-CN"/>
        </w:rPr>
        <w:t>0</w:t>
      </w:r>
      <w:r>
        <w:rPr>
          <w:rFonts w:hint="eastAsia" w:ascii="宋体" w:hAnsi="宋体" w:eastAsia="宋体" w:cs="宋体"/>
          <w:color w:val="auto"/>
          <w:szCs w:val="24"/>
          <w:highlight w:val="none"/>
        </w:rPr>
        <w:t>%。投标人两部分的分值相加，即为该投标人的评标总得分。</w:t>
      </w: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p>
    <w:p>
      <w:pPr>
        <w:pStyle w:val="2"/>
        <w:rPr>
          <w:rFonts w:hint="eastAsia"/>
          <w:color w:val="auto"/>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both"/>
        <w:outlineLvl w:val="2"/>
        <w:rPr>
          <w:rFonts w:hint="eastAsia" w:ascii="宋体" w:hAnsi="宋体" w:cs="宋体"/>
          <w:b/>
          <w:color w:val="auto"/>
          <w:sz w:val="24"/>
          <w:highlight w:val="none"/>
        </w:rPr>
      </w:pPr>
    </w:p>
    <w:p>
      <w:pPr>
        <w:pStyle w:val="2"/>
        <w:rPr>
          <w:rFonts w:hint="eastAsia" w:ascii="宋体" w:hAnsi="宋体" w:cs="宋体"/>
          <w:b/>
          <w:color w:val="auto"/>
          <w:sz w:val="24"/>
          <w:highlight w:val="none"/>
        </w:rPr>
      </w:pPr>
    </w:p>
    <w:p>
      <w:pPr>
        <w:rPr>
          <w:rFonts w:hint="eastAsia"/>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p>
    <w:p>
      <w:pPr>
        <w:spacing w:line="360" w:lineRule="auto"/>
        <w:jc w:val="center"/>
        <w:outlineLvl w:val="2"/>
        <w:rPr>
          <w:rFonts w:hint="eastAsia" w:ascii="宋体" w:hAnsi="宋体" w:cs="宋体"/>
          <w:b/>
          <w:color w:val="auto"/>
          <w:sz w:val="24"/>
          <w:highlight w:val="none"/>
        </w:rPr>
      </w:pPr>
      <w:r>
        <w:rPr>
          <w:rFonts w:hint="eastAsia" w:ascii="宋体" w:hAnsi="宋体" w:cs="宋体"/>
          <w:b/>
          <w:color w:val="auto"/>
          <w:sz w:val="24"/>
          <w:highlight w:val="none"/>
        </w:rPr>
        <w:t>初步评审标准</w:t>
      </w:r>
    </w:p>
    <w:tbl>
      <w:tblPr>
        <w:tblStyle w:val="49"/>
        <w:tblW w:w="10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560"/>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99" w:type="dxa"/>
            <w:vMerge w:val="restart"/>
            <w:tcBorders>
              <w:bottom w:val="single" w:color="000000" w:sz="4" w:space="0"/>
              <w:right w:val="single" w:color="000000"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初步评审</w:t>
            </w:r>
          </w:p>
        </w:tc>
        <w:tc>
          <w:tcPr>
            <w:tcW w:w="9520" w:type="dxa"/>
            <w:gridSpan w:val="2"/>
            <w:tcBorders>
              <w:left w:val="single" w:color="000000" w:sz="4" w:space="0"/>
              <w:tl2br w:val="nil"/>
              <w:tr2bl w:val="nil"/>
            </w:tcBorders>
            <w:noWrap w:val="0"/>
            <w:vAlign w:val="center"/>
          </w:tcPr>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9" w:type="dxa"/>
            <w:vMerge w:val="continue"/>
            <w:tcBorders>
              <w:top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1</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投标人是否满足本招标文件关于对合格投标人资格要求的规定；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投标文件组成是否完整，主要内容是否能按招标文件规定的内容、格式填写；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投标文件的有效期是否满足招标文件的规定；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投标文件是否按照规定签章的；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投标代表授权书是否由法定代表人签署；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投标文件针对每一种货物是否出现了两个报价；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投标报价是否超过最高限价；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是否符合招标文件关于对招标货物技术规格和标准的要求；未按招标文件规定的格式填写，内容不全或关键字迹模糊、无法辨认的；（包括采购清单数量的改动）；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p>
        </w:tc>
        <w:tc>
          <w:tcPr>
            <w:tcW w:w="896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投标文件载明的招标项目供货期是否超过招标文件规定的期限；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8960"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投标文件是否附有采购人不能接受的其他条件；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99" w:type="dxa"/>
            <w:vMerge w:val="continue"/>
            <w:tcBorders>
              <w:top w:val="single" w:color="000000" w:sz="4" w:space="0"/>
              <w:bottom w:val="single" w:color="000000" w:sz="4" w:space="0"/>
              <w:right w:val="single" w:color="000000" w:sz="4" w:space="0"/>
            </w:tcBorders>
            <w:noWrap w:val="0"/>
            <w:vAlign w:val="top"/>
          </w:tcPr>
          <w:p>
            <w:pPr>
              <w:spacing w:line="360" w:lineRule="auto"/>
              <w:rPr>
                <w:rFonts w:hint="eastAsia" w:ascii="宋体" w:hAnsi="宋体" w:eastAsia="宋体" w:cs="宋体"/>
                <w:color w:val="auto"/>
                <w:sz w:val="24"/>
                <w:highlight w:val="none"/>
                <w:lang w:eastAsia="zh-CN"/>
              </w:rPr>
            </w:pPr>
          </w:p>
        </w:tc>
        <w:tc>
          <w:tcPr>
            <w:tcW w:w="560" w:type="dxa"/>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11</w:t>
            </w:r>
          </w:p>
        </w:tc>
        <w:tc>
          <w:tcPr>
            <w:tcW w:w="8960" w:type="dxa"/>
            <w:tcBorders>
              <w:tl2br w:val="nil"/>
              <w:tr2bl w:val="nil"/>
            </w:tcBorders>
            <w:noWrap w:val="0"/>
            <w:vAlign w:val="center"/>
          </w:tcPr>
          <w:p>
            <w:pPr>
              <w:pStyle w:val="4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是否符合招标文件中规定的其他实质性要求。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119" w:type="dxa"/>
            <w:gridSpan w:val="3"/>
            <w:tcBorders>
              <w:tl2br w:val="nil"/>
              <w:tr2bl w:val="nil"/>
            </w:tcBorders>
            <w:noWrap w:val="0"/>
            <w:vAlign w:val="center"/>
          </w:tcPr>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初步评审合格后方可进入详细评审阶段</w:t>
            </w:r>
          </w:p>
        </w:tc>
      </w:tr>
    </w:tbl>
    <w:p>
      <w:pPr>
        <w:spacing w:line="360" w:lineRule="auto"/>
        <w:jc w:val="center"/>
        <w:outlineLvl w:val="2"/>
        <w:rPr>
          <w:rFonts w:hint="eastAsia" w:ascii="宋体" w:hAnsi="宋体" w:cs="宋体"/>
          <w:b/>
          <w:bCs/>
          <w:color w:val="auto"/>
          <w:sz w:val="24"/>
          <w:highlight w:val="none"/>
        </w:rPr>
      </w:pPr>
    </w:p>
    <w:p>
      <w:pPr>
        <w:spacing w:line="360" w:lineRule="auto"/>
        <w:jc w:val="center"/>
        <w:outlineLvl w:val="2"/>
        <w:rPr>
          <w:rFonts w:hint="eastAsia" w:ascii="宋体" w:hAnsi="宋体" w:cs="宋体"/>
          <w:b/>
          <w:bCs/>
          <w:color w:val="auto"/>
          <w:sz w:val="24"/>
          <w:highlight w:val="none"/>
        </w:rPr>
      </w:pPr>
    </w:p>
    <w:p>
      <w:pPr>
        <w:pStyle w:val="2"/>
        <w:rPr>
          <w:rFonts w:hint="eastAsia" w:ascii="宋体" w:hAnsi="宋体" w:cs="宋体"/>
          <w:b w:val="0"/>
          <w:bCs w:val="0"/>
          <w:color w:val="auto"/>
          <w:sz w:val="24"/>
          <w:highlight w:val="none"/>
        </w:rPr>
      </w:pPr>
    </w:p>
    <w:p>
      <w:pPr>
        <w:rPr>
          <w:rFonts w:hint="eastAsia"/>
          <w:color w:val="auto"/>
          <w:highlight w:val="none"/>
        </w:rPr>
      </w:pPr>
    </w:p>
    <w:p>
      <w:pPr>
        <w:spacing w:line="360" w:lineRule="auto"/>
        <w:jc w:val="center"/>
        <w:outlineLvl w:val="2"/>
        <w:rPr>
          <w:rFonts w:hint="eastAsia" w:ascii="宋体" w:hAnsi="宋体" w:cs="宋体"/>
          <w:b/>
          <w:bCs/>
          <w:color w:val="auto"/>
          <w:sz w:val="24"/>
          <w:highlight w:val="none"/>
        </w:rPr>
      </w:pPr>
    </w:p>
    <w:p>
      <w:pPr>
        <w:spacing w:line="360" w:lineRule="auto"/>
        <w:jc w:val="center"/>
        <w:outlineLvl w:val="2"/>
        <w:rPr>
          <w:rFonts w:hint="eastAsia" w:ascii="宋体" w:hAnsi="宋体" w:cs="宋体"/>
          <w:b/>
          <w:bCs/>
          <w:color w:val="auto"/>
          <w:sz w:val="24"/>
          <w:highlight w:val="none"/>
        </w:rPr>
      </w:pPr>
    </w:p>
    <w:p>
      <w:pPr>
        <w:spacing w:line="360" w:lineRule="auto"/>
        <w:jc w:val="center"/>
        <w:outlineLvl w:val="2"/>
        <w:rPr>
          <w:rFonts w:hint="eastAsia" w:ascii="宋体" w:hAnsi="宋体" w:cs="宋体"/>
          <w:b/>
          <w:bCs/>
          <w:color w:val="auto"/>
          <w:sz w:val="24"/>
          <w:highlight w:val="none"/>
        </w:rPr>
      </w:pPr>
    </w:p>
    <w:p>
      <w:pPr>
        <w:spacing w:line="360" w:lineRule="auto"/>
        <w:jc w:val="both"/>
        <w:outlineLvl w:val="2"/>
        <w:rPr>
          <w:rFonts w:hint="eastAsia" w:ascii="宋体" w:hAnsi="宋体" w:cs="宋体"/>
          <w:b/>
          <w:bCs/>
          <w:color w:val="auto"/>
          <w:sz w:val="24"/>
          <w:highlight w:val="none"/>
        </w:rPr>
      </w:pPr>
    </w:p>
    <w:p>
      <w:pPr>
        <w:spacing w:line="360" w:lineRule="auto"/>
        <w:jc w:val="center"/>
        <w:outlineLvl w:val="2"/>
        <w:rPr>
          <w:rFonts w:hint="eastAsia" w:ascii="宋体" w:hAnsi="宋体" w:cs="宋体"/>
          <w:b/>
          <w:bCs/>
          <w:color w:val="auto"/>
          <w:sz w:val="24"/>
          <w:highlight w:val="none"/>
        </w:rPr>
      </w:pPr>
      <w:r>
        <w:rPr>
          <w:rFonts w:hint="eastAsia" w:ascii="宋体" w:hAnsi="宋体" w:cs="宋体"/>
          <w:b/>
          <w:bCs/>
          <w:color w:val="auto"/>
          <w:sz w:val="24"/>
          <w:highlight w:val="none"/>
        </w:rPr>
        <w:t>经济报价评分标准</w:t>
      </w:r>
    </w:p>
    <w:tbl>
      <w:tblPr>
        <w:tblStyle w:val="49"/>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851"/>
        <w:gridCol w:w="868"/>
        <w:gridCol w:w="6961"/>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 w:hRule="atLeast"/>
          <w:jc w:val="center"/>
        </w:trPr>
        <w:tc>
          <w:tcPr>
            <w:tcW w:w="1273" w:type="dxa"/>
            <w:gridSpan w:val="2"/>
            <w:noWrap w:val="0"/>
            <w:vAlign w:val="top"/>
          </w:tcPr>
          <w:p>
            <w:pPr>
              <w:spacing w:line="400" w:lineRule="exact"/>
              <w:jc w:val="both"/>
              <w:rPr>
                <w:rFonts w:hint="eastAsia" w:ascii="宋体" w:hAnsi="宋体" w:cs="宋体"/>
                <w:sz w:val="24"/>
              </w:rPr>
            </w:pPr>
            <w:r>
              <w:rPr>
                <w:rFonts w:hint="eastAsia" w:ascii="宋体" w:hAnsi="宋体" w:cs="宋体"/>
                <w:b/>
                <w:sz w:val="24"/>
              </w:rPr>
              <w:t>评分因素</w:t>
            </w:r>
          </w:p>
        </w:tc>
        <w:tc>
          <w:tcPr>
            <w:tcW w:w="868" w:type="dxa"/>
            <w:noWrap w:val="0"/>
            <w:vAlign w:val="center"/>
          </w:tcPr>
          <w:p>
            <w:pPr>
              <w:spacing w:line="400" w:lineRule="exact"/>
              <w:jc w:val="center"/>
              <w:rPr>
                <w:rFonts w:hint="eastAsia" w:ascii="宋体" w:hAnsi="宋体" w:cs="宋体"/>
                <w:sz w:val="24"/>
              </w:rPr>
            </w:pPr>
            <w:r>
              <w:rPr>
                <w:rFonts w:hint="eastAsia" w:ascii="宋体" w:hAnsi="宋体" w:cs="宋体"/>
                <w:b/>
                <w:sz w:val="24"/>
              </w:rPr>
              <w:t>评分点</w:t>
            </w:r>
          </w:p>
        </w:tc>
        <w:tc>
          <w:tcPr>
            <w:tcW w:w="6961" w:type="dxa"/>
            <w:noWrap w:val="0"/>
            <w:vAlign w:val="center"/>
          </w:tcPr>
          <w:p>
            <w:pPr>
              <w:spacing w:line="400" w:lineRule="exact"/>
              <w:jc w:val="center"/>
              <w:rPr>
                <w:rFonts w:hint="eastAsia" w:ascii="宋体" w:hAnsi="宋体" w:cs="宋体"/>
                <w:sz w:val="24"/>
              </w:rPr>
            </w:pPr>
            <w:r>
              <w:rPr>
                <w:rFonts w:hint="eastAsia" w:ascii="宋体" w:hAnsi="宋体" w:cs="宋体"/>
                <w:b/>
                <w:sz w:val="24"/>
              </w:rPr>
              <w:t>评分标准</w:t>
            </w:r>
          </w:p>
        </w:tc>
        <w:tc>
          <w:tcPr>
            <w:tcW w:w="677" w:type="dxa"/>
            <w:noWrap w:val="0"/>
            <w:vAlign w:val="top"/>
          </w:tcPr>
          <w:p>
            <w:pPr>
              <w:spacing w:line="400" w:lineRule="exact"/>
              <w:rPr>
                <w:rFonts w:hint="eastAsia" w:ascii="宋体" w:hAnsi="宋体" w:cs="宋体"/>
                <w:sz w:val="24"/>
              </w:rPr>
            </w:pPr>
            <w:r>
              <w:rPr>
                <w:rFonts w:hint="eastAsia" w:ascii="宋体" w:hAnsi="宋体" w:cs="宋体"/>
                <w:b/>
                <w:sz w:val="24"/>
              </w:rPr>
              <w:t>权重分</w:t>
            </w:r>
            <w:r>
              <w:rPr>
                <w:rFonts w:hint="eastAsia" w:ascii="宋体" w:hAnsi="宋体" w:cs="宋体"/>
                <w:b/>
                <w:sz w:val="24"/>
                <w:lang w:val="en-US" w:eastAsia="zh-CN"/>
              </w:rPr>
              <w:t xml:space="preserve"> </w:t>
            </w:r>
            <w:r>
              <w:rPr>
                <w:rFonts w:hint="eastAsia" w:ascii="宋体" w:hAnsi="宋体" w:cs="宋体"/>
                <w:b/>
                <w:sz w:val="24"/>
              </w:rPr>
              <w:t>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40" w:hRule="atLeast"/>
          <w:jc w:val="center"/>
        </w:trPr>
        <w:tc>
          <w:tcPr>
            <w:tcW w:w="422" w:type="dxa"/>
            <w:vMerge w:val="restart"/>
            <w:noWrap w:val="0"/>
            <w:vAlign w:val="top"/>
          </w:tcPr>
          <w:p>
            <w:pPr>
              <w:spacing w:line="400" w:lineRule="exact"/>
              <w:jc w:val="center"/>
              <w:rPr>
                <w:rFonts w:hint="eastAsia" w:ascii="宋体" w:hAnsi="宋体" w:cs="宋体"/>
                <w:color w:val="FF0000"/>
                <w:sz w:val="24"/>
              </w:rPr>
            </w:pPr>
          </w:p>
          <w:p>
            <w:pPr>
              <w:spacing w:line="400" w:lineRule="exact"/>
              <w:jc w:val="center"/>
              <w:rPr>
                <w:rFonts w:hint="eastAsia" w:ascii="宋体" w:hAnsi="宋体" w:cs="宋体"/>
                <w:color w:val="FF0000"/>
                <w:sz w:val="24"/>
              </w:rPr>
            </w:pPr>
          </w:p>
          <w:p>
            <w:pPr>
              <w:spacing w:line="400" w:lineRule="exact"/>
              <w:jc w:val="center"/>
              <w:rPr>
                <w:rFonts w:hint="eastAsia" w:ascii="宋体" w:hAnsi="宋体" w:cs="宋体"/>
                <w:color w:val="FF0000"/>
                <w:sz w:val="24"/>
              </w:rPr>
            </w:pPr>
          </w:p>
          <w:p>
            <w:pPr>
              <w:spacing w:line="400" w:lineRule="exact"/>
              <w:jc w:val="center"/>
              <w:rPr>
                <w:rFonts w:hint="eastAsia" w:ascii="宋体" w:hAnsi="宋体" w:cs="宋体"/>
                <w:color w:val="FF0000"/>
                <w:sz w:val="24"/>
              </w:rPr>
            </w:pPr>
          </w:p>
          <w:p>
            <w:pPr>
              <w:spacing w:line="400" w:lineRule="exact"/>
              <w:jc w:val="center"/>
              <w:rPr>
                <w:rFonts w:hint="eastAsia" w:ascii="宋体" w:hAnsi="宋体" w:cs="宋体"/>
                <w:color w:val="FF0000"/>
                <w:sz w:val="24"/>
              </w:rPr>
            </w:pPr>
          </w:p>
          <w:p>
            <w:pPr>
              <w:spacing w:line="400" w:lineRule="exact"/>
              <w:jc w:val="center"/>
              <w:rPr>
                <w:rFonts w:hint="eastAsia" w:ascii="宋体" w:hAnsi="宋体" w:cs="宋体"/>
                <w:color w:val="FF0000"/>
                <w:sz w:val="24"/>
              </w:rPr>
            </w:pPr>
          </w:p>
          <w:p>
            <w:pPr>
              <w:spacing w:line="400" w:lineRule="exact"/>
              <w:jc w:val="center"/>
              <w:rPr>
                <w:rFonts w:hint="eastAsia" w:ascii="宋体" w:hAnsi="宋体" w:cs="宋体"/>
                <w:color w:val="FF0000"/>
                <w:sz w:val="24"/>
              </w:rPr>
            </w:pPr>
            <w:r>
              <w:rPr>
                <w:rFonts w:hint="eastAsia" w:ascii="宋体" w:hAnsi="宋体" w:cs="宋体"/>
                <w:color w:val="FF0000"/>
                <w:sz w:val="24"/>
              </w:rPr>
              <w:t>详细评审</w:t>
            </w:r>
          </w:p>
        </w:tc>
        <w:tc>
          <w:tcPr>
            <w:tcW w:w="851" w:type="dxa"/>
            <w:noWrap w:val="0"/>
            <w:vAlign w:val="center"/>
          </w:tcPr>
          <w:p>
            <w:pPr>
              <w:spacing w:line="400" w:lineRule="exact"/>
              <w:jc w:val="center"/>
              <w:rPr>
                <w:rFonts w:hint="eastAsia" w:ascii="宋体" w:hAnsi="宋体" w:cs="宋体"/>
                <w:color w:val="FF0000"/>
                <w:sz w:val="24"/>
              </w:rPr>
            </w:pPr>
            <w:r>
              <w:rPr>
                <w:rFonts w:hint="eastAsia" w:ascii="宋体" w:hAnsi="宋体" w:cs="宋体"/>
                <w:color w:val="FF0000"/>
                <w:sz w:val="24"/>
              </w:rPr>
              <w:t>商务报价评审</w:t>
            </w:r>
          </w:p>
          <w:p>
            <w:pPr>
              <w:spacing w:line="400" w:lineRule="exact"/>
              <w:jc w:val="center"/>
              <w:rPr>
                <w:rFonts w:hint="eastAsia" w:ascii="宋体" w:hAnsi="宋体" w:cs="宋体"/>
                <w:color w:val="FF0000"/>
                <w:sz w:val="24"/>
              </w:rPr>
            </w:pPr>
            <w:r>
              <w:rPr>
                <w:rFonts w:hint="eastAsia" w:ascii="宋体" w:hAnsi="宋体" w:cs="宋体"/>
                <w:color w:val="FF0000"/>
                <w:sz w:val="24"/>
              </w:rPr>
              <w:t>（</w:t>
            </w:r>
            <w:r>
              <w:rPr>
                <w:rFonts w:hint="eastAsia" w:ascii="宋体" w:hAnsi="宋体" w:cs="宋体"/>
                <w:color w:val="FF0000"/>
                <w:sz w:val="24"/>
                <w:lang w:val="en-US" w:eastAsia="zh-CN"/>
              </w:rPr>
              <w:t>1</w:t>
            </w:r>
            <w:r>
              <w:rPr>
                <w:rFonts w:hint="eastAsia" w:ascii="宋体" w:hAnsi="宋体" w:cs="宋体"/>
                <w:color w:val="FF0000"/>
                <w:sz w:val="24"/>
              </w:rPr>
              <w:t>0分）</w:t>
            </w:r>
          </w:p>
        </w:tc>
        <w:tc>
          <w:tcPr>
            <w:tcW w:w="868" w:type="dxa"/>
            <w:noWrap w:val="0"/>
            <w:vAlign w:val="center"/>
          </w:tcPr>
          <w:p>
            <w:pPr>
              <w:spacing w:line="400" w:lineRule="exact"/>
              <w:jc w:val="center"/>
              <w:rPr>
                <w:rFonts w:hint="eastAsia" w:ascii="宋体" w:hAnsi="宋体" w:cs="宋体"/>
                <w:color w:val="FF0000"/>
                <w:sz w:val="24"/>
              </w:rPr>
            </w:pPr>
            <w:r>
              <w:rPr>
                <w:rFonts w:hint="eastAsia" w:ascii="宋体" w:hAnsi="宋体" w:cs="宋体"/>
                <w:color w:val="FF0000"/>
                <w:sz w:val="24"/>
              </w:rPr>
              <w:t>投标报价</w:t>
            </w:r>
          </w:p>
        </w:tc>
        <w:tc>
          <w:tcPr>
            <w:tcW w:w="6961" w:type="dxa"/>
            <w:noWrap w:val="0"/>
            <w:vAlign w:val="center"/>
          </w:tcPr>
          <w:p>
            <w:pPr>
              <w:numPr>
                <w:ilvl w:val="0"/>
                <w:numId w:val="0"/>
              </w:numPr>
              <w:spacing w:beforeLines="30" w:line="312"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评审</w:t>
            </w:r>
            <w:r>
              <w:rPr>
                <w:rFonts w:hint="eastAsia" w:ascii="宋体" w:hAnsi="宋体" w:eastAsia="宋体" w:cs="宋体"/>
                <w:sz w:val="24"/>
                <w:szCs w:val="24"/>
                <w:lang w:eastAsia="zh-CN"/>
              </w:rPr>
              <w:t>小组只对符合性检查合格的响应文件进行价格评议，报价分采用低价优先法计算，即满足招标文件要求且最终报价最低为评审基准价，其价格分为满分。其他供应商的价格分按照下列公式计算：招标报价得分=(招标基准价／最后招标报价)×价格权值×100。</w:t>
            </w:r>
          </w:p>
          <w:p>
            <w:pPr>
              <w:numPr>
                <w:ilvl w:val="0"/>
                <w:numId w:val="0"/>
              </w:numPr>
              <w:spacing w:beforeLines="30" w:line="312"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注：中小企业产品价格扣除后的报价=投标报价×（1－6%），以价格扣除后的报价作为评审依据。</w:t>
            </w:r>
          </w:p>
          <w:p>
            <w:pPr>
              <w:numPr>
                <w:ilvl w:val="0"/>
                <w:numId w:val="0"/>
              </w:numPr>
              <w:spacing w:beforeLines="30" w:line="312"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低于成本价不正当竞争预防措施：</w:t>
            </w:r>
          </w:p>
          <w:p>
            <w:pPr>
              <w:numPr>
                <w:ilvl w:val="0"/>
                <w:numId w:val="0"/>
              </w:numPr>
              <w:spacing w:beforeLines="30" w:line="312"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财政部87号令《政府采购货物服务招标投标管理办法》”第六十条之规定：评标委员会认为供应商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numPr>
                <w:ilvl w:val="0"/>
                <w:numId w:val="0"/>
              </w:numPr>
              <w:spacing w:beforeLines="30" w:line="312"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numPr>
                <w:ilvl w:val="0"/>
                <w:numId w:val="0"/>
              </w:numPr>
              <w:spacing w:beforeLines="30" w:line="312"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00" w:lineRule="exact"/>
              <w:rPr>
                <w:rFonts w:hint="eastAsia" w:ascii="宋体" w:hAnsi="宋体" w:cs="宋体"/>
                <w:color w:val="FF0000"/>
                <w:sz w:val="24"/>
              </w:rPr>
            </w:pPr>
            <w:r>
              <w:rPr>
                <w:rFonts w:hint="eastAsia" w:ascii="宋体" w:hAnsi="宋体" w:eastAsia="宋体" w:cs="宋体"/>
                <w:sz w:val="24"/>
                <w:szCs w:val="24"/>
                <w:lang w:val="en-US" w:eastAsia="zh-CN"/>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谈判响应文件作为无效处理。</w:t>
            </w:r>
          </w:p>
        </w:tc>
        <w:tc>
          <w:tcPr>
            <w:tcW w:w="677" w:type="dxa"/>
            <w:noWrap w:val="0"/>
            <w:vAlign w:val="top"/>
          </w:tcPr>
          <w:p>
            <w:pPr>
              <w:spacing w:line="400" w:lineRule="exact"/>
              <w:jc w:val="center"/>
              <w:rPr>
                <w:rFonts w:hint="eastAsia"/>
                <w:color w:val="FF0000"/>
              </w:rPr>
            </w:pPr>
          </w:p>
          <w:p>
            <w:pPr>
              <w:pStyle w:val="48"/>
              <w:spacing w:line="400" w:lineRule="exact"/>
              <w:rPr>
                <w:rFonts w:hint="eastAsia" w:ascii="宋体" w:hAnsi="宋体" w:cs="宋体"/>
                <w:color w:val="FF0000"/>
                <w:sz w:val="24"/>
              </w:rPr>
            </w:pPr>
          </w:p>
          <w:p>
            <w:pPr>
              <w:pStyle w:val="48"/>
              <w:spacing w:line="400" w:lineRule="exact"/>
              <w:rPr>
                <w:rFonts w:hint="eastAsia" w:ascii="宋体" w:hAnsi="宋体" w:cs="宋体"/>
                <w:color w:val="FF0000"/>
                <w:sz w:val="24"/>
              </w:rPr>
            </w:pPr>
          </w:p>
          <w:p>
            <w:pPr>
              <w:pStyle w:val="48"/>
              <w:spacing w:line="400" w:lineRule="exact"/>
              <w:ind w:left="0" w:leftChars="0" w:firstLine="0" w:firstLineChars="0"/>
              <w:jc w:val="both"/>
              <w:rPr>
                <w:rFonts w:ascii="宋体" w:hAnsi="宋体" w:cs="宋体"/>
                <w:color w:val="FF0000"/>
                <w:sz w:val="24"/>
              </w:rPr>
            </w:pPr>
            <w:r>
              <w:rPr>
                <w:rFonts w:hint="eastAsia" w:ascii="宋体" w:hAnsi="宋体" w:cs="宋体"/>
                <w:color w:val="FF0000"/>
                <w:sz w:val="24"/>
                <w:lang w:val="en-US" w:eastAsia="zh-CN"/>
              </w:rPr>
              <w:t>1</w:t>
            </w:r>
            <w:r>
              <w:rPr>
                <w:rFonts w:hint="eastAsia" w:ascii="宋体" w:hAnsi="宋体" w:cs="宋体"/>
                <w:color w:val="FF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22" w:type="dxa"/>
            <w:vMerge w:val="continue"/>
            <w:noWrap w:val="0"/>
            <w:vAlign w:val="top"/>
          </w:tcPr>
          <w:p>
            <w:pPr>
              <w:spacing w:line="400" w:lineRule="exact"/>
              <w:jc w:val="center"/>
              <w:rPr>
                <w:rFonts w:hint="eastAsia" w:ascii="宋体" w:hAnsi="宋体" w:cs="宋体"/>
                <w:color w:val="FF0000"/>
                <w:sz w:val="24"/>
              </w:rPr>
            </w:pPr>
          </w:p>
        </w:tc>
        <w:tc>
          <w:tcPr>
            <w:tcW w:w="851" w:type="dxa"/>
            <w:noWrap w:val="0"/>
            <w:vAlign w:val="center"/>
          </w:tcPr>
          <w:p>
            <w:pPr>
              <w:spacing w:line="400" w:lineRule="exact"/>
              <w:jc w:val="center"/>
              <w:rPr>
                <w:rFonts w:hint="eastAsia" w:ascii="宋体" w:hAnsi="宋体" w:cs="宋体"/>
                <w:color w:val="FF0000"/>
                <w:sz w:val="24"/>
              </w:rPr>
            </w:pPr>
            <w:r>
              <w:rPr>
                <w:rFonts w:hint="eastAsia" w:ascii="宋体" w:hAnsi="宋体" w:cs="宋体"/>
                <w:color w:val="FF0000"/>
                <w:sz w:val="24"/>
              </w:rPr>
              <w:t>技术标评审</w:t>
            </w:r>
          </w:p>
          <w:p>
            <w:pPr>
              <w:spacing w:line="400" w:lineRule="exact"/>
              <w:jc w:val="center"/>
              <w:rPr>
                <w:rFonts w:hint="eastAsia" w:ascii="宋体" w:hAnsi="宋体" w:cs="宋体"/>
                <w:color w:val="FF0000"/>
                <w:sz w:val="24"/>
              </w:rPr>
            </w:pPr>
            <w:r>
              <w:rPr>
                <w:rFonts w:hint="eastAsia" w:ascii="宋体" w:hAnsi="宋体" w:cs="宋体"/>
                <w:color w:val="FF0000"/>
                <w:sz w:val="24"/>
              </w:rPr>
              <w:t>（</w:t>
            </w:r>
            <w:r>
              <w:rPr>
                <w:rFonts w:hint="eastAsia" w:ascii="宋体" w:hAnsi="宋体" w:cs="宋体"/>
                <w:color w:val="FF0000"/>
                <w:sz w:val="24"/>
                <w:lang w:val="en-US" w:eastAsia="zh-CN"/>
              </w:rPr>
              <w:t>9</w:t>
            </w:r>
            <w:r>
              <w:rPr>
                <w:rFonts w:hint="eastAsia" w:ascii="宋体" w:hAnsi="宋体" w:cs="宋体"/>
                <w:color w:val="FF0000"/>
                <w:sz w:val="24"/>
              </w:rPr>
              <w:t>0）分</w:t>
            </w:r>
          </w:p>
        </w:tc>
        <w:tc>
          <w:tcPr>
            <w:tcW w:w="868" w:type="dxa"/>
            <w:noWrap w:val="0"/>
            <w:vAlign w:val="center"/>
          </w:tcPr>
          <w:p>
            <w:pPr>
              <w:spacing w:line="400" w:lineRule="exact"/>
              <w:jc w:val="center"/>
              <w:rPr>
                <w:rFonts w:hint="eastAsia" w:ascii="宋体" w:hAnsi="宋体" w:cs="宋体"/>
                <w:color w:val="FF0000"/>
                <w:sz w:val="24"/>
              </w:rPr>
            </w:pPr>
            <w:r>
              <w:rPr>
                <w:rFonts w:hint="eastAsia" w:ascii="宋体" w:hAnsi="宋体" w:cs="宋体"/>
                <w:color w:val="FF0000"/>
                <w:sz w:val="24"/>
              </w:rPr>
              <w:t>技术标</w:t>
            </w:r>
          </w:p>
        </w:tc>
        <w:tc>
          <w:tcPr>
            <w:tcW w:w="6961" w:type="dxa"/>
            <w:noWrap w:val="0"/>
            <w:vAlign w:val="center"/>
          </w:tcPr>
          <w:p>
            <w:pPr>
              <w:spacing w:line="400" w:lineRule="exact"/>
              <w:jc w:val="center"/>
              <w:rPr>
                <w:rFonts w:hint="eastAsia" w:ascii="宋体" w:hAnsi="宋体" w:cs="宋体"/>
                <w:color w:val="FF0000"/>
                <w:sz w:val="24"/>
              </w:rPr>
            </w:pPr>
            <w:r>
              <w:rPr>
                <w:rFonts w:hint="eastAsia" w:ascii="宋体" w:hAnsi="宋体" w:cs="宋体"/>
                <w:color w:val="FF0000"/>
                <w:sz w:val="24"/>
              </w:rPr>
              <w:t>详见技术标评审标准</w:t>
            </w:r>
          </w:p>
        </w:tc>
        <w:tc>
          <w:tcPr>
            <w:tcW w:w="677" w:type="dxa"/>
            <w:noWrap w:val="0"/>
            <w:vAlign w:val="center"/>
          </w:tcPr>
          <w:p>
            <w:pPr>
              <w:spacing w:line="400" w:lineRule="exact"/>
              <w:jc w:val="center"/>
              <w:rPr>
                <w:rFonts w:hint="eastAsia" w:ascii="宋体" w:hAnsi="宋体" w:cs="宋体"/>
                <w:color w:val="FF0000"/>
                <w:sz w:val="24"/>
              </w:rPr>
            </w:pPr>
            <w:r>
              <w:rPr>
                <w:rFonts w:hint="eastAsia" w:ascii="宋体" w:hAnsi="宋体" w:cs="宋体"/>
                <w:color w:val="FF0000"/>
                <w:sz w:val="24"/>
                <w:lang w:val="en-US" w:eastAsia="zh-CN"/>
              </w:rPr>
              <w:t>9</w:t>
            </w:r>
            <w:r>
              <w:rPr>
                <w:rFonts w:hint="eastAsia" w:ascii="宋体" w:hAnsi="宋体" w:cs="宋体"/>
                <w:color w:val="FF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73" w:type="dxa"/>
            <w:gridSpan w:val="2"/>
            <w:noWrap w:val="0"/>
            <w:vAlign w:val="top"/>
          </w:tcPr>
          <w:p>
            <w:pPr>
              <w:spacing w:line="400" w:lineRule="exact"/>
              <w:jc w:val="center"/>
              <w:rPr>
                <w:rFonts w:hint="eastAsia" w:ascii="宋体" w:hAnsi="宋体" w:cs="宋体"/>
                <w:sz w:val="24"/>
              </w:rPr>
            </w:pPr>
            <w:r>
              <w:rPr>
                <w:rFonts w:hint="eastAsia" w:ascii="宋体" w:hAnsi="宋体" w:cs="宋体"/>
                <w:sz w:val="24"/>
              </w:rPr>
              <w:t>合计</w:t>
            </w:r>
          </w:p>
        </w:tc>
        <w:tc>
          <w:tcPr>
            <w:tcW w:w="7829" w:type="dxa"/>
            <w:gridSpan w:val="2"/>
            <w:noWrap w:val="0"/>
            <w:vAlign w:val="center"/>
          </w:tcPr>
          <w:p>
            <w:pPr>
              <w:spacing w:line="400" w:lineRule="exact"/>
              <w:jc w:val="center"/>
              <w:rPr>
                <w:rFonts w:hint="eastAsia" w:ascii="宋体" w:hAnsi="宋体" w:cs="宋体"/>
                <w:sz w:val="24"/>
              </w:rPr>
            </w:pPr>
            <w:r>
              <w:rPr>
                <w:rFonts w:hint="eastAsia" w:ascii="宋体" w:hAnsi="宋体" w:cs="宋体"/>
                <w:sz w:val="24"/>
              </w:rPr>
              <w:t>100分</w:t>
            </w:r>
          </w:p>
        </w:tc>
        <w:tc>
          <w:tcPr>
            <w:tcW w:w="677" w:type="dxa"/>
            <w:noWrap w:val="0"/>
            <w:vAlign w:val="top"/>
          </w:tcPr>
          <w:p>
            <w:pPr>
              <w:spacing w:line="400" w:lineRule="exact"/>
              <w:jc w:val="center"/>
              <w:rPr>
                <w:rFonts w:hint="eastAsia"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779" w:type="dxa"/>
            <w:gridSpan w:val="5"/>
            <w:noWrap w:val="0"/>
            <w:vAlign w:val="top"/>
          </w:tcPr>
          <w:p>
            <w:pPr>
              <w:spacing w:line="400" w:lineRule="exact"/>
              <w:rPr>
                <w:rFonts w:ascii="宋体" w:hAnsi="宋体" w:cs="宋体"/>
                <w:szCs w:val="21"/>
              </w:rPr>
            </w:pPr>
            <w:r>
              <w:rPr>
                <w:rFonts w:hint="eastAsia" w:ascii="宋体" w:hAnsi="宋体"/>
                <w:color w:val="000000"/>
              </w:rPr>
              <w:t>注</w:t>
            </w:r>
            <w:r>
              <w:rPr>
                <w:rFonts w:hint="eastAsia" w:ascii="宋体" w:hAnsi="宋体" w:cs="宋体"/>
                <w:sz w:val="24"/>
              </w:rPr>
              <w:t>：</w:t>
            </w:r>
            <w:r>
              <w:rPr>
                <w:rFonts w:hint="eastAsia" w:ascii="宋体" w:hAnsi="宋体"/>
                <w:szCs w:val="21"/>
              </w:rPr>
              <w:t xml:space="preserve"> </w:t>
            </w:r>
            <w:r>
              <w:rPr>
                <w:rFonts w:hint="eastAsia" w:ascii="宋体" w:hAnsi="宋体" w:cs="宋体"/>
                <w:szCs w:val="21"/>
              </w:rPr>
              <w:t>1、计算过程中，算术平均值保留2位小数（百分比亦取2位小数），第三位小数四舍五入。</w:t>
            </w:r>
          </w:p>
          <w:p>
            <w:pPr>
              <w:spacing w:line="400" w:lineRule="exact"/>
              <w:rPr>
                <w:rFonts w:hint="eastAsia" w:ascii="宋体" w:hAnsi="宋体" w:cs="宋体"/>
                <w:sz w:val="24"/>
              </w:rPr>
            </w:pPr>
            <w:r>
              <w:rPr>
                <w:rFonts w:hint="eastAsia" w:ascii="宋体" w:hAnsi="宋体" w:cs="宋体"/>
                <w:szCs w:val="21"/>
              </w:rPr>
              <w:t>2、投标人的最终得分为：所有评委对其评分的算术平均值。</w:t>
            </w:r>
          </w:p>
        </w:tc>
      </w:tr>
    </w:tbl>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政府采购政策功能落实：</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一、关于中小企业、</w:t>
      </w:r>
      <w:r>
        <w:rPr>
          <w:rFonts w:hint="eastAsia" w:ascii="宋体" w:hAnsi="宋体" w:eastAsia="宋体" w:cs="宋体"/>
          <w:sz w:val="24"/>
          <w:szCs w:val="24"/>
        </w:rPr>
        <w:t>残疾人福利</w:t>
      </w:r>
      <w:r>
        <w:rPr>
          <w:rFonts w:hint="eastAsia" w:ascii="宋体" w:hAnsi="宋体" w:eastAsia="宋体" w:cs="宋体"/>
          <w:sz w:val="24"/>
          <w:szCs w:val="24"/>
          <w:lang w:eastAsia="zh-CN"/>
        </w:rPr>
        <w:t>性</w:t>
      </w:r>
      <w:r>
        <w:rPr>
          <w:rFonts w:hint="eastAsia" w:ascii="宋体" w:hAnsi="宋体" w:eastAsia="宋体" w:cs="宋体"/>
          <w:sz w:val="24"/>
          <w:szCs w:val="24"/>
        </w:rPr>
        <w:t>单位</w:t>
      </w:r>
      <w:r>
        <w:rPr>
          <w:rFonts w:hint="eastAsia" w:ascii="宋体" w:hAnsi="宋体" w:eastAsia="宋体" w:cs="宋体"/>
          <w:sz w:val="24"/>
          <w:szCs w:val="24"/>
          <w:lang w:eastAsia="zh-CN"/>
        </w:rPr>
        <w:t>、</w:t>
      </w:r>
      <w:r>
        <w:rPr>
          <w:rFonts w:hint="eastAsia" w:ascii="宋体" w:hAnsi="宋体" w:eastAsia="宋体" w:cs="宋体"/>
          <w:sz w:val="24"/>
          <w:szCs w:val="24"/>
        </w:rPr>
        <w:t>监狱企业</w:t>
      </w:r>
      <w:r>
        <w:rPr>
          <w:rFonts w:hint="eastAsia" w:ascii="宋体" w:hAnsi="宋体" w:eastAsia="宋体" w:cs="宋体"/>
          <w:sz w:val="24"/>
          <w:szCs w:val="24"/>
          <w:lang w:eastAsia="zh-CN"/>
        </w:rPr>
        <w:t>扶持政策落实的规定：</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中</w:t>
      </w:r>
      <w:r>
        <w:rPr>
          <w:rFonts w:hint="eastAsia" w:ascii="宋体" w:hAnsi="宋体" w:eastAsia="宋体" w:cs="宋体"/>
          <w:sz w:val="24"/>
          <w:szCs w:val="24"/>
        </w:rPr>
        <w:t>小企业</w:t>
      </w:r>
      <w:r>
        <w:rPr>
          <w:rFonts w:hint="eastAsia" w:ascii="宋体" w:hAnsi="宋体" w:eastAsia="宋体" w:cs="宋体"/>
          <w:sz w:val="24"/>
          <w:szCs w:val="24"/>
          <w:lang w:val="en-US" w:eastAsia="zh-CN"/>
        </w:rPr>
        <w:t>报价的</w:t>
      </w:r>
      <w:r>
        <w:rPr>
          <w:rFonts w:hint="eastAsia" w:ascii="宋体" w:hAnsi="宋体" w:eastAsia="宋体" w:cs="宋体"/>
          <w:sz w:val="24"/>
          <w:szCs w:val="24"/>
        </w:rPr>
        <w:t>价格扣除</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（1）本项目对</w:t>
      </w:r>
      <w:r>
        <w:rPr>
          <w:rFonts w:hint="eastAsia" w:ascii="宋体" w:hAnsi="宋体" w:eastAsia="宋体" w:cs="宋体"/>
          <w:sz w:val="24"/>
          <w:szCs w:val="24"/>
          <w:lang w:eastAsia="zh-CN"/>
        </w:rPr>
        <w:t>中</w:t>
      </w:r>
      <w:r>
        <w:rPr>
          <w:rFonts w:hint="eastAsia" w:ascii="宋体" w:hAnsi="宋体" w:eastAsia="宋体" w:cs="宋体"/>
          <w:sz w:val="24"/>
          <w:szCs w:val="24"/>
        </w:rPr>
        <w:t>小企业</w:t>
      </w:r>
      <w:r>
        <w:rPr>
          <w:rFonts w:hint="eastAsia" w:ascii="宋体" w:hAnsi="宋体" w:eastAsia="宋体" w:cs="宋体"/>
          <w:sz w:val="24"/>
          <w:szCs w:val="24"/>
          <w:lang w:val="en-US" w:eastAsia="zh-CN"/>
        </w:rPr>
        <w:t>报价的</w:t>
      </w:r>
      <w:r>
        <w:rPr>
          <w:rFonts w:hint="eastAsia" w:ascii="宋体" w:hAnsi="宋体" w:eastAsia="宋体" w:cs="宋体"/>
          <w:sz w:val="24"/>
          <w:szCs w:val="24"/>
          <w:lang w:eastAsia="zh-CN"/>
        </w:rPr>
        <w:t>价格</w:t>
      </w:r>
      <w:r>
        <w:rPr>
          <w:rFonts w:hint="eastAsia" w:ascii="宋体" w:hAnsi="宋体" w:eastAsia="宋体" w:cs="宋体"/>
          <w:sz w:val="24"/>
          <w:szCs w:val="24"/>
        </w:rPr>
        <w:t>给予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6</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的扣除，用扣除后的价格参与评审。</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（2）供应商需按照</w:t>
      </w:r>
      <w:r>
        <w:rPr>
          <w:rFonts w:hint="eastAsia" w:ascii="宋体" w:hAnsi="宋体" w:eastAsia="宋体" w:cs="宋体"/>
          <w:sz w:val="24"/>
          <w:szCs w:val="24"/>
          <w:lang w:eastAsia="zh-CN"/>
        </w:rPr>
        <w:t>招标</w:t>
      </w:r>
      <w:r>
        <w:rPr>
          <w:rFonts w:hint="eastAsia" w:ascii="宋体" w:hAnsi="宋体" w:eastAsia="宋体" w:cs="宋体"/>
          <w:sz w:val="24"/>
          <w:szCs w:val="24"/>
        </w:rPr>
        <w:t>文件的要求提供《</w:t>
      </w:r>
      <w:r>
        <w:rPr>
          <w:rFonts w:hint="eastAsia" w:ascii="宋体" w:hAnsi="宋体" w:eastAsia="宋体" w:cs="宋体"/>
          <w:sz w:val="24"/>
          <w:szCs w:val="24"/>
          <w:lang w:eastAsia="zh-CN"/>
        </w:rPr>
        <w:t>中小</w:t>
      </w:r>
      <w:r>
        <w:rPr>
          <w:rFonts w:hint="eastAsia" w:ascii="宋体" w:hAnsi="宋体" w:eastAsia="宋体" w:cs="宋体"/>
          <w:sz w:val="24"/>
          <w:szCs w:val="24"/>
        </w:rPr>
        <w:t>企业声明函》</w:t>
      </w:r>
      <w:r>
        <w:rPr>
          <w:rFonts w:hint="eastAsia" w:ascii="宋体" w:hAnsi="宋体" w:eastAsia="宋体" w:cs="宋体"/>
          <w:sz w:val="24"/>
          <w:szCs w:val="24"/>
          <w:lang w:eastAsia="zh-CN"/>
        </w:rPr>
        <w:t>，详见第六章“投标文件格式”附件八</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（3）企业标准请参照《关于印发中小企业划型标准规定的通知》（工信部联企业[2011]300号）文件规定自行填写。</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2、残疾人福利</w:t>
      </w:r>
      <w:r>
        <w:rPr>
          <w:rFonts w:hint="eastAsia" w:ascii="宋体" w:hAnsi="宋体" w:eastAsia="宋体" w:cs="宋体"/>
          <w:sz w:val="24"/>
          <w:szCs w:val="24"/>
          <w:lang w:eastAsia="zh-CN"/>
        </w:rPr>
        <w:t>性</w:t>
      </w:r>
      <w:r>
        <w:rPr>
          <w:rFonts w:hint="eastAsia" w:ascii="宋体" w:hAnsi="宋体" w:eastAsia="宋体" w:cs="宋体"/>
          <w:sz w:val="24"/>
          <w:szCs w:val="24"/>
        </w:rPr>
        <w:t>单位</w:t>
      </w:r>
      <w:r>
        <w:rPr>
          <w:rFonts w:hint="eastAsia" w:ascii="宋体" w:hAnsi="宋体" w:eastAsia="宋体" w:cs="宋体"/>
          <w:sz w:val="24"/>
          <w:szCs w:val="24"/>
          <w:lang w:val="en-US" w:eastAsia="zh-CN"/>
        </w:rPr>
        <w:t>报价的</w:t>
      </w:r>
      <w:r>
        <w:rPr>
          <w:rFonts w:hint="eastAsia" w:ascii="宋体" w:hAnsi="宋体" w:eastAsia="宋体" w:cs="宋体"/>
          <w:sz w:val="24"/>
          <w:szCs w:val="24"/>
        </w:rPr>
        <w:t>价格扣除</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（1）本项目对残疾人福利性单位视同小型、微型企业，给予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6</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的价格扣除，用扣除后的价格参与评审。</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（2）残疾人福利</w:t>
      </w:r>
      <w:r>
        <w:rPr>
          <w:rFonts w:hint="eastAsia" w:ascii="宋体" w:hAnsi="宋体" w:eastAsia="宋体" w:cs="宋体"/>
          <w:sz w:val="24"/>
          <w:szCs w:val="24"/>
          <w:lang w:eastAsia="zh-CN"/>
        </w:rPr>
        <w:t>性</w:t>
      </w:r>
      <w:r>
        <w:rPr>
          <w:rFonts w:hint="eastAsia" w:ascii="宋体" w:hAnsi="宋体" w:eastAsia="宋体" w:cs="宋体"/>
          <w:sz w:val="24"/>
          <w:szCs w:val="24"/>
        </w:rPr>
        <w:t>单位需按照</w:t>
      </w:r>
      <w:r>
        <w:rPr>
          <w:rFonts w:hint="eastAsia" w:ascii="宋体" w:hAnsi="宋体" w:eastAsia="宋体" w:cs="宋体"/>
          <w:sz w:val="24"/>
          <w:szCs w:val="24"/>
          <w:lang w:eastAsia="zh-CN"/>
        </w:rPr>
        <w:t>招标</w:t>
      </w:r>
      <w:r>
        <w:rPr>
          <w:rFonts w:hint="eastAsia" w:ascii="宋体" w:hAnsi="宋体" w:eastAsia="宋体" w:cs="宋体"/>
          <w:sz w:val="24"/>
          <w:szCs w:val="24"/>
        </w:rPr>
        <w:t>文件的要求提供《残疾人福利性单位声明函》。</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（3）残疾人福利</w:t>
      </w:r>
      <w:r>
        <w:rPr>
          <w:rFonts w:hint="eastAsia" w:ascii="宋体" w:hAnsi="宋体" w:eastAsia="宋体" w:cs="宋体"/>
          <w:sz w:val="24"/>
          <w:szCs w:val="24"/>
          <w:lang w:eastAsia="zh-CN"/>
        </w:rPr>
        <w:t>性</w:t>
      </w:r>
      <w:r>
        <w:rPr>
          <w:rFonts w:hint="eastAsia" w:ascii="宋体" w:hAnsi="宋体" w:eastAsia="宋体" w:cs="宋体"/>
          <w:sz w:val="24"/>
          <w:szCs w:val="24"/>
        </w:rPr>
        <w:t>单位标准请参照《关于促进残疾人就业政府采购政策的通知》（财库〔2017〕141号）。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3、监狱和戒毒企业</w:t>
      </w:r>
      <w:r>
        <w:rPr>
          <w:rFonts w:hint="eastAsia" w:ascii="宋体" w:hAnsi="宋体" w:eastAsia="宋体" w:cs="宋体"/>
          <w:sz w:val="24"/>
          <w:szCs w:val="24"/>
          <w:lang w:val="en-US" w:eastAsia="zh-CN"/>
        </w:rPr>
        <w:t>报价的</w:t>
      </w:r>
      <w:r>
        <w:rPr>
          <w:rFonts w:hint="eastAsia" w:ascii="宋体" w:hAnsi="宋体" w:eastAsia="宋体" w:cs="宋体"/>
          <w:sz w:val="24"/>
          <w:szCs w:val="24"/>
        </w:rPr>
        <w:t>价格扣除</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（1）本项目对监狱和戒毒企业（简称监狱企业）视同小型、微型企业，给予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6</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的价格扣除，用扣除后的价格参与评审。</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（3）监狱企业标准请参照《关于政府采购支持监狱企业发展有关问题的通知》（财库[2014]68号）。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4、残疾人福利单位、监狱企业属于小型、微型企业的，不重复享受政策。</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w:t>
      </w:r>
      <w:r>
        <w:rPr>
          <w:rFonts w:hint="eastAsia" w:ascii="宋体" w:hAnsi="宋体" w:eastAsia="宋体" w:cs="宋体"/>
          <w:sz w:val="24"/>
          <w:szCs w:val="24"/>
          <w:lang w:eastAsia="zh-CN"/>
        </w:rPr>
        <w:t>（注意：组成联合体的中小</w:t>
      </w:r>
      <w:r>
        <w:rPr>
          <w:rFonts w:hint="eastAsia" w:ascii="宋体" w:hAnsi="宋体" w:eastAsia="宋体" w:cs="宋体"/>
          <w:sz w:val="24"/>
          <w:szCs w:val="24"/>
        </w:rPr>
        <w:t>企业</w:t>
      </w:r>
      <w:r>
        <w:rPr>
          <w:rFonts w:hint="eastAsia" w:ascii="宋体" w:hAnsi="宋体" w:eastAsia="宋体" w:cs="宋体"/>
          <w:sz w:val="24"/>
          <w:szCs w:val="24"/>
          <w:lang w:eastAsia="zh-CN"/>
        </w:rPr>
        <w:t>与联合体内其他</w:t>
      </w:r>
      <w:r>
        <w:rPr>
          <w:rFonts w:hint="eastAsia" w:ascii="宋体" w:hAnsi="宋体" w:eastAsia="宋体" w:cs="宋体"/>
          <w:sz w:val="24"/>
          <w:szCs w:val="24"/>
        </w:rPr>
        <w:t>企业</w:t>
      </w:r>
      <w:r>
        <w:rPr>
          <w:rFonts w:hint="eastAsia" w:ascii="宋体" w:hAnsi="宋体" w:eastAsia="宋体" w:cs="宋体"/>
          <w:sz w:val="24"/>
          <w:szCs w:val="24"/>
          <w:lang w:eastAsia="zh-CN"/>
        </w:rPr>
        <w:t>之间不得存在直接控股、管理关系）</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6、联合体各方均为小型、微型企业（残疾人福利单位、监狱企业）的，联合体享受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价格扣除，用扣除后的价格参与评审。</w:t>
      </w:r>
    </w:p>
    <w:p>
      <w:pPr>
        <w:keepNext w:val="0"/>
        <w:keepLines w:val="0"/>
        <w:pageBreakBefore w:val="0"/>
        <w:widowControl w:val="0"/>
        <w:kinsoku/>
        <w:wordWrap/>
        <w:overflowPunct/>
        <w:topLinePunct w:val="0"/>
        <w:autoSpaceDE/>
        <w:autoSpaceDN/>
        <w:bidi w:val="0"/>
        <w:adjustRightInd/>
        <w:snapToGrid/>
        <w:spacing w:beforeLines="50" w:afterLines="50" w:line="4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7、符合中小企业划型标准的个体工商户视同中小企业。</w:t>
      </w:r>
    </w:p>
    <w:p>
      <w:pPr>
        <w:widowControl/>
        <w:adjustRightInd w:val="0"/>
        <w:snapToGrid w:val="0"/>
        <w:spacing w:line="360" w:lineRule="auto"/>
        <w:rPr>
          <w:rFonts w:hint="eastAsia" w:ascii="宋体" w:hAnsi="宋体"/>
          <w:b/>
          <w:bCs/>
          <w:sz w:val="24"/>
        </w:rPr>
      </w:pPr>
    </w:p>
    <w:p>
      <w:pPr>
        <w:widowControl/>
        <w:adjustRightInd w:val="0"/>
        <w:snapToGrid w:val="0"/>
        <w:spacing w:line="360" w:lineRule="auto"/>
        <w:rPr>
          <w:rFonts w:hint="eastAsia" w:ascii="宋体" w:hAnsi="宋体"/>
          <w:b/>
          <w:bCs/>
          <w:sz w:val="24"/>
        </w:rPr>
      </w:pPr>
      <w:r>
        <w:rPr>
          <w:rFonts w:hint="eastAsia" w:ascii="宋体" w:hAnsi="宋体"/>
          <w:b/>
          <w:bCs/>
          <w:sz w:val="24"/>
        </w:rPr>
        <w:t>三.推荐成交供应商</w:t>
      </w:r>
    </w:p>
    <w:p>
      <w:pPr>
        <w:widowControl/>
        <w:adjustRightInd w:val="0"/>
        <w:snapToGrid w:val="0"/>
        <w:spacing w:line="360" w:lineRule="auto"/>
        <w:ind w:firstLine="482" w:firstLineChars="200"/>
        <w:rPr>
          <w:rFonts w:hint="eastAsia" w:ascii="宋体" w:hAnsi="宋体"/>
          <w:bCs/>
          <w:sz w:val="24"/>
        </w:rPr>
      </w:pPr>
      <w:r>
        <w:rPr>
          <w:rFonts w:hint="eastAsia" w:ascii="宋体" w:hAnsi="宋体"/>
          <w:bCs/>
          <w:sz w:val="24"/>
        </w:rPr>
        <w:t>1.磋商小组应当根据综合评分情况，按照评审得分由高到低顺序推荐3名以上成交候选供应商，并编写评审报告。符合《政府采购竞争性磋商采购方式管理暂行办法》（财库[2014]214号）中第二十一条第三款情形的，可以推荐2家成交候选供应商。评审得分相同的，按照最后报价由低到高的顺序推荐。评审得分且最后报价相同的，按照技术指标优劣顺序推荐。</w:t>
      </w:r>
    </w:p>
    <w:p>
      <w:pPr>
        <w:widowControl/>
        <w:adjustRightInd w:val="0"/>
        <w:snapToGrid w:val="0"/>
        <w:spacing w:line="360" w:lineRule="auto"/>
        <w:ind w:firstLine="482" w:firstLineChars="200"/>
        <w:rPr>
          <w:rFonts w:hint="eastAsia" w:ascii="宋体" w:hAnsi="宋体"/>
          <w:bCs/>
          <w:sz w:val="24"/>
        </w:rPr>
      </w:pPr>
      <w:r>
        <w:rPr>
          <w:rFonts w:hint="eastAsia" w:ascii="宋体" w:hAnsi="宋体"/>
          <w:bCs/>
          <w:sz w:val="24"/>
        </w:rPr>
        <w:t>2.评分计算方法解释</w:t>
      </w:r>
    </w:p>
    <w:p>
      <w:pPr>
        <w:widowControl/>
        <w:adjustRightInd w:val="0"/>
        <w:snapToGrid w:val="0"/>
        <w:spacing w:line="360" w:lineRule="auto"/>
        <w:ind w:firstLine="482" w:firstLineChars="200"/>
        <w:rPr>
          <w:rFonts w:hint="eastAsia" w:ascii="宋体" w:hAnsi="宋体"/>
          <w:bCs/>
          <w:sz w:val="24"/>
        </w:rPr>
      </w:pPr>
      <w:r>
        <w:rPr>
          <w:rFonts w:hint="eastAsia" w:ascii="宋体" w:hAnsi="宋体"/>
          <w:bCs/>
          <w:sz w:val="24"/>
        </w:rPr>
        <w:t>（1）供应商的评审得分是指所有磋商小组成员对其评分的算术平均值。</w:t>
      </w:r>
    </w:p>
    <w:p>
      <w:pPr>
        <w:widowControl/>
        <w:adjustRightInd w:val="0"/>
        <w:snapToGrid w:val="0"/>
        <w:spacing w:line="360" w:lineRule="auto"/>
        <w:ind w:firstLine="482" w:firstLineChars="200"/>
        <w:rPr>
          <w:rFonts w:hint="eastAsia" w:ascii="宋体" w:hAnsi="宋体"/>
          <w:bCs/>
          <w:sz w:val="24"/>
        </w:rPr>
      </w:pPr>
      <w:r>
        <w:rPr>
          <w:rFonts w:hint="eastAsia" w:ascii="宋体" w:hAnsi="宋体"/>
          <w:bCs/>
          <w:sz w:val="24"/>
        </w:rPr>
        <w:t>（2）计算过程中，算术平均值保留2位小数（百分比亦取2位小数），第三位小数四舍五入。</w:t>
      </w:r>
    </w:p>
    <w:p>
      <w:pPr>
        <w:pStyle w:val="48"/>
        <w:ind w:firstLine="482" w:firstLineChars="200"/>
        <w:rPr>
          <w:rFonts w:hint="eastAsia" w:ascii="宋体" w:hAnsi="宋体" w:eastAsia="宋体" w:cs="Times New Roman"/>
          <w:bCs/>
          <w:spacing w:val="0"/>
          <w:kern w:val="2"/>
          <w:sz w:val="24"/>
          <w:szCs w:val="24"/>
          <w:lang w:val="en-US" w:eastAsia="zh-CN" w:bidi="ar-SA"/>
        </w:rPr>
      </w:pPr>
      <w:r>
        <w:rPr>
          <w:rFonts w:hint="eastAsia" w:ascii="宋体" w:hAnsi="宋体" w:eastAsia="宋体" w:cs="Times New Roman"/>
          <w:bCs/>
          <w:spacing w:val="0"/>
          <w:kern w:val="2"/>
          <w:sz w:val="24"/>
          <w:szCs w:val="24"/>
          <w:lang w:val="en-US" w:eastAsia="zh-CN" w:bidi="ar-SA"/>
        </w:rPr>
        <w:t>3.有下列情况之一的，磋商小组必须给予优先成交：</w:t>
      </w:r>
    </w:p>
    <w:p>
      <w:pPr>
        <w:pStyle w:val="48"/>
        <w:ind w:firstLine="482" w:firstLineChars="200"/>
        <w:rPr>
          <w:rFonts w:hint="eastAsia" w:ascii="宋体" w:hAnsi="宋体" w:eastAsia="宋体" w:cs="Times New Roman"/>
          <w:bCs/>
          <w:spacing w:val="0"/>
          <w:kern w:val="2"/>
          <w:sz w:val="24"/>
          <w:szCs w:val="24"/>
          <w:lang w:val="en-US" w:eastAsia="zh-CN" w:bidi="ar-SA"/>
        </w:rPr>
      </w:pPr>
      <w:r>
        <w:rPr>
          <w:rFonts w:hint="eastAsia" w:ascii="宋体" w:hAnsi="宋体" w:eastAsia="宋体" w:cs="Times New Roman"/>
          <w:bCs/>
          <w:spacing w:val="0"/>
          <w:kern w:val="2"/>
          <w:sz w:val="24"/>
          <w:szCs w:val="24"/>
          <w:lang w:val="en-US" w:eastAsia="zh-CN" w:bidi="ar-SA"/>
        </w:rPr>
        <w:t>（1）根据财政部、工业和信息化部（财库〔2011〕181号）文件规定，供应商属小型或微型企业并以其自身产品和服务报价，或者提供其他小微企业制造的货物，在满足采购需求且质量和服务相等的情况下，其最终报价再给予6%的价格扣除后价格最低或与最低价相同的，须提供《中小企业声明函》并对声明函的真实性负责，否则不予价格扣除。</w:t>
      </w:r>
    </w:p>
    <w:p>
      <w:pPr>
        <w:pStyle w:val="48"/>
        <w:ind w:firstLine="482" w:firstLineChars="200"/>
        <w:rPr>
          <w:rFonts w:hint="eastAsia" w:ascii="宋体" w:hAnsi="宋体" w:eastAsia="宋体" w:cs="Times New Roman"/>
          <w:bCs/>
          <w:spacing w:val="0"/>
          <w:kern w:val="2"/>
          <w:sz w:val="24"/>
          <w:szCs w:val="24"/>
          <w:lang w:val="en-US" w:eastAsia="zh-CN" w:bidi="ar-SA"/>
        </w:rPr>
      </w:pPr>
      <w:r>
        <w:rPr>
          <w:rFonts w:hint="eastAsia" w:ascii="宋体" w:hAnsi="宋体" w:eastAsia="宋体" w:cs="Times New Roman"/>
          <w:bCs/>
          <w:spacing w:val="0"/>
          <w:kern w:val="2"/>
          <w:sz w:val="24"/>
          <w:szCs w:val="24"/>
          <w:lang w:val="en-US" w:eastAsia="zh-CN" w:bidi="ar-SA"/>
        </w:rPr>
        <w:t>（2）根据财政部、国家发展改革委、省财政厅有关规定，报价供应商所投产品为政府优先采购节能产品、环保产品的，须提供最新发布的“节能产品政府采购清单”或“环境标志产品政府采购清单”，在满足采购需求且质量和服务相等的情况下，其最终报价中的节能产品、环保产品价格再给予6%的价格扣除后价格最低或与最低价相同的。</w:t>
      </w:r>
    </w:p>
    <w:p>
      <w:pPr>
        <w:widowControl/>
        <w:adjustRightInd w:val="0"/>
        <w:snapToGrid w:val="0"/>
        <w:spacing w:line="360" w:lineRule="auto"/>
        <w:rPr>
          <w:rFonts w:ascii="宋体" w:hAnsi="宋体"/>
          <w:b/>
          <w:bCs/>
          <w:sz w:val="24"/>
        </w:rPr>
      </w:pPr>
      <w:r>
        <w:rPr>
          <w:rFonts w:hint="eastAsia" w:ascii="宋体" w:hAnsi="宋体"/>
          <w:b/>
          <w:bCs/>
          <w:sz w:val="24"/>
        </w:rPr>
        <w:t>四.确定成交供应商</w:t>
      </w:r>
    </w:p>
    <w:p>
      <w:pPr>
        <w:widowControl/>
        <w:adjustRightInd w:val="0"/>
        <w:snapToGrid w:val="0"/>
        <w:spacing w:line="360" w:lineRule="auto"/>
        <w:ind w:firstLine="482" w:firstLineChars="200"/>
        <w:rPr>
          <w:rFonts w:hint="eastAsia" w:ascii="宋体" w:hAnsi="宋体"/>
          <w:bCs/>
          <w:sz w:val="24"/>
        </w:rPr>
      </w:pPr>
      <w:r>
        <w:rPr>
          <w:rFonts w:hint="eastAsia" w:ascii="宋体" w:hAnsi="宋体"/>
          <w:bCs/>
          <w:sz w:val="24"/>
        </w:rPr>
        <w:t>1.采购代理机构应当在评审结束后2个工作日内将评审报告送采购人确认。</w:t>
      </w:r>
    </w:p>
    <w:p>
      <w:pPr>
        <w:widowControl/>
        <w:adjustRightInd w:val="0"/>
        <w:snapToGrid w:val="0"/>
        <w:spacing w:line="360" w:lineRule="auto"/>
        <w:ind w:firstLine="482" w:firstLineChars="200"/>
        <w:rPr>
          <w:rFonts w:hint="eastAsia" w:ascii="宋体" w:hAnsi="宋体" w:eastAsia="宋体" w:cs="宋体"/>
          <w:b/>
          <w:bCs/>
          <w:color w:val="auto"/>
          <w:sz w:val="44"/>
          <w:szCs w:val="44"/>
          <w:highlight w:val="none"/>
          <w:shd w:val="clear" w:color="auto" w:fill="FFFFFF"/>
        </w:rPr>
      </w:pPr>
      <w:r>
        <w:rPr>
          <w:rFonts w:hint="eastAsia" w:ascii="宋体" w:hAnsi="宋体"/>
          <w:bCs/>
          <w:sz w:val="24"/>
        </w:rPr>
        <w:t>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autoSpaceDE/>
        <w:autoSpaceDN/>
        <w:bidi w:val="0"/>
        <w:adjustRightInd/>
        <w:snapToGrid/>
        <w:spacing w:before="320" w:beforeLines="100" w:after="160" w:afterLines="50" w:line="360" w:lineRule="auto"/>
        <w:jc w:val="center"/>
        <w:textAlignment w:val="auto"/>
        <w:outlineLvl w:val="2"/>
        <w:rPr>
          <w:rFonts w:hint="eastAsia" w:ascii="宋体" w:hAnsi="宋体" w:eastAsia="宋体" w:cs="宋体"/>
          <w:b/>
          <w:bCs/>
          <w:color w:val="auto"/>
          <w:sz w:val="44"/>
          <w:szCs w:val="4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before="320" w:beforeLines="100" w:after="160" w:afterLines="50" w:line="360" w:lineRule="auto"/>
        <w:jc w:val="center"/>
        <w:textAlignment w:val="auto"/>
        <w:outlineLvl w:val="2"/>
        <w:rPr>
          <w:rFonts w:hint="eastAsia" w:ascii="宋体" w:hAnsi="宋体" w:eastAsia="宋体" w:cs="宋体"/>
          <w:b/>
          <w:bCs/>
          <w:color w:val="auto"/>
          <w:sz w:val="44"/>
          <w:szCs w:val="4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before="320" w:beforeLines="100" w:after="160" w:afterLines="50" w:line="360" w:lineRule="auto"/>
        <w:jc w:val="both"/>
        <w:textAlignment w:val="auto"/>
        <w:outlineLvl w:val="2"/>
        <w:rPr>
          <w:rFonts w:hint="eastAsia" w:ascii="宋体" w:hAnsi="宋体" w:eastAsia="宋体" w:cs="宋体"/>
          <w:b/>
          <w:bCs/>
          <w:color w:val="auto"/>
          <w:sz w:val="44"/>
          <w:szCs w:val="44"/>
          <w:highlight w:val="none"/>
          <w:shd w:val="clear" w:color="auto" w:fill="FFFFFF"/>
        </w:rPr>
      </w:pPr>
    </w:p>
    <w:p>
      <w:pPr>
        <w:keepNext/>
        <w:keepLines/>
        <w:pageBreakBefore/>
        <w:spacing w:line="264" w:lineRule="auto"/>
        <w:jc w:val="center"/>
        <w:outlineLvl w:val="2"/>
        <w:rPr>
          <w:rFonts w:hint="eastAsia" w:ascii="宋体" w:hAnsi="宋体" w:cs="宋体"/>
          <w:color w:val="auto"/>
          <w:sz w:val="24"/>
          <w:highlight w:val="none"/>
        </w:rPr>
      </w:pPr>
      <w:r>
        <w:rPr>
          <w:rFonts w:hint="eastAsia" w:ascii="宋体" w:hAnsi="宋体" w:cs="宋体"/>
          <w:b/>
          <w:color w:val="auto"/>
          <w:sz w:val="28"/>
          <w:szCs w:val="28"/>
          <w:highlight w:val="none"/>
          <w:lang w:val="en-US" w:eastAsia="zh-CN"/>
        </w:rPr>
        <w:t>商务</w:t>
      </w:r>
      <w:r>
        <w:rPr>
          <w:rFonts w:hint="eastAsia" w:ascii="宋体" w:hAnsi="宋体" w:cs="宋体"/>
          <w:b/>
          <w:color w:val="auto"/>
          <w:sz w:val="28"/>
          <w:szCs w:val="28"/>
          <w:highlight w:val="none"/>
        </w:rPr>
        <w:t>技术标评分标准</w:t>
      </w:r>
      <w:r>
        <w:rPr>
          <w:rFonts w:hint="eastAsia" w:ascii="宋体" w:hAnsi="宋体" w:cs="宋体"/>
          <w:b/>
          <w:color w:val="auto"/>
          <w:sz w:val="24"/>
          <w:highlight w:val="none"/>
        </w:rPr>
        <w:t>技术标评分标准</w:t>
      </w:r>
    </w:p>
    <w:tbl>
      <w:tblPr>
        <w:tblStyle w:val="49"/>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3"/>
        <w:gridCol w:w="2257"/>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913" w:type="dxa"/>
            <w:noWrap w:val="0"/>
            <w:vAlign w:val="center"/>
          </w:tcPr>
          <w:p>
            <w:pPr>
              <w:adjustRightInd w:val="0"/>
              <w:snapToGrid w:val="0"/>
              <w:spacing w:line="360" w:lineRule="auto"/>
              <w:jc w:val="center"/>
              <w:rPr>
                <w:rFonts w:hint="eastAsia" w:ascii="仿宋" w:hAnsi="仿宋" w:eastAsia="仿宋" w:cs="仿宋"/>
                <w:b/>
                <w:bCs/>
                <w:kern w:val="0"/>
                <w:sz w:val="22"/>
                <w:szCs w:val="22"/>
                <w:lang w:val="zh-CN" w:bidi="zh-CN"/>
              </w:rPr>
            </w:pPr>
            <w:bookmarkStart w:id="33" w:name="_Toc989"/>
            <w:bookmarkStart w:id="34" w:name="_Toc6439"/>
            <w:bookmarkStart w:id="35" w:name="_Toc6802"/>
            <w:r>
              <w:rPr>
                <w:rFonts w:hint="eastAsia" w:ascii="宋体" w:hAnsi="宋体" w:eastAsia="宋体" w:cs="宋体"/>
                <w:b/>
                <w:bCs/>
                <w:sz w:val="24"/>
                <w:szCs w:val="24"/>
                <w:highlight w:val="none"/>
              </w:rPr>
              <w:t>序号</w:t>
            </w:r>
          </w:p>
        </w:tc>
        <w:tc>
          <w:tcPr>
            <w:tcW w:w="2257" w:type="dxa"/>
            <w:noWrap w:val="0"/>
            <w:vAlign w:val="center"/>
          </w:tcPr>
          <w:p>
            <w:pPr>
              <w:adjustRightInd w:val="0"/>
              <w:snapToGrid w:val="0"/>
              <w:spacing w:line="360" w:lineRule="auto"/>
              <w:jc w:val="center"/>
              <w:rPr>
                <w:rFonts w:hint="eastAsia" w:ascii="仿宋" w:hAnsi="仿宋" w:eastAsia="仿宋" w:cs="仿宋"/>
                <w:b/>
                <w:bCs/>
                <w:kern w:val="0"/>
                <w:sz w:val="22"/>
                <w:szCs w:val="22"/>
                <w:lang w:val="zh-CN" w:bidi="zh-CN"/>
              </w:rPr>
            </w:pPr>
            <w:r>
              <w:rPr>
                <w:rFonts w:hint="eastAsia" w:ascii="宋体" w:hAnsi="宋体" w:eastAsia="宋体" w:cs="宋体"/>
                <w:b/>
                <w:color w:val="000000"/>
                <w:sz w:val="24"/>
                <w:szCs w:val="24"/>
                <w:highlight w:val="none"/>
              </w:rPr>
              <w:t>评审项目名称</w:t>
            </w:r>
          </w:p>
        </w:tc>
        <w:tc>
          <w:tcPr>
            <w:tcW w:w="6995" w:type="dxa"/>
            <w:noWrap w:val="0"/>
            <w:vAlign w:val="center"/>
          </w:tcPr>
          <w:p>
            <w:pPr>
              <w:adjustRightInd w:val="0"/>
              <w:snapToGrid w:val="0"/>
              <w:spacing w:line="360" w:lineRule="auto"/>
              <w:jc w:val="center"/>
              <w:rPr>
                <w:rFonts w:hint="eastAsia" w:ascii="仿宋" w:hAnsi="仿宋" w:eastAsia="仿宋" w:cs="仿宋"/>
                <w:b/>
                <w:bCs/>
                <w:kern w:val="0"/>
                <w:sz w:val="22"/>
                <w:szCs w:val="22"/>
                <w:lang w:val="zh-CN" w:bidi="zh-CN"/>
              </w:rPr>
            </w:pPr>
            <w:r>
              <w:rPr>
                <w:rFonts w:hint="eastAsia" w:ascii="宋体" w:hAnsi="宋体" w:eastAsia="宋体" w:cs="宋体"/>
                <w:b/>
                <w:color w:val="00000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3" w:type="dxa"/>
            <w:noWrap w:val="0"/>
            <w:vAlign w:val="center"/>
          </w:tcPr>
          <w:p>
            <w:pPr>
              <w:adjustRightInd w:val="0"/>
              <w:snapToGrid w:val="0"/>
              <w:spacing w:line="360" w:lineRule="auto"/>
              <w:ind w:firstLine="241" w:firstLineChars="100"/>
              <w:jc w:val="center"/>
            </w:pPr>
            <w:r>
              <w:rPr>
                <w:rFonts w:hint="eastAsia" w:ascii="宋体" w:hAnsi="宋体" w:eastAsia="宋体" w:cs="宋体"/>
                <w:sz w:val="24"/>
                <w:szCs w:val="24"/>
                <w:highlight w:val="none"/>
              </w:rPr>
              <w:t>1</w:t>
            </w:r>
          </w:p>
        </w:tc>
        <w:tc>
          <w:tcPr>
            <w:tcW w:w="2257" w:type="dxa"/>
            <w:noWrap w:val="0"/>
            <w:vAlign w:val="center"/>
          </w:tcPr>
          <w:p>
            <w:pPr>
              <w:autoSpaceDE w:val="0"/>
              <w:autoSpaceDN w:val="0"/>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类似项目业绩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2021-2023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年度</w:t>
            </w:r>
          </w:p>
          <w:p>
            <w:pPr>
              <w:autoSpaceDE w:val="0"/>
              <w:autoSpaceDN w:val="0"/>
              <w:adjustRightInd w:val="0"/>
              <w:snapToGrid w:val="0"/>
              <w:spacing w:line="360" w:lineRule="auto"/>
              <w:jc w:val="center"/>
              <w:rPr>
                <w:rFonts w:hint="eastAsia" w:ascii="仿宋" w:hAnsi="仿宋" w:eastAsia="仿宋" w:cs="仿宋"/>
                <w:bCs/>
                <w:kern w:val="0"/>
                <w:sz w:val="28"/>
                <w:szCs w:val="28"/>
                <w:lang w:val="zh-CN" w:bidi="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分）</w:t>
            </w:r>
          </w:p>
        </w:tc>
        <w:tc>
          <w:tcPr>
            <w:tcW w:w="6995" w:type="dxa"/>
            <w:noWrap w:val="0"/>
            <w:vAlign w:val="center"/>
          </w:tcPr>
          <w:p>
            <w:pPr>
              <w:pStyle w:val="86"/>
              <w:numPr>
                <w:ilvl w:val="0"/>
                <w:numId w:val="0"/>
              </w:numPr>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每</w:t>
            </w:r>
            <w:r>
              <w:rPr>
                <w:rFonts w:hint="eastAsia" w:ascii="宋体" w:hAnsi="宋体" w:eastAsia="宋体" w:cs="宋体"/>
                <w:sz w:val="24"/>
                <w:szCs w:val="24"/>
                <w:highlight w:val="none"/>
                <w:lang w:val="en-US" w:eastAsia="zh-CN"/>
              </w:rPr>
              <w:t>提供</w:t>
            </w:r>
            <w:r>
              <w:rPr>
                <w:rFonts w:hint="eastAsia" w:ascii="宋体" w:hAnsi="宋体" w:eastAsia="宋体" w:cs="宋体"/>
                <w:sz w:val="24"/>
                <w:szCs w:val="24"/>
                <w:highlight w:val="none"/>
              </w:rPr>
              <w:t>一项</w:t>
            </w:r>
            <w:r>
              <w:rPr>
                <w:rFonts w:hint="eastAsia" w:ascii="宋体" w:hAnsi="宋体" w:eastAsia="宋体" w:cs="宋体"/>
                <w:color w:val="auto"/>
                <w:spacing w:val="4"/>
                <w:sz w:val="24"/>
                <w:szCs w:val="24"/>
                <w:highlight w:val="none"/>
                <w:lang w:val="en-US" w:eastAsia="zh-CN"/>
              </w:rPr>
              <w:t>本项目相关类似业绩，</w:t>
            </w:r>
            <w:r>
              <w:rPr>
                <w:rFonts w:hint="eastAsia" w:ascii="宋体" w:hAnsi="宋体" w:eastAsia="宋体" w:cs="宋体"/>
                <w:sz w:val="24"/>
                <w:szCs w:val="24"/>
                <w:highlight w:val="none"/>
                <w:lang w:val="en-US" w:eastAsia="zh-CN"/>
              </w:rPr>
              <w:t>得2</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val="en-US" w:eastAsia="zh-CN"/>
              </w:rPr>
              <w:t>最高得20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pStyle w:val="86"/>
              <w:spacing w:line="360" w:lineRule="auto"/>
            </w:pPr>
            <w:r>
              <w:rPr>
                <w:rFonts w:hint="eastAsia" w:ascii="宋体" w:hAnsi="宋体" w:eastAsia="宋体" w:cs="宋体"/>
                <w:sz w:val="24"/>
                <w:szCs w:val="24"/>
                <w:highlight w:val="none"/>
                <w:lang w:val="en-US" w:eastAsia="zh-CN"/>
              </w:rPr>
              <w:t>类似业绩需提供与甲方</w:t>
            </w:r>
            <w:r>
              <w:rPr>
                <w:rFonts w:hint="eastAsia" w:ascii="宋体" w:hAnsi="宋体" w:eastAsia="宋体" w:cs="宋体"/>
                <w:sz w:val="24"/>
                <w:szCs w:val="24"/>
                <w:highlight w:val="none"/>
              </w:rPr>
              <w:t>签订合同</w:t>
            </w:r>
            <w:r>
              <w:rPr>
                <w:rFonts w:hint="eastAsia" w:hAnsi="宋体" w:cs="宋体"/>
                <w:sz w:val="24"/>
                <w:szCs w:val="24"/>
                <w:highlight w:val="none"/>
                <w:lang w:val="en-US" w:eastAsia="zh-CN"/>
              </w:rPr>
              <w:t>原件</w:t>
            </w:r>
            <w:r>
              <w:rPr>
                <w:rFonts w:hint="eastAsia" w:ascii="宋体" w:hAnsi="宋体" w:eastAsia="宋体" w:cs="宋体"/>
                <w:sz w:val="24"/>
                <w:szCs w:val="24"/>
                <w:highlight w:val="none"/>
                <w:lang w:val="en-US" w:eastAsia="zh-CN"/>
              </w:rPr>
              <w:t>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913" w:type="dxa"/>
            <w:noWrap w:val="0"/>
            <w:vAlign w:val="center"/>
          </w:tcPr>
          <w:p>
            <w:pPr>
              <w:adjustRightInd w:val="0"/>
              <w:snapToGrid w:val="0"/>
              <w:spacing w:line="360" w:lineRule="auto"/>
              <w:ind w:firstLine="241" w:firstLineChars="100"/>
              <w:jc w:val="center"/>
            </w:pPr>
            <w:r>
              <w:rPr>
                <w:rFonts w:hint="eastAsia" w:ascii="宋体" w:hAnsi="宋体" w:eastAsia="宋体" w:cs="宋体"/>
                <w:sz w:val="24"/>
                <w:szCs w:val="24"/>
                <w:highlight w:val="none"/>
                <w:lang w:val="en-US" w:eastAsia="zh-CN"/>
              </w:rPr>
              <w:t>2</w:t>
            </w:r>
          </w:p>
        </w:tc>
        <w:tc>
          <w:tcPr>
            <w:tcW w:w="2257" w:type="dxa"/>
            <w:noWrap w:val="0"/>
            <w:vAlign w:val="center"/>
          </w:tcPr>
          <w:p>
            <w:pPr>
              <w:autoSpaceDE w:val="0"/>
              <w:autoSpaceDN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设备要求</w:t>
            </w:r>
          </w:p>
          <w:p>
            <w:pPr>
              <w:autoSpaceDE w:val="0"/>
              <w:autoSpaceDN w:val="0"/>
              <w:adjustRightInd w:val="0"/>
              <w:snapToGrid w:val="0"/>
              <w:spacing w:line="360" w:lineRule="auto"/>
              <w:jc w:val="center"/>
              <w:rPr>
                <w:rFonts w:hint="eastAsia" w:ascii="仿宋" w:hAnsi="仿宋" w:eastAsia="仿宋" w:cs="仿宋"/>
                <w:color w:val="auto"/>
                <w:kern w:val="0"/>
                <w:sz w:val="28"/>
                <w:szCs w:val="28"/>
                <w:lang w:val="zh-CN" w:bidi="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分）</w:t>
            </w:r>
          </w:p>
        </w:tc>
        <w:tc>
          <w:tcPr>
            <w:tcW w:w="6995" w:type="dxa"/>
            <w:noWrap w:val="0"/>
            <w:vAlign w:val="center"/>
          </w:tcPr>
          <w:p>
            <w:pPr>
              <w:pStyle w:val="86"/>
              <w:numPr>
                <w:ilvl w:val="0"/>
                <w:numId w:val="0"/>
              </w:numPr>
              <w:spacing w:line="360" w:lineRule="auto"/>
              <w:rPr>
                <w:rFonts w:hint="default"/>
                <w:color w:val="auto"/>
                <w:lang w:val="en-US"/>
              </w:rPr>
            </w:pPr>
            <w:r>
              <w:rPr>
                <w:rFonts w:hint="eastAsia" w:ascii="宋体" w:hAnsi="宋体" w:eastAsia="宋体" w:cs="宋体"/>
                <w:color w:val="auto"/>
                <w:sz w:val="24"/>
                <w:szCs w:val="24"/>
                <w:highlight w:val="none"/>
                <w:lang w:val="en-US" w:eastAsia="zh-CN"/>
              </w:rPr>
              <w:t>在本项目中每投入一个大型无人机设备得5分，最高得10分。（需提供无人机设备产品合格证）在本项目中每投入一个中型无人机设备得4分，最高得8分。在本项目中每投入一个小型无人机设备得2分，最高得6分。（需提供无人机设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3" w:type="dxa"/>
            <w:noWrap w:val="0"/>
            <w:vAlign w:val="center"/>
          </w:tcPr>
          <w:p>
            <w:pPr>
              <w:adjustRightInd w:val="0"/>
              <w:snapToGrid w:val="0"/>
              <w:spacing w:line="360" w:lineRule="auto"/>
              <w:ind w:firstLine="241" w:firstLineChars="100"/>
              <w:jc w:val="center"/>
            </w:pPr>
            <w:r>
              <w:rPr>
                <w:rFonts w:hint="eastAsia" w:ascii="宋体" w:hAnsi="宋体" w:eastAsia="宋体" w:cs="宋体"/>
                <w:sz w:val="24"/>
                <w:szCs w:val="24"/>
                <w:highlight w:val="none"/>
                <w:lang w:val="en-US" w:eastAsia="zh-CN"/>
              </w:rPr>
              <w:t>3</w:t>
            </w:r>
          </w:p>
        </w:tc>
        <w:tc>
          <w:tcPr>
            <w:tcW w:w="2257"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拟派</w:t>
            </w:r>
            <w:r>
              <w:rPr>
                <w:rFonts w:hint="eastAsia" w:ascii="宋体" w:hAnsi="宋体" w:eastAsia="宋体" w:cs="宋体"/>
                <w:sz w:val="24"/>
                <w:szCs w:val="24"/>
                <w:highlight w:val="none"/>
                <w:lang w:val="en-US" w:eastAsia="zh-CN"/>
              </w:rPr>
              <w:t>项目组成员</w:t>
            </w:r>
            <w:r>
              <w:rPr>
                <w:rFonts w:hint="eastAsia" w:ascii="宋体" w:hAnsi="宋体" w:eastAsia="宋体" w:cs="宋体"/>
                <w:sz w:val="24"/>
                <w:szCs w:val="24"/>
                <w:highlight w:val="none"/>
              </w:rPr>
              <w:t>资格</w:t>
            </w:r>
          </w:p>
          <w:p>
            <w:pPr>
              <w:spacing w:line="360" w:lineRule="auto"/>
              <w:jc w:val="center"/>
              <w:rPr>
                <w:rFonts w:hint="eastAsia" w:ascii="仿宋" w:hAnsi="仿宋" w:eastAsia="仿宋" w:cs="仿宋"/>
                <w:kern w:val="0"/>
                <w:sz w:val="28"/>
                <w:szCs w:val="28"/>
                <w:lang w:val="zh-CN" w:bidi="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分）</w:t>
            </w:r>
          </w:p>
        </w:tc>
        <w:tc>
          <w:tcPr>
            <w:tcW w:w="6995" w:type="dxa"/>
            <w:noWrap w:val="0"/>
            <w:vAlign w:val="center"/>
          </w:tcPr>
          <w:p>
            <w:pPr>
              <w:pStyle w:val="86"/>
              <w:spacing w:line="360" w:lineRule="auto"/>
            </w:pPr>
            <w:r>
              <w:rPr>
                <w:rFonts w:hint="eastAsia" w:ascii="宋体" w:hAnsi="宋体" w:eastAsia="宋体" w:cs="宋体"/>
                <w:sz w:val="24"/>
                <w:szCs w:val="24"/>
                <w:highlight w:val="none"/>
              </w:rPr>
              <w:t>拟派</w:t>
            </w:r>
            <w:r>
              <w:rPr>
                <w:rFonts w:hint="eastAsia" w:ascii="宋体" w:hAnsi="宋体" w:eastAsia="宋体" w:cs="宋体"/>
                <w:sz w:val="24"/>
                <w:szCs w:val="24"/>
                <w:highlight w:val="none"/>
                <w:lang w:val="en-US" w:eastAsia="zh-CN"/>
              </w:rPr>
              <w:t>参与本项目实施的技术人员每提供一人得1分，最高得15分；</w:t>
            </w:r>
            <w:r>
              <w:rPr>
                <w:rFonts w:hint="eastAsia" w:ascii="宋体" w:hAnsi="宋体" w:eastAsia="宋体" w:cs="宋体"/>
                <w:sz w:val="24"/>
                <w:szCs w:val="24"/>
                <w:highlight w:val="none"/>
              </w:rPr>
              <w:t>提供拟投入本项目的人员身份证、</w:t>
            </w:r>
            <w:r>
              <w:rPr>
                <w:rFonts w:hint="eastAsia" w:hAnsi="宋体" w:cs="宋体"/>
                <w:sz w:val="24"/>
                <w:szCs w:val="24"/>
                <w:highlight w:val="none"/>
                <w:lang w:val="en-US" w:eastAsia="zh-CN"/>
              </w:rPr>
              <w:t>社保</w:t>
            </w:r>
            <w:r>
              <w:rPr>
                <w:rFonts w:hint="eastAsia" w:ascii="宋体" w:hAnsi="宋体" w:eastAsia="宋体" w:cs="宋体"/>
                <w:sz w:val="24"/>
                <w:szCs w:val="24"/>
                <w:highlight w:val="none"/>
                <w:lang w:val="en-US" w:eastAsia="zh-CN"/>
              </w:rPr>
              <w:t>复印件</w:t>
            </w:r>
            <w:r>
              <w:rPr>
                <w:rFonts w:hint="eastAsia" w:hAnsi="宋体" w:cs="宋体"/>
                <w:sz w:val="24"/>
                <w:szCs w:val="24"/>
                <w:highlight w:val="none"/>
                <w:lang w:val="en-US" w:eastAsia="zh-CN"/>
              </w:rPr>
              <w:t>（社保参保单位需为投标单位）</w:t>
            </w:r>
            <w:r>
              <w:rPr>
                <w:rFonts w:hint="eastAsia" w:ascii="宋体" w:hAnsi="宋体" w:eastAsia="宋体" w:cs="宋体"/>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913" w:type="dxa"/>
            <w:noWrap w:val="0"/>
            <w:vAlign w:val="center"/>
          </w:tcPr>
          <w:p>
            <w:pPr>
              <w:adjustRightInd w:val="0"/>
              <w:snapToGrid w:val="0"/>
              <w:spacing w:line="360" w:lineRule="auto"/>
              <w:ind w:firstLine="241" w:firstLineChars="100"/>
              <w:jc w:val="center"/>
            </w:pPr>
            <w:r>
              <w:rPr>
                <w:rFonts w:hint="eastAsia" w:ascii="宋体" w:hAnsi="宋体" w:eastAsia="宋体" w:cs="宋体"/>
                <w:sz w:val="24"/>
                <w:szCs w:val="24"/>
                <w:highlight w:val="none"/>
              </w:rPr>
              <w:t>4</w:t>
            </w:r>
          </w:p>
        </w:tc>
        <w:tc>
          <w:tcPr>
            <w:tcW w:w="2257" w:type="dxa"/>
            <w:noWrap w:val="0"/>
            <w:vAlign w:val="center"/>
          </w:tcPr>
          <w:p>
            <w:pPr>
              <w:spacing w:line="360" w:lineRule="auto"/>
              <w:jc w:val="center"/>
              <w:rPr>
                <w:rFonts w:hint="eastAsia" w:ascii="仿宋" w:hAnsi="仿宋" w:eastAsia="仿宋" w:cs="仿宋"/>
                <w:kern w:val="0"/>
                <w:sz w:val="28"/>
                <w:szCs w:val="28"/>
                <w:lang w:bidi="zh-CN"/>
              </w:rPr>
            </w:pPr>
            <w:r>
              <w:rPr>
                <w:rFonts w:hint="eastAsia" w:ascii="宋体" w:hAnsi="宋体" w:eastAsia="宋体" w:cs="宋体"/>
                <w:sz w:val="24"/>
                <w:szCs w:val="24"/>
                <w:highlight w:val="none"/>
              </w:rPr>
              <w:t>服务方案（</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分）</w:t>
            </w:r>
          </w:p>
        </w:tc>
        <w:tc>
          <w:tcPr>
            <w:tcW w:w="6995" w:type="dxa"/>
            <w:noWrap w:val="0"/>
            <w:vAlign w:val="center"/>
          </w:tcPr>
          <w:p>
            <w:pPr>
              <w:pStyle w:val="86"/>
              <w:spacing w:line="360" w:lineRule="auto"/>
              <w:rPr>
                <w:rFonts w:hint="eastAsia" w:ascii="宋体" w:hAnsi="宋体" w:eastAsia="宋体" w:cs="宋体"/>
                <w:sz w:val="24"/>
                <w:szCs w:val="24"/>
                <w:highlight w:val="none"/>
                <w:lang w:val="zh-CN"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zh-CN" w:eastAsia="zh-CN"/>
              </w:rPr>
              <w:t>实施方案内容（</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lang w:val="zh-CN" w:eastAsia="zh-CN"/>
              </w:rPr>
              <w:t>分）：</w:t>
            </w:r>
          </w:p>
          <w:p>
            <w:pPr>
              <w:pStyle w:val="86"/>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（1）有项目执行的进度计划和实施方案，且计划和实施方案编制合理，有针对性，能够体现出对本项目的深入理解，得（11-15]分；</w:t>
            </w:r>
          </w:p>
          <w:p>
            <w:pPr>
              <w:pStyle w:val="86"/>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（2）有项目执行的进度计划和实施方案，但计划和方案的编制体现不出对项目的深入理解，且实施方案不能体现出项目的特色，针对性不强，得（6-10]分；</w:t>
            </w:r>
          </w:p>
          <w:p>
            <w:pPr>
              <w:pStyle w:val="86"/>
              <w:spacing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（3）没有明确的项目执行进度计划和实施方案，得（0-5]分。未提供不得分。</w:t>
            </w:r>
          </w:p>
          <w:p>
            <w:pPr>
              <w:pStyle w:val="86"/>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服务质量及保证措施（</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质量控制措施科学合理、具体可行（3</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质量控制措施较科学合理、具有可行性（2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3]分；</w:t>
            </w:r>
          </w:p>
          <w:p>
            <w:pPr>
              <w:spacing w:line="360" w:lineRule="auto"/>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质量控制措施科学基本合理、基本可行（0</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2]分。</w:t>
            </w:r>
          </w:p>
          <w:p>
            <w:pPr>
              <w:pStyle w:val="86"/>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未提供不得分。</w:t>
            </w:r>
          </w:p>
          <w:p>
            <w:pPr>
              <w:pStyle w:val="86"/>
              <w:numPr>
                <w:ilvl w:val="0"/>
                <w:numId w:val="1"/>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服务进度安排（</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服务进度计划详细完整，服务完成时间节点明确、具体、可行，得（2</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]分；</w:t>
            </w:r>
          </w:p>
          <w:p>
            <w:pPr>
              <w:pStyle w:val="86"/>
              <w:numPr>
                <w:ilvl w:val="0"/>
                <w:numId w:val="0"/>
              </w:numPr>
              <w:spacing w:line="360" w:lineRule="auto"/>
              <w:ind w:left="0" w:leftChars="0" w:firstLine="0" w:firstLineChars="0"/>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服务进度计划较完整，服务完成时间节点不够明确、具体，可行性不强，得（0</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3" w:type="dxa"/>
            <w:noWrap w:val="0"/>
            <w:vAlign w:val="center"/>
          </w:tcPr>
          <w:p>
            <w:pPr>
              <w:adjustRightInd w:val="0"/>
              <w:snapToGrid w:val="0"/>
              <w:spacing w:line="360" w:lineRule="auto"/>
              <w:ind w:firstLine="241" w:firstLineChars="10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2257" w:type="dxa"/>
            <w:noWrap w:val="0"/>
            <w:vAlign w:val="center"/>
          </w:tcPr>
          <w:p>
            <w:pPr>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标书制作（6分）</w:t>
            </w:r>
          </w:p>
        </w:tc>
        <w:tc>
          <w:tcPr>
            <w:tcW w:w="6995" w:type="dxa"/>
            <w:noWrap w:val="0"/>
            <w:vAlign w:val="center"/>
          </w:tcPr>
          <w:p>
            <w:pPr>
              <w:pStyle w:val="86"/>
              <w:numPr>
                <w:ilvl w:val="0"/>
                <w:numId w:val="0"/>
              </w:numPr>
              <w:spacing w:line="360" w:lineRule="auto"/>
              <w:ind w:left="0" w:leftChars="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编制内容完整、齐备；标书无大面积涂改、错页、漏页现象的得4-6分；</w:t>
            </w:r>
          </w:p>
          <w:p>
            <w:pPr>
              <w:pStyle w:val="86"/>
              <w:numPr>
                <w:ilvl w:val="0"/>
                <w:numId w:val="0"/>
              </w:numPr>
              <w:spacing w:line="360" w:lineRule="auto"/>
              <w:ind w:left="0" w:leftChars="0" w:firstLine="0"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编制内容较完整、齐备；标书有涂改、无错页、无漏页现象的得1-3分；</w:t>
            </w:r>
          </w:p>
          <w:p>
            <w:pPr>
              <w:pStyle w:val="86"/>
              <w:numPr>
                <w:ilvl w:val="0"/>
                <w:numId w:val="0"/>
              </w:numPr>
              <w:spacing w:line="360" w:lineRule="auto"/>
              <w:ind w:left="0" w:leftChars="0" w:firstLine="0"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编制内容不完整；标书有涂改、有错页、有漏页现象的得0分。</w:t>
            </w:r>
          </w:p>
        </w:tc>
      </w:tr>
      <w:bookmarkEnd w:id="33"/>
      <w:bookmarkEnd w:id="34"/>
      <w:bookmarkEnd w:id="35"/>
    </w:tbl>
    <w:p>
      <w:pPr>
        <w:pStyle w:val="101"/>
        <w:spacing w:line="240" w:lineRule="auto"/>
        <w:ind w:left="0" w:leftChars="0" w:firstLine="0" w:firstLineChars="0"/>
        <w:jc w:val="both"/>
        <w:rPr>
          <w:rFonts w:hint="eastAsia" w:ascii="宋体" w:hAnsi="宋体" w:eastAsia="宋体" w:cs="宋体"/>
          <w:b w:val="0"/>
          <w:color w:val="auto"/>
          <w:sz w:val="24"/>
          <w:highlight w:val="none"/>
        </w:rPr>
      </w:pPr>
    </w:p>
    <w:p>
      <w:pPr>
        <w:pStyle w:val="101"/>
        <w:spacing w:line="240" w:lineRule="auto"/>
        <w:ind w:left="0" w:leftChars="0" w:firstLine="482" w:firstLineChars="200"/>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23.</w:t>
      </w:r>
      <w:r>
        <w:rPr>
          <w:rFonts w:hint="eastAsia" w:ascii="宋体" w:hAnsi="宋体" w:eastAsia="宋体" w:cs="宋体"/>
          <w:b w:val="0"/>
          <w:color w:val="auto"/>
          <w:sz w:val="24"/>
          <w:highlight w:val="none"/>
          <w:lang w:val="en-US" w:eastAsia="zh-CN"/>
        </w:rPr>
        <w:t>8</w:t>
      </w:r>
      <w:r>
        <w:rPr>
          <w:rFonts w:hint="eastAsia" w:ascii="宋体" w:hAnsi="宋体" w:eastAsia="宋体" w:cs="宋体"/>
          <w:b w:val="0"/>
          <w:color w:val="auto"/>
          <w:sz w:val="24"/>
          <w:highlight w:val="none"/>
        </w:rPr>
        <w:t>.3  各评标委员会成员对每个投标人的经济报价和技术标的打分合计即为该投标人的评标总得分。</w:t>
      </w:r>
    </w:p>
    <w:p>
      <w:pPr>
        <w:pStyle w:val="101"/>
        <w:spacing w:line="24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计算公式为：总评标得分=F1+F2</w:t>
      </w:r>
    </w:p>
    <w:p>
      <w:pPr>
        <w:pStyle w:val="101"/>
        <w:spacing w:line="24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其中：F1、F2分别为经济报价、技术标得分</w:t>
      </w:r>
    </w:p>
    <w:p>
      <w:pPr>
        <w:pStyle w:val="101"/>
        <w:spacing w:line="24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23.</w:t>
      </w:r>
      <w:r>
        <w:rPr>
          <w:rFonts w:hint="eastAsia" w:ascii="宋体" w:hAnsi="宋体" w:eastAsia="宋体" w:cs="宋体"/>
          <w:b w:val="0"/>
          <w:color w:val="auto"/>
          <w:sz w:val="24"/>
          <w:highlight w:val="none"/>
          <w:lang w:val="en-US" w:eastAsia="zh-CN"/>
        </w:rPr>
        <w:t>8</w:t>
      </w:r>
      <w:r>
        <w:rPr>
          <w:rFonts w:hint="eastAsia" w:ascii="宋体" w:hAnsi="宋体" w:eastAsia="宋体" w:cs="宋体"/>
          <w:b w:val="0"/>
          <w:color w:val="auto"/>
          <w:sz w:val="24"/>
          <w:highlight w:val="none"/>
        </w:rPr>
        <w:t>.4 评标报告签署前，经复核发现存在以下情形之一的：分值汇总计算错误的；分项评分超出评分标准范围的；评标委员会成员对客观评审因素评分不一致的；经评标委员会认定评分畸高、畸低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101"/>
        <w:spacing w:line="24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23.</w:t>
      </w:r>
      <w:r>
        <w:rPr>
          <w:rFonts w:hint="eastAsia" w:ascii="宋体" w:hAnsi="宋体" w:eastAsia="宋体" w:cs="宋体"/>
          <w:b w:val="0"/>
          <w:color w:val="auto"/>
          <w:sz w:val="24"/>
          <w:highlight w:val="none"/>
          <w:lang w:val="en-US" w:eastAsia="zh-CN"/>
        </w:rPr>
        <w:t>8</w:t>
      </w:r>
      <w:r>
        <w:rPr>
          <w:rFonts w:hint="eastAsia" w:ascii="宋体" w:hAnsi="宋体" w:eastAsia="宋体" w:cs="宋体"/>
          <w:b w:val="0"/>
          <w:color w:val="auto"/>
          <w:sz w:val="24"/>
          <w:highlight w:val="none"/>
        </w:rPr>
        <w:t>.5 评标委员会将按投标人得分顺序由高到低依次排名，得分相同的，按投标报价由低到高顺序排列。得分及报价相同的，按技术指标优劣顺序排列。得分最高的前一名至前三名投标人将成为中标候选人。</w:t>
      </w:r>
    </w:p>
    <w:p>
      <w:pPr>
        <w:pStyle w:val="101"/>
        <w:spacing w:line="240" w:lineRule="auto"/>
        <w:ind w:firstLine="483"/>
        <w:jc w:val="both"/>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rPr>
        <w:t>23.</w:t>
      </w:r>
      <w:r>
        <w:rPr>
          <w:rFonts w:hint="eastAsia" w:ascii="宋体" w:hAnsi="宋体" w:eastAsia="宋体" w:cs="宋体"/>
          <w:b w:val="0"/>
          <w:color w:val="auto"/>
          <w:sz w:val="24"/>
          <w:highlight w:val="none"/>
          <w:lang w:val="en-US" w:eastAsia="zh-CN"/>
        </w:rPr>
        <w:t>8</w:t>
      </w:r>
      <w:r>
        <w:rPr>
          <w:rFonts w:hint="eastAsia" w:ascii="宋体" w:hAnsi="宋体" w:eastAsia="宋体" w:cs="宋体"/>
          <w:b w:val="0"/>
          <w:color w:val="auto"/>
          <w:sz w:val="24"/>
          <w:highlight w:val="none"/>
        </w:rPr>
        <w:t>.6 评标委员会成员对需要共同认定的事项存在争议的，应当按照少数服从多数的原则作出结论。持不同意见的评标委员会成员应当在评标报告上签署不同意见及理由，否则视为同意评标报告。</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 xml:space="preserve">24. </w:t>
      </w:r>
      <w:r>
        <w:rPr>
          <w:rFonts w:hint="eastAsia" w:ascii="宋体" w:hAnsi="宋体" w:cs="宋体"/>
          <w:color w:val="auto"/>
          <w:kern w:val="2"/>
          <w:szCs w:val="24"/>
          <w:highlight w:val="none"/>
          <w:lang w:eastAsia="zh-CN"/>
        </w:rPr>
        <w:t>投标文件</w:t>
      </w:r>
      <w:r>
        <w:rPr>
          <w:rFonts w:hint="eastAsia" w:ascii="宋体" w:hAnsi="宋体" w:cs="宋体"/>
          <w:color w:val="auto"/>
          <w:kern w:val="2"/>
          <w:szCs w:val="24"/>
          <w:highlight w:val="none"/>
        </w:rPr>
        <w:t>的澄清</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24.1  评标委员会在评标过程中有权随时请投标人就</w:t>
      </w:r>
      <w:r>
        <w:rPr>
          <w:rFonts w:hint="eastAsia" w:ascii="宋体" w:hAnsi="宋体" w:cs="宋体"/>
          <w:color w:val="auto"/>
          <w:kern w:val="2"/>
          <w:szCs w:val="24"/>
          <w:highlight w:val="none"/>
          <w:lang w:eastAsia="zh-CN"/>
        </w:rPr>
        <w:t>投标文件</w:t>
      </w:r>
      <w:r>
        <w:rPr>
          <w:rFonts w:hint="eastAsia" w:ascii="宋体" w:hAnsi="宋体" w:cs="宋体"/>
          <w:color w:val="auto"/>
          <w:kern w:val="2"/>
          <w:szCs w:val="24"/>
          <w:highlight w:val="none"/>
        </w:rPr>
        <w:t>中含混之处加以澄清或答疑。</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 xml:space="preserve">24.2  </w:t>
      </w:r>
      <w:r>
        <w:rPr>
          <w:rFonts w:hint="eastAsia" w:ascii="宋体" w:hAnsi="宋体" w:cs="宋体"/>
          <w:color w:val="auto"/>
          <w:szCs w:val="24"/>
          <w:highlight w:val="none"/>
        </w:rPr>
        <w:t>投标人的澄清、说明或者补正应当采用书面形式，并加盖公章，或者由法定代表人或其授权的代表签字。</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 xml:space="preserve">24.3  </w:t>
      </w:r>
      <w:r>
        <w:rPr>
          <w:rFonts w:hint="eastAsia" w:ascii="宋体" w:hAnsi="宋体" w:cs="宋体"/>
          <w:color w:val="auto"/>
          <w:szCs w:val="24"/>
          <w:highlight w:val="none"/>
        </w:rPr>
        <w:t>投标人的澄清、说明或者补正不得超出</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的范围或者改变</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的实质性内容。</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24.4  投标人的澄清文件是</w:t>
      </w:r>
      <w:r>
        <w:rPr>
          <w:rFonts w:hint="eastAsia" w:ascii="宋体" w:hAnsi="宋体" w:cs="宋体"/>
          <w:color w:val="auto"/>
          <w:kern w:val="2"/>
          <w:szCs w:val="24"/>
          <w:highlight w:val="none"/>
          <w:lang w:eastAsia="zh-CN"/>
        </w:rPr>
        <w:t>投标文件</w:t>
      </w:r>
      <w:r>
        <w:rPr>
          <w:rFonts w:hint="eastAsia" w:ascii="宋体" w:hAnsi="宋体" w:cs="宋体"/>
          <w:color w:val="auto"/>
          <w:kern w:val="2"/>
          <w:szCs w:val="24"/>
          <w:highlight w:val="none"/>
        </w:rPr>
        <w:t>的组成部分，并取代</w:t>
      </w:r>
      <w:r>
        <w:rPr>
          <w:rFonts w:hint="eastAsia" w:ascii="宋体" w:hAnsi="宋体" w:cs="宋体"/>
          <w:color w:val="auto"/>
          <w:kern w:val="2"/>
          <w:szCs w:val="24"/>
          <w:highlight w:val="none"/>
          <w:lang w:eastAsia="zh-CN"/>
        </w:rPr>
        <w:t>投标文件</w:t>
      </w:r>
      <w:r>
        <w:rPr>
          <w:rFonts w:hint="eastAsia" w:ascii="宋体" w:hAnsi="宋体" w:cs="宋体"/>
          <w:color w:val="auto"/>
          <w:kern w:val="2"/>
          <w:szCs w:val="24"/>
          <w:highlight w:val="none"/>
        </w:rPr>
        <w:t>中被澄清的部分。</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 中标人的确定</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25.1  采购人应当自收到评标报告之日起5个工作日内，在评标报告确定的中标候选人名单中按顺序确定中标人。中标候选人并列的，由采购人或者采购人委托评标委员会按照</w:t>
      </w:r>
      <w:r>
        <w:rPr>
          <w:rFonts w:hint="eastAsia" w:ascii="宋体" w:hAnsi="宋体" w:cs="宋体"/>
          <w:color w:val="auto"/>
          <w:kern w:val="2"/>
          <w:szCs w:val="24"/>
          <w:highlight w:val="none"/>
          <w:lang w:eastAsia="zh-CN"/>
        </w:rPr>
        <w:t>招标文件</w:t>
      </w:r>
      <w:r>
        <w:rPr>
          <w:rFonts w:hint="eastAsia" w:ascii="宋体" w:hAnsi="宋体" w:cs="宋体"/>
          <w:color w:val="auto"/>
          <w:kern w:val="2"/>
          <w:szCs w:val="24"/>
          <w:highlight w:val="none"/>
        </w:rPr>
        <w:t>规定的方式确定中标人；</w:t>
      </w:r>
      <w:r>
        <w:rPr>
          <w:rFonts w:hint="eastAsia" w:ascii="宋体" w:hAnsi="宋体" w:cs="宋体"/>
          <w:color w:val="auto"/>
          <w:kern w:val="2"/>
          <w:szCs w:val="24"/>
          <w:highlight w:val="none"/>
          <w:lang w:eastAsia="zh-CN"/>
        </w:rPr>
        <w:t>招标文件</w:t>
      </w:r>
      <w:r>
        <w:rPr>
          <w:rFonts w:hint="eastAsia" w:ascii="宋体" w:hAnsi="宋体" w:cs="宋体"/>
          <w:color w:val="auto"/>
          <w:kern w:val="2"/>
          <w:szCs w:val="24"/>
          <w:highlight w:val="none"/>
        </w:rPr>
        <w:t>未规定的，采取随机抽取的方式确定。</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25.2  采购人在收到评标报告5个工作日内未按评标报告推荐的中标候选人顺序确定中标人，又不能说明合法理由的，视同按评标报告推荐的顺序确定中标候选人。</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25.3  评标委员会按照</w:t>
      </w:r>
      <w:r>
        <w:rPr>
          <w:rFonts w:hint="eastAsia" w:ascii="宋体" w:hAnsi="宋体" w:cs="宋体"/>
          <w:color w:val="auto"/>
          <w:kern w:val="2"/>
          <w:szCs w:val="24"/>
          <w:highlight w:val="none"/>
          <w:lang w:eastAsia="zh-CN"/>
        </w:rPr>
        <w:t>招标文件</w:t>
      </w:r>
      <w:r>
        <w:rPr>
          <w:rFonts w:hint="eastAsia" w:ascii="宋体" w:hAnsi="宋体" w:cs="宋体"/>
          <w:color w:val="auto"/>
          <w:kern w:val="2"/>
          <w:szCs w:val="24"/>
          <w:highlight w:val="none"/>
        </w:rPr>
        <w:t>的评标办法负责向采购人推荐</w:t>
      </w:r>
      <w:r>
        <w:rPr>
          <w:rFonts w:hint="eastAsia" w:ascii="宋体" w:hAnsi="宋体" w:cs="宋体"/>
          <w:color w:val="auto"/>
          <w:sz w:val="24"/>
          <w:szCs w:val="24"/>
          <w:highlight w:val="none"/>
        </w:rPr>
        <w:t>中标</w:t>
      </w:r>
      <w:r>
        <w:rPr>
          <w:rFonts w:hint="eastAsia" w:ascii="宋体" w:hAnsi="宋体" w:cs="宋体"/>
          <w:color w:val="auto"/>
          <w:kern w:val="2"/>
          <w:szCs w:val="24"/>
          <w:highlight w:val="none"/>
        </w:rPr>
        <w:t>候选人。评标委员会有权推荐</w:t>
      </w:r>
      <w:r>
        <w:rPr>
          <w:rFonts w:hint="eastAsia" w:ascii="宋体" w:hAnsi="宋体" w:cs="宋体"/>
          <w:color w:val="auto"/>
          <w:kern w:val="2"/>
          <w:szCs w:val="24"/>
          <w:highlight w:val="none"/>
          <w:lang w:val="en-US" w:eastAsia="zh-CN"/>
        </w:rPr>
        <w:t>三</w:t>
      </w:r>
      <w:r>
        <w:rPr>
          <w:rFonts w:hint="eastAsia" w:ascii="宋体" w:hAnsi="宋体" w:cs="宋体"/>
          <w:color w:val="auto"/>
          <w:kern w:val="2"/>
          <w:szCs w:val="24"/>
          <w:highlight w:val="none"/>
        </w:rPr>
        <w:t>家投标人为</w:t>
      </w:r>
      <w:r>
        <w:rPr>
          <w:rFonts w:hint="eastAsia" w:ascii="宋体" w:hAnsi="宋体" w:cs="宋体"/>
          <w:color w:val="auto"/>
          <w:sz w:val="24"/>
          <w:szCs w:val="24"/>
          <w:highlight w:val="none"/>
        </w:rPr>
        <w:t>中标</w:t>
      </w:r>
      <w:r>
        <w:rPr>
          <w:rFonts w:hint="eastAsia" w:ascii="宋体" w:hAnsi="宋体" w:cs="宋体"/>
          <w:color w:val="auto"/>
          <w:kern w:val="2"/>
          <w:szCs w:val="24"/>
          <w:highlight w:val="none"/>
        </w:rPr>
        <w:t>候选人、或者拒绝所有的投标人的投标。评标委员会成员无义务向投标人做出有关对评标的任何解释工作。</w:t>
      </w:r>
    </w:p>
    <w:p>
      <w:pPr>
        <w:pStyle w:val="92"/>
        <w:spacing w:line="240" w:lineRule="auto"/>
        <w:ind w:firstLine="482" w:firstLineChars="200"/>
        <w:jc w:val="both"/>
        <w:rPr>
          <w:rFonts w:hint="eastAsia" w:ascii="宋体" w:hAnsi="宋体" w:cs="宋体"/>
          <w:bCs/>
          <w:color w:val="auto"/>
          <w:szCs w:val="24"/>
          <w:highlight w:val="none"/>
        </w:rPr>
      </w:pPr>
      <w:r>
        <w:rPr>
          <w:rFonts w:hint="eastAsia" w:ascii="宋体" w:hAnsi="宋体" w:cs="宋体"/>
          <w:bCs/>
          <w:color w:val="auto"/>
          <w:szCs w:val="24"/>
          <w:highlight w:val="none"/>
        </w:rPr>
        <w:t>25.4  中标供应商拒绝与采购人签订合同的，采购人可以按照评审报告推荐的</w:t>
      </w:r>
      <w:r>
        <w:rPr>
          <w:rFonts w:hint="eastAsia" w:ascii="宋体" w:hAnsi="宋体" w:cs="宋体"/>
          <w:color w:val="auto"/>
          <w:sz w:val="24"/>
          <w:szCs w:val="24"/>
          <w:highlight w:val="none"/>
        </w:rPr>
        <w:t>中标</w:t>
      </w:r>
      <w:r>
        <w:rPr>
          <w:rFonts w:hint="eastAsia" w:ascii="宋体" w:hAnsi="宋体" w:cs="宋体"/>
          <w:bCs/>
          <w:color w:val="auto"/>
          <w:szCs w:val="24"/>
          <w:highlight w:val="none"/>
        </w:rPr>
        <w:t>人名单排序，确定下一候选人为</w:t>
      </w:r>
      <w:r>
        <w:rPr>
          <w:rFonts w:hint="eastAsia" w:ascii="宋体" w:hAnsi="宋体" w:cs="宋体"/>
          <w:color w:val="auto"/>
          <w:sz w:val="24"/>
          <w:szCs w:val="24"/>
          <w:highlight w:val="none"/>
        </w:rPr>
        <w:t>中标</w:t>
      </w:r>
      <w:r>
        <w:rPr>
          <w:rFonts w:hint="eastAsia" w:ascii="宋体" w:hAnsi="宋体" w:cs="宋体"/>
          <w:bCs/>
          <w:color w:val="auto"/>
          <w:szCs w:val="24"/>
          <w:highlight w:val="none"/>
        </w:rPr>
        <w:t>人，也可以重新开展政府采购活动。</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26.  中标通知</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26.1 在公告中标结果的同时，采购人或者采购代理机构向中标人发出中标通知书。</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 xml:space="preserve">26.2 </w:t>
      </w:r>
      <w:r>
        <w:rPr>
          <w:rFonts w:hint="eastAsia" w:ascii="宋体" w:hAnsi="宋体" w:cs="宋体"/>
          <w:color w:val="auto"/>
          <w:szCs w:val="24"/>
          <w:highlight w:val="none"/>
        </w:rPr>
        <w:t>对于所有投标人的</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均</w:t>
      </w:r>
      <w:r>
        <w:rPr>
          <w:rFonts w:hint="eastAsia" w:ascii="宋体" w:hAnsi="宋体" w:cs="宋体"/>
          <w:color w:val="auto"/>
          <w:szCs w:val="24"/>
          <w:highlight w:val="none"/>
          <w:shd w:val="clear" w:color="auto" w:fill="FFFFFF"/>
        </w:rPr>
        <w:t>不予以退还，但对其承担保密责任。</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27. 拒绝某些或所有投标的权力。</w:t>
      </w:r>
    </w:p>
    <w:p>
      <w:pPr>
        <w:pStyle w:val="92"/>
        <w:spacing w:line="240" w:lineRule="auto"/>
        <w:ind w:firstLine="482" w:firstLineChars="200"/>
        <w:jc w:val="both"/>
        <w:rPr>
          <w:rFonts w:hint="eastAsia" w:ascii="宋体" w:hAnsi="宋体" w:cs="宋体"/>
          <w:color w:val="auto"/>
          <w:kern w:val="2"/>
          <w:szCs w:val="24"/>
          <w:highlight w:val="none"/>
        </w:rPr>
      </w:pPr>
      <w:r>
        <w:rPr>
          <w:rFonts w:hint="eastAsia" w:ascii="宋体" w:hAnsi="宋体" w:cs="宋体"/>
          <w:color w:val="auto"/>
          <w:kern w:val="2"/>
          <w:szCs w:val="24"/>
          <w:highlight w:val="none"/>
        </w:rPr>
        <w:t>27.1 采购人或采购代理机构有权在《中标通知书》发放之前的任何时候拒绝任何有不正当行为或扰乱正常招标工作的投标人，由此对相关投标人造成的损失不负责任。</w:t>
      </w:r>
    </w:p>
    <w:p>
      <w:pPr>
        <w:pStyle w:val="113"/>
        <w:spacing w:line="240" w:lineRule="auto"/>
        <w:jc w:val="center"/>
        <w:outlineLvl w:val="1"/>
        <w:rPr>
          <w:rFonts w:hint="eastAsia"/>
          <w:b/>
          <w:bCs/>
          <w:color w:val="auto"/>
          <w:highlight w:val="none"/>
        </w:rPr>
      </w:pPr>
      <w:r>
        <w:rPr>
          <w:rFonts w:hint="eastAsia"/>
          <w:b/>
          <w:bCs/>
          <w:color w:val="auto"/>
          <w:highlight w:val="none"/>
        </w:rPr>
        <w:t>七、授予合同</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  签订合同</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28.1  中标人收到《中标通知书》后，须按有关规定与采购人签定经济合同。合同的签订一般在《中标通知书》发出后30天内进行，但采购人事先约定的情况除外。</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28.2  合同签订后，中标人应按合同的规定履行合同，未按规定履约的，采购人有权取消合同，并且不退还中标人的投标保证金。</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28.3  中标合同不得转让或分包。如需对合同的非主体部分进行转让或分包，投标人必须在</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中予以说明，并需经采购人同意。否则，采购人有权取消中标人的中标资格。</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28.4  如中标人未按有关规定与采购人签订合同或提交合同履约保证金的，采购人可以选择其他中标候选人为中标人，并组织中标人和采购人签订经济合同。</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28.5  合同履约保证金的形式为银行保函，另有约定的，按照约定条件执行。</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  合同的组成</w:t>
      </w:r>
    </w:p>
    <w:p>
      <w:pPr>
        <w:pStyle w:val="92"/>
        <w:spacing w:line="240" w:lineRule="auto"/>
        <w:ind w:firstLine="482" w:firstLineChars="200"/>
        <w:jc w:val="both"/>
        <w:outlineLvl w:val="2"/>
        <w:rPr>
          <w:rFonts w:hint="eastAsia" w:ascii="宋体" w:hAnsi="宋体" w:cs="宋体"/>
          <w:color w:val="auto"/>
          <w:szCs w:val="24"/>
          <w:highlight w:val="none"/>
        </w:rPr>
      </w:pPr>
      <w:r>
        <w:rPr>
          <w:rFonts w:hint="eastAsia" w:ascii="宋体" w:hAnsi="宋体" w:cs="宋体"/>
          <w:color w:val="auto"/>
          <w:szCs w:val="24"/>
          <w:highlight w:val="none"/>
        </w:rPr>
        <w:t>29.1  下列文件均为经济合同不可分割的组成部分：</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 xml:space="preserve">29.1.1  </w:t>
      </w:r>
      <w:r>
        <w:rPr>
          <w:rFonts w:hint="eastAsia" w:ascii="宋体" w:hAnsi="宋体" w:cs="宋体"/>
          <w:color w:val="auto"/>
          <w:szCs w:val="24"/>
          <w:highlight w:val="none"/>
          <w:lang w:eastAsia="zh-CN"/>
        </w:rPr>
        <w:t>招标文件</w:t>
      </w:r>
      <w:r>
        <w:rPr>
          <w:rFonts w:hint="eastAsia" w:ascii="宋体" w:hAnsi="宋体" w:cs="宋体"/>
          <w:color w:val="auto"/>
          <w:szCs w:val="24"/>
          <w:highlight w:val="none"/>
        </w:rPr>
        <w:t>及其附件、澄清文件；</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29.1.2  中标的</w:t>
      </w:r>
      <w:r>
        <w:rPr>
          <w:rFonts w:hint="eastAsia" w:ascii="宋体" w:hAnsi="宋体" w:cs="宋体"/>
          <w:color w:val="auto"/>
          <w:szCs w:val="24"/>
          <w:highlight w:val="none"/>
          <w:lang w:eastAsia="zh-CN"/>
        </w:rPr>
        <w:t>投标文件</w:t>
      </w:r>
      <w:r>
        <w:rPr>
          <w:rFonts w:hint="eastAsia" w:ascii="宋体" w:hAnsi="宋体" w:cs="宋体"/>
          <w:color w:val="auto"/>
          <w:szCs w:val="24"/>
          <w:highlight w:val="none"/>
        </w:rPr>
        <w:t xml:space="preserve">及其他附件； </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29.1.3  经确认的答疑记录；</w:t>
      </w:r>
    </w:p>
    <w:p>
      <w:pPr>
        <w:pStyle w:val="92"/>
        <w:spacing w:line="240" w:lineRule="auto"/>
        <w:ind w:firstLine="482" w:firstLineChars="200"/>
        <w:jc w:val="both"/>
        <w:rPr>
          <w:rFonts w:hint="eastAsia" w:ascii="宋体" w:hAnsi="宋体" w:cs="宋体"/>
          <w:color w:val="auto"/>
          <w:szCs w:val="24"/>
          <w:highlight w:val="none"/>
        </w:rPr>
      </w:pPr>
      <w:r>
        <w:rPr>
          <w:rFonts w:hint="eastAsia" w:ascii="宋体" w:hAnsi="宋体" w:cs="宋体"/>
          <w:color w:val="auto"/>
          <w:szCs w:val="24"/>
          <w:highlight w:val="none"/>
        </w:rPr>
        <w:t>29.1.4  中标通知书。</w:t>
      </w:r>
    </w:p>
    <w:p>
      <w:pPr>
        <w:pStyle w:val="113"/>
        <w:spacing w:line="240" w:lineRule="auto"/>
        <w:jc w:val="center"/>
        <w:outlineLvl w:val="1"/>
        <w:rPr>
          <w:rFonts w:hint="eastAsia"/>
          <w:b/>
          <w:bCs/>
          <w:color w:val="auto"/>
          <w:highlight w:val="none"/>
        </w:rPr>
      </w:pPr>
      <w:r>
        <w:rPr>
          <w:rFonts w:hint="eastAsia"/>
          <w:b/>
          <w:bCs/>
          <w:color w:val="auto"/>
          <w:highlight w:val="none"/>
        </w:rPr>
        <w:t>八、买方授标时更改采购货物数量的权利</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30. 买方在授予合同时有权按“投标人须知前附表”第12项约定的内容对“货物需求表”中规定的货物数量和服务予以局部增加或减少，但不得对单价或其它实质性内容做任何改变，对增减的数量按同类型中标产品价结算货款。</w:t>
      </w:r>
    </w:p>
    <w:p>
      <w:pPr>
        <w:pStyle w:val="113"/>
        <w:spacing w:line="240" w:lineRule="auto"/>
        <w:jc w:val="center"/>
        <w:outlineLvl w:val="1"/>
        <w:rPr>
          <w:rFonts w:hint="eastAsia"/>
          <w:b/>
          <w:bCs/>
          <w:color w:val="auto"/>
          <w:highlight w:val="none"/>
        </w:rPr>
      </w:pPr>
      <w:r>
        <w:rPr>
          <w:rFonts w:hint="eastAsia"/>
          <w:b/>
          <w:bCs/>
          <w:color w:val="auto"/>
          <w:highlight w:val="none"/>
        </w:rPr>
        <w:t>九、其他事项</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31.  中标服务费</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31.1 中标人应按本</w:t>
      </w:r>
      <w:r>
        <w:rPr>
          <w:rFonts w:hint="eastAsia" w:ascii="宋体" w:hAnsi="宋体" w:eastAsia="宋体" w:cs="宋体"/>
          <w:color w:val="auto"/>
          <w:sz w:val="24"/>
          <w:highlight w:val="none"/>
          <w:lang w:eastAsia="zh-CN"/>
        </w:rPr>
        <w:t>招标文件</w:t>
      </w:r>
      <w:r>
        <w:rPr>
          <w:rFonts w:hint="eastAsia" w:ascii="宋体" w:hAnsi="宋体" w:eastAsia="宋体" w:cs="宋体"/>
          <w:color w:val="auto"/>
          <w:sz w:val="24"/>
          <w:highlight w:val="none"/>
        </w:rPr>
        <w:t>的规定，在《中标通知书》核发时至核发后3天内，向采购代理机构支付中标服务费。</w:t>
      </w:r>
    </w:p>
    <w:p>
      <w:pPr>
        <w:pStyle w:val="105"/>
        <w:spacing w:line="240" w:lineRule="auto"/>
        <w:ind w:firstLine="483"/>
        <w:rPr>
          <w:rFonts w:hint="eastAsia" w:ascii="宋体" w:hAnsi="宋体" w:eastAsia="宋体" w:cs="宋体"/>
          <w:color w:val="auto"/>
          <w:sz w:val="24"/>
          <w:highlight w:val="none"/>
        </w:rPr>
      </w:pPr>
      <w:bookmarkStart w:id="36" w:name="_Toc19074"/>
      <w:bookmarkStart w:id="37" w:name="_Toc14033"/>
      <w:r>
        <w:rPr>
          <w:rFonts w:hint="eastAsia" w:ascii="宋体" w:hAnsi="宋体" w:eastAsia="宋体" w:cs="宋体"/>
          <w:color w:val="auto"/>
          <w:sz w:val="24"/>
          <w:highlight w:val="none"/>
        </w:rPr>
        <w:t>31.2 中标服务费的计算基数是中标人投标报价的总金额，即中标通知书中载明的中标金额</w:t>
      </w:r>
      <w:bookmarkEnd w:id="36"/>
      <w:bookmarkEnd w:id="37"/>
      <w:r>
        <w:rPr>
          <w:rFonts w:hint="eastAsia" w:ascii="宋体" w:hAnsi="宋体" w:eastAsia="宋体" w:cs="宋体"/>
          <w:color w:val="auto"/>
          <w:sz w:val="24"/>
          <w:highlight w:val="none"/>
        </w:rPr>
        <w:t>。</w:t>
      </w:r>
    </w:p>
    <w:p>
      <w:pPr>
        <w:pStyle w:val="105"/>
        <w:spacing w:line="240" w:lineRule="auto"/>
        <w:ind w:firstLine="483"/>
        <w:rPr>
          <w:rFonts w:hint="eastAsia" w:ascii="宋体" w:hAnsi="宋体" w:eastAsia="宋体" w:cs="宋体"/>
          <w:color w:val="auto"/>
          <w:sz w:val="24"/>
          <w:highlight w:val="none"/>
        </w:rPr>
      </w:pPr>
      <w:bookmarkStart w:id="38" w:name="_Toc12711"/>
      <w:r>
        <w:rPr>
          <w:rFonts w:hint="eastAsia" w:ascii="宋体" w:hAnsi="宋体" w:eastAsia="宋体" w:cs="宋体"/>
          <w:color w:val="auto"/>
          <w:sz w:val="24"/>
          <w:highlight w:val="none"/>
        </w:rPr>
        <w:t>32. 参与本次招标的投标企业必须有商务、技术人员对评标委员会提出的商务、技术问题进行答疑。</w:t>
      </w:r>
      <w:bookmarkEnd w:id="38"/>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 有下列情形之一的，视为投标人串通投标，其投标无效：</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33.1  不同投标人的</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由同一单位或者个人编制；</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33.2  不同投标人委托同一单位或者个人办理投标事宜；</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33.3  不同投标人的</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载明的项目管理成员或者联系人员为同一人；</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33.4  不同投标人的</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异常一致或者投标报价呈规律性差异；</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33.5  不同投标人的</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相互混装；</w:t>
      </w:r>
    </w:p>
    <w:p>
      <w:pPr>
        <w:pStyle w:val="105"/>
        <w:spacing w:line="240" w:lineRule="auto"/>
        <w:ind w:firstLine="483"/>
        <w:rPr>
          <w:rFonts w:hint="eastAsia" w:ascii="宋体" w:hAnsi="宋体" w:eastAsia="宋体" w:cs="宋体"/>
          <w:color w:val="auto"/>
          <w:sz w:val="24"/>
          <w:highlight w:val="none"/>
        </w:rPr>
      </w:pPr>
      <w:r>
        <w:rPr>
          <w:rFonts w:hint="eastAsia" w:ascii="宋体" w:hAnsi="宋体" w:eastAsia="宋体" w:cs="宋体"/>
          <w:color w:val="auto"/>
          <w:sz w:val="24"/>
          <w:highlight w:val="none"/>
        </w:rPr>
        <w:t>33.6  不同投标人的投标保证金从同一单位或者个人的账户转出。</w:t>
      </w:r>
    </w:p>
    <w:p>
      <w:pPr>
        <w:pStyle w:val="105"/>
        <w:spacing w:line="240" w:lineRule="auto"/>
        <w:ind w:firstLine="483"/>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34.验收：按照甲方验收要求完成验收流程。</w:t>
      </w: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105"/>
        <w:spacing w:line="240" w:lineRule="auto"/>
        <w:ind w:firstLine="483"/>
        <w:rPr>
          <w:rFonts w:hint="eastAsia" w:ascii="宋体" w:hAnsi="宋体" w:eastAsia="宋体" w:cs="宋体"/>
          <w:color w:val="auto"/>
          <w:sz w:val="24"/>
          <w:highlight w:val="none"/>
          <w:lang w:val="en-US" w:eastAsia="zh-CN"/>
        </w:rPr>
      </w:pPr>
    </w:p>
    <w:p>
      <w:pPr>
        <w:pStyle w:val="3"/>
        <w:keepNext w:val="0"/>
        <w:keepLines w:val="0"/>
        <w:adjustRightInd w:val="0"/>
        <w:snapToGrid w:val="0"/>
        <w:spacing w:before="120" w:after="120" w:line="360" w:lineRule="auto"/>
        <w:jc w:val="both"/>
        <w:rPr>
          <w:rFonts w:hint="eastAsia" w:ascii="宋体" w:hAnsi="宋体" w:eastAsia="宋体" w:cs="宋体"/>
          <w:b/>
          <w:bCs w:val="0"/>
          <w:color w:val="auto"/>
          <w:sz w:val="24"/>
          <w:szCs w:val="24"/>
          <w:highlight w:val="none"/>
        </w:rPr>
      </w:pPr>
      <w:bookmarkStart w:id="39" w:name="_Toc14852"/>
      <w:bookmarkStart w:id="40" w:name="_Toc179632627"/>
      <w:bookmarkStart w:id="41" w:name="_Toc7110"/>
      <w:bookmarkStart w:id="42" w:name="_Toc470"/>
      <w:bookmarkStart w:id="43" w:name="_Toc152045609"/>
      <w:bookmarkStart w:id="44" w:name="_Toc152042387"/>
      <w:bookmarkStart w:id="45" w:name="_Toc29020"/>
      <w:bookmarkStart w:id="46" w:name="_Toc144974577"/>
    </w:p>
    <w:p>
      <w:pPr>
        <w:rPr>
          <w:rFonts w:hint="eastAsia"/>
        </w:rPr>
      </w:pPr>
    </w:p>
    <w:p>
      <w:pPr>
        <w:rPr>
          <w:rFonts w:hint="eastAsia" w:ascii="宋体" w:hAnsi="宋体" w:eastAsia="宋体" w:cs="宋体"/>
          <w:b/>
          <w:bCs w:val="0"/>
          <w:color w:val="auto"/>
          <w:sz w:val="24"/>
          <w:szCs w:val="24"/>
          <w:highlight w:val="none"/>
        </w:rPr>
      </w:pPr>
    </w:p>
    <w:p>
      <w:pPr>
        <w:rPr>
          <w:rFonts w:hint="eastAsia" w:ascii="宋体" w:hAnsi="宋体" w:eastAsia="宋体" w:cs="宋体"/>
          <w:b/>
          <w:bCs w:val="0"/>
          <w:color w:val="auto"/>
          <w:sz w:val="24"/>
          <w:szCs w:val="24"/>
          <w:highlight w:val="none"/>
        </w:rPr>
      </w:pPr>
    </w:p>
    <w:p>
      <w:pPr>
        <w:pStyle w:val="18"/>
        <w:rPr>
          <w:rFonts w:hint="eastAsia" w:ascii="宋体" w:hAnsi="宋体" w:eastAsia="宋体" w:cs="宋体"/>
          <w:b/>
          <w:bCs w:val="0"/>
          <w:color w:val="auto"/>
          <w:sz w:val="24"/>
          <w:szCs w:val="24"/>
          <w:highlight w:val="none"/>
        </w:rPr>
      </w:pPr>
    </w:p>
    <w:p>
      <w:pPr>
        <w:rPr>
          <w:rFonts w:hint="eastAsia" w:ascii="宋体" w:hAnsi="宋体" w:eastAsia="宋体" w:cs="宋体"/>
          <w:b/>
          <w:bCs w:val="0"/>
          <w:color w:val="auto"/>
          <w:sz w:val="24"/>
          <w:szCs w:val="24"/>
          <w:highlight w:val="none"/>
        </w:rPr>
      </w:pPr>
    </w:p>
    <w:p>
      <w:pPr>
        <w:pStyle w:val="18"/>
        <w:rPr>
          <w:rFonts w:hint="eastAsia"/>
        </w:rPr>
      </w:pPr>
    </w:p>
    <w:p>
      <w:pPr>
        <w:rPr>
          <w:rFonts w:hint="eastAsia"/>
        </w:rPr>
      </w:pPr>
    </w:p>
    <w:p>
      <w:pPr>
        <w:pStyle w:val="18"/>
        <w:rPr>
          <w:rFonts w:hint="eastAsia"/>
        </w:rPr>
      </w:pPr>
    </w:p>
    <w:p>
      <w:pPr>
        <w:pStyle w:val="2"/>
        <w:rPr>
          <w:rFonts w:hint="eastAsia"/>
        </w:rPr>
      </w:pPr>
    </w:p>
    <w:bookmarkEnd w:id="39"/>
    <w:bookmarkEnd w:id="40"/>
    <w:bookmarkEnd w:id="41"/>
    <w:bookmarkEnd w:id="42"/>
    <w:bookmarkEnd w:id="43"/>
    <w:bookmarkEnd w:id="44"/>
    <w:bookmarkEnd w:id="45"/>
    <w:bookmarkEnd w:id="46"/>
    <w:p>
      <w:pPr>
        <w:pStyle w:val="3"/>
        <w:keepNext w:val="0"/>
        <w:keepLines w:val="0"/>
        <w:adjustRightInd w:val="0"/>
        <w:snapToGrid w:val="0"/>
        <w:spacing w:before="120" w:after="120" w:line="360" w:lineRule="auto"/>
        <w:rPr>
          <w:rFonts w:hint="default" w:ascii="宋体" w:hAnsi="宋体" w:eastAsia="宋体" w:cs="宋体"/>
          <w:color w:val="auto"/>
          <w:sz w:val="24"/>
          <w:szCs w:val="24"/>
          <w:highlight w:val="none"/>
          <w:lang w:val="en-US" w:eastAsia="zh-CN"/>
        </w:rPr>
      </w:pPr>
      <w:bookmarkStart w:id="47" w:name="_Toc152042554"/>
      <w:bookmarkStart w:id="48" w:name="_Toc4547"/>
      <w:bookmarkStart w:id="49" w:name="_Toc152045772"/>
      <w:bookmarkStart w:id="50" w:name="_Toc30045"/>
      <w:bookmarkStart w:id="51" w:name="_Toc27253"/>
      <w:bookmarkStart w:id="52" w:name="_Toc179632789"/>
      <w:bookmarkStart w:id="53" w:name="_Toc144974834"/>
      <w:bookmarkStart w:id="54" w:name="_Toc5648"/>
      <w:r>
        <w:rPr>
          <w:rFonts w:hint="eastAsia" w:ascii="宋体" w:hAnsi="宋体" w:eastAsia="宋体" w:cs="宋体"/>
          <w:b/>
          <w:bCs w:val="0"/>
          <w:color w:val="auto"/>
          <w:sz w:val="24"/>
          <w:szCs w:val="24"/>
          <w:highlight w:val="none"/>
        </w:rPr>
        <w:t>第三章 合同条款</w:t>
      </w:r>
      <w:bookmarkStart w:id="55" w:name="_Toc179632785"/>
      <w:bookmarkStart w:id="56" w:name="_Toc152045767"/>
      <w:bookmarkStart w:id="57" w:name="_Toc144974826"/>
      <w:bookmarkStart w:id="58" w:name="_Toc152042546"/>
    </w:p>
    <w:bookmarkEnd w:id="55"/>
    <w:bookmarkEnd w:id="56"/>
    <w:bookmarkEnd w:id="57"/>
    <w:bookmarkEnd w:id="58"/>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(此合同样本仅供参考,合同具体细则以成交双方协定为准)</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合同条款及合同格式</w:t>
      </w:r>
    </w:p>
    <w:p>
      <w:pPr>
        <w:pStyle w:val="92"/>
        <w:spacing w:line="360" w:lineRule="auto"/>
        <w:ind w:firstLine="482" w:firstLineChars="200"/>
        <w:jc w:val="both"/>
        <w:rPr>
          <w:rFonts w:hint="eastAsia" w:ascii="宋体" w:hAnsi="宋体" w:eastAsia="宋体" w:cs="宋体"/>
          <w:color w:val="auto"/>
          <w:szCs w:val="24"/>
          <w:highlight w:val="none"/>
        </w:rPr>
      </w:pP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供货协议</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注明：该协议仅供参考，不作为正式模板。</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采购方（甲方）              合同编号：                 ：                            </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供应方（乙方）：                                        ：                   </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签订地点：                           </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根据《中华人民共和国合同法》、《中华人民共和国产品质量法》等法律法规，经双方协商，本着诚实守信、平等互利的原则，就购买          （以下简称“产品”），签订如下合同条款。</w:t>
      </w:r>
    </w:p>
    <w:p>
      <w:pPr>
        <w:pStyle w:val="92"/>
        <w:spacing w:line="360" w:lineRule="auto"/>
        <w:ind w:firstLine="482" w:firstLineChars="200"/>
        <w:jc w:val="both"/>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一、中标</w:t>
      </w:r>
      <w:r>
        <w:rPr>
          <w:rFonts w:hint="eastAsia" w:ascii="宋体" w:hAnsi="宋体" w:eastAsia="宋体" w:cs="宋体"/>
          <w:color w:val="auto"/>
          <w:szCs w:val="24"/>
          <w:highlight w:val="none"/>
          <w:lang w:eastAsia="zh-CN"/>
        </w:rPr>
        <w:t>纺织品</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序号</w:t>
      </w:r>
      <w:r>
        <w:rPr>
          <w:rFonts w:hint="eastAsia" w:ascii="宋体" w:hAnsi="宋体" w:eastAsia="宋体" w:cs="宋体"/>
          <w:color w:val="auto"/>
          <w:szCs w:val="24"/>
          <w:highlight w:val="none"/>
        </w:rPr>
        <w:tab/>
      </w:r>
      <w:r>
        <w:rPr>
          <w:rFonts w:hint="eastAsia" w:ascii="宋体" w:hAnsi="宋体" w:eastAsia="宋体" w:cs="宋体"/>
          <w:color w:val="auto"/>
          <w:szCs w:val="24"/>
          <w:highlight w:val="none"/>
        </w:rPr>
        <w:t>产品名称</w:t>
      </w:r>
      <w:r>
        <w:rPr>
          <w:rFonts w:hint="eastAsia" w:ascii="宋体" w:hAnsi="宋体" w:eastAsia="宋体" w:cs="宋体"/>
          <w:color w:val="auto"/>
          <w:szCs w:val="24"/>
          <w:highlight w:val="none"/>
        </w:rPr>
        <w:tab/>
      </w:r>
      <w:r>
        <w:rPr>
          <w:rFonts w:hint="eastAsia" w:ascii="宋体" w:hAnsi="宋体" w:eastAsia="宋体" w:cs="宋体"/>
          <w:color w:val="auto"/>
          <w:szCs w:val="24"/>
          <w:highlight w:val="none"/>
        </w:rPr>
        <w:t>价格</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rPr>
        <w:tab/>
      </w:r>
      <w:r>
        <w:rPr>
          <w:rFonts w:hint="eastAsia" w:ascii="宋体" w:hAnsi="宋体" w:eastAsia="宋体" w:cs="宋体"/>
          <w:color w:val="auto"/>
          <w:szCs w:val="24"/>
          <w:highlight w:val="none"/>
        </w:rPr>
        <w:tab/>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1.贵公司在此次                      招标采购中中标，供应的范围为：                     （详见分配表）</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2.产品的最终数量以实际送货合格产品数量为准。 </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价格为包含产品价款、运输费、包装费、装卸费、税金等运送到采购商指定交付地点所发生的一切费用，乙方不得以任何理由做出不利于甲方的价格调整。</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4. 乙方必须对所供应的</w:t>
      </w:r>
      <w:r>
        <w:rPr>
          <w:rFonts w:hint="eastAsia" w:ascii="宋体" w:hAnsi="宋体" w:eastAsia="宋体" w:cs="宋体"/>
          <w:color w:val="auto"/>
          <w:szCs w:val="24"/>
          <w:highlight w:val="none"/>
          <w:lang w:eastAsia="zh-CN"/>
        </w:rPr>
        <w:t>产品</w:t>
      </w:r>
      <w:r>
        <w:rPr>
          <w:rFonts w:hint="eastAsia" w:ascii="宋体" w:hAnsi="宋体" w:eastAsia="宋体" w:cs="宋体"/>
          <w:color w:val="auto"/>
          <w:szCs w:val="24"/>
          <w:highlight w:val="none"/>
        </w:rPr>
        <w:t>具有一定的存储，大批量订货乙方应按照甲方采购人员通知数量分批次送货，合同约定范围内的产品按照合同约定时间交货。</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5. 招标</w:t>
      </w:r>
      <w:r>
        <w:rPr>
          <w:rFonts w:hint="eastAsia" w:ascii="宋体" w:hAnsi="宋体" w:eastAsia="宋体" w:cs="宋体"/>
          <w:color w:val="auto"/>
          <w:szCs w:val="24"/>
          <w:highlight w:val="none"/>
          <w:lang w:eastAsia="zh-CN"/>
        </w:rPr>
        <w:t>产品</w:t>
      </w:r>
      <w:r>
        <w:rPr>
          <w:rFonts w:hint="eastAsia" w:ascii="宋体" w:hAnsi="宋体" w:eastAsia="宋体" w:cs="宋体"/>
          <w:color w:val="auto"/>
          <w:szCs w:val="24"/>
          <w:highlight w:val="none"/>
        </w:rPr>
        <w:t>的配送以甲方每次向乙方下达的采购订单为准，乙方必须严格采购订单及要求，不得超计划供货，不按照要求供货。</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6.在签订本合同之前，乙方要按照招标文件要求向招标人提交履约保证金，并以转账方式向甲方指定的专户缴纳合同履约诚信保证金。双方终止合作关系后的3个月内甲方将保证金无息返还。</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二、交货方式、时间、地点</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1.乙方应该按照甲方的采购订单打印一式四份的送货清单，将产品按甲方指定的地点交付甲方。</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2.交货地点：甲方指定地点。</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3.乙方在供货期间，如不能按时供货，甲方有权在当地采购检验合格的</w:t>
      </w:r>
      <w:r>
        <w:rPr>
          <w:rFonts w:hint="eastAsia" w:ascii="宋体" w:hAnsi="宋体" w:eastAsia="宋体" w:cs="宋体"/>
          <w:color w:val="auto"/>
          <w:szCs w:val="24"/>
          <w:highlight w:val="none"/>
          <w:lang w:eastAsia="zh-CN"/>
        </w:rPr>
        <w:t>产品</w:t>
      </w:r>
      <w:r>
        <w:rPr>
          <w:rFonts w:hint="eastAsia" w:ascii="宋体" w:hAnsi="宋体" w:eastAsia="宋体" w:cs="宋体"/>
          <w:color w:val="auto"/>
          <w:szCs w:val="24"/>
          <w:highlight w:val="none"/>
        </w:rPr>
        <w:t>补给，费用均有乙方承担，对此违约责任乙方将承担甲方补给</w:t>
      </w:r>
      <w:r>
        <w:rPr>
          <w:rFonts w:hint="eastAsia" w:ascii="宋体" w:hAnsi="宋体" w:eastAsia="宋体" w:cs="宋体"/>
          <w:color w:val="auto"/>
          <w:szCs w:val="24"/>
          <w:highlight w:val="none"/>
          <w:lang w:eastAsia="zh-CN"/>
        </w:rPr>
        <w:t>产品</w:t>
      </w:r>
      <w:r>
        <w:rPr>
          <w:rFonts w:hint="eastAsia" w:ascii="宋体" w:hAnsi="宋体" w:eastAsia="宋体" w:cs="宋体"/>
          <w:color w:val="auto"/>
          <w:szCs w:val="24"/>
          <w:highlight w:val="none"/>
        </w:rPr>
        <w:t>五倍的罚款，如有多次供货不到位情况，甲方将终止乙方的合同，并不予退还违约金。</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三、质量、验收标准、质保期</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1.乙方严格遵守招标书中的承诺，严格制定原材料生产、采购和储存</w:t>
      </w:r>
      <w:r>
        <w:rPr>
          <w:rFonts w:hint="eastAsia" w:ascii="宋体" w:hAnsi="宋体" w:eastAsia="宋体" w:cs="宋体"/>
          <w:color w:val="auto"/>
          <w:szCs w:val="24"/>
          <w:highlight w:val="none"/>
          <w:lang w:val="en-US" w:eastAsia="zh-CN"/>
        </w:rPr>
        <w:t>相关</w:t>
      </w:r>
      <w:r>
        <w:rPr>
          <w:rFonts w:hint="eastAsia" w:ascii="宋体" w:hAnsi="宋体" w:eastAsia="宋体" w:cs="宋体"/>
          <w:color w:val="auto"/>
          <w:szCs w:val="24"/>
          <w:highlight w:val="none"/>
        </w:rPr>
        <w:t>安全事故应急预案等相关制度和预案，并在</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供应前提供给甲方。交付的产品质量应当符合国家标准的要求，并且应当符合相关部门标准等相关要求。配送的</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必须是投标书方案中承诺的</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，必须保质保量。</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2.如检验发现产品不符合标准的，甲方有权拒绝收货，且乙方应赔偿甲方因此而受到的直接和间接损失。</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3、甲方有权根据国家</w:t>
      </w:r>
      <w:r>
        <w:rPr>
          <w:rFonts w:hint="eastAsia" w:ascii="宋体" w:hAnsi="宋体" w:eastAsia="宋体" w:cs="宋体"/>
          <w:color w:val="auto"/>
          <w:szCs w:val="24"/>
          <w:highlight w:val="none"/>
          <w:lang w:val="en-US" w:eastAsia="zh-CN"/>
        </w:rPr>
        <w:t>纺织品</w:t>
      </w:r>
      <w:r>
        <w:rPr>
          <w:rFonts w:hint="eastAsia" w:ascii="宋体" w:hAnsi="宋体" w:eastAsia="宋体" w:cs="宋体"/>
          <w:color w:val="auto"/>
          <w:szCs w:val="24"/>
          <w:highlight w:val="none"/>
        </w:rPr>
        <w:t>标准有关规定，对乙方交付的产品进行验收。</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4.验收方法：质量按合同约定的标准验收；数量按照以甲方验收合格后的实际数量为准。</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四、运输及保险</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rPr>
        <w:t>.乙方物资在运到甲方指定地点之前的一切安全责任和所有费用由乙方承担。</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.乙方运输人员及配送人员必须统一着装、持有健康证。</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五、支付、发票的开具、入库手续的办理</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1.发票开取时间为：产品经甲方入库验收合格后，双方根据每月入库清单进行结算；甲方按照乙方上月发票入帐金额以支票、汇票、承兑汇票等方式支付乙方货款（质量诚信保证金除外）。 </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2.由甲方向乙方提供当月供货人数、品种、数量和送货地址。甲方指定专人（甲方）验收产品。</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3．乙方向甲方交付</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满一个月之后必须向甲方提供与</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合同标的物相符的发票。</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4．乙方送货后，应到甲方办理送检手续，检验无异议后于当日办理入库手续。</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5. 乙方应保证向甲方提供合同范围内的商品质量合格、价格合理。在合同期内市场价格发生变动时，乙方不得擅自以任何理由要求变更结算方式或变更供货数量，否则将被视为违约，甲方有权解除合同。</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六、违约责任</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1.因乙方产品质量原因所产生的一切由乙方承担；</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2.乙方若出现未在甲方规定的时间内供货或延期交货，供应</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不合格等现象，发现一次，甲方扣除乙方缴纳违约金的2%至10%。在履约期间，连续7天以上停止供应</w:t>
      </w:r>
      <w:r>
        <w:rPr>
          <w:rFonts w:hint="eastAsia" w:ascii="宋体" w:hAnsi="宋体" w:eastAsia="宋体" w:cs="宋体"/>
          <w:color w:val="auto"/>
          <w:szCs w:val="24"/>
          <w:highlight w:val="none"/>
          <w:lang w:val="en-US" w:eastAsia="zh-CN"/>
        </w:rPr>
        <w:t>物资</w:t>
      </w:r>
      <w:r>
        <w:rPr>
          <w:rFonts w:hint="eastAsia" w:ascii="宋体" w:hAnsi="宋体" w:eastAsia="宋体" w:cs="宋体"/>
          <w:color w:val="auto"/>
          <w:szCs w:val="24"/>
          <w:highlight w:val="none"/>
        </w:rPr>
        <w:t>的，依法没收乙方履约保证金，并终止合作。</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3.乙方提供产品有不合规格、质量或霉烂损坏等情况，甲方有权拒绝付款，因此所发生的一切费用损失，由乙方负责。</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4.乙方必须保证向甲方供应商品质量合格，一经发现所供应商品有假冒伪劣的，乙方必须赔偿甲方其所供假冒伪劣产品市值10倍的金额作为赔偿金，且甲方有权解除合作协议，并取消乙方供货的权利。</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5、乙方须根据甲方需求将</w:t>
      </w:r>
      <w:r>
        <w:rPr>
          <w:rFonts w:hint="eastAsia" w:ascii="宋体" w:hAnsi="宋体" w:eastAsia="宋体" w:cs="宋体"/>
          <w:color w:val="auto"/>
          <w:szCs w:val="24"/>
          <w:highlight w:val="none"/>
          <w:lang w:val="en-US" w:eastAsia="zh-CN"/>
        </w:rPr>
        <w:t>物资</w:t>
      </w:r>
      <w:r>
        <w:rPr>
          <w:rFonts w:hint="eastAsia" w:ascii="宋体" w:hAnsi="宋体" w:eastAsia="宋体" w:cs="宋体"/>
          <w:color w:val="auto"/>
          <w:szCs w:val="24"/>
          <w:highlight w:val="none"/>
        </w:rPr>
        <w:t>送至        ，若乙方未按时间将</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送到甲方指定地点，甲方有权在当地购买符合甲方标准的</w:t>
      </w:r>
      <w:r>
        <w:rPr>
          <w:rFonts w:hint="eastAsia" w:ascii="宋体" w:hAnsi="宋体" w:eastAsia="宋体" w:cs="宋体"/>
          <w:color w:val="auto"/>
          <w:szCs w:val="24"/>
          <w:highlight w:val="none"/>
          <w:lang w:val="en-US" w:eastAsia="zh-CN"/>
        </w:rPr>
        <w:t>产品</w:t>
      </w:r>
      <w:r>
        <w:rPr>
          <w:rFonts w:hint="eastAsia" w:ascii="宋体" w:hAnsi="宋体" w:eastAsia="宋体" w:cs="宋体"/>
          <w:color w:val="auto"/>
          <w:szCs w:val="24"/>
          <w:highlight w:val="none"/>
        </w:rPr>
        <w:t>并索要相关票据，购买过程中所产生的一切费用均由乙方承担，乙方承担当日应送物品价格的5倍罚款，送货</w:t>
      </w:r>
      <w:r>
        <w:rPr>
          <w:rFonts w:hint="eastAsia" w:ascii="宋体" w:hAnsi="宋体" w:eastAsia="宋体" w:cs="宋体"/>
          <w:color w:val="auto"/>
          <w:szCs w:val="24"/>
          <w:highlight w:val="none"/>
          <w:lang w:eastAsia="zh-CN"/>
        </w:rPr>
        <w:t>产品</w:t>
      </w:r>
      <w:r>
        <w:rPr>
          <w:rFonts w:hint="eastAsia" w:ascii="宋体" w:hAnsi="宋体" w:eastAsia="宋体" w:cs="宋体"/>
          <w:color w:val="auto"/>
          <w:szCs w:val="24"/>
          <w:highlight w:val="none"/>
        </w:rPr>
        <w:t>不符合标准、损坏，罚款2万元，累计超过3次将公司拉进供货黑名单。</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6、乙方在履行合同期间，如有因乙方产品质量原因所造成重大事故，根据不同情节，乙方将承担损害赔偿责任，依法依规追究负责人和当事人的法律责任。</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7、因乙方产品质量原因</w:t>
      </w:r>
      <w:r>
        <w:rPr>
          <w:rFonts w:hint="eastAsia" w:ascii="宋体" w:hAnsi="宋体" w:eastAsia="宋体" w:cs="宋体"/>
          <w:color w:val="auto"/>
          <w:szCs w:val="24"/>
          <w:highlight w:val="none"/>
          <w:lang w:val="en-US" w:eastAsia="zh-CN"/>
        </w:rPr>
        <w:t>造成</w:t>
      </w:r>
      <w:r>
        <w:rPr>
          <w:rFonts w:hint="eastAsia" w:ascii="宋体" w:hAnsi="宋体" w:eastAsia="宋体" w:cs="宋体"/>
          <w:color w:val="auto"/>
          <w:szCs w:val="24"/>
          <w:highlight w:val="none"/>
        </w:rPr>
        <w:t>的严重后果，乙方将赔偿经济上的损失，承担相应法律责任。</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8、其它违约责任按《中华人民共和国合同法》处理。</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七、合同的解除</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乙方有下列情形之一的，甲方有权解除合同：</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1.乙方不能按照与甲方约定的时间交付产品超过7日的，或者交付的产品是假冒伪劣的、有质量问题的。</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2.乙方交付的产品不符合本合同约定的质量标准的、不符合国家标准、相关部门标准的；</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3.条款约定的应由乙方承担的义务，乙方怠于履行的。</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4.其他损害甲方利益不能按时供货的，而甲方则可解除合同及其供货资格，并没收乙方交付的履约保证金。</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5.一方因不可抗力不能履行合同时，应当提前通知对方，并在合理期限内提供有关机构出具的证明，可以完全或部分免除该方当事人的责任。</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八、合同期限</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本合同有效期限自   年   月  日至    年   月   日。本合同于双方法定代表人或者授权代表签字并盖章后时生效。合同执行期间，如因故不能履行或需要修改，必须经双方同意，并互相换文或另订合同，方为有效。自该合同签订后，如甲方有特殊情况，由甲方通知供货商继续供货。</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九、争议的解决</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本合同在执行过程中发生纠纷，签订合同双方不能协商解决时，可向人民法院提出诉讼（或申请       仲裁机构仲裁解决）。</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九、附则 </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合同文本一式四份，双方各自保留两份。              </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双方有关供货合同的协商、会议纪要、招投标文书等书面协议或者文件视为本合同组成部分，与本合同具有同等法律效力。</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甲方（公章）：                乙方（公章）：</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法人签字（委托代理人）：        法人签字（委托代理人）：</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年   月   日                          年   月   日</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付款币种及方式</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1. 付款币种</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本次招标所述的项目资金均以人民币支付。</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2. 付款方式：</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合同签订与甲方协定。</w:t>
      </w:r>
    </w:p>
    <w:p>
      <w:pPr>
        <w:pStyle w:val="92"/>
        <w:spacing w:line="360" w:lineRule="auto"/>
        <w:ind w:firstLine="482"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备注：最终付款方式以和甲方单位签订合同为主。</w:t>
      </w:r>
    </w:p>
    <w:p>
      <w:pPr>
        <w:pStyle w:val="92"/>
        <w:spacing w:line="360" w:lineRule="auto"/>
        <w:ind w:firstLine="482" w:firstLineChars="200"/>
        <w:jc w:val="both"/>
        <w:rPr>
          <w:rFonts w:hint="eastAsia" w:ascii="宋体" w:hAnsi="宋体" w:eastAsia="宋体" w:cs="宋体"/>
          <w:color w:val="auto"/>
          <w:szCs w:val="24"/>
          <w:highlight w:val="none"/>
        </w:rPr>
      </w:pPr>
    </w:p>
    <w:p>
      <w:pPr>
        <w:pStyle w:val="92"/>
        <w:spacing w:line="360" w:lineRule="auto"/>
        <w:ind w:firstLine="482" w:firstLineChars="200"/>
        <w:jc w:val="both"/>
        <w:rPr>
          <w:rFonts w:hint="eastAsia" w:ascii="宋体" w:hAnsi="宋体" w:eastAsia="宋体" w:cs="宋体"/>
          <w:color w:val="auto"/>
          <w:szCs w:val="24"/>
          <w:highlight w:val="none"/>
        </w:rPr>
      </w:pPr>
    </w:p>
    <w:p>
      <w:pPr>
        <w:pStyle w:val="92"/>
        <w:spacing w:line="360" w:lineRule="auto"/>
        <w:ind w:firstLine="482" w:firstLineChars="200"/>
        <w:jc w:val="both"/>
        <w:rPr>
          <w:rFonts w:hint="eastAsia" w:ascii="宋体" w:hAnsi="宋体" w:eastAsia="宋体" w:cs="宋体"/>
          <w:color w:val="auto"/>
          <w:szCs w:val="24"/>
          <w:highlight w:val="none"/>
        </w:rPr>
      </w:pPr>
    </w:p>
    <w:p>
      <w:pPr>
        <w:pStyle w:val="92"/>
        <w:spacing w:line="360" w:lineRule="auto"/>
        <w:ind w:firstLine="482" w:firstLineChars="200"/>
        <w:jc w:val="both"/>
        <w:rPr>
          <w:rFonts w:hint="eastAsia" w:ascii="宋体" w:hAnsi="宋体" w:eastAsia="宋体" w:cs="宋体"/>
          <w:color w:val="auto"/>
          <w:szCs w:val="24"/>
          <w:highlight w:val="none"/>
        </w:rPr>
      </w:pPr>
    </w:p>
    <w:p>
      <w:pPr>
        <w:pStyle w:val="92"/>
        <w:spacing w:line="360" w:lineRule="auto"/>
        <w:ind w:firstLine="482" w:firstLineChars="200"/>
        <w:jc w:val="both"/>
        <w:rPr>
          <w:rFonts w:hint="eastAsia" w:ascii="宋体" w:hAnsi="宋体" w:eastAsia="宋体" w:cs="宋体"/>
          <w:color w:val="auto"/>
          <w:szCs w:val="24"/>
          <w:highlight w:val="none"/>
        </w:rPr>
      </w:pPr>
    </w:p>
    <w:p>
      <w:pPr>
        <w:pStyle w:val="92"/>
        <w:spacing w:line="360" w:lineRule="auto"/>
        <w:ind w:firstLine="482" w:firstLineChars="200"/>
        <w:jc w:val="both"/>
        <w:rPr>
          <w:rFonts w:hint="eastAsia" w:ascii="宋体" w:hAnsi="宋体" w:eastAsia="宋体" w:cs="宋体"/>
          <w:color w:val="auto"/>
          <w:szCs w:val="24"/>
          <w:highlight w:val="none"/>
        </w:rPr>
      </w:pPr>
    </w:p>
    <w:p>
      <w:pPr>
        <w:pStyle w:val="92"/>
        <w:spacing w:line="360" w:lineRule="auto"/>
        <w:jc w:val="both"/>
        <w:rPr>
          <w:rFonts w:hint="eastAsia" w:ascii="宋体" w:hAnsi="宋体" w:eastAsia="宋体" w:cs="宋体"/>
          <w:color w:val="auto"/>
          <w:szCs w:val="24"/>
          <w:highlight w:val="none"/>
        </w:rPr>
      </w:pPr>
    </w:p>
    <w:p>
      <w:pPr>
        <w:rPr>
          <w:rFonts w:hint="eastAsia"/>
          <w:color w:val="auto"/>
          <w:highlight w:val="none"/>
        </w:rPr>
      </w:pPr>
    </w:p>
    <w:p>
      <w:pPr>
        <w:pStyle w:val="2"/>
        <w:rPr>
          <w:rFonts w:hint="eastAsia"/>
        </w:rPr>
      </w:pPr>
    </w:p>
    <w:p>
      <w:pPr>
        <w:pStyle w:val="3"/>
        <w:keepNext w:val="0"/>
        <w:keepLines w:val="0"/>
        <w:widowControl w:val="0"/>
        <w:numPr>
          <w:ilvl w:val="0"/>
          <w:numId w:val="0"/>
        </w:numPr>
        <w:adjustRightInd w:val="0"/>
        <w:snapToGrid w:val="0"/>
        <w:spacing w:before="120" w:after="120" w:line="360" w:lineRule="auto"/>
        <w:jc w:val="center"/>
        <w:outlineLvl w:val="0"/>
        <w:rPr>
          <w:rFonts w:hint="eastAsia" w:ascii="宋体" w:hAnsi="宋体" w:eastAsia="宋体" w:cs="宋体"/>
          <w:b/>
          <w:bCs/>
          <w:color w:val="auto"/>
          <w:sz w:val="24"/>
          <w:szCs w:val="24"/>
          <w:highlight w:val="none"/>
        </w:rPr>
      </w:pPr>
    </w:p>
    <w:p>
      <w:pPr>
        <w:pStyle w:val="3"/>
        <w:keepNext w:val="0"/>
        <w:keepLines w:val="0"/>
        <w:numPr>
          <w:ilvl w:val="0"/>
          <w:numId w:val="2"/>
        </w:numPr>
        <w:adjustRightInd w:val="0"/>
        <w:snapToGrid w:val="0"/>
        <w:spacing w:before="120" w:after="120" w:line="360" w:lineRule="auto"/>
        <w:jc w:val="center"/>
        <w:rPr>
          <w:rFonts w:hint="eastAsia" w:eastAsia="宋体"/>
          <w:lang w:eastAsia="zh-CN"/>
        </w:rPr>
      </w:pPr>
      <w:r>
        <w:rPr>
          <w:rFonts w:hint="eastAsia" w:ascii="宋体" w:hAnsi="宋体" w:eastAsia="宋体" w:cs="宋体"/>
          <w:b/>
          <w:bCs/>
          <w:color w:val="auto"/>
          <w:sz w:val="24"/>
          <w:szCs w:val="24"/>
          <w:highlight w:val="none"/>
        </w:rPr>
        <w:t xml:space="preserve"> </w:t>
      </w:r>
      <w:r>
        <w:rPr>
          <w:rFonts w:hint="eastAsia" w:ascii="宋体" w:hAnsi="宋体" w:eastAsia="宋体" w:cs="宋体"/>
          <w:bCs w:val="0"/>
          <w:color w:val="auto"/>
          <w:kern w:val="2"/>
          <w:sz w:val="24"/>
          <w:szCs w:val="24"/>
          <w:highlight w:val="none"/>
          <w:lang w:val="en-US" w:eastAsia="zh-CN" w:bidi="ar-SA"/>
        </w:rPr>
        <w:t>采购需求</w:t>
      </w:r>
    </w:p>
    <w:p>
      <w:pPr>
        <w:widowControl/>
        <w:spacing w:line="480" w:lineRule="exact"/>
        <w:ind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阿瓦提县农用地范围（耕地、果园、林地等）进行航飞测量，为此次农用地清理整治提供全面、完整、准确、精准，且具有法定依据的综合数据，后期还需绘制宗地图、建立数据库，搭建动态监管平台。此次开展农用地清理整治航飞测量面积约320万亩，最终以实际工作量为准。</w:t>
      </w:r>
    </w:p>
    <w:p>
      <w:pPr>
        <w:widowControl/>
        <w:spacing w:line="480" w:lineRule="exact"/>
        <w:ind w:firstLine="482" w:firstLineChars="200"/>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【说明】：</w:t>
      </w:r>
    </w:p>
    <w:p>
      <w:pPr>
        <w:widowControl/>
        <w:spacing w:line="480" w:lineRule="exact"/>
        <w:ind w:firstLine="482" w:firstLineChars="200"/>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rPr>
        <w:t>1、投标商所报价格包含货物、税金、运输</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安装</w:t>
      </w:r>
      <w:r>
        <w:rPr>
          <w:rFonts w:hint="default" w:ascii="宋体" w:hAnsi="宋体" w:eastAsia="宋体" w:cs="宋体"/>
          <w:color w:val="auto"/>
          <w:sz w:val="24"/>
          <w:szCs w:val="24"/>
          <w:highlight w:val="none"/>
        </w:rPr>
        <w:t>等所有相关费用；货物供应至采购人指定地点。</w:t>
      </w:r>
    </w:p>
    <w:p>
      <w:pPr>
        <w:widowControl/>
        <w:spacing w:line="480" w:lineRule="exact"/>
        <w:ind w:firstLine="482"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default" w:ascii="宋体" w:hAnsi="宋体" w:eastAsia="宋体" w:cs="宋体"/>
          <w:color w:val="auto"/>
          <w:sz w:val="24"/>
          <w:szCs w:val="24"/>
          <w:highlight w:val="none"/>
          <w:lang w:val="en-US" w:eastAsia="zh-CN"/>
        </w:rPr>
        <w:t>、</w:t>
      </w:r>
      <w:r>
        <w:rPr>
          <w:rFonts w:hint="default" w:ascii="宋体" w:hAnsi="宋体" w:eastAsia="宋体" w:cs="宋体"/>
          <w:color w:val="auto"/>
          <w:sz w:val="24"/>
          <w:szCs w:val="24"/>
          <w:highlight w:val="none"/>
        </w:rPr>
        <w:t>不符合以规定的投标人，其投标无效</w:t>
      </w:r>
      <w:r>
        <w:rPr>
          <w:rFonts w:hint="default" w:ascii="宋体" w:hAnsi="宋体" w:eastAsia="宋体" w:cs="宋体"/>
          <w:color w:val="auto"/>
          <w:sz w:val="24"/>
          <w:szCs w:val="24"/>
          <w:highlight w:val="none"/>
          <w:lang w:eastAsia="zh-CN"/>
        </w:rPr>
        <w:t>。</w:t>
      </w:r>
    </w:p>
    <w:p>
      <w:pPr>
        <w:pStyle w:val="47"/>
        <w:rPr>
          <w:rFonts w:hint="eastAsia" w:ascii="宋体" w:hAnsi="宋体" w:cs="宋体"/>
          <w:b/>
          <w:bCs/>
          <w:color w:val="auto"/>
          <w:kern w:val="0"/>
          <w:sz w:val="24"/>
          <w:highlight w:val="none"/>
          <w:lang w:eastAsia="zh-CN"/>
        </w:rPr>
      </w:pPr>
    </w:p>
    <w:p>
      <w:pPr>
        <w:pStyle w:val="18"/>
        <w:rPr>
          <w:rFonts w:hint="eastAsia" w:ascii="宋体" w:hAnsi="宋体" w:cs="宋体"/>
          <w:b/>
          <w:bCs/>
          <w:color w:val="auto"/>
          <w:kern w:val="0"/>
          <w:sz w:val="24"/>
          <w:highlight w:val="none"/>
          <w:lang w:eastAsia="zh-CN"/>
        </w:rPr>
      </w:pPr>
    </w:p>
    <w:p>
      <w:pPr>
        <w:pStyle w:val="47"/>
        <w:rPr>
          <w:rFonts w:hint="eastAsia" w:ascii="宋体" w:hAnsi="宋体" w:cs="宋体"/>
          <w:b/>
          <w:bCs/>
          <w:color w:val="auto"/>
          <w:kern w:val="0"/>
          <w:sz w:val="24"/>
          <w:highlight w:val="none"/>
          <w:lang w:eastAsia="zh-CN"/>
        </w:rPr>
      </w:pPr>
    </w:p>
    <w:p>
      <w:pPr>
        <w:rPr>
          <w:rFonts w:hint="eastAsia" w:ascii="宋体" w:hAnsi="宋体" w:cs="宋体"/>
          <w:b/>
          <w:bCs/>
          <w:color w:val="auto"/>
          <w:kern w:val="0"/>
          <w:sz w:val="24"/>
          <w:highlight w:val="none"/>
          <w:lang w:eastAsia="zh-CN"/>
        </w:rPr>
      </w:pPr>
    </w:p>
    <w:p>
      <w:pPr>
        <w:pStyle w:val="18"/>
        <w:rPr>
          <w:rFonts w:hint="eastAsia"/>
          <w:color w:val="auto"/>
          <w:highlight w:val="none"/>
        </w:rPr>
        <w:sectPr>
          <w:footerReference r:id="rId6" w:type="first"/>
          <w:footerReference r:id="rId5" w:type="default"/>
          <w:pgSz w:w="11849" w:h="16781"/>
          <w:pgMar w:top="1440" w:right="1080" w:bottom="1440" w:left="1080" w:header="851" w:footer="850" w:gutter="0"/>
          <w:pgBorders>
            <w:top w:val="none" w:sz="0" w:space="0"/>
            <w:left w:val="none" w:sz="0" w:space="0"/>
            <w:bottom w:val="none" w:sz="0" w:space="0"/>
            <w:right w:val="none" w:sz="0" w:space="0"/>
          </w:pgBorders>
          <w:pgNumType w:fmt="decimal"/>
          <w:cols w:space="720" w:num="1"/>
          <w:formProt w:val="1"/>
          <w:titlePg/>
          <w:docGrid w:type="linesAndChars" w:linePitch="320" w:charSpace="269"/>
        </w:sectPr>
      </w:pPr>
    </w:p>
    <w:bookmarkEnd w:id="47"/>
    <w:bookmarkEnd w:id="48"/>
    <w:bookmarkEnd w:id="49"/>
    <w:bookmarkEnd w:id="50"/>
    <w:bookmarkEnd w:id="51"/>
    <w:bookmarkEnd w:id="52"/>
    <w:bookmarkEnd w:id="53"/>
    <w:bookmarkEnd w:id="54"/>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rPr>
      </w:pPr>
      <w:bookmarkStart w:id="59" w:name="_Toc5416"/>
      <w:bookmarkStart w:id="60" w:name="_Toc179632806"/>
      <w:bookmarkStart w:id="61" w:name="_Toc31265"/>
      <w:bookmarkStart w:id="62" w:name="_Toc16742"/>
      <w:bookmarkStart w:id="63" w:name="_Toc3191"/>
      <w:r>
        <w:rPr>
          <w:rFonts w:hint="eastAsia" w:ascii="宋体" w:hAnsi="宋体" w:cs="宋体"/>
          <w:b/>
          <w:bCs/>
          <w:color w:val="auto"/>
          <w:sz w:val="24"/>
          <w:highlight w:val="none"/>
        </w:rPr>
        <w:t xml:space="preserve">第五章 </w:t>
      </w:r>
      <w:r>
        <w:rPr>
          <w:rFonts w:hint="eastAsia" w:ascii="宋体" w:hAnsi="宋体" w:cs="宋体"/>
          <w:b/>
          <w:bCs/>
          <w:color w:val="auto"/>
          <w:sz w:val="24"/>
          <w:highlight w:val="none"/>
          <w:lang w:eastAsia="zh-CN"/>
        </w:rPr>
        <w:t>投标文件</w:t>
      </w:r>
      <w:r>
        <w:rPr>
          <w:rFonts w:hint="eastAsia" w:ascii="宋体" w:hAnsi="宋体" w:cs="宋体"/>
          <w:b/>
          <w:bCs/>
          <w:color w:val="auto"/>
          <w:sz w:val="24"/>
          <w:highlight w:val="none"/>
        </w:rPr>
        <w:t>格式</w:t>
      </w:r>
      <w:bookmarkEnd w:id="59"/>
      <w:bookmarkEnd w:id="60"/>
      <w:bookmarkEnd w:id="61"/>
      <w:bookmarkEnd w:id="62"/>
      <w:bookmarkEnd w:id="63"/>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ind w:firstLine="482" w:firstLineChars="200"/>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（项目名称）</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  标  文  件</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adjustRightInd w:val="0"/>
        <w:snapToGrid w:val="0"/>
        <w:spacing w:line="360" w:lineRule="auto"/>
        <w:jc w:val="center"/>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w:t>
      </w:r>
      <w:r>
        <w:rPr>
          <w:rFonts w:hint="eastAsia" w:ascii="宋体" w:hAnsi="宋体" w:cs="宋体"/>
          <w:color w:val="auto"/>
          <w:sz w:val="24"/>
          <w:highlight w:val="none"/>
          <w:lang w:eastAsia="zh-CN"/>
        </w:rPr>
        <w:t>字或盖</w:t>
      </w:r>
      <w:r>
        <w:rPr>
          <w:rFonts w:hint="eastAsia" w:ascii="宋体" w:hAnsi="宋体" w:cs="宋体"/>
          <w:color w:val="auto"/>
          <w:sz w:val="24"/>
          <w:highlight w:val="none"/>
        </w:rPr>
        <w:t>章）</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目</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录</w:t>
      </w:r>
    </w:p>
    <w:p>
      <w:pPr>
        <w:adjustRightInd w:val="0"/>
        <w:spacing w:line="360" w:lineRule="auto"/>
        <w:rPr>
          <w:rFonts w:hint="eastAsia" w:ascii="宋体" w:hAnsi="宋体" w:cs="宋体"/>
          <w:b w:val="0"/>
          <w:bCs/>
          <w:color w:val="auto"/>
          <w:sz w:val="24"/>
          <w:highlight w:val="none"/>
        </w:rPr>
      </w:pPr>
    </w:p>
    <w:p>
      <w:pPr>
        <w:spacing w:line="360" w:lineRule="auto"/>
        <w:ind w:firstLine="4217" w:firstLineChars="1750"/>
        <w:jc w:val="both"/>
        <w:rPr>
          <w:rFonts w:hint="eastAsia" w:ascii="宋体" w:hAnsi="宋体" w:cs="宋体"/>
          <w:color w:val="auto"/>
          <w:sz w:val="24"/>
          <w:highlight w:val="none"/>
        </w:rPr>
      </w:pPr>
      <w:r>
        <w:rPr>
          <w:rFonts w:hint="eastAsia" w:ascii="宋体" w:hAnsi="宋体" w:cs="宋体"/>
          <w:color w:val="auto"/>
          <w:sz w:val="24"/>
          <w:highlight w:val="none"/>
          <w:lang w:eastAsia="zh-CN"/>
        </w:rPr>
        <w:t>格式自拟</w:t>
      </w:r>
      <w:r>
        <w:rPr>
          <w:rFonts w:hint="eastAsia" w:ascii="宋体" w:hAnsi="宋体" w:cs="宋体"/>
          <w:color w:val="auto"/>
          <w:sz w:val="24"/>
          <w:highlight w:val="none"/>
        </w:rPr>
        <w:br w:type="page"/>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（一）</w:t>
      </w:r>
      <w:r>
        <w:rPr>
          <w:rFonts w:hint="eastAsia" w:ascii="宋体" w:hAnsi="宋体" w:cs="宋体"/>
          <w:color w:val="auto"/>
          <w:sz w:val="24"/>
          <w:highlight w:val="none"/>
          <w:lang w:eastAsia="zh-CN"/>
        </w:rPr>
        <w:t>、</w:t>
      </w:r>
      <w:r>
        <w:rPr>
          <w:rFonts w:hint="eastAsia" w:ascii="宋体" w:hAnsi="宋体" w:cs="宋体"/>
          <w:color w:val="auto"/>
          <w:sz w:val="24"/>
          <w:highlight w:val="none"/>
        </w:rPr>
        <w:t>投 标 函</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我们收到你们</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项目名称</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，经认真研究，我们决定参加投标。</w:t>
      </w:r>
    </w:p>
    <w:p>
      <w:pPr>
        <w:spacing w:line="360" w:lineRule="auto"/>
        <w:ind w:firstLine="567"/>
        <w:jc w:val="left"/>
        <w:rPr>
          <w:rFonts w:hint="eastAsia" w:ascii="宋体" w:hAnsi="宋体" w:cs="宋体"/>
          <w:color w:val="auto"/>
          <w:sz w:val="24"/>
          <w:highlight w:val="none"/>
        </w:rPr>
      </w:pPr>
      <w:r>
        <w:rPr>
          <w:rFonts w:hint="eastAsia" w:ascii="宋体" w:hAnsi="宋体" w:cs="宋体"/>
          <w:color w:val="auto"/>
          <w:sz w:val="24"/>
          <w:highlight w:val="none"/>
        </w:rPr>
        <w:t>⒈按照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中的一切要求，提供招标</w:t>
      </w:r>
      <w:r>
        <w:rPr>
          <w:rFonts w:hint="eastAsia" w:ascii="宋体" w:hAnsi="宋体" w:cs="宋体"/>
          <w:color w:val="auto"/>
          <w:sz w:val="24"/>
          <w:highlight w:val="none"/>
          <w:lang w:eastAsia="zh-CN"/>
        </w:rPr>
        <w:t>货物</w:t>
      </w:r>
      <w:r>
        <w:rPr>
          <w:rFonts w:hint="eastAsia" w:ascii="宋体" w:hAnsi="宋体" w:cs="宋体"/>
          <w:color w:val="auto"/>
          <w:sz w:val="24"/>
          <w:highlight w:val="none"/>
          <w:lang w:val="en-US" w:eastAsia="zh-CN"/>
        </w:rPr>
        <w:t>及其服务</w:t>
      </w:r>
      <w:r>
        <w:rPr>
          <w:rFonts w:hint="eastAsia" w:ascii="宋体" w:hAnsi="宋体" w:cs="宋体"/>
          <w:color w:val="auto"/>
          <w:sz w:val="24"/>
          <w:highlight w:val="none"/>
        </w:rPr>
        <w:t>投标总价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元（用阿拉伯数字书写）人民币，明细见投标产品名称数量报价表。</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⒉如果我们的投标书被接受，我们将履行</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中规定的每一项要求，按期、按质、按量完成交货。</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⒊我们同意按</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的规定，本投标书的有效期为开标后</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天。</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⒋我们愿意提供采购人在</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中要求的所有资料。</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⒌我们认为你们有选择或拒绝任何投标者中标的权力。我们理解，最低报价不是中标的唯一条件。</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⒍我们愿按合同法履行自己的全部责任。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⒎我方愿意遵守国家有关规定及</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中规定的收费标准，承付中标服务费。</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⒏该项投标在开标后的全过程中保持有效，不作任何更改和变动。</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⒐综合说明：</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（1）材料的详细技术参数、技术条件、技术标准、拟达到的质量标准和保险期限。</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项目实施</w:t>
      </w:r>
      <w:r>
        <w:rPr>
          <w:rFonts w:hint="eastAsia" w:ascii="宋体" w:hAnsi="宋体" w:cs="宋体"/>
          <w:color w:val="auto"/>
          <w:sz w:val="24"/>
          <w:highlight w:val="none"/>
        </w:rPr>
        <w:t>计划、组织机构及人员安排。</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（3）技术服务。</w:t>
      </w:r>
    </w:p>
    <w:p>
      <w:pPr>
        <w:spacing w:line="360" w:lineRule="auto"/>
        <w:ind w:firstLine="567"/>
        <w:outlineLvl w:val="2"/>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）要求项目单位提供的配合。</w:t>
      </w:r>
    </w:p>
    <w:p>
      <w:pPr>
        <w:spacing w:line="360" w:lineRule="auto"/>
        <w:ind w:firstLine="567"/>
        <w:outlineLvl w:val="2"/>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）对</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内容有不同意见的偏离说明</w:t>
      </w:r>
      <w:r>
        <w:rPr>
          <w:rFonts w:hint="eastAsia" w:ascii="宋体" w:hAnsi="宋体" w:cs="宋体"/>
          <w:color w:val="auto"/>
          <w:sz w:val="24"/>
          <w:highlight w:val="none"/>
          <w:lang w:eastAsia="zh-CN"/>
        </w:rPr>
        <w:t>。</w:t>
      </w:r>
    </w:p>
    <w:p>
      <w:pPr>
        <w:spacing w:line="360" w:lineRule="auto"/>
        <w:ind w:firstLine="567"/>
        <w:outlineLvl w:val="2"/>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）其它。</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.所有有关本标书的</w:t>
      </w:r>
      <w:r>
        <w:rPr>
          <w:rFonts w:hint="eastAsia" w:ascii="宋体" w:hAnsi="宋体" w:cs="宋体"/>
          <w:color w:val="auto"/>
          <w:sz w:val="24"/>
          <w:highlight w:val="none"/>
          <w:lang w:val="en-US" w:eastAsia="zh-CN"/>
        </w:rPr>
        <w:t>电</w:t>
      </w:r>
      <w:r>
        <w:rPr>
          <w:rFonts w:hint="eastAsia" w:ascii="宋体" w:hAnsi="宋体" w:cs="宋体"/>
          <w:color w:val="auto"/>
          <w:sz w:val="24"/>
          <w:highlight w:val="none"/>
        </w:rPr>
        <w:t>，请按下地址联系：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单       位：</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地       址：</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电       话：</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邮 政 编 码：</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联  系  人：</w:t>
      </w:r>
    </w:p>
    <w:p>
      <w:pPr>
        <w:spacing w:line="360" w:lineRule="auto"/>
        <w:ind w:firstLine="567"/>
        <w:rPr>
          <w:rFonts w:hint="eastAsia" w:ascii="宋体" w:hAnsi="宋体" w:cs="宋体"/>
          <w:color w:val="auto"/>
          <w:sz w:val="24"/>
          <w:highlight w:val="none"/>
        </w:rPr>
      </w:pPr>
    </w:p>
    <w:p>
      <w:pPr>
        <w:spacing w:line="360" w:lineRule="auto"/>
        <w:ind w:firstLine="432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（公章）</w:t>
      </w:r>
    </w:p>
    <w:p>
      <w:pPr>
        <w:spacing w:line="360" w:lineRule="auto"/>
        <w:ind w:firstLine="2651" w:firstLineChars="1100"/>
        <w:jc w:val="left"/>
        <w:rPr>
          <w:rFonts w:hint="eastAsia" w:ascii="宋体" w:hAnsi="宋体" w:cs="宋体"/>
          <w:color w:val="auto"/>
          <w:sz w:val="24"/>
          <w:highlight w:val="none"/>
        </w:rPr>
      </w:pPr>
      <w:r>
        <w:rPr>
          <w:rFonts w:hint="eastAsia" w:ascii="宋体" w:hAnsi="宋体" w:cs="宋体"/>
          <w:color w:val="auto"/>
          <w:sz w:val="24"/>
          <w:highlight w:val="none"/>
        </w:rPr>
        <w:t xml:space="preserve">法定代表人或其委托代理人：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w:t>
      </w:r>
      <w:r>
        <w:rPr>
          <w:rFonts w:hint="eastAsia" w:ascii="宋体" w:hAnsi="宋体" w:cs="宋体"/>
          <w:color w:val="auto"/>
          <w:sz w:val="24"/>
          <w:highlight w:val="none"/>
          <w:lang w:eastAsia="zh-CN"/>
        </w:rPr>
        <w:t>字或盖</w:t>
      </w:r>
      <w:r>
        <w:rPr>
          <w:rFonts w:hint="eastAsia" w:ascii="宋体" w:hAnsi="宋体" w:cs="宋体"/>
          <w:color w:val="auto"/>
          <w:sz w:val="24"/>
          <w:highlight w:val="none"/>
        </w:rPr>
        <w:t>章）</w:t>
      </w:r>
    </w:p>
    <w:p>
      <w:pPr>
        <w:spacing w:line="360" w:lineRule="auto"/>
        <w:jc w:val="right"/>
        <w:rPr>
          <w:rFonts w:hint="eastAsia" w:ascii="宋体" w:hAnsi="宋体" w:cs="宋体"/>
          <w:bCs/>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360" w:lineRule="auto"/>
        <w:jc w:val="center"/>
        <w:rPr>
          <w:rFonts w:hint="eastAsia" w:ascii="宋体" w:hAnsi="宋体" w:cs="宋体"/>
          <w:bCs/>
          <w:color w:val="auto"/>
          <w:sz w:val="24"/>
          <w:highlight w:val="none"/>
        </w:rPr>
      </w:pPr>
    </w:p>
    <w:p>
      <w:pPr>
        <w:spacing w:line="360" w:lineRule="auto"/>
        <w:jc w:val="center"/>
        <w:rPr>
          <w:rFonts w:hint="eastAsia" w:ascii="宋体" w:hAnsi="宋体" w:cs="宋体"/>
          <w:bCs/>
          <w:color w:val="auto"/>
          <w:sz w:val="24"/>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pStyle w:val="86"/>
        <w:rPr>
          <w:rFonts w:hint="eastAsia" w:hAnsi="宋体"/>
          <w:bCs/>
          <w:color w:val="auto"/>
          <w:highlight w:val="none"/>
        </w:rPr>
      </w:pPr>
    </w:p>
    <w:p>
      <w:pPr>
        <w:spacing w:line="360" w:lineRule="auto"/>
        <w:jc w:val="center"/>
        <w:outlineLvl w:val="1"/>
        <w:rPr>
          <w:rFonts w:hint="eastAsia" w:ascii="宋体" w:hAnsi="宋体" w:cs="宋体"/>
          <w:b/>
          <w:color w:val="auto"/>
          <w:sz w:val="24"/>
          <w:highlight w:val="none"/>
        </w:rPr>
      </w:pPr>
      <w:r>
        <w:rPr>
          <w:rFonts w:hint="eastAsia" w:ascii="宋体" w:hAnsi="宋体" w:cs="宋体"/>
          <w:b/>
          <w:color w:val="auto"/>
          <w:sz w:val="24"/>
          <w:highlight w:val="none"/>
        </w:rPr>
        <w:t>（二）、法定代表人身份证明</w:t>
      </w:r>
    </w:p>
    <w:p>
      <w:pPr>
        <w:spacing w:line="360" w:lineRule="auto"/>
        <w:ind w:firstLine="482"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ab/>
      </w:r>
      <w:r>
        <w:rPr>
          <w:rFonts w:hint="eastAsia" w:ascii="宋体" w:hAnsi="宋体" w:cs="宋体"/>
          <w:color w:val="auto"/>
          <w:sz w:val="24"/>
          <w:highlight w:val="none"/>
          <w:u w:val="single"/>
          <w:lang w:val="en-US" w:eastAsia="zh-CN"/>
        </w:rPr>
        <w:t xml:space="preserve"> </w:t>
      </w:r>
    </w:p>
    <w:p>
      <w:pPr>
        <w:spacing w:line="360" w:lineRule="auto"/>
        <w:ind w:firstLine="482" w:firstLineChars="200"/>
        <w:rPr>
          <w:rFonts w:hint="eastAsia" w:ascii="宋体" w:hAnsi="宋体" w:eastAsia="宋体" w:cs="宋体"/>
          <w:color w:val="auto"/>
          <w:sz w:val="24"/>
          <w:highlight w:val="none"/>
          <w:u w:val="single"/>
          <w:lang w:val="en-US" w:eastAsia="zh-CN"/>
        </w:rPr>
      </w:pPr>
      <w:r>
        <w:rPr>
          <w:rFonts w:hint="eastAsia" w:ascii="宋体" w:hAnsi="宋体" w:cs="宋体"/>
          <w:color w:val="auto"/>
          <w:sz w:val="24"/>
          <w:highlight w:val="none"/>
        </w:rPr>
        <w:t>单位性质：</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ab/>
      </w:r>
    </w:p>
    <w:p>
      <w:pPr>
        <w:spacing w:line="360" w:lineRule="auto"/>
        <w:ind w:firstLine="482"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     址：</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ab/>
      </w:r>
      <w:r>
        <w:rPr>
          <w:rFonts w:hint="eastAsia" w:ascii="宋体" w:hAnsi="宋体" w:cs="宋体"/>
          <w:color w:val="auto"/>
          <w:sz w:val="24"/>
          <w:highlight w:val="none"/>
          <w:u w:val="single"/>
          <w:lang w:val="en-US" w:eastAsia="zh-CN"/>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成立时间：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日</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经营期限：</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val="en-US" w:eastAsia="zh-CN"/>
        </w:rPr>
        <w:tab/>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ab/>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年    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 xml:space="preserve"> </w:t>
      </w:r>
      <w:r>
        <w:rPr>
          <w:rFonts w:hint="eastAsia" w:ascii="宋体" w:hAnsi="宋体" w:cs="宋体"/>
          <w:color w:val="auto"/>
          <w:sz w:val="24"/>
          <w:highlight w:val="none"/>
        </w:rPr>
        <w:t>职务：</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ab/>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（投标人名称）的法定代表人。</w:t>
      </w:r>
    </w:p>
    <w:p>
      <w:pPr>
        <w:spacing w:line="360" w:lineRule="auto"/>
        <w:ind w:firstLine="964" w:firstLineChars="400"/>
        <w:rPr>
          <w:rFonts w:hint="eastAsia" w:ascii="宋体" w:hAnsi="宋体" w:cs="宋体"/>
          <w:color w:val="auto"/>
          <w:sz w:val="24"/>
          <w:highlight w:val="none"/>
        </w:rPr>
      </w:pPr>
      <w:r>
        <w:rPr>
          <w:rFonts w:hint="eastAsia" w:ascii="宋体" w:hAnsi="宋体" w:cs="宋体"/>
          <w:color w:val="auto"/>
          <w:sz w:val="24"/>
          <w:highlight w:val="none"/>
        </w:rPr>
        <w:t>特此证明。</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注：后附法定代表人身份证复印件</w:t>
      </w: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w:t>
      </w:r>
      <w:r>
        <w:rPr>
          <w:rFonts w:hint="eastAsia" w:ascii="宋体" w:hAnsi="宋体" w:cs="宋体"/>
          <w:color w:val="auto"/>
          <w:sz w:val="24"/>
          <w:highlight w:val="none"/>
          <w:lang w:eastAsia="zh-CN"/>
        </w:rPr>
        <w:t>字或盖</w:t>
      </w:r>
      <w:r>
        <w:rPr>
          <w:rFonts w:hint="eastAsia" w:ascii="宋体" w:hAnsi="宋体" w:cs="宋体"/>
          <w:color w:val="auto"/>
          <w:sz w:val="24"/>
          <w:highlight w:val="none"/>
        </w:rPr>
        <w:t>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pStyle w:val="86"/>
        <w:rPr>
          <w:rFonts w:hint="eastAsia" w:hAnsi="宋体"/>
          <w:color w:val="auto"/>
          <w:highlight w:val="none"/>
        </w:rPr>
      </w:pPr>
    </w:p>
    <w:p>
      <w:pPr>
        <w:spacing w:line="360" w:lineRule="auto"/>
        <w:rPr>
          <w:rFonts w:hint="eastAsia" w:ascii="宋体" w:hAnsi="宋体" w:cs="宋体"/>
          <w:color w:val="auto"/>
          <w:sz w:val="24"/>
          <w:highlight w:val="none"/>
        </w:rPr>
      </w:pPr>
    </w:p>
    <w:p>
      <w:pPr>
        <w:spacing w:line="360" w:lineRule="auto"/>
        <w:jc w:val="center"/>
        <w:outlineLvl w:val="1"/>
        <w:rPr>
          <w:rFonts w:hint="eastAsia" w:ascii="宋体" w:hAnsi="宋体" w:cs="宋体"/>
          <w:b/>
          <w:bCs/>
          <w:color w:val="auto"/>
          <w:sz w:val="24"/>
          <w:highlight w:val="none"/>
        </w:rPr>
      </w:pPr>
      <w:r>
        <w:rPr>
          <w:rFonts w:hint="eastAsia" w:ascii="宋体" w:hAnsi="宋体" w:cs="宋体"/>
          <w:b/>
          <w:bCs/>
          <w:color w:val="auto"/>
          <w:sz w:val="24"/>
          <w:highlight w:val="none"/>
        </w:rPr>
        <w:t>（三）、法定代表人的授权委托书</w:t>
      </w:r>
    </w:p>
    <w:p>
      <w:pPr>
        <w:spacing w:line="360" w:lineRule="auto"/>
        <w:rPr>
          <w:rFonts w:hint="eastAsia" w:ascii="宋体" w:hAnsi="宋体" w:cs="宋体"/>
          <w:color w:val="auto"/>
          <w:sz w:val="24"/>
          <w:highlight w:val="none"/>
        </w:rPr>
      </w:pPr>
    </w:p>
    <w:p>
      <w:pPr>
        <w:topLinePunct/>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本人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（姓名）为我方代理人。代理人根据授权，以我方名义签署、澄清、说明、补正、递交、撤回、修改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eastAsia="zh-CN"/>
        </w:rPr>
        <w:t>投标文件</w:t>
      </w:r>
      <w:r>
        <w:rPr>
          <w:rFonts w:hint="eastAsia" w:ascii="宋体" w:hAnsi="宋体" w:cs="宋体"/>
          <w:color w:val="auto"/>
          <w:sz w:val="24"/>
          <w:highlight w:val="none"/>
        </w:rPr>
        <w:t>、签订合同和处理有关事宜，其法律后果由我方承担。</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委托期限：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代理人无转委托权。</w:t>
      </w:r>
    </w:p>
    <w:p>
      <w:pPr>
        <w:spacing w:line="360" w:lineRule="auto"/>
        <w:ind w:firstLine="482" w:firstLineChars="200"/>
        <w:rPr>
          <w:rFonts w:hint="eastAsia" w:ascii="宋体" w:hAnsi="宋体" w:cs="宋体"/>
          <w:color w:val="auto"/>
          <w:sz w:val="24"/>
          <w:highlight w:val="none"/>
        </w:rPr>
      </w:pP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附：法定代表人身份证明、委托代理人身份证复印件</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w:t>
      </w:r>
      <w:r>
        <w:rPr>
          <w:rFonts w:hint="eastAsia" w:ascii="宋体" w:hAnsi="宋体" w:cs="宋体"/>
          <w:color w:val="auto"/>
          <w:sz w:val="24"/>
          <w:highlight w:val="none"/>
          <w:lang w:eastAsia="zh-CN"/>
        </w:rPr>
        <w:t>字</w:t>
      </w:r>
      <w:r>
        <w:rPr>
          <w:rFonts w:hint="eastAsia" w:ascii="宋体" w:hAnsi="宋体" w:cs="宋体"/>
          <w:color w:val="auto"/>
          <w:sz w:val="24"/>
          <w:highlight w:val="none"/>
        </w:rPr>
        <w:t>）</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val="en-US" w:eastAsia="zh-CN"/>
        </w:rPr>
        <w:tab/>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（签字） </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身份证号码</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ab/>
      </w:r>
    </w:p>
    <w:p>
      <w:pPr>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jc w:val="center"/>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rPr>
          <w:rFonts w:hint="eastAsia" w:ascii="宋体" w:hAnsi="宋体" w:cs="宋体"/>
          <w:b/>
          <w:color w:val="auto"/>
          <w:sz w:val="24"/>
          <w:highlight w:val="none"/>
        </w:rPr>
      </w:pPr>
    </w:p>
    <w:p>
      <w:pPr>
        <w:pStyle w:val="18"/>
        <w:jc w:val="center"/>
        <w:rPr>
          <w:rFonts w:hint="eastAsia" w:ascii="宋体" w:hAnsi="宋体" w:cs="宋体"/>
          <w:b/>
          <w:color w:val="auto"/>
          <w:sz w:val="24"/>
          <w:highlight w:val="none"/>
        </w:rPr>
      </w:pPr>
    </w:p>
    <w:p>
      <w:pPr>
        <w:spacing w:line="360" w:lineRule="auto"/>
        <w:jc w:val="left"/>
        <w:outlineLvl w:val="1"/>
        <w:rPr>
          <w:rFonts w:hint="eastAsia" w:ascii="宋体" w:hAnsi="宋体" w:cs="宋体"/>
          <w:b/>
          <w:color w:val="auto"/>
          <w:sz w:val="24"/>
          <w:highlight w:val="none"/>
        </w:rPr>
      </w:pPr>
    </w:p>
    <w:p>
      <w:pPr>
        <w:spacing w:line="360" w:lineRule="auto"/>
        <w:jc w:val="both"/>
        <w:outlineLvl w:val="1"/>
        <w:rPr>
          <w:rFonts w:hint="eastAsia" w:ascii="宋体" w:hAnsi="宋体" w:cs="宋体"/>
          <w:b/>
          <w:color w:val="auto"/>
          <w:sz w:val="24"/>
          <w:highlight w:val="none"/>
        </w:rPr>
        <w:sectPr>
          <w:pgSz w:w="11849" w:h="16781"/>
          <w:pgMar w:top="1440" w:right="1080" w:bottom="1440" w:left="1080" w:header="851" w:footer="850" w:gutter="0"/>
          <w:pgBorders>
            <w:top w:val="none" w:sz="0" w:space="0"/>
            <w:left w:val="none" w:sz="0" w:space="0"/>
            <w:bottom w:val="none" w:sz="0" w:space="0"/>
            <w:right w:val="none" w:sz="0" w:space="0"/>
          </w:pgBorders>
          <w:pgNumType w:fmt="decimal"/>
          <w:cols w:space="720" w:num="1"/>
          <w:formProt w:val="1"/>
          <w:titlePg/>
          <w:docGrid w:type="linesAndChars" w:linePitch="320" w:charSpace="269"/>
        </w:sectPr>
      </w:pPr>
    </w:p>
    <w:p>
      <w:pPr>
        <w:tabs>
          <w:tab w:val="center" w:pos="7115"/>
          <w:tab w:val="right" w:pos="14230"/>
        </w:tabs>
        <w:spacing w:line="360" w:lineRule="auto"/>
        <w:jc w:val="center"/>
        <w:outlineLvl w:val="1"/>
        <w:rPr>
          <w:rFonts w:hint="eastAsia" w:ascii="仿宋_GB2312" w:hAnsi="Gadugi" w:eastAsia="仿宋_GB2312"/>
          <w:b/>
          <w:color w:val="auto"/>
          <w:sz w:val="28"/>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eastAsia="zh-CN"/>
        </w:rPr>
        <w:t>四</w:t>
      </w:r>
      <w:r>
        <w:rPr>
          <w:rFonts w:hint="eastAsia" w:ascii="宋体" w:hAnsi="宋体" w:cs="宋体"/>
          <w:b/>
          <w:color w:val="auto"/>
          <w:sz w:val="24"/>
          <w:highlight w:val="none"/>
        </w:rPr>
        <w:t>)</w:t>
      </w:r>
      <w:r>
        <w:rPr>
          <w:rFonts w:hint="eastAsia" w:ascii="宋体" w:hAnsi="宋体" w:cs="宋体"/>
          <w:b/>
          <w:color w:val="auto"/>
          <w:sz w:val="24"/>
          <w:highlight w:val="none"/>
          <w:lang w:eastAsia="zh-CN"/>
        </w:rPr>
        <w:t>、</w:t>
      </w:r>
      <w:r>
        <w:rPr>
          <w:rFonts w:hint="eastAsia" w:ascii="宋体" w:hAnsi="宋体" w:cs="宋体"/>
          <w:b/>
          <w:color w:val="auto"/>
          <w:sz w:val="24"/>
          <w:highlight w:val="none"/>
        </w:rPr>
        <w:t>开标一览表</w:t>
      </w:r>
      <w:r>
        <w:rPr>
          <w:rFonts w:hint="eastAsia" w:ascii="仿宋_GB2312" w:hAnsi="Gadugi" w:eastAsia="仿宋_GB2312"/>
          <w:b/>
          <w:color w:val="auto"/>
          <w:sz w:val="28"/>
          <w:highlight w:val="none"/>
        </w:rPr>
        <w:t xml:space="preserve">  </w:t>
      </w:r>
      <w:r>
        <w:rPr>
          <w:rFonts w:hint="eastAsia" w:ascii="仿宋_GB2312" w:hAnsi="Gadugi" w:eastAsia="仿宋_GB2312"/>
          <w:color w:val="auto"/>
          <w:sz w:val="28"/>
          <w:highlight w:val="none"/>
        </w:rPr>
        <w:t xml:space="preserve">                                                                            </w:t>
      </w:r>
    </w:p>
    <w:p>
      <w:pPr>
        <w:spacing w:line="360" w:lineRule="auto"/>
        <w:ind w:left="120" w:hanging="120" w:hangingChars="50"/>
        <w:rPr>
          <w:rFonts w:hint="eastAsia" w:ascii="宋体" w:hAnsi="宋体" w:cs="宋体"/>
          <w:color w:val="auto"/>
          <w:sz w:val="24"/>
          <w:highlight w:val="none"/>
        </w:rPr>
      </w:pPr>
      <w:r>
        <w:rPr>
          <w:rFonts w:hint="eastAsia" w:ascii="宋体" w:hAnsi="宋体" w:cs="宋体"/>
          <w:color w:val="auto"/>
          <w:sz w:val="24"/>
          <w:highlight w:val="none"/>
        </w:rPr>
        <w:t xml:space="preserve">项目名称：                                             </w:t>
      </w:r>
    </w:p>
    <w:p>
      <w:pPr>
        <w:spacing w:line="360" w:lineRule="auto"/>
        <w:ind w:left="120" w:hanging="120" w:hangingChars="50"/>
        <w:rPr>
          <w:rFonts w:hint="eastAsia" w:ascii="宋体" w:hAnsi="宋体" w:cs="宋体"/>
          <w:color w:val="auto"/>
          <w:sz w:val="24"/>
          <w:highlight w:val="none"/>
        </w:rPr>
      </w:pPr>
      <w:r>
        <w:rPr>
          <w:rFonts w:hint="eastAsia" w:ascii="宋体" w:hAnsi="宋体" w:cs="宋体"/>
          <w:color w:val="auto"/>
          <w:sz w:val="24"/>
          <w:highlight w:val="none"/>
        </w:rPr>
        <w:t>项目编号：</w:t>
      </w:r>
    </w:p>
    <w:tbl>
      <w:tblPr>
        <w:tblStyle w:val="49"/>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95"/>
        <w:gridCol w:w="4426"/>
        <w:gridCol w:w="3695"/>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 w:hRule="exact"/>
          <w:jc w:val="center"/>
        </w:trPr>
        <w:tc>
          <w:tcPr>
            <w:tcW w:w="3195"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4426" w:type="dxa"/>
            <w:tcBorders>
              <w:bottom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招标内容</w:t>
            </w:r>
          </w:p>
        </w:tc>
        <w:tc>
          <w:tcPr>
            <w:tcW w:w="3695"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供货期</w:t>
            </w:r>
          </w:p>
        </w:tc>
        <w:tc>
          <w:tcPr>
            <w:tcW w:w="3341" w:type="dxa"/>
            <w:tcBorders>
              <w:bottom w:val="single" w:color="auto" w:sz="4" w:space="0"/>
            </w:tcBorders>
            <w:noWrap w:val="0"/>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rPr>
              <w:t>备注</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投标有效期</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7" w:hRule="atLeast"/>
          <w:jc w:val="center"/>
        </w:trPr>
        <w:tc>
          <w:tcPr>
            <w:tcW w:w="3195" w:type="dxa"/>
            <w:tcBorders>
              <w:bottom w:val="single" w:color="auto" w:sz="4" w:space="0"/>
            </w:tcBorders>
            <w:noWrap w:val="0"/>
            <w:vAlign w:val="center"/>
          </w:tcPr>
          <w:p>
            <w:pPr>
              <w:pStyle w:val="105"/>
              <w:spacing w:line="360" w:lineRule="auto"/>
              <w:ind w:firstLine="0" w:firstLineChars="0"/>
              <w:jc w:val="center"/>
              <w:rPr>
                <w:rFonts w:hint="eastAsia" w:ascii="宋体" w:hAnsi="宋体" w:eastAsia="宋体" w:cs="宋体"/>
                <w:color w:val="auto"/>
                <w:sz w:val="24"/>
                <w:highlight w:val="none"/>
              </w:rPr>
            </w:pPr>
          </w:p>
        </w:tc>
        <w:tc>
          <w:tcPr>
            <w:tcW w:w="4426"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3695"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3341" w:type="dxa"/>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9" w:hRule="exact"/>
          <w:jc w:val="center"/>
        </w:trPr>
        <w:tc>
          <w:tcPr>
            <w:tcW w:w="3195"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投标总报价</w:t>
            </w:r>
          </w:p>
        </w:tc>
        <w:tc>
          <w:tcPr>
            <w:tcW w:w="11462" w:type="dxa"/>
            <w:gridSpan w:val="3"/>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9" w:hRule="exact"/>
          <w:jc w:val="center"/>
        </w:trPr>
        <w:tc>
          <w:tcPr>
            <w:tcW w:w="3195" w:type="dxa"/>
            <w:vMerge w:val="continue"/>
            <w:tcBorders>
              <w:bottom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11462" w:type="dxa"/>
            <w:gridSpan w:val="3"/>
            <w:tcBorders>
              <w:bottom w:val="single" w:color="auto" w:sz="4" w:space="0"/>
            </w:tcBorders>
            <w:noWrap w:val="0"/>
            <w:vAlign w:val="center"/>
          </w:tcPr>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(大写)</w:t>
            </w:r>
          </w:p>
        </w:tc>
      </w:tr>
    </w:tbl>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w:t>
      </w:r>
      <w:r>
        <w:rPr>
          <w:rFonts w:hint="eastAsia" w:ascii="宋体" w:hAnsi="宋体" w:cs="宋体"/>
          <w:color w:val="auto"/>
          <w:sz w:val="24"/>
          <w:highlight w:val="none"/>
          <w:lang w:eastAsia="zh-CN"/>
        </w:rPr>
        <w:t>字或盖</w:t>
      </w:r>
      <w:r>
        <w:rPr>
          <w:rFonts w:hint="eastAsia" w:ascii="宋体" w:hAnsi="宋体" w:cs="宋体"/>
          <w:color w:val="auto"/>
          <w:sz w:val="24"/>
          <w:highlight w:val="none"/>
        </w:rPr>
        <w:t>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360" w:lineRule="auto"/>
        <w:outlineLvl w:val="2"/>
        <w:rPr>
          <w:rFonts w:hint="eastAsia"/>
          <w:color w:val="auto"/>
          <w:highlight w:val="none"/>
        </w:rPr>
      </w:pPr>
      <w:r>
        <w:rPr>
          <w:rFonts w:hint="eastAsia" w:ascii="宋体" w:hAnsi="宋体" w:cs="宋体"/>
          <w:b/>
          <w:color w:val="auto"/>
          <w:sz w:val="24"/>
          <w:highlight w:val="none"/>
        </w:rPr>
        <w:t>注：1、在开标一览表中，按第二章投标人须知规定不允许出现两种报价，否则其投标将被拒绝。</w:t>
      </w:r>
    </w:p>
    <w:p>
      <w:pPr>
        <w:spacing w:line="360" w:lineRule="auto"/>
        <w:jc w:val="center"/>
        <w:rPr>
          <w:rFonts w:hint="eastAsia" w:hAnsi="宋体" w:cs="宋体"/>
          <w:b/>
          <w:color w:val="auto"/>
          <w:sz w:val="24"/>
          <w:highlight w:val="none"/>
        </w:rPr>
      </w:pPr>
    </w:p>
    <w:p>
      <w:pPr>
        <w:pStyle w:val="4"/>
        <w:rPr>
          <w:rFonts w:hint="eastAsia"/>
          <w:color w:val="auto"/>
          <w:highlight w:val="none"/>
        </w:rPr>
        <w:sectPr>
          <w:pgSz w:w="16781" w:h="11849" w:orient="landscape"/>
          <w:pgMar w:top="1080" w:right="1440" w:bottom="1080" w:left="1440" w:header="851" w:footer="850" w:gutter="0"/>
          <w:pgBorders>
            <w:top w:val="none" w:sz="0" w:space="0"/>
            <w:left w:val="none" w:sz="0" w:space="0"/>
            <w:bottom w:val="none" w:sz="0" w:space="0"/>
            <w:right w:val="none" w:sz="0" w:space="0"/>
          </w:pgBorders>
          <w:pgNumType w:fmt="decimal"/>
          <w:cols w:space="720" w:num="1"/>
          <w:formProt w:val="1"/>
          <w:titlePg/>
          <w:docGrid w:type="linesAndChars" w:linePitch="320" w:charSpace="269"/>
        </w:sectPr>
      </w:pPr>
    </w:p>
    <w:p>
      <w:pPr>
        <w:spacing w:line="360" w:lineRule="auto"/>
        <w:jc w:val="center"/>
        <w:rPr>
          <w:rFonts w:hint="eastAsia" w:hAnsi="宋体" w:cs="宋体"/>
          <w:color w:val="auto"/>
          <w:sz w:val="24"/>
          <w:highlight w:val="none"/>
        </w:rPr>
      </w:pPr>
      <w:r>
        <w:rPr>
          <w:rFonts w:hint="eastAsia" w:hAnsi="宋体" w:cs="宋体"/>
          <w:b/>
          <w:color w:val="auto"/>
          <w:sz w:val="24"/>
          <w:highlight w:val="none"/>
        </w:rPr>
        <w:t>（</w:t>
      </w:r>
      <w:r>
        <w:rPr>
          <w:rFonts w:hint="eastAsia" w:hAnsi="宋体" w:cs="宋体"/>
          <w:b/>
          <w:color w:val="auto"/>
          <w:sz w:val="24"/>
          <w:highlight w:val="none"/>
          <w:lang w:val="en-US" w:eastAsia="zh-CN"/>
        </w:rPr>
        <w:t>五</w:t>
      </w:r>
      <w:r>
        <w:rPr>
          <w:rFonts w:hint="eastAsia" w:hAnsi="宋体" w:cs="宋体"/>
          <w:b/>
          <w:color w:val="auto"/>
          <w:sz w:val="24"/>
          <w:highlight w:val="none"/>
        </w:rPr>
        <w:t>）</w:t>
      </w:r>
      <w:r>
        <w:rPr>
          <w:rFonts w:hint="eastAsia" w:hAnsi="宋体" w:cs="宋体"/>
          <w:b/>
          <w:color w:val="auto"/>
          <w:sz w:val="24"/>
          <w:highlight w:val="none"/>
          <w:lang w:eastAsia="zh-CN"/>
        </w:rPr>
        <w:t>、</w:t>
      </w:r>
      <w:r>
        <w:rPr>
          <w:rFonts w:hint="eastAsia" w:hAnsi="宋体" w:cs="宋体"/>
          <w:b/>
          <w:color w:val="auto"/>
          <w:sz w:val="24"/>
          <w:highlight w:val="none"/>
        </w:rPr>
        <w:t>技 术 规 格 偏 离 表</w:t>
      </w:r>
    </w:p>
    <w:p>
      <w:pPr>
        <w:spacing w:line="360" w:lineRule="auto"/>
        <w:ind w:hanging="23"/>
        <w:jc w:val="left"/>
        <w:rPr>
          <w:rFonts w:hint="eastAsia" w:ascii="宋体" w:hAnsi="宋体" w:cs="宋体"/>
          <w:color w:val="auto"/>
          <w:sz w:val="24"/>
          <w:highlight w:val="none"/>
        </w:rPr>
      </w:pPr>
      <w:r>
        <w:rPr>
          <w:rFonts w:hint="eastAsia" w:ascii="宋体" w:hAnsi="宋体" w:cs="宋体"/>
          <w:color w:val="auto"/>
          <w:sz w:val="24"/>
          <w:highlight w:val="none"/>
        </w:rPr>
        <w:t xml:space="preserve">项目编号：                                                    </w:t>
      </w:r>
    </w:p>
    <w:tbl>
      <w:tblPr>
        <w:tblStyle w:val="49"/>
        <w:tblW w:w="0" w:type="auto"/>
        <w:jc w:val="center"/>
        <w:tblLayout w:type="fixed"/>
        <w:tblCellMar>
          <w:top w:w="0" w:type="dxa"/>
          <w:left w:w="108" w:type="dxa"/>
          <w:bottom w:w="0" w:type="dxa"/>
          <w:right w:w="108" w:type="dxa"/>
        </w:tblCellMar>
      </w:tblPr>
      <w:tblGrid>
        <w:gridCol w:w="918"/>
        <w:gridCol w:w="3762"/>
        <w:gridCol w:w="4500"/>
        <w:gridCol w:w="4860"/>
      </w:tblGrid>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招标规格</w:t>
            </w: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投标规格</w:t>
            </w: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   注</w:t>
            </w: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91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376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50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48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bl>
    <w:p>
      <w:pPr>
        <w:spacing w:line="360" w:lineRule="auto"/>
        <w:ind w:firstLine="9520"/>
        <w:rPr>
          <w:rFonts w:hint="eastAsia" w:ascii="宋体" w:hAnsi="宋体" w:cs="宋体"/>
          <w:color w:val="auto"/>
          <w:kern w:val="0"/>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w:t>
      </w:r>
      <w:r>
        <w:rPr>
          <w:rFonts w:hint="eastAsia" w:ascii="宋体" w:hAnsi="宋体" w:cs="宋体"/>
          <w:color w:val="auto"/>
          <w:sz w:val="24"/>
          <w:highlight w:val="none"/>
          <w:lang w:eastAsia="zh-CN"/>
        </w:rPr>
        <w:t>字或盖</w:t>
      </w:r>
      <w:r>
        <w:rPr>
          <w:rFonts w:hint="eastAsia" w:ascii="宋体" w:hAnsi="宋体" w:cs="宋体"/>
          <w:color w:val="auto"/>
          <w:sz w:val="24"/>
          <w:highlight w:val="none"/>
        </w:rPr>
        <w:t>章）</w:t>
      </w:r>
    </w:p>
    <w:p>
      <w:pPr>
        <w:spacing w:line="360" w:lineRule="auto"/>
        <w:jc w:val="right"/>
        <w:rPr>
          <w:rFonts w:hint="default" w:eastAsia="宋体"/>
          <w:color w:val="auto"/>
          <w:highlight w:val="none"/>
          <w:lang w:val="en-US" w:eastAsia="zh-CN"/>
        </w:rPr>
        <w:sectPr>
          <w:pgSz w:w="16781" w:h="11849" w:orient="landscape"/>
          <w:pgMar w:top="1440" w:right="1080" w:bottom="1440" w:left="1080" w:header="851" w:footer="850" w:gutter="0"/>
          <w:pgBorders>
            <w:top w:val="none" w:sz="0" w:space="0"/>
            <w:left w:val="none" w:sz="0" w:space="0"/>
            <w:bottom w:val="none" w:sz="0" w:space="0"/>
            <w:right w:val="none" w:sz="0" w:space="0"/>
          </w:pgBorders>
          <w:pgNumType w:fmt="decimal"/>
          <w:cols w:space="720" w:num="1"/>
          <w:formProt w:val="1"/>
          <w:titlePg/>
          <w:docGrid w:type="linesAndChars" w:linePitch="320" w:charSpace="269"/>
        </w:sect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color w:val="auto"/>
          <w:highlight w:val="none"/>
          <w:lang w:val="en-US" w:eastAsia="zh-CN"/>
        </w:rPr>
        <w:t xml:space="preserve"> </w:t>
      </w:r>
    </w:p>
    <w:p>
      <w:pPr>
        <w:spacing w:line="360" w:lineRule="auto"/>
        <w:jc w:val="center"/>
        <w:outlineLvl w:val="1"/>
        <w:rPr>
          <w:rFonts w:hint="eastAsia" w:ascii="宋体" w:hAnsi="宋体" w:cs="宋体"/>
          <w:b/>
          <w:color w:val="auto"/>
          <w:kern w:val="0"/>
          <w:sz w:val="24"/>
          <w:highlight w:val="none"/>
        </w:rPr>
      </w:pPr>
      <w:r>
        <w:rPr>
          <w:rFonts w:hint="eastAsia" w:ascii="宋体" w:hAnsi="宋体" w:cs="宋体"/>
          <w:b/>
          <w:color w:val="auto"/>
          <w:kern w:val="0"/>
          <w:sz w:val="24"/>
          <w:highlight w:val="none"/>
        </w:rPr>
        <w:t>（</w:t>
      </w:r>
      <w:r>
        <w:rPr>
          <w:rFonts w:hint="eastAsia" w:ascii="宋体" w:hAnsi="宋体" w:cs="宋体"/>
          <w:b/>
          <w:color w:val="auto"/>
          <w:kern w:val="0"/>
          <w:sz w:val="24"/>
          <w:highlight w:val="none"/>
          <w:lang w:val="en-US" w:eastAsia="zh-CN"/>
        </w:rPr>
        <w:t>六</w:t>
      </w:r>
      <w:r>
        <w:rPr>
          <w:rFonts w:hint="eastAsia" w:ascii="宋体" w:hAnsi="宋体" w:cs="宋体"/>
          <w:b/>
          <w:color w:val="auto"/>
          <w:kern w:val="0"/>
          <w:sz w:val="24"/>
          <w:highlight w:val="none"/>
        </w:rPr>
        <w:t>）、资格审查资料</w:t>
      </w:r>
    </w:p>
    <w:p>
      <w:pPr>
        <w:autoSpaceDE w:val="0"/>
        <w:autoSpaceDN w:val="0"/>
        <w:adjustRightInd w:val="0"/>
        <w:spacing w:line="360" w:lineRule="auto"/>
        <w:jc w:val="center"/>
        <w:outlineLvl w:val="2"/>
        <w:rPr>
          <w:rFonts w:hint="eastAsia" w:ascii="宋体" w:hAnsi="宋体" w:cs="宋体"/>
          <w:b/>
          <w:color w:val="auto"/>
          <w:sz w:val="24"/>
          <w:highlight w:val="none"/>
        </w:rPr>
      </w:pPr>
      <w:r>
        <w:rPr>
          <w:rFonts w:hint="eastAsia" w:ascii="宋体" w:hAnsi="宋体" w:cs="宋体"/>
          <w:b/>
          <w:color w:val="auto"/>
          <w:sz w:val="24"/>
          <w:highlight w:val="none"/>
        </w:rPr>
        <w:t>（１）投标人基本情况表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009"/>
        <w:gridCol w:w="283"/>
        <w:gridCol w:w="1078"/>
        <w:gridCol w:w="906"/>
        <w:gridCol w:w="537"/>
        <w:gridCol w:w="1402"/>
        <w:gridCol w:w="294"/>
        <w:gridCol w:w="79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投标人名称</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注册地址</w:t>
            </w:r>
          </w:p>
        </w:tc>
        <w:tc>
          <w:tcPr>
            <w:tcW w:w="3813" w:type="dxa"/>
            <w:gridSpan w:val="5"/>
            <w:noWrap w:val="0"/>
            <w:vAlign w:val="center"/>
          </w:tcPr>
          <w:p>
            <w:pPr>
              <w:spacing w:line="360" w:lineRule="auto"/>
              <w:jc w:val="center"/>
              <w:rPr>
                <w:rFonts w:hint="eastAsia" w:ascii="宋体" w:hAnsi="宋体" w:cs="宋体"/>
                <w:color w:val="auto"/>
                <w:sz w:val="24"/>
                <w:highlight w:val="none"/>
              </w:rPr>
            </w:pPr>
          </w:p>
        </w:tc>
        <w:tc>
          <w:tcPr>
            <w:tcW w:w="140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邮政编码</w:t>
            </w:r>
          </w:p>
        </w:tc>
        <w:tc>
          <w:tcPr>
            <w:tcW w:w="2685"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71"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联系方式</w:t>
            </w:r>
          </w:p>
        </w:tc>
        <w:tc>
          <w:tcPr>
            <w:tcW w:w="1292"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联系人</w:t>
            </w:r>
          </w:p>
        </w:tc>
        <w:tc>
          <w:tcPr>
            <w:tcW w:w="2521" w:type="dxa"/>
            <w:gridSpan w:val="3"/>
            <w:noWrap w:val="0"/>
            <w:vAlign w:val="center"/>
          </w:tcPr>
          <w:p>
            <w:pPr>
              <w:spacing w:line="360" w:lineRule="auto"/>
              <w:jc w:val="center"/>
              <w:rPr>
                <w:rFonts w:hint="eastAsia" w:ascii="宋体" w:hAnsi="宋体" w:cs="宋体"/>
                <w:color w:val="auto"/>
                <w:sz w:val="24"/>
                <w:highlight w:val="none"/>
              </w:rPr>
            </w:pPr>
          </w:p>
        </w:tc>
        <w:tc>
          <w:tcPr>
            <w:tcW w:w="140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  话</w:t>
            </w:r>
          </w:p>
        </w:tc>
        <w:tc>
          <w:tcPr>
            <w:tcW w:w="2685"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71" w:type="dxa"/>
            <w:vMerge w:val="continue"/>
            <w:noWrap w:val="0"/>
            <w:vAlign w:val="center"/>
          </w:tcPr>
          <w:p>
            <w:pPr>
              <w:spacing w:line="360" w:lineRule="auto"/>
              <w:jc w:val="center"/>
              <w:rPr>
                <w:rFonts w:hint="eastAsia" w:ascii="宋体" w:hAnsi="宋体" w:cs="宋体"/>
                <w:color w:val="auto"/>
                <w:sz w:val="24"/>
                <w:highlight w:val="none"/>
              </w:rPr>
            </w:pPr>
          </w:p>
        </w:tc>
        <w:tc>
          <w:tcPr>
            <w:tcW w:w="1292"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传  真</w:t>
            </w:r>
          </w:p>
        </w:tc>
        <w:tc>
          <w:tcPr>
            <w:tcW w:w="2521" w:type="dxa"/>
            <w:gridSpan w:val="3"/>
            <w:noWrap w:val="0"/>
            <w:vAlign w:val="center"/>
          </w:tcPr>
          <w:p>
            <w:pPr>
              <w:spacing w:line="360" w:lineRule="auto"/>
              <w:jc w:val="center"/>
              <w:rPr>
                <w:rFonts w:hint="eastAsia" w:ascii="宋体" w:hAnsi="宋体" w:cs="宋体"/>
                <w:color w:val="auto"/>
                <w:sz w:val="24"/>
                <w:highlight w:val="none"/>
              </w:rPr>
            </w:pPr>
          </w:p>
        </w:tc>
        <w:tc>
          <w:tcPr>
            <w:tcW w:w="1402"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网  址</w:t>
            </w:r>
          </w:p>
        </w:tc>
        <w:tc>
          <w:tcPr>
            <w:tcW w:w="2685" w:type="dxa"/>
            <w:gridSpan w:val="3"/>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组织结构</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法定代表人</w:t>
            </w:r>
          </w:p>
        </w:tc>
        <w:tc>
          <w:tcPr>
            <w:tcW w:w="1009"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1443"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696" w:type="dxa"/>
            <w:gridSpan w:val="2"/>
            <w:noWrap w:val="0"/>
            <w:vAlign w:val="center"/>
          </w:tcPr>
          <w:p>
            <w:pPr>
              <w:spacing w:line="360" w:lineRule="auto"/>
              <w:jc w:val="center"/>
              <w:rPr>
                <w:rFonts w:hint="eastAsia" w:ascii="宋体" w:hAnsi="宋体" w:cs="宋体"/>
                <w:color w:val="auto"/>
                <w:sz w:val="24"/>
                <w:highlight w:val="none"/>
              </w:rPr>
            </w:pPr>
          </w:p>
        </w:tc>
        <w:tc>
          <w:tcPr>
            <w:tcW w:w="79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1593"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技术负责人</w:t>
            </w:r>
          </w:p>
        </w:tc>
        <w:tc>
          <w:tcPr>
            <w:tcW w:w="1009"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361" w:type="dxa"/>
            <w:gridSpan w:val="2"/>
            <w:noWrap w:val="0"/>
            <w:vAlign w:val="center"/>
          </w:tcPr>
          <w:p>
            <w:pPr>
              <w:spacing w:line="360" w:lineRule="auto"/>
              <w:jc w:val="center"/>
              <w:rPr>
                <w:rFonts w:hint="eastAsia" w:ascii="宋体" w:hAnsi="宋体" w:cs="宋体"/>
                <w:color w:val="auto"/>
                <w:sz w:val="24"/>
                <w:highlight w:val="none"/>
              </w:rPr>
            </w:pPr>
          </w:p>
        </w:tc>
        <w:tc>
          <w:tcPr>
            <w:tcW w:w="1443" w:type="dxa"/>
            <w:gridSpan w:val="2"/>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696" w:type="dxa"/>
            <w:gridSpan w:val="2"/>
            <w:noWrap w:val="0"/>
            <w:vAlign w:val="center"/>
          </w:tcPr>
          <w:p>
            <w:pPr>
              <w:spacing w:line="360" w:lineRule="auto"/>
              <w:jc w:val="center"/>
              <w:rPr>
                <w:rFonts w:hint="eastAsia" w:ascii="宋体" w:hAnsi="宋体" w:cs="宋体"/>
                <w:color w:val="auto"/>
                <w:sz w:val="24"/>
                <w:highlight w:val="none"/>
              </w:rPr>
            </w:pPr>
          </w:p>
        </w:tc>
        <w:tc>
          <w:tcPr>
            <w:tcW w:w="798"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电话</w:t>
            </w:r>
          </w:p>
        </w:tc>
        <w:tc>
          <w:tcPr>
            <w:tcW w:w="1593" w:type="dxa"/>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成立时间</w:t>
            </w:r>
          </w:p>
        </w:tc>
        <w:tc>
          <w:tcPr>
            <w:tcW w:w="2370" w:type="dxa"/>
            <w:gridSpan w:val="3"/>
            <w:noWrap w:val="0"/>
            <w:vAlign w:val="center"/>
          </w:tcPr>
          <w:p>
            <w:pPr>
              <w:spacing w:line="360" w:lineRule="auto"/>
              <w:jc w:val="center"/>
              <w:rPr>
                <w:rFonts w:hint="eastAsia" w:ascii="宋体" w:hAnsi="宋体" w:cs="宋体"/>
                <w:color w:val="auto"/>
                <w:sz w:val="24"/>
                <w:highlight w:val="none"/>
              </w:rPr>
            </w:pPr>
          </w:p>
        </w:tc>
        <w:tc>
          <w:tcPr>
            <w:tcW w:w="5530" w:type="dxa"/>
            <w:gridSpan w:val="6"/>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企业资质等级</w:t>
            </w:r>
          </w:p>
        </w:tc>
        <w:tc>
          <w:tcPr>
            <w:tcW w:w="2370" w:type="dxa"/>
            <w:gridSpan w:val="3"/>
            <w:noWrap w:val="0"/>
            <w:vAlign w:val="center"/>
          </w:tcPr>
          <w:p>
            <w:pPr>
              <w:spacing w:line="360" w:lineRule="auto"/>
              <w:jc w:val="center"/>
              <w:rPr>
                <w:rFonts w:hint="eastAsia" w:ascii="宋体" w:hAnsi="宋体" w:cs="宋体"/>
                <w:color w:val="auto"/>
                <w:sz w:val="24"/>
                <w:highlight w:val="none"/>
              </w:rPr>
            </w:pPr>
          </w:p>
        </w:tc>
        <w:tc>
          <w:tcPr>
            <w:tcW w:w="906" w:type="dxa"/>
            <w:vMerge w:val="restart"/>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其中</w:t>
            </w: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项目经理</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营业执照号</w:t>
            </w:r>
          </w:p>
        </w:tc>
        <w:tc>
          <w:tcPr>
            <w:tcW w:w="2370" w:type="dxa"/>
            <w:gridSpan w:val="3"/>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高级职称人员</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注册资金</w:t>
            </w:r>
          </w:p>
        </w:tc>
        <w:tc>
          <w:tcPr>
            <w:tcW w:w="2370" w:type="dxa"/>
            <w:gridSpan w:val="3"/>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中级职称人员</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开户银行</w:t>
            </w:r>
          </w:p>
        </w:tc>
        <w:tc>
          <w:tcPr>
            <w:tcW w:w="2370" w:type="dxa"/>
            <w:gridSpan w:val="3"/>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初级职称人员</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账号</w:t>
            </w:r>
          </w:p>
        </w:tc>
        <w:tc>
          <w:tcPr>
            <w:tcW w:w="2370" w:type="dxa"/>
            <w:gridSpan w:val="3"/>
            <w:noWrap w:val="0"/>
            <w:vAlign w:val="center"/>
          </w:tcPr>
          <w:p>
            <w:pPr>
              <w:spacing w:line="360" w:lineRule="auto"/>
              <w:jc w:val="center"/>
              <w:rPr>
                <w:rFonts w:hint="eastAsia" w:ascii="宋体" w:hAnsi="宋体" w:cs="宋体"/>
                <w:color w:val="auto"/>
                <w:sz w:val="24"/>
                <w:highlight w:val="none"/>
              </w:rPr>
            </w:pPr>
          </w:p>
        </w:tc>
        <w:tc>
          <w:tcPr>
            <w:tcW w:w="906" w:type="dxa"/>
            <w:vMerge w:val="continue"/>
            <w:noWrap w:val="0"/>
            <w:vAlign w:val="center"/>
          </w:tcPr>
          <w:p>
            <w:pPr>
              <w:spacing w:line="360" w:lineRule="auto"/>
              <w:jc w:val="center"/>
              <w:rPr>
                <w:rFonts w:hint="eastAsia" w:ascii="宋体" w:hAnsi="宋体" w:cs="宋体"/>
                <w:color w:val="auto"/>
                <w:sz w:val="24"/>
                <w:highlight w:val="none"/>
              </w:rPr>
            </w:pPr>
          </w:p>
        </w:tc>
        <w:tc>
          <w:tcPr>
            <w:tcW w:w="2233" w:type="dxa"/>
            <w:gridSpan w:val="3"/>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技  工</w:t>
            </w:r>
          </w:p>
        </w:tc>
        <w:tc>
          <w:tcPr>
            <w:tcW w:w="2391" w:type="dxa"/>
            <w:gridSpan w:val="2"/>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经营范围</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备注</w:t>
            </w:r>
          </w:p>
        </w:tc>
        <w:tc>
          <w:tcPr>
            <w:tcW w:w="7900" w:type="dxa"/>
            <w:gridSpan w:val="9"/>
            <w:noWrap w:val="0"/>
            <w:vAlign w:val="center"/>
          </w:tcPr>
          <w:p>
            <w:pPr>
              <w:spacing w:line="360" w:lineRule="auto"/>
              <w:jc w:val="center"/>
              <w:rPr>
                <w:rFonts w:hint="eastAsia" w:ascii="宋体" w:hAnsi="宋体" w:cs="宋体"/>
                <w:color w:val="auto"/>
                <w:sz w:val="24"/>
                <w:highlight w:val="none"/>
              </w:rPr>
            </w:pPr>
          </w:p>
        </w:tc>
      </w:tr>
    </w:tbl>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备注：本表后应附企业法人营业执照等材料的复印件。</w:t>
      </w:r>
    </w:p>
    <w:p>
      <w:pPr>
        <w:spacing w:line="360" w:lineRule="auto"/>
        <w:rPr>
          <w:rFonts w:hint="eastAsia" w:ascii="宋体" w:hAnsi="宋体" w:cs="宋体"/>
          <w:color w:val="auto"/>
          <w:sz w:val="24"/>
          <w:highlight w:val="none"/>
        </w:rPr>
      </w:pPr>
    </w:p>
    <w:p>
      <w:pPr>
        <w:spacing w:before="160" w:beforeLines="50" w:after="160" w:afterLines="50" w:line="360" w:lineRule="auto"/>
        <w:rPr>
          <w:rFonts w:hint="eastAsia" w:ascii="宋体" w:hAnsi="宋体" w:cs="宋体"/>
          <w:b/>
          <w:color w:val="auto"/>
          <w:sz w:val="24"/>
          <w:highlight w:val="none"/>
        </w:rPr>
      </w:pPr>
      <w:r>
        <w:rPr>
          <w:rFonts w:hint="eastAsia" w:ascii="宋体" w:hAnsi="宋体" w:cs="宋体"/>
          <w:b/>
          <w:color w:val="auto"/>
          <w:sz w:val="24"/>
          <w:highlight w:val="none"/>
        </w:rPr>
        <w:t>（2）企业其他信誉情况表</w:t>
      </w:r>
    </w:p>
    <w:p>
      <w:pPr>
        <w:spacing w:line="360" w:lineRule="auto"/>
        <w:ind w:left="720" w:hanging="723" w:hangingChars="300"/>
        <w:rPr>
          <w:rFonts w:hint="eastAsia" w:ascii="宋体" w:hAnsi="宋体" w:cs="宋体"/>
          <w:color w:val="auto"/>
          <w:sz w:val="24"/>
          <w:highlight w:val="none"/>
        </w:rPr>
      </w:pPr>
      <w:r>
        <w:rPr>
          <w:rFonts w:hint="eastAsia" w:ascii="宋体" w:hAnsi="宋体" w:cs="宋体"/>
          <w:color w:val="auto"/>
          <w:sz w:val="24"/>
          <w:highlight w:val="none"/>
        </w:rPr>
        <w:t>1）近三年企业不良行为记录情况</w:t>
      </w:r>
    </w:p>
    <w:p>
      <w:pPr>
        <w:spacing w:line="360" w:lineRule="auto"/>
        <w:ind w:left="720" w:hanging="723" w:hangingChars="300"/>
        <w:rPr>
          <w:rFonts w:hint="eastAsia" w:ascii="宋体" w:hAnsi="宋体" w:cs="宋体"/>
          <w:color w:val="auto"/>
          <w:sz w:val="24"/>
          <w:highlight w:val="none"/>
        </w:rPr>
      </w:pPr>
      <w:r>
        <w:rPr>
          <w:rFonts w:hint="eastAsia" w:ascii="宋体" w:hAnsi="宋体" w:cs="宋体"/>
          <w:color w:val="auto"/>
          <w:sz w:val="24"/>
          <w:highlight w:val="none"/>
        </w:rPr>
        <w:t>2）在供货以及近年已完成供货合同履行情况</w:t>
      </w:r>
    </w:p>
    <w:p>
      <w:pPr>
        <w:spacing w:line="360" w:lineRule="auto"/>
        <w:ind w:left="720" w:hanging="723" w:hangingChars="300"/>
        <w:rPr>
          <w:rFonts w:hint="eastAsia" w:ascii="宋体" w:hAnsi="宋体" w:cs="宋体"/>
          <w:color w:val="auto"/>
          <w:sz w:val="24"/>
          <w:highlight w:val="none"/>
        </w:rPr>
      </w:pPr>
      <w:r>
        <w:rPr>
          <w:rFonts w:hint="eastAsia" w:ascii="宋体" w:hAnsi="宋体" w:cs="宋体"/>
          <w:color w:val="auto"/>
          <w:sz w:val="24"/>
          <w:highlight w:val="none"/>
        </w:rPr>
        <w:t>3）其  他</w:t>
      </w:r>
    </w:p>
    <w:p>
      <w:pPr>
        <w:spacing w:line="360" w:lineRule="auto"/>
        <w:ind w:left="720" w:hanging="723" w:hangingChars="300"/>
        <w:rPr>
          <w:rFonts w:hint="eastAsia" w:ascii="宋体" w:hAnsi="宋体" w:cs="宋体"/>
          <w:color w:val="auto"/>
          <w:sz w:val="24"/>
          <w:highlight w:val="none"/>
        </w:rPr>
      </w:pPr>
    </w:p>
    <w:p>
      <w:pPr>
        <w:autoSpaceDE w:val="0"/>
        <w:autoSpaceDN w:val="0"/>
        <w:adjustRightInd w:val="0"/>
        <w:snapToGrid w:val="0"/>
        <w:spacing w:line="360" w:lineRule="auto"/>
        <w:outlineLvl w:val="2"/>
        <w:rPr>
          <w:rFonts w:hint="eastAsia" w:ascii="宋体" w:hAnsi="宋体" w:cs="宋体"/>
          <w:b/>
          <w:color w:val="auto"/>
          <w:kern w:val="0"/>
          <w:sz w:val="24"/>
          <w:highlight w:val="none"/>
        </w:rPr>
      </w:pPr>
      <w:r>
        <w:rPr>
          <w:rFonts w:hint="eastAsia" w:ascii="宋体" w:hAnsi="宋体" w:eastAsia="宋体" w:cs="宋体"/>
          <w:b/>
          <w:color w:val="auto"/>
          <w:kern w:val="2"/>
          <w:sz w:val="24"/>
          <w:szCs w:val="24"/>
          <w:highlight w:val="none"/>
          <w:lang w:val="en-US" w:eastAsia="zh-CN" w:bidi="ar-SA"/>
        </w:rPr>
        <w:t>（3）</w:t>
      </w:r>
      <w:r>
        <w:rPr>
          <w:rFonts w:hint="eastAsia" w:ascii="宋体" w:hAnsi="宋体" w:cs="宋体"/>
          <w:b/>
          <w:color w:val="auto"/>
          <w:kern w:val="0"/>
          <w:sz w:val="24"/>
          <w:highlight w:val="none"/>
        </w:rPr>
        <w:t>企业认为有必要提供的其他材料（企业综合实力等资料）</w:t>
      </w:r>
    </w:p>
    <w:p>
      <w:pPr>
        <w:pStyle w:val="18"/>
        <w:rPr>
          <w:rFonts w:hint="eastAsia"/>
          <w:color w:val="auto"/>
          <w:highlight w:val="none"/>
        </w:rPr>
      </w:pPr>
    </w:p>
    <w:p>
      <w:pPr>
        <w:numPr>
          <w:ilvl w:val="0"/>
          <w:numId w:val="0"/>
        </w:numPr>
        <w:autoSpaceDE w:val="0"/>
        <w:autoSpaceDN w:val="0"/>
        <w:adjustRightInd w:val="0"/>
        <w:snapToGrid w:val="0"/>
        <w:spacing w:line="360" w:lineRule="auto"/>
        <w:jc w:val="center"/>
        <w:outlineLvl w:val="1"/>
        <w:rPr>
          <w:rFonts w:hint="eastAsia" w:ascii="宋体" w:hAnsi="宋体" w:cs="宋体"/>
          <w:b/>
          <w:color w:val="auto"/>
          <w:kern w:val="0"/>
          <w:sz w:val="24"/>
          <w:highlight w:val="none"/>
        </w:rPr>
      </w:pPr>
      <w:r>
        <w:rPr>
          <w:rFonts w:hint="eastAsia" w:ascii="宋体" w:hAnsi="宋体" w:cs="宋体"/>
          <w:b/>
          <w:color w:val="auto"/>
          <w:kern w:val="0"/>
          <w:sz w:val="24"/>
          <w:highlight w:val="none"/>
          <w:lang w:eastAsia="zh-CN"/>
        </w:rPr>
        <w:t>（</w:t>
      </w:r>
      <w:r>
        <w:rPr>
          <w:rFonts w:hint="eastAsia" w:ascii="宋体" w:hAnsi="宋体" w:cs="宋体"/>
          <w:b/>
          <w:color w:val="auto"/>
          <w:kern w:val="0"/>
          <w:sz w:val="24"/>
          <w:highlight w:val="none"/>
          <w:lang w:val="en-US" w:eastAsia="zh-CN"/>
        </w:rPr>
        <w:t>七</w:t>
      </w:r>
      <w:r>
        <w:rPr>
          <w:rFonts w:hint="eastAsia" w:ascii="宋体" w:hAnsi="宋体" w:cs="宋体"/>
          <w:b/>
          <w:color w:val="auto"/>
          <w:kern w:val="0"/>
          <w:sz w:val="24"/>
          <w:highlight w:val="none"/>
          <w:lang w:eastAsia="zh-CN"/>
        </w:rPr>
        <w:t>）</w:t>
      </w:r>
      <w:r>
        <w:rPr>
          <w:rFonts w:hint="eastAsia" w:ascii="宋体" w:hAnsi="宋体" w:cs="宋体"/>
          <w:b/>
          <w:color w:val="auto"/>
          <w:kern w:val="0"/>
          <w:sz w:val="24"/>
          <w:highlight w:val="none"/>
        </w:rPr>
        <w:t>、其他材料</w:t>
      </w:r>
    </w:p>
    <w:p>
      <w:pPr>
        <w:pStyle w:val="18"/>
        <w:numPr>
          <w:ilvl w:val="0"/>
          <w:numId w:val="0"/>
        </w:numPr>
        <w:rPr>
          <w:rFonts w:hint="eastAsia"/>
          <w:color w:val="auto"/>
          <w:highlight w:val="none"/>
        </w:rPr>
      </w:pPr>
    </w:p>
    <w:p>
      <w:pPr>
        <w:pStyle w:val="47"/>
        <w:numPr>
          <w:ilvl w:val="0"/>
          <w:numId w:val="0"/>
        </w:numPr>
        <w:ind w:leftChars="0"/>
        <w:jc w:val="center"/>
        <w:rPr>
          <w:rFonts w:hint="eastAsia"/>
          <w:color w:val="auto"/>
          <w:highlight w:val="none"/>
          <w:lang w:val="en-US" w:eastAsia="zh-CN"/>
        </w:rPr>
      </w:pPr>
      <w:r>
        <w:rPr>
          <w:rFonts w:hint="eastAsia" w:ascii="宋体" w:hAnsi="宋体" w:eastAsia="宋体" w:cs="宋体"/>
          <w:i w:val="0"/>
          <w:iCs w:val="0"/>
          <w:color w:val="auto"/>
          <w:kern w:val="2"/>
          <w:sz w:val="24"/>
          <w:szCs w:val="24"/>
          <w:highlight w:val="none"/>
          <w:lang w:val="en-US" w:eastAsia="zh-CN" w:bidi="ar-SA"/>
        </w:rPr>
        <w:t>投标人认为有必要提供的声明及文件资料</w:t>
      </w:r>
    </w:p>
    <w:p>
      <w:pPr>
        <w:numPr>
          <w:ilvl w:val="0"/>
          <w:numId w:val="0"/>
        </w:numPr>
        <w:spacing w:line="480" w:lineRule="atLeast"/>
        <w:ind w:right="-965" w:rightChars="0"/>
        <w:rPr>
          <w:rFonts w:hint="eastAsia" w:ascii="宋体" w:hAnsi="宋体" w:eastAsia="宋体" w:cs="宋体"/>
          <w:b/>
          <w:color w:val="auto"/>
          <w:kern w:val="0"/>
          <w:sz w:val="24"/>
          <w:highlight w:val="none"/>
          <w:lang w:val="en-US" w:eastAsia="zh-CN"/>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11"/>
        <w:rPr>
          <w:rFonts w:hint="eastAsia" w:ascii="宋体" w:hAnsi="宋体" w:cs="宋体"/>
          <w:color w:val="auto"/>
          <w:sz w:val="24"/>
          <w:highlight w:val="none"/>
        </w:rPr>
      </w:pPr>
    </w:p>
    <w:p>
      <w:pPr>
        <w:pStyle w:val="13"/>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附件：中小企业声明函（货物)</w:t>
      </w:r>
    </w:p>
    <w:p>
      <w:pPr>
        <w:pStyle w:val="13"/>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 xml:space="preserve"> </w:t>
      </w:r>
    </w:p>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b/>
          <w:color w:val="auto"/>
          <w:kern w:val="0"/>
          <w:sz w:val="36"/>
          <w:szCs w:val="36"/>
          <w:highlight w:val="none"/>
          <w:lang w:val="en-US" w:eastAsia="zh-CN" w:bidi="ar"/>
        </w:rPr>
        <w:t>中小企业声明函（货物)</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color w:val="auto"/>
          <w:kern w:val="0"/>
          <w:sz w:val="24"/>
          <w:szCs w:val="24"/>
          <w:highlight w:val="none"/>
          <w:lang w:val="en-US" w:eastAsia="zh-CN" w:bidi="ar"/>
        </w:rPr>
        <w:t>本公司（联合</w:t>
      </w:r>
      <w:r>
        <w:rPr>
          <w:rFonts w:hint="eastAsia" w:ascii="宋体" w:hAnsi="宋体" w:eastAsia="宋体" w:cs="宋体"/>
          <w:i w:val="0"/>
          <w:iCs w:val="0"/>
          <w:color w:val="auto"/>
          <w:kern w:val="0"/>
          <w:sz w:val="24"/>
          <w:szCs w:val="24"/>
          <w:highlight w:val="none"/>
          <w:lang w:val="en-US" w:eastAsia="zh-CN" w:bidi="ar"/>
        </w:rPr>
        <w:t>体）郑重声明，根据《政府采购促进中小企业发展管理办法》（财库﹝2020﹞46号）的规定，本公司（联合体）参加</w:t>
      </w:r>
      <w:r>
        <w:rPr>
          <w:rFonts w:hint="eastAsia" w:ascii="宋体" w:hAnsi="宋体" w:eastAsia="宋体" w:cs="宋体"/>
          <w:i w:val="0"/>
          <w:iCs w:val="0"/>
          <w:color w:val="auto"/>
          <w:kern w:val="0"/>
          <w:sz w:val="24"/>
          <w:szCs w:val="24"/>
          <w:highlight w:val="none"/>
          <w:u w:val="single"/>
          <w:lang w:val="en-US" w:eastAsia="zh-CN" w:bidi="ar"/>
        </w:rPr>
        <w:t xml:space="preserve">  （单位名称）  </w:t>
      </w:r>
      <w:r>
        <w:rPr>
          <w:rFonts w:hint="eastAsia" w:ascii="宋体" w:hAnsi="宋体" w:eastAsia="宋体" w:cs="宋体"/>
          <w:i w:val="0"/>
          <w:iCs w:val="0"/>
          <w:color w:val="auto"/>
          <w:kern w:val="0"/>
          <w:sz w:val="24"/>
          <w:szCs w:val="24"/>
          <w:highlight w:val="none"/>
          <w:lang w:val="en-US" w:eastAsia="zh-CN" w:bidi="ar"/>
        </w:rPr>
        <w:t>的</w:t>
      </w:r>
      <w:r>
        <w:rPr>
          <w:rFonts w:hint="eastAsia" w:ascii="宋体" w:hAnsi="宋体" w:eastAsia="宋体" w:cs="宋体"/>
          <w:i w:val="0"/>
          <w:iCs w:val="0"/>
          <w:color w:val="auto"/>
          <w:kern w:val="0"/>
          <w:sz w:val="24"/>
          <w:szCs w:val="24"/>
          <w:highlight w:val="none"/>
          <w:u w:val="single"/>
          <w:lang w:val="en-US" w:eastAsia="zh-CN" w:bidi="ar"/>
        </w:rPr>
        <w:t xml:space="preserve">  （项目名称）  </w:t>
      </w:r>
      <w:r>
        <w:rPr>
          <w:rFonts w:hint="eastAsia" w:ascii="宋体" w:hAnsi="宋体" w:eastAsia="宋体" w:cs="宋体"/>
          <w:i w:val="0"/>
          <w:iCs w:val="0"/>
          <w:color w:val="auto"/>
          <w:kern w:val="0"/>
          <w:sz w:val="24"/>
          <w:szCs w:val="24"/>
          <w:highlight w:val="none"/>
          <w:lang w:val="en-US" w:eastAsia="zh-CN" w:bidi="ar"/>
        </w:rPr>
        <w:t xml:space="preserve">采购活动，提供的货物全部由符合政策要求的中小企业制造。相关企业（含联合体中的中小企业、签订分包意向协议的中小企业）的具体情况如下：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u w:val="single"/>
          <w:lang w:val="en-US" w:eastAsia="zh-CN" w:bidi="ar"/>
        </w:rPr>
        <w:t xml:space="preserve"> （标的名称）  </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 xml:space="preserve">  （采购文件中明确的所属行业） </w:t>
      </w:r>
      <w:r>
        <w:rPr>
          <w:rFonts w:hint="eastAsia" w:ascii="宋体" w:hAnsi="宋体" w:eastAsia="宋体" w:cs="宋体"/>
          <w:i w:val="0"/>
          <w:iCs w:val="0"/>
          <w:color w:val="auto"/>
          <w:kern w:val="0"/>
          <w:sz w:val="24"/>
          <w:szCs w:val="24"/>
          <w:highlight w:val="none"/>
          <w:lang w:val="en-US" w:eastAsia="zh-CN" w:bidi="ar"/>
        </w:rPr>
        <w:t>行业；制造商为</w:t>
      </w:r>
      <w:r>
        <w:rPr>
          <w:rFonts w:hint="eastAsia" w:ascii="宋体" w:hAnsi="宋体" w:eastAsia="宋体" w:cs="宋体"/>
          <w:i w:val="0"/>
          <w:iCs w:val="0"/>
          <w:color w:val="auto"/>
          <w:kern w:val="0"/>
          <w:sz w:val="24"/>
          <w:szCs w:val="24"/>
          <w:highlight w:val="none"/>
          <w:u w:val="single"/>
          <w:lang w:val="en-US" w:eastAsia="zh-CN" w:bidi="ar"/>
        </w:rPr>
        <w:t xml:space="preserve">  （企业名称）  </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w:t>
      </w:r>
      <w:r>
        <w:rPr>
          <w:rFonts w:hint="eastAsia" w:ascii="宋体" w:hAnsi="宋体" w:eastAsia="宋体" w:cs="宋体"/>
          <w:i w:val="0"/>
          <w:iCs w:val="0"/>
          <w:color w:val="auto"/>
          <w:kern w:val="0"/>
          <w:sz w:val="24"/>
          <w:szCs w:val="24"/>
          <w:highlight w:val="none"/>
          <w:vertAlign w:val="superscript"/>
          <w:lang w:val="en-US" w:eastAsia="zh-CN" w:bidi="ar"/>
        </w:rPr>
        <w:t>1</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（中型企业、小型企业、微型企业）</w:t>
      </w:r>
      <w:r>
        <w:rPr>
          <w:rFonts w:hint="eastAsia" w:ascii="宋体" w:hAnsi="宋体" w:eastAsia="宋体" w:cs="宋体"/>
          <w:i w:val="0"/>
          <w:iCs w:val="0"/>
          <w:color w:val="auto"/>
          <w:kern w:val="0"/>
          <w:sz w:val="24"/>
          <w:szCs w:val="24"/>
          <w:highlight w:val="none"/>
          <w:lang w:val="en-US" w:eastAsia="zh-CN" w:bidi="ar"/>
        </w:rPr>
        <w:t xml:space="preserve">；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u w:val="single"/>
          <w:lang w:val="en-US" w:eastAsia="zh-CN" w:bidi="ar"/>
        </w:rPr>
        <w:t xml:space="preserve"> （标的名称）  </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 xml:space="preserve">  （采购文件中明确的所属行业） </w:t>
      </w:r>
      <w:r>
        <w:rPr>
          <w:rFonts w:hint="eastAsia" w:ascii="宋体" w:hAnsi="宋体" w:eastAsia="宋体" w:cs="宋体"/>
          <w:i w:val="0"/>
          <w:iCs w:val="0"/>
          <w:color w:val="auto"/>
          <w:kern w:val="0"/>
          <w:sz w:val="24"/>
          <w:szCs w:val="24"/>
          <w:highlight w:val="none"/>
          <w:lang w:val="en-US" w:eastAsia="zh-CN" w:bidi="ar"/>
        </w:rPr>
        <w:t>行业；制造商为</w:t>
      </w:r>
      <w:r>
        <w:rPr>
          <w:rFonts w:hint="eastAsia" w:ascii="宋体" w:hAnsi="宋体" w:eastAsia="宋体" w:cs="宋体"/>
          <w:i w:val="0"/>
          <w:iCs w:val="0"/>
          <w:color w:val="auto"/>
          <w:kern w:val="0"/>
          <w:sz w:val="24"/>
          <w:szCs w:val="24"/>
          <w:highlight w:val="none"/>
          <w:u w:val="single"/>
          <w:lang w:val="en-US" w:eastAsia="zh-CN" w:bidi="ar"/>
        </w:rPr>
        <w:t xml:space="preserve">  （企业名称）  </w:t>
      </w:r>
      <w:r>
        <w:rPr>
          <w:rFonts w:hint="eastAsia" w:ascii="宋体" w:hAnsi="宋体" w:eastAsia="宋体" w:cs="宋体"/>
          <w:i w:val="0"/>
          <w:iCs w:val="0"/>
          <w:color w:val="auto"/>
          <w:kern w:val="0"/>
          <w:sz w:val="24"/>
          <w:szCs w:val="24"/>
          <w:highlight w:val="none"/>
          <w:lang w:val="en-US" w:eastAsia="zh-CN" w:bidi="ar"/>
        </w:rPr>
        <w:t>，从业人员</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人，营业收入为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万元，资产总额为</w:t>
      </w:r>
      <w:r>
        <w:rPr>
          <w:rFonts w:hint="eastAsia" w:ascii="宋体" w:hAnsi="宋体" w:eastAsia="宋体" w:cs="宋体"/>
          <w:i w:val="0"/>
          <w:iCs w:val="0"/>
          <w:color w:val="auto"/>
          <w:kern w:val="0"/>
          <w:sz w:val="24"/>
          <w:szCs w:val="24"/>
          <w:highlight w:val="none"/>
          <w:u w:val="single"/>
          <w:lang w:val="en-US" w:eastAsia="zh-CN" w:bidi="ar"/>
        </w:rPr>
        <w:t xml:space="preserve">        </w:t>
      </w:r>
      <w:r>
        <w:rPr>
          <w:rFonts w:hint="eastAsia" w:ascii="宋体" w:hAnsi="宋体" w:eastAsia="宋体" w:cs="宋体"/>
          <w:i w:val="0"/>
          <w:iCs w:val="0"/>
          <w:color w:val="auto"/>
          <w:kern w:val="0"/>
          <w:sz w:val="24"/>
          <w:szCs w:val="24"/>
          <w:highlight w:val="none"/>
          <w:lang w:val="en-US" w:eastAsia="zh-CN" w:bidi="ar"/>
        </w:rPr>
        <w:t>万元</w:t>
      </w:r>
      <w:r>
        <w:rPr>
          <w:rFonts w:hint="eastAsia" w:ascii="宋体" w:hAnsi="宋体" w:eastAsia="宋体" w:cs="宋体"/>
          <w:i w:val="0"/>
          <w:iCs w:val="0"/>
          <w:color w:val="auto"/>
          <w:kern w:val="0"/>
          <w:sz w:val="24"/>
          <w:szCs w:val="24"/>
          <w:highlight w:val="none"/>
          <w:vertAlign w:val="superscript"/>
          <w:lang w:val="en-US" w:eastAsia="zh-CN" w:bidi="ar"/>
        </w:rPr>
        <w:t>1</w:t>
      </w:r>
      <w:r>
        <w:rPr>
          <w:rFonts w:hint="eastAsia" w:ascii="宋体" w:hAnsi="宋体" w:eastAsia="宋体" w:cs="宋体"/>
          <w:i w:val="0"/>
          <w:iCs w:val="0"/>
          <w:color w:val="auto"/>
          <w:kern w:val="0"/>
          <w:sz w:val="24"/>
          <w:szCs w:val="24"/>
          <w:highlight w:val="none"/>
          <w:lang w:val="en-US" w:eastAsia="zh-CN" w:bidi="ar"/>
        </w:rPr>
        <w:t>，属于</w:t>
      </w:r>
      <w:r>
        <w:rPr>
          <w:rFonts w:hint="eastAsia" w:ascii="宋体" w:hAnsi="宋体" w:eastAsia="宋体" w:cs="宋体"/>
          <w:i w:val="0"/>
          <w:iCs w:val="0"/>
          <w:color w:val="auto"/>
          <w:kern w:val="0"/>
          <w:sz w:val="24"/>
          <w:szCs w:val="24"/>
          <w:highlight w:val="none"/>
          <w:u w:val="single"/>
          <w:lang w:val="en-US" w:eastAsia="zh-CN" w:bidi="ar"/>
        </w:rPr>
        <w:t>（中型企业、小型企业、微型企业）</w:t>
      </w:r>
      <w:r>
        <w:rPr>
          <w:rFonts w:hint="eastAsia" w:ascii="宋体" w:hAnsi="宋体" w:eastAsia="宋体" w:cs="宋体"/>
          <w:i w:val="0"/>
          <w:iCs w:val="0"/>
          <w:color w:val="auto"/>
          <w:kern w:val="0"/>
          <w:sz w:val="24"/>
          <w:szCs w:val="24"/>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422" w:leftChars="200"/>
        <w:jc w:val="left"/>
        <w:textAlignment w:val="auto"/>
        <w:rPr>
          <w:rFonts w:hint="eastAsia" w:ascii="宋体" w:hAnsi="宋体" w:eastAsia="宋体" w:cs="宋体"/>
          <w:i w:val="0"/>
          <w:iCs w:val="0"/>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 xml:space="preserve">企业名称（盖章）：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iCs w:val="0"/>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0" w:firstLineChars="2000"/>
        <w:jc w:val="left"/>
        <w:textAlignment w:val="auto"/>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kern w:val="0"/>
          <w:sz w:val="24"/>
          <w:szCs w:val="24"/>
          <w:highlight w:val="none"/>
          <w:lang w:val="en-US" w:eastAsia="zh-CN" w:bidi="ar"/>
        </w:rPr>
        <w:t xml:space="preserve">日 期： </w:t>
      </w:r>
    </w:p>
    <w:p>
      <w:pPr>
        <w:shd w:val="clear" w:color="auto" w:fill="auto"/>
        <w:spacing w:line="500" w:lineRule="exact"/>
        <w:outlineLvl w:val="1"/>
        <w:rPr>
          <w:rFonts w:hint="eastAsia" w:ascii="宋体" w:hAnsi="宋体" w:eastAsia="宋体" w:cs="宋体"/>
          <w:b w:val="0"/>
          <w:bCs/>
          <w:color w:val="auto"/>
          <w:kern w:val="2"/>
          <w:sz w:val="24"/>
          <w:highlight w:val="none"/>
          <w:lang w:val="en-US" w:eastAsia="zh-CN"/>
        </w:rPr>
      </w:pPr>
    </w:p>
    <w:p>
      <w:pPr>
        <w:shd w:val="clear" w:color="auto" w:fill="auto"/>
        <w:spacing w:line="500" w:lineRule="exact"/>
        <w:outlineLvl w:val="1"/>
        <w:rPr>
          <w:rFonts w:hint="eastAsia" w:ascii="宋体" w:hAnsi="宋体" w:eastAsia="宋体" w:cs="宋体"/>
          <w:b w:val="0"/>
          <w:bCs/>
          <w:color w:val="auto"/>
          <w:kern w:val="2"/>
          <w:sz w:val="24"/>
          <w:highlight w:val="none"/>
          <w:lang w:val="en-US" w:eastAsia="zh-CN"/>
        </w:rPr>
      </w:pPr>
    </w:p>
    <w:p>
      <w:pPr>
        <w:shd w:val="clear" w:color="auto" w:fill="auto"/>
        <w:spacing w:line="500" w:lineRule="exact"/>
        <w:outlineLvl w:val="1"/>
        <w:rPr>
          <w:rFonts w:hint="eastAsia" w:ascii="宋体" w:hAnsi="宋体" w:eastAsia="宋体" w:cs="宋体"/>
          <w:b w:val="0"/>
          <w:bCs/>
          <w:color w:val="auto"/>
          <w:kern w:val="2"/>
          <w:sz w:val="24"/>
          <w:highlight w:val="none"/>
          <w:lang w:val="en-US" w:eastAsia="zh-CN"/>
        </w:rPr>
      </w:pPr>
      <w:r>
        <w:rPr>
          <w:rFonts w:hint="eastAsia" w:ascii="宋体" w:hAnsi="宋体" w:eastAsia="宋体" w:cs="宋体"/>
          <w:b w:val="0"/>
          <w:bCs/>
          <w:color w:val="auto"/>
          <w:kern w:val="2"/>
          <w:sz w:val="24"/>
          <w:highlight w:val="none"/>
          <w:lang w:val="en-US" w:eastAsia="zh-CN"/>
        </w:rPr>
        <w:t>备注：1.从业人员、营业收入、资产总额填报上一年度的数据，无上一年度数据的新成立的企业可不填报。</w:t>
      </w:r>
    </w:p>
    <w:p>
      <w:pPr>
        <w:numPr>
          <w:ilvl w:val="0"/>
          <w:numId w:val="3"/>
        </w:numPr>
        <w:shd w:val="clear" w:color="auto" w:fill="auto"/>
        <w:spacing w:line="500" w:lineRule="exact"/>
        <w:ind w:left="0" w:leftChars="0" w:firstLine="482" w:firstLineChars="200"/>
        <w:outlineLvl w:val="1"/>
        <w:rPr>
          <w:rFonts w:hint="eastAsia" w:eastAsia="黑体"/>
          <w:color w:val="auto"/>
          <w:highlight w:val="none"/>
          <w:lang w:eastAsia="zh-CN"/>
        </w:rPr>
      </w:pPr>
      <w:r>
        <w:rPr>
          <w:rFonts w:hint="eastAsia" w:ascii="宋体" w:hAnsi="宋体" w:eastAsia="宋体" w:cs="宋体"/>
          <w:b w:val="0"/>
          <w:bCs/>
          <w:color w:val="auto"/>
          <w:kern w:val="2"/>
          <w:sz w:val="24"/>
          <w:highlight w:val="none"/>
          <w:lang w:val="en-US" w:eastAsia="zh-CN"/>
        </w:rPr>
        <w:t>投标企业按照《中小企业划型标准规定》（新财购 〔2022〕22号）文件规定，明确说明企业类型为中型企业、小型企业、微型企业，不得用中小微企业简单概括，否则，后果自负。</w:t>
      </w:r>
    </w:p>
    <w:sectPr>
      <w:pgSz w:w="11849" w:h="16781"/>
      <w:pgMar w:top="1440" w:right="1080" w:bottom="1440" w:left="1080" w:header="851" w:footer="850" w:gutter="0"/>
      <w:pgBorders>
        <w:top w:val="none" w:sz="0" w:space="0"/>
        <w:left w:val="none" w:sz="0" w:space="0"/>
        <w:bottom w:val="none" w:sz="0" w:space="0"/>
        <w:right w:val="none" w:sz="0" w:space="0"/>
      </w:pgBorders>
      <w:pgNumType w:fmt="decimal"/>
      <w:cols w:space="720" w:num="1"/>
      <w:formProt w:val="1"/>
      <w:titlePg/>
      <w:docGrid w:type="linesAndChars" w:linePitch="320"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D65BF0-82EA-4731-A187-F1E59EB9EA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D3864AB2-4342-4332-B2E4-DA6096C6231D}"/>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embedRegular r:id="rId3" w:fontKey="{BFE1F839-5516-44F7-9F5E-C51A3FD41BB7}"/>
  </w:font>
  <w:font w:name="Gadugi">
    <w:panose1 w:val="020B0502040204020203"/>
    <w:charset w:val="00"/>
    <w:family w:val="swiss"/>
    <w:pitch w:val="default"/>
    <w:sig w:usb0="80000003" w:usb1="02000000" w:usb2="00003000" w:usb3="00000000" w:csb0="00000001" w:csb1="00000000"/>
    <w:embedRegular r:id="rId4" w:fontKey="{1FBE7DE9-E496-47EA-AF3E-3920508F69B9}"/>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tQ4NcBAACzAwAADgAAAGRycy9lMm9Eb2MueG1srVNLjhMxEN0jcQfL&#10;e+JOJ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l&#10;8+xPF1JJZXeBCrF/BX2unfKJkll230SX/ySI0T65e766q3tkKh9ar9brgrYU7c0LwhH3x0NM+EaD&#10;YzmoeKTrG1yVp3cJx9K5JHfzcGuspbwsrf8rQZg5IzL3kWOOsN/3E/E91GfSQ++A+rQQv3DW0RRU&#10;3NPQc2bfejI5D8wcxDnYz4H0ig5WHDkbw9c4DFYmksLLIxK7gXRuPfabGNFdDrKnucvD8ud6qLp/&#10;a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bLUODXAQAAswMAAA4AAAAAAAAAAQAgAAAA&#10;HgEAAGRycy9lMm9Eb2MueG1sUEsFBgAAAAAGAAYAWQEAAGc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43</w:t>
                          </w:r>
                          <w:r>
                            <w:fldChar w:fldCharType="end"/>
                          </w:r>
                        </w:p>
                      </w:txbxContent>
                    </wps:txbx>
                    <wps:bodyPr vert="horz" wrap="none" lIns="0" tIns="0" rIns="0" bIns="0" anchor="t" anchorCtr="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V9asHXAQAAswMAAA4AAAAAAAAAAQAgAAAA&#10;HgEAAGRycy9lMm9Eb2MueG1sUEsFBgAAAAAGAAYAWQEAAGc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43</w:t>
                    </w:r>
                    <w:r>
                      <w:fldChar w:fldCharType="end"/>
                    </w:r>
                  </w:p>
                </w:txbxContent>
              </v:textbox>
            </v:shape>
          </w:pict>
        </mc:Fallback>
      </mc:AlternateContent>
    </w:r>
  </w:p>
  <w:p>
    <w:pPr>
      <w:pStyle w:val="24"/>
      <w:ind w:right="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CBEAC"/>
    <w:multiLevelType w:val="singleLevel"/>
    <w:tmpl w:val="E17CBEAC"/>
    <w:lvl w:ilvl="0" w:tentative="0">
      <w:start w:val="1"/>
      <w:numFmt w:val="decimal"/>
      <w:suff w:val="space"/>
      <w:lvlText w:val="%1."/>
      <w:lvlJc w:val="left"/>
    </w:lvl>
  </w:abstractNum>
  <w:abstractNum w:abstractNumId="1">
    <w:nsid w:val="F51AF284"/>
    <w:multiLevelType w:val="singleLevel"/>
    <w:tmpl w:val="F51AF284"/>
    <w:lvl w:ilvl="0" w:tentative="0">
      <w:start w:val="4"/>
      <w:numFmt w:val="chineseCounting"/>
      <w:suff w:val="space"/>
      <w:lvlText w:val="第%1章"/>
      <w:lvlJc w:val="left"/>
      <w:rPr>
        <w:rFonts w:hint="eastAsia"/>
      </w:rPr>
    </w:lvl>
  </w:abstractNum>
  <w:abstractNum w:abstractNumId="2">
    <w:nsid w:val="6E08D134"/>
    <w:multiLevelType w:val="singleLevel"/>
    <w:tmpl w:val="6E08D134"/>
    <w:lvl w:ilvl="0" w:tentative="0">
      <w:start w:val="3"/>
      <w:numFmt w:val="decimal"/>
      <w:lvlText w:val="%1."/>
      <w:lvlJc w:val="left"/>
      <w:pPr>
        <w:tabs>
          <w:tab w:val="left" w:pos="312"/>
        </w:tabs>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小怪">
    <w15:presenceInfo w15:providerId="None" w15:userId="李小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0" w:hash="xf+cwHGN8LZGhxSl4D5KKCq/sRc=" w:salt="9LO/ZJE5qPE9IXixqScIMg=="/>
  <w:defaultTabStop w:val="420"/>
  <w:drawingGridHorizontalSpacing w:val="211"/>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yNzBiMzMwZmFjNzg0NDkxN2JmMTI5NDlkODM2MTAifQ=="/>
  </w:docVars>
  <w:rsids>
    <w:rsidRoot w:val="00172A27"/>
    <w:rsid w:val="00003C62"/>
    <w:rsid w:val="000753C1"/>
    <w:rsid w:val="000A6955"/>
    <w:rsid w:val="000B53BA"/>
    <w:rsid w:val="000C5C09"/>
    <w:rsid w:val="000F7BBD"/>
    <w:rsid w:val="001063F0"/>
    <w:rsid w:val="00165E48"/>
    <w:rsid w:val="00167902"/>
    <w:rsid w:val="001A366C"/>
    <w:rsid w:val="001D51A4"/>
    <w:rsid w:val="0025117F"/>
    <w:rsid w:val="0026140F"/>
    <w:rsid w:val="002732E8"/>
    <w:rsid w:val="0030117C"/>
    <w:rsid w:val="003176F4"/>
    <w:rsid w:val="00332374"/>
    <w:rsid w:val="00346F5B"/>
    <w:rsid w:val="00373341"/>
    <w:rsid w:val="003C7DE4"/>
    <w:rsid w:val="003F768E"/>
    <w:rsid w:val="004B3101"/>
    <w:rsid w:val="0051483B"/>
    <w:rsid w:val="0058130E"/>
    <w:rsid w:val="00631B68"/>
    <w:rsid w:val="0067302B"/>
    <w:rsid w:val="006745FB"/>
    <w:rsid w:val="006F6486"/>
    <w:rsid w:val="0070079F"/>
    <w:rsid w:val="00703375"/>
    <w:rsid w:val="0072631F"/>
    <w:rsid w:val="007405CC"/>
    <w:rsid w:val="00763793"/>
    <w:rsid w:val="00830DF0"/>
    <w:rsid w:val="0083223E"/>
    <w:rsid w:val="00853042"/>
    <w:rsid w:val="00883290"/>
    <w:rsid w:val="008925FA"/>
    <w:rsid w:val="008F4488"/>
    <w:rsid w:val="0093342C"/>
    <w:rsid w:val="00952DE3"/>
    <w:rsid w:val="00984CD2"/>
    <w:rsid w:val="009F2F5F"/>
    <w:rsid w:val="00A07D37"/>
    <w:rsid w:val="00AD6A92"/>
    <w:rsid w:val="00B47493"/>
    <w:rsid w:val="00B644B8"/>
    <w:rsid w:val="00BA429D"/>
    <w:rsid w:val="00BC5BB4"/>
    <w:rsid w:val="00BF507D"/>
    <w:rsid w:val="00C07ABF"/>
    <w:rsid w:val="00C116E1"/>
    <w:rsid w:val="00CF2C43"/>
    <w:rsid w:val="00D0234C"/>
    <w:rsid w:val="00D15798"/>
    <w:rsid w:val="00D225E9"/>
    <w:rsid w:val="00D25BCD"/>
    <w:rsid w:val="00D37F56"/>
    <w:rsid w:val="00D43607"/>
    <w:rsid w:val="00D57BF0"/>
    <w:rsid w:val="00D70800"/>
    <w:rsid w:val="00D86EDF"/>
    <w:rsid w:val="00DA1FFD"/>
    <w:rsid w:val="00DA2A72"/>
    <w:rsid w:val="00DC3617"/>
    <w:rsid w:val="00DD227A"/>
    <w:rsid w:val="00E3711A"/>
    <w:rsid w:val="00E43A05"/>
    <w:rsid w:val="00F03C14"/>
    <w:rsid w:val="00F05134"/>
    <w:rsid w:val="00F64E45"/>
    <w:rsid w:val="00F84286"/>
    <w:rsid w:val="00FC5EBD"/>
    <w:rsid w:val="01173CCB"/>
    <w:rsid w:val="016013D0"/>
    <w:rsid w:val="01635760"/>
    <w:rsid w:val="018A7122"/>
    <w:rsid w:val="019473A1"/>
    <w:rsid w:val="022879E2"/>
    <w:rsid w:val="024F49D6"/>
    <w:rsid w:val="0295396D"/>
    <w:rsid w:val="02B324CD"/>
    <w:rsid w:val="02DD2AF9"/>
    <w:rsid w:val="03886512"/>
    <w:rsid w:val="038960E2"/>
    <w:rsid w:val="0433238B"/>
    <w:rsid w:val="047409BB"/>
    <w:rsid w:val="051E6B17"/>
    <w:rsid w:val="0559550E"/>
    <w:rsid w:val="05693243"/>
    <w:rsid w:val="05974AA5"/>
    <w:rsid w:val="05A621B6"/>
    <w:rsid w:val="05FE23FC"/>
    <w:rsid w:val="064151B9"/>
    <w:rsid w:val="064365B1"/>
    <w:rsid w:val="06BF021D"/>
    <w:rsid w:val="073D4040"/>
    <w:rsid w:val="07C431B3"/>
    <w:rsid w:val="07CF60E2"/>
    <w:rsid w:val="07E04497"/>
    <w:rsid w:val="07E15ABC"/>
    <w:rsid w:val="082500FC"/>
    <w:rsid w:val="08E71321"/>
    <w:rsid w:val="08E86C1C"/>
    <w:rsid w:val="08F25D05"/>
    <w:rsid w:val="08FF192A"/>
    <w:rsid w:val="09453E86"/>
    <w:rsid w:val="098228E0"/>
    <w:rsid w:val="09C377BE"/>
    <w:rsid w:val="09F34AC2"/>
    <w:rsid w:val="0A5115EC"/>
    <w:rsid w:val="0A844D51"/>
    <w:rsid w:val="0AD11B3A"/>
    <w:rsid w:val="0ADB3D49"/>
    <w:rsid w:val="0B2B7606"/>
    <w:rsid w:val="0B2C5FBE"/>
    <w:rsid w:val="0B3C78FC"/>
    <w:rsid w:val="0BF62F7B"/>
    <w:rsid w:val="0D101CF6"/>
    <w:rsid w:val="0D31657A"/>
    <w:rsid w:val="0D5B214A"/>
    <w:rsid w:val="0D6A2250"/>
    <w:rsid w:val="0D7672FE"/>
    <w:rsid w:val="0D8021C5"/>
    <w:rsid w:val="0D955886"/>
    <w:rsid w:val="0DA92F2C"/>
    <w:rsid w:val="0DC64938"/>
    <w:rsid w:val="0DF1059F"/>
    <w:rsid w:val="0DFB1334"/>
    <w:rsid w:val="0E75708C"/>
    <w:rsid w:val="0E7D4757"/>
    <w:rsid w:val="0EB05A3D"/>
    <w:rsid w:val="0F1D15B2"/>
    <w:rsid w:val="0FB7470E"/>
    <w:rsid w:val="0FD678C3"/>
    <w:rsid w:val="102B16C1"/>
    <w:rsid w:val="107A53D2"/>
    <w:rsid w:val="108D2B5A"/>
    <w:rsid w:val="10B21CA9"/>
    <w:rsid w:val="10C26139"/>
    <w:rsid w:val="10D21ADF"/>
    <w:rsid w:val="10E24DDC"/>
    <w:rsid w:val="112C04FC"/>
    <w:rsid w:val="115403AD"/>
    <w:rsid w:val="117D76A4"/>
    <w:rsid w:val="1199524B"/>
    <w:rsid w:val="11997894"/>
    <w:rsid w:val="11B709D6"/>
    <w:rsid w:val="120144B3"/>
    <w:rsid w:val="122A5027"/>
    <w:rsid w:val="123166D0"/>
    <w:rsid w:val="123C5576"/>
    <w:rsid w:val="1246139A"/>
    <w:rsid w:val="12B17149"/>
    <w:rsid w:val="12B5311C"/>
    <w:rsid w:val="12C14AAE"/>
    <w:rsid w:val="12F3409C"/>
    <w:rsid w:val="137142AD"/>
    <w:rsid w:val="13F93147"/>
    <w:rsid w:val="14B81CCB"/>
    <w:rsid w:val="14CC3BA1"/>
    <w:rsid w:val="15787A38"/>
    <w:rsid w:val="15AF388D"/>
    <w:rsid w:val="15D138AE"/>
    <w:rsid w:val="16000E62"/>
    <w:rsid w:val="16061545"/>
    <w:rsid w:val="162703B1"/>
    <w:rsid w:val="16313E35"/>
    <w:rsid w:val="16AC60CF"/>
    <w:rsid w:val="17BE4294"/>
    <w:rsid w:val="17E83B57"/>
    <w:rsid w:val="182A42C7"/>
    <w:rsid w:val="1862753A"/>
    <w:rsid w:val="187A14F7"/>
    <w:rsid w:val="187F4602"/>
    <w:rsid w:val="188B49BC"/>
    <w:rsid w:val="19266AA2"/>
    <w:rsid w:val="19325B0D"/>
    <w:rsid w:val="196A7480"/>
    <w:rsid w:val="19BE1726"/>
    <w:rsid w:val="19C33ED8"/>
    <w:rsid w:val="1A576464"/>
    <w:rsid w:val="1A5E2BA6"/>
    <w:rsid w:val="1A91263B"/>
    <w:rsid w:val="1AEB66FE"/>
    <w:rsid w:val="1AED41E1"/>
    <w:rsid w:val="1AF04D2B"/>
    <w:rsid w:val="1B3E46EE"/>
    <w:rsid w:val="1B673614"/>
    <w:rsid w:val="1BA36A22"/>
    <w:rsid w:val="1BC36652"/>
    <w:rsid w:val="1BCF0D33"/>
    <w:rsid w:val="1C112D74"/>
    <w:rsid w:val="1C175D58"/>
    <w:rsid w:val="1C3F73CF"/>
    <w:rsid w:val="1C8036F4"/>
    <w:rsid w:val="1CA039DA"/>
    <w:rsid w:val="1D064A15"/>
    <w:rsid w:val="1D13456F"/>
    <w:rsid w:val="1D2944E2"/>
    <w:rsid w:val="1D305461"/>
    <w:rsid w:val="1D974FFA"/>
    <w:rsid w:val="1D9B31D7"/>
    <w:rsid w:val="1DD65AC2"/>
    <w:rsid w:val="1DF11D76"/>
    <w:rsid w:val="1E271BD3"/>
    <w:rsid w:val="1E2F5494"/>
    <w:rsid w:val="1EAA5F8C"/>
    <w:rsid w:val="1EB95181"/>
    <w:rsid w:val="1EC010D9"/>
    <w:rsid w:val="1F292168"/>
    <w:rsid w:val="1FF53BC6"/>
    <w:rsid w:val="201F7D2F"/>
    <w:rsid w:val="21081C2F"/>
    <w:rsid w:val="22266BE9"/>
    <w:rsid w:val="22435E24"/>
    <w:rsid w:val="22586C69"/>
    <w:rsid w:val="227501DD"/>
    <w:rsid w:val="227828C6"/>
    <w:rsid w:val="22A8649E"/>
    <w:rsid w:val="22A91538"/>
    <w:rsid w:val="233A16E2"/>
    <w:rsid w:val="237A67EB"/>
    <w:rsid w:val="238E39DD"/>
    <w:rsid w:val="239A54B3"/>
    <w:rsid w:val="247509EE"/>
    <w:rsid w:val="24DE2873"/>
    <w:rsid w:val="250D220C"/>
    <w:rsid w:val="258204E4"/>
    <w:rsid w:val="259326D5"/>
    <w:rsid w:val="25943E05"/>
    <w:rsid w:val="25A369CC"/>
    <w:rsid w:val="25DD38BE"/>
    <w:rsid w:val="26767D9B"/>
    <w:rsid w:val="26EF19BD"/>
    <w:rsid w:val="28105DF5"/>
    <w:rsid w:val="28477572"/>
    <w:rsid w:val="2849009C"/>
    <w:rsid w:val="289163B7"/>
    <w:rsid w:val="28A8385D"/>
    <w:rsid w:val="28BE3B7E"/>
    <w:rsid w:val="2909732C"/>
    <w:rsid w:val="29153CE8"/>
    <w:rsid w:val="292E0044"/>
    <w:rsid w:val="29694793"/>
    <w:rsid w:val="29C4272A"/>
    <w:rsid w:val="29EE6148"/>
    <w:rsid w:val="2A311D0D"/>
    <w:rsid w:val="2A542D0A"/>
    <w:rsid w:val="2B610CBD"/>
    <w:rsid w:val="2B613316"/>
    <w:rsid w:val="2B63029C"/>
    <w:rsid w:val="2B780067"/>
    <w:rsid w:val="2BB56DBC"/>
    <w:rsid w:val="2C545A11"/>
    <w:rsid w:val="2C632E2B"/>
    <w:rsid w:val="2CF61AF0"/>
    <w:rsid w:val="2D1C7E1E"/>
    <w:rsid w:val="2D340777"/>
    <w:rsid w:val="2DEF55E1"/>
    <w:rsid w:val="2E0C75F0"/>
    <w:rsid w:val="2EC61C98"/>
    <w:rsid w:val="2F33375F"/>
    <w:rsid w:val="2F402EC7"/>
    <w:rsid w:val="2F5431B5"/>
    <w:rsid w:val="2F66112D"/>
    <w:rsid w:val="2F6C4621"/>
    <w:rsid w:val="2FA637FF"/>
    <w:rsid w:val="2FB54640"/>
    <w:rsid w:val="2FC33707"/>
    <w:rsid w:val="2FF818F2"/>
    <w:rsid w:val="30225405"/>
    <w:rsid w:val="302B0395"/>
    <w:rsid w:val="30793D80"/>
    <w:rsid w:val="307D2DC6"/>
    <w:rsid w:val="30AA70A7"/>
    <w:rsid w:val="30CA1ACE"/>
    <w:rsid w:val="30F23077"/>
    <w:rsid w:val="31684199"/>
    <w:rsid w:val="316D1446"/>
    <w:rsid w:val="31CB722E"/>
    <w:rsid w:val="320E6490"/>
    <w:rsid w:val="32405ADB"/>
    <w:rsid w:val="32526A37"/>
    <w:rsid w:val="3276573F"/>
    <w:rsid w:val="32B559A6"/>
    <w:rsid w:val="33106F80"/>
    <w:rsid w:val="337D7369"/>
    <w:rsid w:val="337E52D9"/>
    <w:rsid w:val="33A51B5B"/>
    <w:rsid w:val="33C22062"/>
    <w:rsid w:val="33F368EF"/>
    <w:rsid w:val="346158A6"/>
    <w:rsid w:val="34B42CCD"/>
    <w:rsid w:val="34CA77B1"/>
    <w:rsid w:val="34DE716A"/>
    <w:rsid w:val="35020AAA"/>
    <w:rsid w:val="353F1421"/>
    <w:rsid w:val="35723701"/>
    <w:rsid w:val="35B60111"/>
    <w:rsid w:val="35BA2516"/>
    <w:rsid w:val="3602320C"/>
    <w:rsid w:val="3617633F"/>
    <w:rsid w:val="36411B10"/>
    <w:rsid w:val="366A6A22"/>
    <w:rsid w:val="36A26DE7"/>
    <w:rsid w:val="36F933CB"/>
    <w:rsid w:val="371C7AAB"/>
    <w:rsid w:val="37B25057"/>
    <w:rsid w:val="37B70BA2"/>
    <w:rsid w:val="38004A0B"/>
    <w:rsid w:val="381D56EE"/>
    <w:rsid w:val="38297E13"/>
    <w:rsid w:val="382F4E1F"/>
    <w:rsid w:val="383B12A9"/>
    <w:rsid w:val="38F4304F"/>
    <w:rsid w:val="38F85ED7"/>
    <w:rsid w:val="3957510F"/>
    <w:rsid w:val="39635426"/>
    <w:rsid w:val="39886E12"/>
    <w:rsid w:val="3993018B"/>
    <w:rsid w:val="39B34D56"/>
    <w:rsid w:val="39EE5CF0"/>
    <w:rsid w:val="3ACE7E05"/>
    <w:rsid w:val="3AF94EF1"/>
    <w:rsid w:val="3B1C7079"/>
    <w:rsid w:val="3B4E3ADC"/>
    <w:rsid w:val="3B524430"/>
    <w:rsid w:val="3B8C283C"/>
    <w:rsid w:val="3B961CAD"/>
    <w:rsid w:val="3BAE4AE2"/>
    <w:rsid w:val="3BC167D4"/>
    <w:rsid w:val="3BD907AC"/>
    <w:rsid w:val="3C5B1475"/>
    <w:rsid w:val="3C854E7E"/>
    <w:rsid w:val="3C880E5F"/>
    <w:rsid w:val="3C886CBA"/>
    <w:rsid w:val="3C94254C"/>
    <w:rsid w:val="3D272401"/>
    <w:rsid w:val="3D507808"/>
    <w:rsid w:val="3DA730FA"/>
    <w:rsid w:val="3DD6529A"/>
    <w:rsid w:val="3E3773F4"/>
    <w:rsid w:val="3E796221"/>
    <w:rsid w:val="3EFB1159"/>
    <w:rsid w:val="3F0F5DCF"/>
    <w:rsid w:val="3F2322D0"/>
    <w:rsid w:val="3F4B1A85"/>
    <w:rsid w:val="3F715518"/>
    <w:rsid w:val="3F9F33C1"/>
    <w:rsid w:val="3FDE6E17"/>
    <w:rsid w:val="3FE1204D"/>
    <w:rsid w:val="405C2DB5"/>
    <w:rsid w:val="40646949"/>
    <w:rsid w:val="40EF4D18"/>
    <w:rsid w:val="411A7060"/>
    <w:rsid w:val="416C3E59"/>
    <w:rsid w:val="42B94CE0"/>
    <w:rsid w:val="42C16357"/>
    <w:rsid w:val="4301434A"/>
    <w:rsid w:val="430F2571"/>
    <w:rsid w:val="433D192B"/>
    <w:rsid w:val="435417B4"/>
    <w:rsid w:val="43576A87"/>
    <w:rsid w:val="43714522"/>
    <w:rsid w:val="439124A0"/>
    <w:rsid w:val="43A306B0"/>
    <w:rsid w:val="43D23D52"/>
    <w:rsid w:val="441C0DC5"/>
    <w:rsid w:val="44283894"/>
    <w:rsid w:val="448E0768"/>
    <w:rsid w:val="453F5652"/>
    <w:rsid w:val="45F75E9C"/>
    <w:rsid w:val="466B0776"/>
    <w:rsid w:val="46AC6702"/>
    <w:rsid w:val="46AD4E27"/>
    <w:rsid w:val="477E22DB"/>
    <w:rsid w:val="47B473D8"/>
    <w:rsid w:val="47E61E3E"/>
    <w:rsid w:val="47FE11CB"/>
    <w:rsid w:val="484350D5"/>
    <w:rsid w:val="485123ED"/>
    <w:rsid w:val="48D504B0"/>
    <w:rsid w:val="48EC4FB0"/>
    <w:rsid w:val="49245882"/>
    <w:rsid w:val="4993630D"/>
    <w:rsid w:val="49E63AA5"/>
    <w:rsid w:val="49E8375D"/>
    <w:rsid w:val="4A161F74"/>
    <w:rsid w:val="4A3C1732"/>
    <w:rsid w:val="4A5A3A74"/>
    <w:rsid w:val="4AC96659"/>
    <w:rsid w:val="4AD532DE"/>
    <w:rsid w:val="4B3427B3"/>
    <w:rsid w:val="4B5A2F69"/>
    <w:rsid w:val="4BFD7114"/>
    <w:rsid w:val="4C106103"/>
    <w:rsid w:val="4C4A75D6"/>
    <w:rsid w:val="4C5F605E"/>
    <w:rsid w:val="4C676F59"/>
    <w:rsid w:val="4D1C6245"/>
    <w:rsid w:val="4D210D5A"/>
    <w:rsid w:val="4D2350FD"/>
    <w:rsid w:val="4D8F3A18"/>
    <w:rsid w:val="4E4010B6"/>
    <w:rsid w:val="4EB67194"/>
    <w:rsid w:val="4ECD4ADA"/>
    <w:rsid w:val="4EE91621"/>
    <w:rsid w:val="4EEA2AD2"/>
    <w:rsid w:val="4EF5780B"/>
    <w:rsid w:val="4F05764A"/>
    <w:rsid w:val="4F194111"/>
    <w:rsid w:val="4F201DF8"/>
    <w:rsid w:val="4F24050B"/>
    <w:rsid w:val="4F401CFC"/>
    <w:rsid w:val="4FAB34B3"/>
    <w:rsid w:val="504A2684"/>
    <w:rsid w:val="509B1C9F"/>
    <w:rsid w:val="50BF20B4"/>
    <w:rsid w:val="50C8028E"/>
    <w:rsid w:val="50F97DF7"/>
    <w:rsid w:val="51225607"/>
    <w:rsid w:val="51465A31"/>
    <w:rsid w:val="515A188C"/>
    <w:rsid w:val="51916677"/>
    <w:rsid w:val="51954DC4"/>
    <w:rsid w:val="51E54820"/>
    <w:rsid w:val="52350868"/>
    <w:rsid w:val="52981639"/>
    <w:rsid w:val="52F139F9"/>
    <w:rsid w:val="531943CA"/>
    <w:rsid w:val="53814C58"/>
    <w:rsid w:val="538E1277"/>
    <w:rsid w:val="53BB4C02"/>
    <w:rsid w:val="53D16C6D"/>
    <w:rsid w:val="53D3104E"/>
    <w:rsid w:val="54013F1A"/>
    <w:rsid w:val="5422777B"/>
    <w:rsid w:val="54433B74"/>
    <w:rsid w:val="54491F77"/>
    <w:rsid w:val="54BF0305"/>
    <w:rsid w:val="55332BC8"/>
    <w:rsid w:val="554C3C11"/>
    <w:rsid w:val="558D7927"/>
    <w:rsid w:val="559F6600"/>
    <w:rsid w:val="55A049C9"/>
    <w:rsid w:val="55B17635"/>
    <w:rsid w:val="55E87C83"/>
    <w:rsid w:val="56105E1B"/>
    <w:rsid w:val="56600583"/>
    <w:rsid w:val="567D3626"/>
    <w:rsid w:val="5698459A"/>
    <w:rsid w:val="571B0968"/>
    <w:rsid w:val="57373921"/>
    <w:rsid w:val="5761747E"/>
    <w:rsid w:val="5784039E"/>
    <w:rsid w:val="57AD6BDE"/>
    <w:rsid w:val="585A735E"/>
    <w:rsid w:val="5889236E"/>
    <w:rsid w:val="58A2694A"/>
    <w:rsid w:val="58FF11E9"/>
    <w:rsid w:val="59012EF2"/>
    <w:rsid w:val="594837F6"/>
    <w:rsid w:val="5A5654C0"/>
    <w:rsid w:val="5AA716CE"/>
    <w:rsid w:val="5B155E7E"/>
    <w:rsid w:val="5B625960"/>
    <w:rsid w:val="5B737047"/>
    <w:rsid w:val="5B744632"/>
    <w:rsid w:val="5B9A1264"/>
    <w:rsid w:val="5BB81552"/>
    <w:rsid w:val="5BD7432D"/>
    <w:rsid w:val="5C280538"/>
    <w:rsid w:val="5C6A0DAE"/>
    <w:rsid w:val="5C9B5D88"/>
    <w:rsid w:val="5CD65F6E"/>
    <w:rsid w:val="5CF81579"/>
    <w:rsid w:val="5CFB0DFB"/>
    <w:rsid w:val="5D2577AF"/>
    <w:rsid w:val="5D445FCA"/>
    <w:rsid w:val="5DA3480C"/>
    <w:rsid w:val="5DED7EE9"/>
    <w:rsid w:val="5E720F4B"/>
    <w:rsid w:val="5E7B0091"/>
    <w:rsid w:val="5E897D7A"/>
    <w:rsid w:val="5EF6659A"/>
    <w:rsid w:val="5EFF46B7"/>
    <w:rsid w:val="5F5F1388"/>
    <w:rsid w:val="5F71400A"/>
    <w:rsid w:val="5F736501"/>
    <w:rsid w:val="5F7E3425"/>
    <w:rsid w:val="5F981C5C"/>
    <w:rsid w:val="5FB40174"/>
    <w:rsid w:val="60015023"/>
    <w:rsid w:val="603B5ECF"/>
    <w:rsid w:val="609F6E44"/>
    <w:rsid w:val="60D175CE"/>
    <w:rsid w:val="61347034"/>
    <w:rsid w:val="617632EF"/>
    <w:rsid w:val="61D0685C"/>
    <w:rsid w:val="6264611A"/>
    <w:rsid w:val="627D63D9"/>
    <w:rsid w:val="62D67852"/>
    <w:rsid w:val="62E86420"/>
    <w:rsid w:val="62F15CB2"/>
    <w:rsid w:val="639A3265"/>
    <w:rsid w:val="63A131C7"/>
    <w:rsid w:val="63D1751B"/>
    <w:rsid w:val="64544B53"/>
    <w:rsid w:val="645D27F2"/>
    <w:rsid w:val="647F6A9B"/>
    <w:rsid w:val="649138F0"/>
    <w:rsid w:val="65126B47"/>
    <w:rsid w:val="65337B67"/>
    <w:rsid w:val="653A5C0A"/>
    <w:rsid w:val="65644DE5"/>
    <w:rsid w:val="65BC5D9C"/>
    <w:rsid w:val="66702E7D"/>
    <w:rsid w:val="6674420D"/>
    <w:rsid w:val="66947AAE"/>
    <w:rsid w:val="66DA24FF"/>
    <w:rsid w:val="671B0DEE"/>
    <w:rsid w:val="673D67D5"/>
    <w:rsid w:val="676B542A"/>
    <w:rsid w:val="67AE5443"/>
    <w:rsid w:val="67B55092"/>
    <w:rsid w:val="67DB36FF"/>
    <w:rsid w:val="67E64509"/>
    <w:rsid w:val="680B382E"/>
    <w:rsid w:val="684D253B"/>
    <w:rsid w:val="68812921"/>
    <w:rsid w:val="68A47ACC"/>
    <w:rsid w:val="68E071B6"/>
    <w:rsid w:val="691557D8"/>
    <w:rsid w:val="693817C1"/>
    <w:rsid w:val="693E68F2"/>
    <w:rsid w:val="694C6D83"/>
    <w:rsid w:val="69A5208A"/>
    <w:rsid w:val="6A2F5732"/>
    <w:rsid w:val="6A5554BC"/>
    <w:rsid w:val="6A8D57A8"/>
    <w:rsid w:val="6A904222"/>
    <w:rsid w:val="6AC16556"/>
    <w:rsid w:val="6ACC3DDB"/>
    <w:rsid w:val="6B1E6707"/>
    <w:rsid w:val="6B2D64F1"/>
    <w:rsid w:val="6B6E5571"/>
    <w:rsid w:val="6BDA4285"/>
    <w:rsid w:val="6C145039"/>
    <w:rsid w:val="6C597E1F"/>
    <w:rsid w:val="6C5F55F7"/>
    <w:rsid w:val="6CAF6C96"/>
    <w:rsid w:val="6CBF282C"/>
    <w:rsid w:val="6CD57318"/>
    <w:rsid w:val="6D5D34FD"/>
    <w:rsid w:val="6D837E69"/>
    <w:rsid w:val="6D8B5B2C"/>
    <w:rsid w:val="6D9601AB"/>
    <w:rsid w:val="6D973764"/>
    <w:rsid w:val="6E0D7885"/>
    <w:rsid w:val="6E1714B9"/>
    <w:rsid w:val="6E3C29A6"/>
    <w:rsid w:val="6E8A605A"/>
    <w:rsid w:val="6EAE7221"/>
    <w:rsid w:val="6EBC2E61"/>
    <w:rsid w:val="6F0E08A8"/>
    <w:rsid w:val="6F5328AC"/>
    <w:rsid w:val="6FD061FE"/>
    <w:rsid w:val="70003696"/>
    <w:rsid w:val="71940A0B"/>
    <w:rsid w:val="71D61160"/>
    <w:rsid w:val="71E35433"/>
    <w:rsid w:val="72245CE7"/>
    <w:rsid w:val="724D37C9"/>
    <w:rsid w:val="725F31F9"/>
    <w:rsid w:val="728D783F"/>
    <w:rsid w:val="72B166D3"/>
    <w:rsid w:val="73A96787"/>
    <w:rsid w:val="73AD4ABD"/>
    <w:rsid w:val="73F258E2"/>
    <w:rsid w:val="74460FCB"/>
    <w:rsid w:val="746658A8"/>
    <w:rsid w:val="75C83E97"/>
    <w:rsid w:val="76041394"/>
    <w:rsid w:val="76170AC2"/>
    <w:rsid w:val="76301C64"/>
    <w:rsid w:val="76363A60"/>
    <w:rsid w:val="76397933"/>
    <w:rsid w:val="766F722C"/>
    <w:rsid w:val="76715094"/>
    <w:rsid w:val="76873FEE"/>
    <w:rsid w:val="76BC6A81"/>
    <w:rsid w:val="7702437C"/>
    <w:rsid w:val="772F12AF"/>
    <w:rsid w:val="775B7D77"/>
    <w:rsid w:val="775D151C"/>
    <w:rsid w:val="77781711"/>
    <w:rsid w:val="779852C0"/>
    <w:rsid w:val="77E67B2B"/>
    <w:rsid w:val="78231C7E"/>
    <w:rsid w:val="784B5EED"/>
    <w:rsid w:val="78C71084"/>
    <w:rsid w:val="78E41C5D"/>
    <w:rsid w:val="78ED58DE"/>
    <w:rsid w:val="7919798C"/>
    <w:rsid w:val="794C034D"/>
    <w:rsid w:val="795D344E"/>
    <w:rsid w:val="79621333"/>
    <w:rsid w:val="7965329C"/>
    <w:rsid w:val="7967694A"/>
    <w:rsid w:val="79830C39"/>
    <w:rsid w:val="7A301B7F"/>
    <w:rsid w:val="7A4655D4"/>
    <w:rsid w:val="7A8C117F"/>
    <w:rsid w:val="7AE846B9"/>
    <w:rsid w:val="7B115CE4"/>
    <w:rsid w:val="7C3C065A"/>
    <w:rsid w:val="7C3D36B5"/>
    <w:rsid w:val="7C6A79A9"/>
    <w:rsid w:val="7CB73D7E"/>
    <w:rsid w:val="7D234DB2"/>
    <w:rsid w:val="7D3C11AB"/>
    <w:rsid w:val="7D4D431F"/>
    <w:rsid w:val="7D66281E"/>
    <w:rsid w:val="7D6B36DC"/>
    <w:rsid w:val="7DEB5A61"/>
    <w:rsid w:val="7E2F4529"/>
    <w:rsid w:val="7E822449"/>
    <w:rsid w:val="7EEF3696"/>
    <w:rsid w:val="7F486F5C"/>
    <w:rsid w:val="7F4D4199"/>
    <w:rsid w:val="7F704198"/>
    <w:rsid w:val="7F855F62"/>
    <w:rsid w:val="7F861250"/>
    <w:rsid w:val="7FB82687"/>
    <w:rsid w:val="7FC31B1E"/>
    <w:rsid w:val="7FDE6FEC"/>
    <w:rsid w:val="7FE31B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ocked="1"/>
    <w:lsdException w:qFormat="1" w:uiPriority="99" w:semiHidden="0" w:name="footnote text" w:locked="1"/>
    <w:lsdException w:qFormat="1" w:unhideWhenUsed="0" w:uiPriority="0" w:semiHidden="0" w:name="annotation text" w:locked="1"/>
    <w:lsdException w:qFormat="1" w:unhideWhenUsed="0" w:uiPriority="0" w:semiHidden="0" w:name="header" w:locked="1"/>
    <w:lsdException w:qFormat="1"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qFormat="1" w:unhideWhenUsed="0" w:uiPriority="0" w:semiHidden="0" w:name="envelope return" w:locked="1"/>
    <w:lsdException w:unhideWhenUsed="0" w:uiPriority="0" w:semiHidden="0" w:name="footnote reference" w:locked="1"/>
    <w:lsdException w:qFormat="1"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qFormat="1" w:unhideWhenUsed="0" w:uiPriority="0" w:semiHidden="0" w:name="table of authorities" w:locked="1"/>
    <w:lsdException w:unhideWhenUsed="0" w:uiPriority="0" w:semiHidden="0" w:name="macro" w:locked="1"/>
    <w:lsdException w:qFormat="1" w:uiPriority="99"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semiHidden="0" w:name="Default Paragraph Font"/>
    <w:lsdException w:qFormat="1" w:unhideWhenUsed="0" w:uiPriority="0" w:semiHidden="0" w:name="Body Text" w:locked="1"/>
    <w:lsdException w:qFormat="1"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qFormat="1"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ocked="1"/>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99" w:semiHidden="0" w:name="Hyperlink" w:locked="1"/>
    <w:lsdException w:qFormat="1" w:unhideWhenUsed="0" w:uiPriority="99"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ocked="1"/>
    <w:lsdException w:qFormat="1" w:unhideWhenUsed="0" w:uiPriority="0" w:semiHidden="0" w:name="HTML Acronym" w:locked="1"/>
    <w:lsdException w:unhideWhenUsed="0" w:uiPriority="0" w:semiHidden="0"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ocked="1"/>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iPriority="99" w:semiHidden="0" w:name="Normal Table"/>
    <w:lsdException w:qFormat="1" w:unhideWhenUsed="0" w:uiPriority="0" w:semiHidden="0" w:name="annotation subject" w:locked="1"/>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semiHidden="0" w:name="Balloon Text" w:locked="1"/>
    <w:lsdException w:qFormat="1" w:uiPriority="99" w:semiHidden="0" w:name="Table Grid"/>
    <w:lsdException w:uiPriority="1" w:name="Table Theme"/>
    <w:lsdException w:qFormat="1" w:unhideWhenUsed="0" w:uiPriority="0" w:semiHidden="0" w:name="No Spacing"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ocked="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qFormat/>
    <w:locked/>
    <w:uiPriority w:val="0"/>
    <w:pPr>
      <w:keepNext/>
      <w:keepLines/>
      <w:spacing w:before="340" w:after="330" w:line="480" w:lineRule="auto"/>
      <w:jc w:val="center"/>
      <w:outlineLvl w:val="0"/>
    </w:pPr>
    <w:rPr>
      <w:rFonts w:eastAsia="黑体"/>
      <w:bCs/>
      <w:kern w:val="44"/>
      <w:sz w:val="36"/>
      <w:szCs w:val="44"/>
    </w:rPr>
  </w:style>
  <w:style w:type="paragraph" w:styleId="2">
    <w:name w:val="heading 2"/>
    <w:basedOn w:val="1"/>
    <w:next w:val="1"/>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locked/>
    <w:uiPriority w:val="0"/>
    <w:pPr>
      <w:keepNext/>
      <w:keepLines/>
      <w:spacing w:before="260" w:after="260" w:line="416" w:lineRule="auto"/>
      <w:outlineLvl w:val="2"/>
    </w:pPr>
    <w:rPr>
      <w:b/>
      <w:bCs/>
      <w:sz w:val="32"/>
      <w:szCs w:val="32"/>
    </w:rPr>
  </w:style>
  <w:style w:type="paragraph" w:styleId="5">
    <w:name w:val="heading 4"/>
    <w:basedOn w:val="1"/>
    <w:next w:val="1"/>
    <w:qFormat/>
    <w:locked/>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6">
    <w:name w:val="heading 5"/>
    <w:basedOn w:val="1"/>
    <w:next w:val="1"/>
    <w:qFormat/>
    <w:locked/>
    <w:uiPriority w:val="0"/>
    <w:pPr>
      <w:keepNext/>
      <w:keepLines/>
      <w:adjustRightInd w:val="0"/>
      <w:spacing w:before="280" w:after="290" w:line="376" w:lineRule="atLeast"/>
      <w:textAlignment w:val="baseline"/>
      <w:outlineLvl w:val="4"/>
    </w:pPr>
    <w:rPr>
      <w:b/>
      <w:kern w:val="0"/>
      <w:sz w:val="28"/>
      <w:szCs w:val="20"/>
    </w:rPr>
  </w:style>
  <w:style w:type="paragraph" w:styleId="7">
    <w:name w:val="heading 6"/>
    <w:basedOn w:val="1"/>
    <w:next w:val="1"/>
    <w:qFormat/>
    <w:locked/>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8">
    <w:name w:val="heading 7"/>
    <w:basedOn w:val="1"/>
    <w:next w:val="1"/>
    <w:qFormat/>
    <w:locked/>
    <w:uiPriority w:val="0"/>
    <w:pPr>
      <w:keepNext/>
      <w:keepLines/>
      <w:adjustRightInd w:val="0"/>
      <w:spacing w:before="240" w:after="64" w:line="320" w:lineRule="atLeast"/>
      <w:textAlignment w:val="baseline"/>
      <w:outlineLvl w:val="6"/>
    </w:pPr>
    <w:rPr>
      <w:b/>
      <w:kern w:val="0"/>
      <w:sz w:val="24"/>
      <w:szCs w:val="20"/>
    </w:rPr>
  </w:style>
  <w:style w:type="paragraph" w:styleId="9">
    <w:name w:val="heading 8"/>
    <w:basedOn w:val="1"/>
    <w:next w:val="1"/>
    <w:qFormat/>
    <w:locked/>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qFormat/>
    <w:locked/>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51">
    <w:name w:val="Default Paragraph Font"/>
    <w:qFormat/>
    <w:uiPriority w:val="0"/>
  </w:style>
  <w:style w:type="table" w:default="1" w:styleId="49">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locked/>
    <w:uiPriority w:val="0"/>
    <w:pPr>
      <w:ind w:left="2520" w:leftChars="1200"/>
    </w:pPr>
  </w:style>
  <w:style w:type="paragraph" w:styleId="12">
    <w:name w:val="table of authorities"/>
    <w:basedOn w:val="1"/>
    <w:next w:val="1"/>
    <w:qFormat/>
    <w:locked/>
    <w:uiPriority w:val="0"/>
    <w:pPr>
      <w:ind w:left="420" w:leftChars="200"/>
    </w:pPr>
    <w:rPr>
      <w:sz w:val="28"/>
      <w:szCs w:val="20"/>
    </w:rPr>
  </w:style>
  <w:style w:type="paragraph" w:styleId="13">
    <w:name w:val="Normal Indent"/>
    <w:basedOn w:val="1"/>
    <w:qFormat/>
    <w:locked/>
    <w:uiPriority w:val="0"/>
    <w:pPr>
      <w:adjustRightInd w:val="0"/>
      <w:spacing w:line="360" w:lineRule="atLeast"/>
      <w:ind w:firstLine="420"/>
      <w:textAlignment w:val="baseline"/>
    </w:pPr>
    <w:rPr>
      <w:szCs w:val="20"/>
    </w:rPr>
  </w:style>
  <w:style w:type="paragraph" w:styleId="14">
    <w:name w:val="Document Map"/>
    <w:basedOn w:val="1"/>
    <w:qFormat/>
    <w:locked/>
    <w:uiPriority w:val="0"/>
    <w:pPr>
      <w:shd w:val="clear" w:color="auto" w:fill="000080"/>
    </w:pPr>
  </w:style>
  <w:style w:type="paragraph" w:styleId="15">
    <w:name w:val="toa heading"/>
    <w:basedOn w:val="1"/>
    <w:next w:val="1"/>
    <w:unhideWhenUsed/>
    <w:qFormat/>
    <w:locked/>
    <w:uiPriority w:val="99"/>
    <w:pPr>
      <w:spacing w:before="120"/>
    </w:pPr>
    <w:rPr>
      <w:rFonts w:ascii="Arial" w:hAnsi="Arial"/>
      <w:sz w:val="24"/>
    </w:rPr>
  </w:style>
  <w:style w:type="paragraph" w:styleId="16">
    <w:name w:val="annotation text"/>
    <w:basedOn w:val="1"/>
    <w:qFormat/>
    <w:locked/>
    <w:uiPriority w:val="0"/>
    <w:pPr>
      <w:jc w:val="left"/>
    </w:pPr>
  </w:style>
  <w:style w:type="paragraph" w:styleId="17">
    <w:name w:val="Body Text 3"/>
    <w:basedOn w:val="1"/>
    <w:qFormat/>
    <w:locked/>
    <w:uiPriority w:val="0"/>
    <w:pPr>
      <w:spacing w:after="120"/>
    </w:pPr>
    <w:rPr>
      <w:sz w:val="16"/>
      <w:szCs w:val="16"/>
    </w:rPr>
  </w:style>
  <w:style w:type="paragraph" w:styleId="18">
    <w:name w:val="Body Text"/>
    <w:basedOn w:val="1"/>
    <w:next w:val="1"/>
    <w:qFormat/>
    <w:locked/>
    <w:uiPriority w:val="0"/>
    <w:rPr>
      <w:rFonts w:eastAsia="黑体"/>
      <w:sz w:val="36"/>
    </w:rPr>
  </w:style>
  <w:style w:type="paragraph" w:styleId="19">
    <w:name w:val="Body Text Indent"/>
    <w:basedOn w:val="1"/>
    <w:qFormat/>
    <w:locked/>
    <w:uiPriority w:val="0"/>
    <w:pPr>
      <w:spacing w:line="360" w:lineRule="auto"/>
      <w:ind w:firstLine="570"/>
    </w:pPr>
    <w:rPr>
      <w:rFonts w:ascii="宋体" w:hAnsi="宋体"/>
      <w:i/>
      <w:iCs/>
      <w:sz w:val="28"/>
      <w:szCs w:val="20"/>
    </w:rPr>
  </w:style>
  <w:style w:type="paragraph" w:styleId="20">
    <w:name w:val="Block Text"/>
    <w:basedOn w:val="1"/>
    <w:qFormat/>
    <w:locked/>
    <w:uiPriority w:val="0"/>
    <w:pPr>
      <w:spacing w:after="120"/>
      <w:ind w:left="1440" w:leftChars="700" w:right="1440" w:rightChars="700"/>
    </w:pPr>
  </w:style>
  <w:style w:type="paragraph" w:styleId="21">
    <w:name w:val="toc 5"/>
    <w:basedOn w:val="1"/>
    <w:next w:val="1"/>
    <w:qFormat/>
    <w:locked/>
    <w:uiPriority w:val="0"/>
    <w:pPr>
      <w:ind w:left="1680" w:leftChars="800"/>
    </w:pPr>
  </w:style>
  <w:style w:type="paragraph" w:styleId="22">
    <w:name w:val="toc 3"/>
    <w:basedOn w:val="1"/>
    <w:next w:val="1"/>
    <w:qFormat/>
    <w:locked/>
    <w:uiPriority w:val="0"/>
    <w:pPr>
      <w:ind w:left="840" w:leftChars="400"/>
    </w:pPr>
  </w:style>
  <w:style w:type="paragraph" w:styleId="23">
    <w:name w:val="Plain Text"/>
    <w:basedOn w:val="1"/>
    <w:next w:val="24"/>
    <w:link w:val="66"/>
    <w:qFormat/>
    <w:locked/>
    <w:uiPriority w:val="0"/>
    <w:rPr>
      <w:rFonts w:ascii="宋体" w:hAnsi="Courier New" w:eastAsia="宋体"/>
      <w:kern w:val="2"/>
      <w:sz w:val="21"/>
      <w:lang w:val="en-US" w:eastAsia="zh-CN" w:bidi="ar-SA"/>
    </w:rPr>
  </w:style>
  <w:style w:type="paragraph" w:styleId="24">
    <w:name w:val="footer"/>
    <w:basedOn w:val="1"/>
    <w:qFormat/>
    <w:locked/>
    <w:uiPriority w:val="0"/>
    <w:pPr>
      <w:tabs>
        <w:tab w:val="center" w:pos="4153"/>
        <w:tab w:val="right" w:pos="8306"/>
      </w:tabs>
      <w:snapToGrid w:val="0"/>
      <w:jc w:val="left"/>
    </w:pPr>
    <w:rPr>
      <w:sz w:val="18"/>
      <w:szCs w:val="18"/>
    </w:rPr>
  </w:style>
  <w:style w:type="paragraph" w:styleId="25">
    <w:name w:val="toc 8"/>
    <w:basedOn w:val="1"/>
    <w:next w:val="1"/>
    <w:qFormat/>
    <w:locked/>
    <w:uiPriority w:val="0"/>
    <w:pPr>
      <w:ind w:left="2940" w:leftChars="1400"/>
    </w:pPr>
  </w:style>
  <w:style w:type="paragraph" w:styleId="26">
    <w:name w:val="Date"/>
    <w:basedOn w:val="1"/>
    <w:next w:val="1"/>
    <w:qFormat/>
    <w:locked/>
    <w:uiPriority w:val="0"/>
    <w:pPr>
      <w:adjustRightInd w:val="0"/>
      <w:spacing w:line="360" w:lineRule="atLeast"/>
    </w:pPr>
    <w:rPr>
      <w:rFonts w:ascii="宋体"/>
      <w:kern w:val="0"/>
      <w:sz w:val="24"/>
      <w:szCs w:val="20"/>
    </w:rPr>
  </w:style>
  <w:style w:type="paragraph" w:styleId="27">
    <w:name w:val="Body Text Indent 2"/>
    <w:basedOn w:val="1"/>
    <w:qFormat/>
    <w:locked/>
    <w:uiPriority w:val="0"/>
    <w:pPr>
      <w:spacing w:line="360" w:lineRule="auto"/>
      <w:ind w:firstLine="570"/>
    </w:pPr>
    <w:rPr>
      <w:rFonts w:ascii="宋体" w:hAnsi="宋体"/>
      <w:iCs/>
      <w:sz w:val="28"/>
      <w:szCs w:val="20"/>
    </w:rPr>
  </w:style>
  <w:style w:type="paragraph" w:styleId="28">
    <w:name w:val="Balloon Text"/>
    <w:basedOn w:val="1"/>
    <w:qFormat/>
    <w:locked/>
    <w:uiPriority w:val="0"/>
    <w:rPr>
      <w:sz w:val="18"/>
      <w:szCs w:val="18"/>
    </w:rPr>
  </w:style>
  <w:style w:type="paragraph" w:styleId="29">
    <w:name w:val="envelope return"/>
    <w:basedOn w:val="1"/>
    <w:qFormat/>
    <w:locked/>
    <w:uiPriority w:val="0"/>
    <w:pPr>
      <w:snapToGrid w:val="0"/>
    </w:pPr>
    <w:rPr>
      <w:rFonts w:ascii="Arial" w:hAnsi="Arial" w:cs="Times New Roman"/>
    </w:rPr>
  </w:style>
  <w:style w:type="paragraph" w:styleId="30">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2"/>
    <w:qFormat/>
    <w:locked/>
    <w:uiPriority w:val="0"/>
  </w:style>
  <w:style w:type="paragraph" w:styleId="32">
    <w:name w:val="toc 4"/>
    <w:basedOn w:val="1"/>
    <w:next w:val="1"/>
    <w:qFormat/>
    <w:locked/>
    <w:uiPriority w:val="0"/>
    <w:pPr>
      <w:ind w:left="1260" w:leftChars="600"/>
    </w:pPr>
  </w:style>
  <w:style w:type="paragraph" w:styleId="33">
    <w:name w:val="Subtitle"/>
    <w:basedOn w:val="4"/>
    <w:next w:val="1"/>
    <w:qFormat/>
    <w:locked/>
    <w:uiPriority w:val="0"/>
    <w:pPr>
      <w:adjustRightInd w:val="0"/>
      <w:snapToGrid w:val="0"/>
      <w:spacing w:before="0" w:beforeLines="0" w:after="0" w:afterLines="0" w:line="560" w:lineRule="exact"/>
      <w:ind w:firstLine="640" w:firstLineChars="200"/>
      <w:jc w:val="left"/>
      <w:outlineLvl w:val="1"/>
    </w:pPr>
    <w:rPr>
      <w:rFonts w:ascii="等线 Light" w:hAnsi="等线 Light" w:eastAsia="仿宋_GB2312"/>
      <w:b w:val="0"/>
      <w:bCs w:val="0"/>
      <w:kern w:val="28"/>
    </w:rPr>
  </w:style>
  <w:style w:type="paragraph" w:styleId="34">
    <w:name w:val="List"/>
    <w:basedOn w:val="1"/>
    <w:qFormat/>
    <w:locked/>
    <w:uiPriority w:val="0"/>
    <w:pPr>
      <w:adjustRightInd w:val="0"/>
      <w:spacing w:line="360" w:lineRule="atLeast"/>
      <w:ind w:left="420" w:hanging="420"/>
      <w:jc w:val="left"/>
    </w:pPr>
    <w:rPr>
      <w:rFonts w:hint="eastAsia" w:ascii="宋体"/>
      <w:kern w:val="0"/>
      <w:sz w:val="24"/>
      <w:szCs w:val="20"/>
    </w:rPr>
  </w:style>
  <w:style w:type="paragraph" w:styleId="35">
    <w:name w:val="footnote text"/>
    <w:basedOn w:val="1"/>
    <w:unhideWhenUsed/>
    <w:qFormat/>
    <w:locked/>
    <w:uiPriority w:val="99"/>
    <w:pPr>
      <w:snapToGrid w:val="0"/>
      <w:jc w:val="left"/>
    </w:pPr>
    <w:rPr>
      <w:sz w:val="18"/>
    </w:rPr>
  </w:style>
  <w:style w:type="paragraph" w:styleId="36">
    <w:name w:val="toc 6"/>
    <w:basedOn w:val="1"/>
    <w:next w:val="1"/>
    <w:qFormat/>
    <w:locked/>
    <w:uiPriority w:val="0"/>
    <w:pPr>
      <w:ind w:left="2100" w:leftChars="1000"/>
    </w:pPr>
  </w:style>
  <w:style w:type="paragraph" w:styleId="37">
    <w:name w:val="Body Text Indent 3"/>
    <w:basedOn w:val="1"/>
    <w:qFormat/>
    <w:locked/>
    <w:uiPriority w:val="0"/>
    <w:pPr>
      <w:spacing w:after="120"/>
      <w:ind w:left="420" w:leftChars="200"/>
    </w:pPr>
    <w:rPr>
      <w:sz w:val="16"/>
      <w:szCs w:val="16"/>
    </w:rPr>
  </w:style>
  <w:style w:type="paragraph" w:styleId="38">
    <w:name w:val="toc 2"/>
    <w:basedOn w:val="1"/>
    <w:next w:val="1"/>
    <w:qFormat/>
    <w:locked/>
    <w:uiPriority w:val="0"/>
    <w:pPr>
      <w:ind w:left="420" w:leftChars="200"/>
    </w:pPr>
  </w:style>
  <w:style w:type="paragraph" w:styleId="39">
    <w:name w:val="toc 9"/>
    <w:basedOn w:val="1"/>
    <w:next w:val="1"/>
    <w:qFormat/>
    <w:locked/>
    <w:uiPriority w:val="0"/>
    <w:pPr>
      <w:ind w:left="3360" w:leftChars="1600"/>
    </w:pPr>
  </w:style>
  <w:style w:type="paragraph" w:styleId="40">
    <w:name w:val="Body Text 2"/>
    <w:basedOn w:val="1"/>
    <w:qFormat/>
    <w:locked/>
    <w:uiPriority w:val="0"/>
    <w:pPr>
      <w:jc w:val="center"/>
    </w:pPr>
    <w:rPr>
      <w:rFonts w:eastAsia="黑体"/>
      <w:bCs/>
      <w:sz w:val="72"/>
    </w:rPr>
  </w:style>
  <w:style w:type="paragraph" w:styleId="41">
    <w:name w:val="Message Header"/>
    <w:basedOn w:val="1"/>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42">
    <w:name w:val="HTML Preformatted"/>
    <w:basedOn w:val="1"/>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3">
    <w:name w:val="Normal (Web)"/>
    <w:basedOn w:val="1"/>
    <w:next w:val="30"/>
    <w:qFormat/>
    <w:locked/>
    <w:uiPriority w:val="0"/>
    <w:pPr>
      <w:widowControl/>
      <w:spacing w:before="100" w:beforeAutospacing="1" w:after="100" w:afterAutospacing="1"/>
      <w:jc w:val="left"/>
    </w:pPr>
    <w:rPr>
      <w:rFonts w:ascii="宋体" w:hAnsi="宋体"/>
      <w:color w:val="000000"/>
      <w:kern w:val="0"/>
      <w:sz w:val="24"/>
    </w:rPr>
  </w:style>
  <w:style w:type="paragraph" w:styleId="44">
    <w:name w:val="index 1"/>
    <w:basedOn w:val="1"/>
    <w:next w:val="1"/>
    <w:qFormat/>
    <w:locked/>
    <w:uiPriority w:val="0"/>
    <w:rPr>
      <w:sz w:val="28"/>
      <w:szCs w:val="20"/>
    </w:rPr>
  </w:style>
  <w:style w:type="paragraph" w:styleId="45">
    <w:name w:val="Title"/>
    <w:basedOn w:val="2"/>
    <w:next w:val="1"/>
    <w:qFormat/>
    <w:locked/>
    <w:uiPriority w:val="0"/>
    <w:pPr>
      <w:adjustRightInd w:val="0"/>
      <w:spacing w:before="240" w:after="60" w:line="360" w:lineRule="atLeast"/>
      <w:jc w:val="center"/>
      <w:outlineLvl w:val="0"/>
    </w:pPr>
    <w:rPr>
      <w:rFonts w:ascii="Arial" w:hAnsi="Arial"/>
      <w:b w:val="0"/>
      <w:kern w:val="0"/>
      <w:sz w:val="32"/>
      <w:szCs w:val="20"/>
    </w:rPr>
  </w:style>
  <w:style w:type="paragraph" w:styleId="46">
    <w:name w:val="annotation subject"/>
    <w:basedOn w:val="16"/>
    <w:next w:val="16"/>
    <w:qFormat/>
    <w:locked/>
    <w:uiPriority w:val="0"/>
    <w:rPr>
      <w:b/>
      <w:bCs/>
    </w:rPr>
  </w:style>
  <w:style w:type="paragraph" w:styleId="47">
    <w:name w:val="Body Text First Indent"/>
    <w:basedOn w:val="18"/>
    <w:next w:val="1"/>
    <w:qFormat/>
    <w:locked/>
    <w:uiPriority w:val="0"/>
    <w:pPr>
      <w:autoSpaceDE w:val="0"/>
      <w:autoSpaceDN w:val="0"/>
      <w:adjustRightInd w:val="0"/>
      <w:ind w:firstLine="420" w:firstLineChars="100"/>
      <w:jc w:val="left"/>
    </w:pPr>
    <w:rPr>
      <w:rFonts w:ascii="仿宋_GB2312" w:hAnsi="Calibri"/>
      <w:b/>
      <w:kern w:val="0"/>
      <w:sz w:val="32"/>
      <w:szCs w:val="32"/>
    </w:rPr>
  </w:style>
  <w:style w:type="paragraph" w:styleId="48">
    <w:name w:val="Body Text First Indent 2"/>
    <w:basedOn w:val="19"/>
    <w:qFormat/>
    <w:locked/>
    <w:uiPriority w:val="0"/>
    <w:pPr>
      <w:widowControl w:val="0"/>
      <w:adjustRightInd/>
      <w:snapToGrid/>
      <w:spacing w:line="360" w:lineRule="auto"/>
      <w:ind w:firstLine="420" w:firstLineChars="200"/>
      <w:jc w:val="both"/>
    </w:pPr>
    <w:rPr>
      <w:rFonts w:ascii="Times New Roman" w:hAnsi="Times New Roman" w:eastAsia="仿宋_GB2312" w:cs="Times New Roman"/>
      <w:spacing w:val="15"/>
      <w:kern w:val="10"/>
      <w:sz w:val="24"/>
      <w:szCs w:val="24"/>
    </w:rPr>
  </w:style>
  <w:style w:type="table" w:styleId="50">
    <w:name w:val="Table Grid"/>
    <w:basedOn w:val="4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qFormat/>
    <w:locked/>
    <w:uiPriority w:val="0"/>
    <w:rPr>
      <w:b/>
      <w:bCs/>
    </w:rPr>
  </w:style>
  <w:style w:type="character" w:styleId="53">
    <w:name w:val="page number"/>
    <w:basedOn w:val="51"/>
    <w:qFormat/>
    <w:locked/>
    <w:uiPriority w:val="0"/>
  </w:style>
  <w:style w:type="character" w:styleId="54">
    <w:name w:val="FollowedHyperlink"/>
    <w:qFormat/>
    <w:locked/>
    <w:uiPriority w:val="99"/>
    <w:rPr>
      <w:color w:val="800080"/>
      <w:u w:val="single"/>
    </w:rPr>
  </w:style>
  <w:style w:type="character" w:styleId="55">
    <w:name w:val="HTML Definition"/>
    <w:basedOn w:val="51"/>
    <w:qFormat/>
    <w:locked/>
    <w:uiPriority w:val="0"/>
  </w:style>
  <w:style w:type="character" w:styleId="56">
    <w:name w:val="HTML Typewriter"/>
    <w:basedOn w:val="51"/>
    <w:qFormat/>
    <w:locked/>
    <w:uiPriority w:val="0"/>
    <w:rPr>
      <w:rFonts w:hint="default" w:ascii="monospace" w:hAnsi="monospace" w:eastAsia="monospace" w:cs="monospace"/>
      <w:sz w:val="20"/>
    </w:rPr>
  </w:style>
  <w:style w:type="character" w:styleId="57">
    <w:name w:val="HTML Acronym"/>
    <w:basedOn w:val="51"/>
    <w:qFormat/>
    <w:locked/>
    <w:uiPriority w:val="0"/>
  </w:style>
  <w:style w:type="character" w:styleId="58">
    <w:name w:val="HTML Variable"/>
    <w:basedOn w:val="51"/>
    <w:qFormat/>
    <w:locked/>
    <w:uiPriority w:val="0"/>
  </w:style>
  <w:style w:type="character" w:styleId="59">
    <w:name w:val="Hyperlink"/>
    <w:qFormat/>
    <w:locked/>
    <w:uiPriority w:val="99"/>
    <w:rPr>
      <w:color w:val="0000FF"/>
      <w:u w:val="single"/>
    </w:rPr>
  </w:style>
  <w:style w:type="character" w:styleId="60">
    <w:name w:val="HTML Code"/>
    <w:basedOn w:val="51"/>
    <w:qFormat/>
    <w:locked/>
    <w:uiPriority w:val="0"/>
    <w:rPr>
      <w:rFonts w:ascii="monospace" w:hAnsi="monospace" w:eastAsia="monospace" w:cs="monospace"/>
      <w:sz w:val="20"/>
    </w:rPr>
  </w:style>
  <w:style w:type="character" w:styleId="61">
    <w:name w:val="annotation reference"/>
    <w:qFormat/>
    <w:locked/>
    <w:uiPriority w:val="0"/>
    <w:rPr>
      <w:sz w:val="21"/>
      <w:szCs w:val="21"/>
    </w:rPr>
  </w:style>
  <w:style w:type="character" w:styleId="62">
    <w:name w:val="HTML Cite"/>
    <w:basedOn w:val="51"/>
    <w:qFormat/>
    <w:locked/>
    <w:uiPriority w:val="0"/>
  </w:style>
  <w:style w:type="character" w:styleId="63">
    <w:name w:val="HTML Keyboard"/>
    <w:basedOn w:val="51"/>
    <w:qFormat/>
    <w:locked/>
    <w:uiPriority w:val="0"/>
    <w:rPr>
      <w:rFonts w:hint="default" w:ascii="monospace" w:hAnsi="monospace" w:eastAsia="monospace" w:cs="monospace"/>
      <w:sz w:val="20"/>
    </w:rPr>
  </w:style>
  <w:style w:type="character" w:styleId="64">
    <w:name w:val="HTML Sample"/>
    <w:basedOn w:val="51"/>
    <w:qFormat/>
    <w:locked/>
    <w:uiPriority w:val="0"/>
    <w:rPr>
      <w:rFonts w:hint="default" w:ascii="monospace" w:hAnsi="monospace" w:eastAsia="monospace" w:cs="monospace"/>
    </w:rPr>
  </w:style>
  <w:style w:type="character" w:customStyle="1" w:styleId="65">
    <w:name w:val="标题 1 字符"/>
    <w:link w:val="3"/>
    <w:qFormat/>
    <w:uiPriority w:val="0"/>
    <w:rPr>
      <w:rFonts w:eastAsia="黑体"/>
      <w:bCs/>
      <w:kern w:val="44"/>
      <w:sz w:val="36"/>
      <w:szCs w:val="44"/>
    </w:rPr>
  </w:style>
  <w:style w:type="character" w:customStyle="1" w:styleId="66">
    <w:name w:val="纯文本 字符"/>
    <w:link w:val="23"/>
    <w:qFormat/>
    <w:uiPriority w:val="0"/>
    <w:rPr>
      <w:rFonts w:ascii="宋体" w:hAnsi="Courier New" w:eastAsia="宋体"/>
      <w:kern w:val="2"/>
      <w:sz w:val="21"/>
      <w:lang w:val="en-US" w:eastAsia="zh-CN" w:bidi="ar-SA"/>
    </w:rPr>
  </w:style>
  <w:style w:type="character" w:customStyle="1" w:styleId="67">
    <w:name w:val="样式 粉红"/>
    <w:qFormat/>
    <w:locked/>
    <w:uiPriority w:val="0"/>
    <w:rPr>
      <w:color w:val="auto"/>
      <w:u w:val="none"/>
    </w:rPr>
  </w:style>
  <w:style w:type="character" w:customStyle="1" w:styleId="68">
    <w:name w:val="font01"/>
    <w:qFormat/>
    <w:locked/>
    <w:uiPriority w:val="0"/>
    <w:rPr>
      <w:rFonts w:hint="eastAsia" w:ascii="Arial Unicode MS" w:hAnsi="Arial Unicode MS" w:eastAsia="Arial Unicode MS" w:cs="Arial Unicode MS"/>
      <w:color w:val="000000"/>
      <w:sz w:val="18"/>
      <w:szCs w:val="18"/>
      <w:u w:val="none"/>
    </w:rPr>
  </w:style>
  <w:style w:type="character" w:customStyle="1" w:styleId="69">
    <w:name w:val="font61"/>
    <w:qFormat/>
    <w:locked/>
    <w:uiPriority w:val="0"/>
    <w:rPr>
      <w:rFonts w:hint="default" w:ascii="仿宋_GB2312" w:eastAsia="仿宋_GB2312" w:cs="仿宋_GB2312"/>
      <w:color w:val="000000"/>
      <w:sz w:val="16"/>
      <w:szCs w:val="16"/>
      <w:u w:val="none"/>
    </w:rPr>
  </w:style>
  <w:style w:type="character" w:customStyle="1" w:styleId="70">
    <w:name w:val="font71"/>
    <w:qFormat/>
    <w:locked/>
    <w:uiPriority w:val="0"/>
    <w:rPr>
      <w:rFonts w:hint="eastAsia" w:ascii="宋体" w:hAnsi="宋体" w:eastAsia="宋体" w:cs="宋体"/>
      <w:color w:val="000000"/>
      <w:sz w:val="24"/>
      <w:szCs w:val="24"/>
      <w:u w:val="none"/>
    </w:rPr>
  </w:style>
  <w:style w:type="character" w:customStyle="1" w:styleId="71">
    <w:name w:val="标题 3 Char Char"/>
    <w:qFormat/>
    <w:locked/>
    <w:uiPriority w:val="0"/>
    <w:rPr>
      <w:rFonts w:eastAsia="宋体"/>
      <w:b/>
      <w:bCs/>
      <w:kern w:val="2"/>
      <w:sz w:val="32"/>
      <w:szCs w:val="32"/>
      <w:lang w:val="en-US" w:eastAsia="zh-CN" w:bidi="ar-SA"/>
    </w:rPr>
  </w:style>
  <w:style w:type="character" w:customStyle="1" w:styleId="72">
    <w:name w:val="7）页眉页脚"/>
    <w:qFormat/>
    <w:locked/>
    <w:uiPriority w:val="0"/>
    <w:rPr>
      <w:rFonts w:ascii="仿宋_GB2312" w:eastAsia="仿宋_GB2312"/>
      <w:b/>
      <w:i/>
      <w:sz w:val="18"/>
      <w:vertAlign w:val="baseline"/>
    </w:rPr>
  </w:style>
  <w:style w:type="character" w:customStyle="1" w:styleId="73">
    <w:name w:val="font21"/>
    <w:basedOn w:val="51"/>
    <w:qFormat/>
    <w:locked/>
    <w:uiPriority w:val="0"/>
    <w:rPr>
      <w:rFonts w:hint="eastAsia" w:ascii="宋体" w:hAnsi="宋体" w:eastAsia="宋体"/>
      <w:color w:val="000000"/>
      <w:sz w:val="20"/>
      <w:szCs w:val="20"/>
      <w:u w:val="none"/>
    </w:rPr>
  </w:style>
  <w:style w:type="character" w:customStyle="1" w:styleId="74">
    <w:name w:val="font161"/>
    <w:qFormat/>
    <w:locked/>
    <w:uiPriority w:val="0"/>
    <w:rPr>
      <w:b/>
      <w:bCs/>
      <w:sz w:val="32"/>
      <w:szCs w:val="32"/>
    </w:rPr>
  </w:style>
  <w:style w:type="character" w:customStyle="1" w:styleId="75">
    <w:name w:val="font51"/>
    <w:qFormat/>
    <w:locked/>
    <w:uiPriority w:val="0"/>
    <w:rPr>
      <w:rFonts w:hint="eastAsia" w:ascii="Arial Unicode MS" w:hAnsi="Arial Unicode MS" w:eastAsia="Arial Unicode MS" w:cs="Arial Unicode MS"/>
      <w:b/>
      <w:color w:val="000000"/>
      <w:sz w:val="18"/>
      <w:szCs w:val="18"/>
      <w:u w:val="none"/>
    </w:rPr>
  </w:style>
  <w:style w:type="character" w:customStyle="1" w:styleId="76">
    <w:name w:val="font41"/>
    <w:qFormat/>
    <w:locked/>
    <w:uiPriority w:val="0"/>
    <w:rPr>
      <w:rFonts w:hint="eastAsia" w:ascii="宋体" w:hAnsi="宋体" w:eastAsia="宋体"/>
      <w:color w:val="C0C0C0"/>
      <w:sz w:val="18"/>
      <w:szCs w:val="18"/>
      <w:u w:val="none"/>
    </w:rPr>
  </w:style>
  <w:style w:type="character" w:customStyle="1" w:styleId="77">
    <w:name w:val="标题 2 Char Char"/>
    <w:qFormat/>
    <w:locked/>
    <w:uiPriority w:val="0"/>
    <w:rPr>
      <w:rFonts w:ascii="Arial" w:hAnsi="Arial" w:eastAsia="黑体"/>
      <w:b/>
      <w:bCs/>
      <w:kern w:val="2"/>
      <w:sz w:val="32"/>
      <w:szCs w:val="32"/>
      <w:lang w:val="en-US" w:eastAsia="zh-CN" w:bidi="ar-SA"/>
    </w:rPr>
  </w:style>
  <w:style w:type="character" w:customStyle="1" w:styleId="78">
    <w:name w:val=" Char Char Char"/>
    <w:qFormat/>
    <w:locked/>
    <w:uiPriority w:val="0"/>
    <w:rPr>
      <w:rFonts w:ascii="Arial" w:hAnsi="Arial" w:eastAsia="黑体"/>
      <w:b/>
      <w:bCs/>
      <w:kern w:val="2"/>
      <w:sz w:val="32"/>
      <w:szCs w:val="32"/>
      <w:lang w:val="en-US" w:eastAsia="zh-CN" w:bidi="ar-SA"/>
    </w:rPr>
  </w:style>
  <w:style w:type="character" w:customStyle="1" w:styleId="79">
    <w:name w:val="font101"/>
    <w:qFormat/>
    <w:locked/>
    <w:uiPriority w:val="0"/>
    <w:rPr>
      <w:rFonts w:hint="eastAsia" w:ascii="宋体" w:hAnsi="宋体" w:eastAsia="宋体" w:cs="宋体"/>
      <w:color w:val="000000"/>
      <w:sz w:val="20"/>
      <w:szCs w:val="20"/>
      <w:u w:val="none"/>
    </w:rPr>
  </w:style>
  <w:style w:type="character" w:customStyle="1" w:styleId="80">
    <w:name w:val="font91"/>
    <w:qFormat/>
    <w:locked/>
    <w:uiPriority w:val="0"/>
    <w:rPr>
      <w:rFonts w:ascii="Arial" w:hAnsi="Arial" w:cs="Arial"/>
      <w:color w:val="000000"/>
      <w:sz w:val="20"/>
      <w:szCs w:val="20"/>
      <w:u w:val="none"/>
    </w:rPr>
  </w:style>
  <w:style w:type="character" w:customStyle="1" w:styleId="81">
    <w:name w:val="apple-style-span"/>
    <w:qFormat/>
    <w:locked/>
    <w:uiPriority w:val="0"/>
  </w:style>
  <w:style w:type="character" w:customStyle="1" w:styleId="82">
    <w:name w:val="font31"/>
    <w:qFormat/>
    <w:locked/>
    <w:uiPriority w:val="0"/>
    <w:rPr>
      <w:rFonts w:hint="default" w:ascii="Arial" w:hAnsi="Arial" w:cs="Arial"/>
      <w:color w:val="C0C0C0"/>
      <w:sz w:val="18"/>
      <w:szCs w:val="18"/>
      <w:u w:val="none"/>
    </w:rPr>
  </w:style>
  <w:style w:type="character" w:customStyle="1" w:styleId="83">
    <w:name w:val=" Char Char1"/>
    <w:qFormat/>
    <w:locked/>
    <w:uiPriority w:val="0"/>
    <w:rPr>
      <w:rFonts w:eastAsia="宋体"/>
      <w:kern w:val="2"/>
      <w:sz w:val="24"/>
      <w:lang w:val="en-US" w:eastAsia="zh-CN" w:bidi="ar-SA"/>
    </w:rPr>
  </w:style>
  <w:style w:type="character" w:customStyle="1" w:styleId="84">
    <w:name w:val="tcnt2"/>
    <w:qFormat/>
    <w:locked/>
    <w:uiPriority w:val="0"/>
  </w:style>
  <w:style w:type="character" w:customStyle="1" w:styleId="85">
    <w:name w:val="font11"/>
    <w:basedOn w:val="51"/>
    <w:qFormat/>
    <w:locked/>
    <w:uiPriority w:val="0"/>
    <w:rPr>
      <w:rFonts w:hint="eastAsia" w:ascii="宋体" w:hAnsi="宋体" w:eastAsia="宋体"/>
      <w:color w:val="000000"/>
      <w:sz w:val="20"/>
      <w:szCs w:val="20"/>
      <w:u w:val="single"/>
    </w:rPr>
  </w:style>
  <w:style w:type="paragraph" w:customStyle="1" w:styleId="86">
    <w:name w:val="Default"/>
    <w:qFormat/>
    <w:locked/>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p0"/>
    <w:basedOn w:val="1"/>
    <w:qFormat/>
    <w:locked/>
    <w:uiPriority w:val="0"/>
    <w:pPr>
      <w:widowControl/>
    </w:pPr>
    <w:rPr>
      <w:kern w:val="0"/>
      <w:szCs w:val="21"/>
    </w:rPr>
  </w:style>
  <w:style w:type="paragraph" w:customStyle="1" w:styleId="88">
    <w:name w:val=" Char2"/>
    <w:basedOn w:val="1"/>
    <w:qFormat/>
    <w:locked/>
    <w:uiPriority w:val="0"/>
    <w:pPr>
      <w:adjustRightInd w:val="0"/>
      <w:spacing w:line="360" w:lineRule="auto"/>
    </w:pPr>
    <w:rPr>
      <w:kern w:val="0"/>
      <w:sz w:val="24"/>
      <w:szCs w:val="20"/>
    </w:rPr>
  </w:style>
  <w:style w:type="paragraph" w:customStyle="1" w:styleId="89">
    <w:name w:val="?y??"/>
    <w:qFormat/>
    <w:locked/>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90">
    <w:name w:val="WPS Plain"/>
    <w:qFormat/>
    <w:locked/>
    <w:uiPriority w:val="0"/>
    <w:rPr>
      <w:rFonts w:ascii="Times New Roman" w:hAnsi="Times New Roman" w:eastAsia="宋体" w:cs="Times New Roman"/>
      <w:lang w:val="en-US" w:eastAsia="zh-CN" w:bidi="ar-SA"/>
    </w:rPr>
  </w:style>
  <w:style w:type="paragraph" w:customStyle="1" w:styleId="91">
    <w:name w:val=" Char Char1 Char Char Char Char"/>
    <w:basedOn w:val="1"/>
    <w:qFormat/>
    <w:locked/>
    <w:uiPriority w:val="0"/>
    <w:pPr>
      <w:widowControl/>
      <w:snapToGrid w:val="0"/>
      <w:spacing w:line="520" w:lineRule="exact"/>
      <w:jc w:val="left"/>
    </w:pPr>
  </w:style>
  <w:style w:type="paragraph" w:customStyle="1" w:styleId="92">
    <w:name w:val="Default Text"/>
    <w:qFormat/>
    <w:locked/>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customStyle="1" w:styleId="93">
    <w:name w:val="test"/>
    <w:basedOn w:val="1"/>
    <w:qFormat/>
    <w:locked/>
    <w:uiPriority w:val="0"/>
    <w:pPr>
      <w:widowControl/>
      <w:numPr>
        <w:ilvl w:val="0"/>
        <w:numId w:val="0"/>
      </w:numPr>
      <w:overflowPunct w:val="0"/>
      <w:autoSpaceDE w:val="0"/>
      <w:autoSpaceDN w:val="0"/>
      <w:adjustRightInd w:val="0"/>
      <w:spacing w:before="60" w:after="60"/>
      <w:textAlignment w:val="baseline"/>
    </w:pPr>
    <w:rPr>
      <w:rFonts w:ascii="楷体" w:eastAsia="楷体"/>
      <w:kern w:val="0"/>
      <w:sz w:val="22"/>
      <w:szCs w:val="20"/>
    </w:rPr>
  </w:style>
  <w:style w:type="paragraph" w:customStyle="1" w:styleId="94">
    <w:name w:val=" Char"/>
    <w:basedOn w:val="1"/>
    <w:qFormat/>
    <w:locked/>
    <w:uiPriority w:val="0"/>
    <w:pPr>
      <w:adjustRightInd w:val="0"/>
      <w:spacing w:line="312" w:lineRule="auto"/>
      <w:textAlignment w:val="baseline"/>
    </w:pPr>
    <w:rPr>
      <w:szCs w:val="20"/>
    </w:rPr>
  </w:style>
  <w:style w:type="paragraph" w:customStyle="1" w:styleId="95">
    <w:name w:val="0"/>
    <w:basedOn w:val="1"/>
    <w:qFormat/>
    <w:locked/>
    <w:uiPriority w:val="0"/>
    <w:pPr>
      <w:widowControl/>
      <w:spacing w:line="365" w:lineRule="atLeast"/>
      <w:ind w:left="1"/>
      <w:textAlignment w:val="bottom"/>
    </w:pPr>
    <w:rPr>
      <w:kern w:val="0"/>
      <w:sz w:val="20"/>
      <w:szCs w:val="20"/>
    </w:rPr>
  </w:style>
  <w:style w:type="paragraph" w:customStyle="1" w:styleId="96">
    <w:name w:val="È±Ê¡ÎÄ±¾"/>
    <w:basedOn w:val="1"/>
    <w:qFormat/>
    <w:locked/>
    <w:uiPriority w:val="0"/>
    <w:pPr>
      <w:widowControl/>
      <w:overflowPunct w:val="0"/>
      <w:autoSpaceDE w:val="0"/>
      <w:autoSpaceDN w:val="0"/>
      <w:adjustRightInd w:val="0"/>
      <w:jc w:val="left"/>
      <w:textAlignment w:val="baseline"/>
    </w:pPr>
    <w:rPr>
      <w:kern w:val="0"/>
      <w:sz w:val="24"/>
      <w:szCs w:val="20"/>
    </w:rPr>
  </w:style>
  <w:style w:type="paragraph" w:customStyle="1" w:styleId="97">
    <w:name w:val="样式 样式 样式 左侧:  2 字符1 + 首行缩进:  2 字符1 + 首行缩进:  2 字符"/>
    <w:basedOn w:val="1"/>
    <w:qFormat/>
    <w:locked/>
    <w:uiPriority w:val="0"/>
    <w:pPr>
      <w:widowControl/>
      <w:spacing w:before="60" w:after="120" w:line="440" w:lineRule="atLeast"/>
      <w:ind w:firstLine="480"/>
    </w:pPr>
    <w:rPr>
      <w:sz w:val="24"/>
      <w:szCs w:val="20"/>
    </w:rPr>
  </w:style>
  <w:style w:type="paragraph" w:customStyle="1" w:styleId="98">
    <w:name w:val="金安桥正文"/>
    <w:basedOn w:val="19"/>
    <w:qFormat/>
    <w:locked/>
    <w:uiPriority w:val="0"/>
    <w:pPr>
      <w:adjustRightInd w:val="0"/>
      <w:spacing w:line="300" w:lineRule="auto"/>
      <w:ind w:firstLine="200" w:firstLineChars="200"/>
      <w:jc w:val="left"/>
    </w:pPr>
    <w:rPr>
      <w:rFonts w:ascii="Times New Roman" w:hAnsi="Times New Roman"/>
      <w:i w:val="0"/>
      <w:iCs w:val="0"/>
      <w:kern w:val="0"/>
      <w:sz w:val="24"/>
    </w:rPr>
  </w:style>
  <w:style w:type="paragraph" w:customStyle="1" w:styleId="99">
    <w:name w:val=" Char1"/>
    <w:basedOn w:val="1"/>
    <w:qFormat/>
    <w:locked/>
    <w:uiPriority w:val="0"/>
    <w:rPr>
      <w:rFonts w:ascii="Tahoma" w:hAnsi="Tahoma"/>
      <w:sz w:val="24"/>
      <w:szCs w:val="20"/>
    </w:rPr>
  </w:style>
  <w:style w:type="paragraph" w:customStyle="1" w:styleId="100">
    <w:name w:val="表格"/>
    <w:basedOn w:val="1"/>
    <w:qFormat/>
    <w:locked/>
    <w:uiPriority w:val="0"/>
    <w:pPr>
      <w:jc w:val="center"/>
      <w:textAlignment w:val="center"/>
    </w:pPr>
    <w:rPr>
      <w:rFonts w:ascii="华文细黑" w:hAnsi="华文细黑"/>
      <w:kern w:val="0"/>
      <w:szCs w:val="20"/>
    </w:rPr>
  </w:style>
  <w:style w:type="paragraph" w:customStyle="1" w:styleId="101">
    <w:name w:val="标书正文"/>
    <w:basedOn w:val="1"/>
    <w:qFormat/>
    <w:locked/>
    <w:uiPriority w:val="0"/>
    <w:pPr>
      <w:spacing w:line="560" w:lineRule="exact"/>
      <w:ind w:firstLine="723" w:firstLineChars="200"/>
      <w:jc w:val="center"/>
    </w:pPr>
    <w:rPr>
      <w:rFonts w:ascii="仿宋_GB2312" w:eastAsia="仿宋_GB2312"/>
      <w:b/>
      <w:sz w:val="36"/>
    </w:rPr>
  </w:style>
  <w:style w:type="paragraph" w:customStyle="1" w:styleId="102">
    <w:name w:val="表格文字"/>
    <w:basedOn w:val="1"/>
    <w:qFormat/>
    <w:locked/>
    <w:uiPriority w:val="0"/>
    <w:pPr>
      <w:adjustRightInd w:val="0"/>
      <w:spacing w:line="420" w:lineRule="atLeast"/>
      <w:jc w:val="left"/>
      <w:textAlignment w:val="baseline"/>
    </w:pPr>
    <w:rPr>
      <w:kern w:val="0"/>
      <w:szCs w:val="20"/>
    </w:rPr>
  </w:style>
  <w:style w:type="paragraph" w:customStyle="1" w:styleId="103">
    <w:name w:val="缺省文本"/>
    <w:qFormat/>
    <w:locked/>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104">
    <w:name w:val="XW正文"/>
    <w:basedOn w:val="19"/>
    <w:qFormat/>
    <w:locked/>
    <w:uiPriority w:val="0"/>
    <w:pPr>
      <w:adjustRightInd w:val="0"/>
      <w:snapToGrid w:val="0"/>
      <w:spacing w:line="300" w:lineRule="auto"/>
      <w:ind w:firstLine="520" w:firstLineChars="200"/>
      <w:jc w:val="left"/>
    </w:pPr>
    <w:rPr>
      <w:rFonts w:ascii="Times New Roman" w:hAnsi="Times New Roman"/>
      <w:i w:val="0"/>
      <w:iCs w:val="0"/>
      <w:kern w:val="0"/>
      <w:sz w:val="21"/>
      <w:szCs w:val="24"/>
    </w:rPr>
  </w:style>
  <w:style w:type="paragraph" w:customStyle="1" w:styleId="105">
    <w:name w:val="5）标书正文 首行缩进2字符"/>
    <w:basedOn w:val="1"/>
    <w:qFormat/>
    <w:locked/>
    <w:uiPriority w:val="0"/>
    <w:pPr>
      <w:spacing w:line="480" w:lineRule="exact"/>
      <w:ind w:firstLine="200" w:firstLineChars="200"/>
    </w:pPr>
    <w:rPr>
      <w:rFonts w:ascii="仿宋_GB2312" w:eastAsia="仿宋_GB2312"/>
      <w:sz w:val="28"/>
    </w:rPr>
  </w:style>
  <w:style w:type="paragraph" w:customStyle="1" w:styleId="106">
    <w:name w:val="样式 标题 1 + 黑体 三号 非加粗 居中 段前: 6 磅 段后: 6 磅 行距: 固定值 20 磅"/>
    <w:basedOn w:val="3"/>
    <w:qFormat/>
    <w:locked/>
    <w:uiPriority w:val="0"/>
    <w:pPr>
      <w:spacing w:before="120" w:after="120" w:line="400" w:lineRule="exact"/>
      <w:ind w:firstLine="0" w:firstLineChars="0"/>
    </w:pPr>
    <w:rPr>
      <w:rFonts w:ascii="黑体" w:hAnsi="黑体" w:cs="宋体"/>
      <w:bCs w:val="0"/>
      <w:sz w:val="32"/>
      <w:szCs w:val="20"/>
    </w:rPr>
  </w:style>
  <w:style w:type="paragraph" w:customStyle="1" w:styleId="107">
    <w:name w:val="1"/>
    <w:basedOn w:val="1"/>
    <w:next w:val="1"/>
    <w:qFormat/>
    <w:locked/>
    <w:uiPriority w:val="0"/>
  </w:style>
  <w:style w:type="paragraph" w:customStyle="1" w:styleId="108">
    <w:name w:val="xl30"/>
    <w:basedOn w:val="1"/>
    <w:qFormat/>
    <w:locked/>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09">
    <w:name w:val="表格正文"/>
    <w:basedOn w:val="1"/>
    <w:qFormat/>
    <w:locked/>
    <w:uiPriority w:val="0"/>
    <w:pPr>
      <w:snapToGrid w:val="0"/>
      <w:spacing w:line="300" w:lineRule="auto"/>
      <w:jc w:val="center"/>
    </w:pPr>
    <w:rPr>
      <w:sz w:val="24"/>
      <w:szCs w:val="20"/>
    </w:rPr>
  </w:style>
  <w:style w:type="paragraph" w:customStyle="1" w:styleId="110">
    <w:name w:val="6'"/>
    <w:basedOn w:val="1"/>
    <w:qFormat/>
    <w:locked/>
    <w:uiPriority w:val="0"/>
    <w:pPr>
      <w:autoSpaceDE w:val="0"/>
      <w:autoSpaceDN w:val="0"/>
      <w:adjustRightInd w:val="0"/>
      <w:snapToGrid w:val="0"/>
      <w:spacing w:line="320" w:lineRule="exact"/>
      <w:jc w:val="center"/>
      <w:textAlignment w:val="baseline"/>
    </w:pPr>
    <w:rPr>
      <w:spacing w:val="20"/>
      <w:kern w:val="28"/>
      <w:szCs w:val="20"/>
    </w:rPr>
  </w:style>
  <w:style w:type="paragraph" w:styleId="111">
    <w:name w:val="No Spacing"/>
    <w:qFormat/>
    <w:locked/>
    <w:uiPriority w:val="0"/>
    <w:pPr>
      <w:widowControl w:val="0"/>
      <w:jc w:val="both"/>
    </w:pPr>
    <w:rPr>
      <w:rFonts w:ascii="Times New Roman" w:hAnsi="Times New Roman" w:eastAsia="Times New Roman" w:cs="Times New Roman"/>
      <w:kern w:val="2"/>
      <w:sz w:val="21"/>
      <w:lang w:val="en-US" w:eastAsia="zh-CN" w:bidi="ar-SA"/>
    </w:rPr>
  </w:style>
  <w:style w:type="paragraph" w:customStyle="1" w:styleId="112">
    <w:name w:val="high15"/>
    <w:basedOn w:val="1"/>
    <w:qFormat/>
    <w:locked/>
    <w:uiPriority w:val="0"/>
    <w:pPr>
      <w:widowControl/>
      <w:spacing w:before="100" w:beforeAutospacing="1" w:after="100" w:afterAutospacing="1" w:line="300" w:lineRule="atLeast"/>
      <w:jc w:val="left"/>
    </w:pPr>
    <w:rPr>
      <w:rFonts w:ascii="宋体" w:cs="宋体"/>
      <w:kern w:val="0"/>
      <w:sz w:val="18"/>
      <w:szCs w:val="18"/>
    </w:rPr>
  </w:style>
  <w:style w:type="paragraph" w:customStyle="1" w:styleId="113">
    <w:name w:val="样式 标题 3 + (中文) 黑体 小四 非加粗 段前: 7.8 磅 段后: 0 磅 行距: 固定值 20 磅"/>
    <w:basedOn w:val="4"/>
    <w:qFormat/>
    <w:locked/>
    <w:uiPriority w:val="0"/>
    <w:pPr>
      <w:spacing w:before="120" w:after="120" w:line="400" w:lineRule="exact"/>
    </w:pPr>
    <w:rPr>
      <w:rFonts w:ascii="Times New Roman" w:hAnsi="Times New Roman" w:eastAsia="宋体"/>
      <w:b w:val="0"/>
      <w:bCs w:val="0"/>
      <w:sz w:val="24"/>
      <w:szCs w:val="20"/>
    </w:rPr>
  </w:style>
  <w:style w:type="paragraph" w:customStyle="1" w:styleId="114">
    <w:name w:val="Table Paragraph"/>
    <w:basedOn w:val="1"/>
    <w:qFormat/>
    <w:locked/>
    <w:uiPriority w:val="1"/>
    <w:rPr>
      <w:rFonts w:ascii="宋体" w:hAnsi="宋体" w:eastAsia="宋体" w:cs="宋体"/>
      <w:lang w:val="zh-CN" w:eastAsia="zh-CN" w:bidi="zh-CN"/>
    </w:rPr>
  </w:style>
  <w:style w:type="paragraph" w:styleId="115">
    <w:name w:val="List Paragraph"/>
    <w:basedOn w:val="1"/>
    <w:qFormat/>
    <w:locked/>
    <w:uiPriority w:val="34"/>
    <w:pPr>
      <w:ind w:firstLine="420" w:firstLineChars="200"/>
    </w:pPr>
  </w:style>
  <w:style w:type="paragraph" w:customStyle="1" w:styleId="116">
    <w:name w:val="xl24"/>
    <w:basedOn w:val="1"/>
    <w:qFormat/>
    <w:locked/>
    <w:uiPriority w:val="0"/>
    <w:pPr>
      <w:widowControl/>
      <w:spacing w:before="100" w:after="100"/>
      <w:jc w:val="center"/>
      <w:textAlignment w:val="center"/>
    </w:pPr>
    <w:rPr>
      <w:rFonts w:ascii="宋体" w:hAnsi="宋体"/>
      <w:kern w:val="0"/>
      <w:sz w:val="24"/>
      <w:szCs w:val="20"/>
    </w:rPr>
  </w:style>
  <w:style w:type="paragraph" w:customStyle="1" w:styleId="117">
    <w:name w:val="_Style 6_2_0"/>
    <w:unhideWhenUsed/>
    <w:qFormat/>
    <w:locked/>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Char"/>
    <w:basedOn w:val="1"/>
    <w:qFormat/>
    <w:locked/>
    <w:uiPriority w:val="0"/>
    <w:pPr>
      <w:widowControl w:val="0"/>
      <w:snapToGrid w:val="0"/>
      <w:spacing w:line="360" w:lineRule="auto"/>
      <w:ind w:firstLine="200" w:firstLineChars="200"/>
    </w:pPr>
  </w:style>
  <w:style w:type="paragraph" w:customStyle="1" w:styleId="119">
    <w:name w:val="样式 标题 2 + Times New Roman 四号 非加粗 段前: 5 磅 段后: 0 磅 行距: 固定值 20..."/>
    <w:basedOn w:val="2"/>
    <w:qFormat/>
    <w:locked/>
    <w:uiPriority w:val="0"/>
    <w:pPr>
      <w:spacing w:before="100" w:after="0" w:line="400" w:lineRule="exact"/>
    </w:pPr>
    <w:rPr>
      <w:rFonts w:ascii="Times New Roman" w:hAnsi="Times New Roman" w:cs="宋体"/>
      <w:b w:val="0"/>
      <w:bCs w:val="0"/>
      <w:sz w:val="28"/>
      <w:szCs w:val="20"/>
    </w:rPr>
  </w:style>
  <w:style w:type="paragraph" w:customStyle="1" w:styleId="120">
    <w:name w:val="表格内文本"/>
    <w:basedOn w:val="1"/>
    <w:qFormat/>
    <w:locked/>
    <w:uiPriority w:val="0"/>
    <w:pPr>
      <w:widowControl/>
      <w:spacing w:line="280" w:lineRule="exact"/>
      <w:textAlignment w:val="center"/>
    </w:pPr>
    <w:rPr>
      <w:rFonts w:hint="eastAsia" w:ascii="宋体" w:hAnsi="宋体"/>
      <w:color w:val="000000"/>
      <w:sz w:val="20"/>
      <w:szCs w:val="20"/>
    </w:rPr>
  </w:style>
  <w:style w:type="paragraph" w:customStyle="1" w:styleId="121">
    <w:name w:val="无间隔1"/>
    <w:basedOn w:val="1"/>
    <w:qFormat/>
    <w:locked/>
    <w:uiPriority w:val="1"/>
    <w:pPr>
      <w:spacing w:line="400" w:lineRule="exact"/>
    </w:pPr>
    <w:rPr>
      <w:sz w:val="24"/>
    </w:rPr>
  </w:style>
  <w:style w:type="table" w:customStyle="1" w:styleId="12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23831</Words>
  <Characters>25398</Characters>
  <Lines>206</Lines>
  <Paragraphs>58</Paragraphs>
  <TotalTime>18</TotalTime>
  <ScaleCrop>false</ScaleCrop>
  <LinksUpToDate>false</LinksUpToDate>
  <CharactersWithSpaces>27587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2018-10-29T08:31:00Z</dcterms:created>
  <dc:creator>微软用户</dc:creator>
  <cp:lastModifiedBy>丿只一人</cp:lastModifiedBy>
  <cp:lastPrinted>2020-05-17T10:42:00Z</cp:lastPrinted>
  <dcterms:modified xsi:type="dcterms:W3CDTF">2023-09-15T11:03:44Z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8A0C381B52594E858B11A9DBF1CB1ED8</vt:lpwstr>
  </property>
  <property fmtid="{D5CDD505-2E9C-101B-9397-08002B2CF9AE}" pid="3" name="KSOProductBuildVer">
    <vt:lpwstr>2052-12.1.0.15374</vt:lpwstr>
  </property>
</Properties>
</file>