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topLinePunct/>
        <w:snapToGrid w:val="0"/>
        <w:spacing w:line="480" w:lineRule="auto"/>
        <w:jc w:val="center"/>
        <w:outlineLvl w:val="0"/>
        <w:rPr>
          <w:rFonts w:hint="eastAsia" w:ascii="宋体" w:hAnsi="宋体" w:cs="宋体"/>
          <w:b/>
          <w:kern w:val="0"/>
          <w:sz w:val="32"/>
          <w:szCs w:val="32"/>
        </w:rPr>
      </w:pPr>
      <w:r>
        <w:rPr>
          <w:rFonts w:hint="eastAsia" w:ascii="宋体" w:hAnsi="宋体" w:cs="宋体"/>
          <w:b/>
          <w:kern w:val="0"/>
          <w:sz w:val="32"/>
          <w:szCs w:val="32"/>
        </w:rPr>
        <w:t>洛浦县“一站式”智能政务服务中心建设项目</w:t>
      </w:r>
    </w:p>
    <w:p>
      <w:pPr>
        <w:tabs>
          <w:tab w:val="left" w:pos="0"/>
        </w:tabs>
        <w:topLinePunct/>
        <w:snapToGrid w:val="0"/>
        <w:spacing w:line="480" w:lineRule="auto"/>
        <w:jc w:val="center"/>
        <w:outlineLvl w:val="0"/>
        <w:rPr>
          <w:rFonts w:ascii="宋体" w:hAnsi="宋体" w:cs="宋体"/>
          <w:b/>
          <w:kern w:val="0"/>
          <w:sz w:val="32"/>
          <w:szCs w:val="32"/>
        </w:rPr>
      </w:pPr>
      <w:bookmarkStart w:id="8" w:name="_GoBack"/>
      <w:bookmarkEnd w:id="8"/>
      <w:r>
        <w:rPr>
          <w:rFonts w:hint="eastAsia" w:ascii="宋体" w:hAnsi="宋体" w:cs="宋体"/>
          <w:b/>
          <w:kern w:val="0"/>
          <w:sz w:val="32"/>
          <w:szCs w:val="32"/>
        </w:rPr>
        <w:t>公开招标公告</w:t>
      </w:r>
    </w:p>
    <w:tbl>
      <w:tblPr>
        <w:tblStyle w:val="6"/>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02" w:hRule="atLeast"/>
        </w:trPr>
        <w:tc>
          <w:tcPr>
            <w:tcW w:w="9286" w:type="dxa"/>
            <w:noWrap w:val="0"/>
            <w:vAlign w:val="center"/>
          </w:tcPr>
          <w:p>
            <w:pPr>
              <w:topLinePunct/>
              <w:adjustRightInd w:val="0"/>
              <w:snapToGrid w:val="0"/>
              <w:spacing w:line="420" w:lineRule="exact"/>
              <w:ind w:left="105" w:hanging="105"/>
              <w:rPr>
                <w:rFonts w:ascii="宋体" w:hAnsi="宋体" w:cs="宋体"/>
                <w:kern w:val="0"/>
                <w:szCs w:val="21"/>
              </w:rPr>
            </w:pPr>
            <w:r>
              <w:rPr>
                <w:rFonts w:hint="eastAsia" w:ascii="宋体" w:hAnsi="宋体" w:cs="宋体"/>
                <w:kern w:val="0"/>
                <w:szCs w:val="21"/>
              </w:rPr>
              <w:t>项目概况：</w:t>
            </w:r>
          </w:p>
          <w:p>
            <w:pPr>
              <w:topLinePunct/>
              <w:adjustRightInd w:val="0"/>
              <w:snapToGrid w:val="0"/>
              <w:ind w:firstLine="480" w:firstLineChars="200"/>
              <w:rPr>
                <w:rFonts w:ascii="宋体" w:hAnsi="宋体" w:cs="宋体"/>
                <w:spacing w:val="15"/>
                <w:kern w:val="10"/>
                <w:sz w:val="24"/>
              </w:rPr>
            </w:pPr>
            <w:r>
              <w:rPr>
                <w:rFonts w:hint="eastAsia" w:ascii="宋体" w:hAnsi="宋体" w:cs="宋体"/>
                <w:spacing w:val="15"/>
                <w:kern w:val="10"/>
                <w:szCs w:val="21"/>
                <w:u w:val="single"/>
              </w:rPr>
              <w:t>洛浦县“一站式”智能政务服务中心建设项目的潜在投标人在符合该招标（采购）公告投标人资格要求条件的前提下，可于本公告发布之日起供应商登陆政采云平台https：//www.zcygov.cn/在线下载获取采购文件，并于2022年7月28日10点30分（北京时间）前递交投标文件。</w:t>
            </w:r>
          </w:p>
        </w:tc>
      </w:tr>
    </w:tbl>
    <w:p>
      <w:pPr>
        <w:topLinePunct/>
        <w:adjustRightInd w:val="0"/>
        <w:snapToGrid w:val="0"/>
        <w:spacing w:line="420" w:lineRule="exact"/>
        <w:ind w:firstLine="422" w:firstLineChars="200"/>
        <w:textAlignment w:val="baseline"/>
        <w:rPr>
          <w:rFonts w:ascii="宋体" w:hAnsi="宋体" w:cs="宋体"/>
          <w:b/>
          <w:bCs/>
          <w:kern w:val="0"/>
          <w:szCs w:val="21"/>
        </w:rPr>
      </w:pPr>
      <w:bookmarkStart w:id="0" w:name="_Toc35393629"/>
      <w:bookmarkStart w:id="1" w:name="_Toc35393798"/>
      <w:bookmarkStart w:id="2" w:name="_Toc28359089"/>
      <w:bookmarkStart w:id="3" w:name="_Toc28359012"/>
      <w:r>
        <w:rPr>
          <w:rFonts w:hint="eastAsia" w:ascii="宋体" w:hAnsi="宋体" w:cs="宋体"/>
          <w:b/>
          <w:bCs/>
          <w:kern w:val="0"/>
          <w:szCs w:val="21"/>
        </w:rPr>
        <w:t>一、项目基本情况</w:t>
      </w:r>
      <w:bookmarkEnd w:id="0"/>
      <w:bookmarkEnd w:id="1"/>
      <w:bookmarkEnd w:id="2"/>
      <w:bookmarkEnd w:id="3"/>
    </w:p>
    <w:p>
      <w:pPr>
        <w:topLinePunct/>
        <w:adjustRightInd w:val="0"/>
        <w:snapToGrid w:val="0"/>
        <w:spacing w:line="420" w:lineRule="exact"/>
        <w:ind w:firstLine="420" w:firstLineChars="200"/>
        <w:textAlignment w:val="baseline"/>
        <w:rPr>
          <w:rFonts w:ascii="宋体" w:hAnsi="宋体" w:cs="宋体"/>
          <w:kern w:val="0"/>
          <w:szCs w:val="21"/>
        </w:rPr>
      </w:pPr>
      <w:r>
        <w:rPr>
          <w:rFonts w:hint="eastAsia" w:ascii="宋体" w:hAnsi="宋体" w:cs="宋体"/>
          <w:kern w:val="0"/>
          <w:szCs w:val="21"/>
        </w:rPr>
        <w:t>项目编号：HCZY（LPX）2022ZFCG01号</w:t>
      </w:r>
    </w:p>
    <w:p>
      <w:pPr>
        <w:topLinePunct/>
        <w:adjustRightInd w:val="0"/>
        <w:snapToGrid w:val="0"/>
        <w:spacing w:line="420" w:lineRule="exact"/>
        <w:ind w:firstLine="420" w:firstLineChars="200"/>
        <w:textAlignment w:val="baseline"/>
        <w:rPr>
          <w:rFonts w:ascii="宋体" w:hAnsi="宋体" w:cs="宋体"/>
          <w:kern w:val="0"/>
          <w:szCs w:val="21"/>
        </w:rPr>
      </w:pPr>
      <w:r>
        <w:rPr>
          <w:rFonts w:hint="eastAsia" w:ascii="宋体" w:hAnsi="宋体" w:cs="宋体"/>
          <w:kern w:val="0"/>
          <w:szCs w:val="21"/>
        </w:rPr>
        <w:t>项目名称：洛浦县“一站式”智能政务服务中心建设项目</w:t>
      </w:r>
    </w:p>
    <w:p>
      <w:pPr>
        <w:topLinePunct/>
        <w:adjustRightInd w:val="0"/>
        <w:snapToGrid w:val="0"/>
        <w:spacing w:line="420" w:lineRule="exact"/>
        <w:ind w:firstLine="420" w:firstLineChars="200"/>
        <w:textAlignment w:val="baseline"/>
        <w:rPr>
          <w:rFonts w:ascii="宋体" w:hAnsi="宋体" w:cs="宋体"/>
          <w:kern w:val="0"/>
          <w:szCs w:val="21"/>
        </w:rPr>
      </w:pPr>
      <w:r>
        <w:rPr>
          <w:rFonts w:hint="eastAsia" w:ascii="宋体" w:hAnsi="宋体" w:cs="宋体"/>
          <w:kern w:val="0"/>
          <w:szCs w:val="21"/>
        </w:rPr>
        <w:t>采购方式：公开招标</w:t>
      </w:r>
    </w:p>
    <w:p>
      <w:pPr>
        <w:topLinePunct/>
        <w:adjustRightInd w:val="0"/>
        <w:snapToGrid w:val="0"/>
        <w:spacing w:line="420" w:lineRule="exact"/>
        <w:ind w:firstLine="420" w:firstLineChars="200"/>
        <w:textAlignment w:val="baseline"/>
        <w:rPr>
          <w:rFonts w:ascii="宋体" w:hAnsi="宋体" w:cs="宋体"/>
          <w:kern w:val="0"/>
          <w:szCs w:val="21"/>
        </w:rPr>
      </w:pPr>
      <w:r>
        <w:rPr>
          <w:rFonts w:hint="eastAsia" w:ascii="宋体" w:hAnsi="宋体" w:cs="宋体"/>
          <w:kern w:val="0"/>
          <w:szCs w:val="21"/>
        </w:rPr>
        <w:t>预算金额：7000000.00元</w:t>
      </w:r>
    </w:p>
    <w:p>
      <w:pPr>
        <w:topLinePunct/>
        <w:adjustRightInd w:val="0"/>
        <w:snapToGrid w:val="0"/>
        <w:spacing w:line="420" w:lineRule="exact"/>
        <w:ind w:firstLine="420" w:firstLineChars="200"/>
        <w:textAlignment w:val="baseline"/>
        <w:rPr>
          <w:rFonts w:ascii="宋体" w:hAnsi="宋体" w:cs="宋体"/>
          <w:kern w:val="0"/>
          <w:szCs w:val="21"/>
        </w:rPr>
      </w:pPr>
      <w:r>
        <w:rPr>
          <w:rFonts w:hint="eastAsia" w:ascii="宋体" w:hAnsi="宋体" w:cs="宋体"/>
          <w:kern w:val="0"/>
          <w:szCs w:val="21"/>
        </w:rPr>
        <w:t>最高限价：7000000.00元</w:t>
      </w:r>
    </w:p>
    <w:p>
      <w:pPr>
        <w:topLinePunct/>
        <w:adjustRightInd w:val="0"/>
        <w:snapToGrid w:val="0"/>
        <w:spacing w:line="420" w:lineRule="exact"/>
        <w:ind w:firstLine="420" w:firstLineChars="200"/>
        <w:rPr>
          <w:rFonts w:ascii="宋体" w:hAnsi="宋体" w:cs="宋体"/>
          <w:kern w:val="0"/>
          <w:szCs w:val="21"/>
        </w:rPr>
      </w:pPr>
      <w:r>
        <w:rPr>
          <w:rFonts w:hint="eastAsia" w:ascii="宋体" w:hAnsi="宋体" w:cs="宋体"/>
          <w:kern w:val="0"/>
          <w:szCs w:val="21"/>
        </w:rPr>
        <w:t>采购需求：</w:t>
      </w:r>
    </w:p>
    <w:tbl>
      <w:tblPr>
        <w:tblStyle w:val="6"/>
        <w:tblW w:w="4853" w:type="pct"/>
        <w:tblInd w:w="15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639"/>
        <w:gridCol w:w="1584"/>
        <w:gridCol w:w="761"/>
        <w:gridCol w:w="1350"/>
        <w:gridCol w:w="920"/>
        <w:gridCol w:w="2025"/>
        <w:gridCol w:w="10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6" w:hRule="atLeast"/>
        </w:trPr>
        <w:tc>
          <w:tcPr>
            <w:tcW w:w="383" w:type="pct"/>
            <w:noWrap w:val="0"/>
            <w:tcMar>
              <w:top w:w="75" w:type="dxa"/>
              <w:left w:w="150" w:type="dxa"/>
              <w:bottom w:w="75" w:type="dxa"/>
              <w:right w:w="150" w:type="dxa"/>
            </w:tcMar>
            <w:vAlign w:val="center"/>
          </w:tcPr>
          <w:p>
            <w:pPr>
              <w:topLinePunct/>
              <w:adjustRightInd w:val="0"/>
              <w:snapToGrid w:val="0"/>
              <w:jc w:val="center"/>
              <w:rPr>
                <w:rFonts w:ascii="宋体" w:hAnsi="宋体" w:cs="宋体"/>
                <w:kern w:val="0"/>
                <w:sz w:val="18"/>
                <w:szCs w:val="18"/>
              </w:rPr>
            </w:pPr>
            <w:r>
              <w:rPr>
                <w:rFonts w:hint="eastAsia" w:ascii="宋体" w:hAnsi="宋体" w:cs="宋体"/>
                <w:kern w:val="0"/>
                <w:sz w:val="18"/>
                <w:szCs w:val="18"/>
              </w:rPr>
              <w:t>标项序号</w:t>
            </w:r>
          </w:p>
        </w:tc>
        <w:tc>
          <w:tcPr>
            <w:tcW w:w="948" w:type="pct"/>
            <w:noWrap w:val="0"/>
            <w:tcMar>
              <w:top w:w="75" w:type="dxa"/>
              <w:left w:w="150" w:type="dxa"/>
              <w:bottom w:w="75" w:type="dxa"/>
              <w:right w:w="150" w:type="dxa"/>
            </w:tcMar>
            <w:vAlign w:val="center"/>
          </w:tcPr>
          <w:p>
            <w:pPr>
              <w:topLinePunct/>
              <w:adjustRightInd w:val="0"/>
              <w:snapToGrid w:val="0"/>
              <w:jc w:val="center"/>
              <w:rPr>
                <w:rFonts w:ascii="宋体" w:hAnsi="宋体" w:cs="宋体"/>
                <w:kern w:val="0"/>
                <w:sz w:val="18"/>
                <w:szCs w:val="18"/>
              </w:rPr>
            </w:pPr>
            <w:r>
              <w:rPr>
                <w:rFonts w:hint="eastAsia" w:ascii="宋体" w:hAnsi="宋体" w:cs="宋体"/>
                <w:kern w:val="0"/>
                <w:sz w:val="18"/>
                <w:szCs w:val="18"/>
              </w:rPr>
              <w:t>标项名称</w:t>
            </w:r>
          </w:p>
        </w:tc>
        <w:tc>
          <w:tcPr>
            <w:tcW w:w="456" w:type="pct"/>
            <w:noWrap w:val="0"/>
            <w:tcMar>
              <w:top w:w="75" w:type="dxa"/>
              <w:left w:w="150" w:type="dxa"/>
              <w:bottom w:w="75" w:type="dxa"/>
              <w:right w:w="150" w:type="dxa"/>
            </w:tcMar>
            <w:vAlign w:val="center"/>
          </w:tcPr>
          <w:p>
            <w:pPr>
              <w:topLinePunct/>
              <w:adjustRightInd w:val="0"/>
              <w:snapToGrid w:val="0"/>
              <w:jc w:val="center"/>
              <w:rPr>
                <w:rFonts w:ascii="宋体" w:hAnsi="宋体" w:cs="宋体"/>
                <w:kern w:val="0"/>
                <w:sz w:val="18"/>
                <w:szCs w:val="18"/>
              </w:rPr>
            </w:pPr>
            <w:r>
              <w:rPr>
                <w:rFonts w:hint="eastAsia" w:ascii="宋体" w:hAnsi="宋体" w:cs="宋体"/>
                <w:kern w:val="0"/>
                <w:sz w:val="18"/>
                <w:szCs w:val="18"/>
              </w:rPr>
              <w:t>数量</w:t>
            </w:r>
          </w:p>
        </w:tc>
        <w:tc>
          <w:tcPr>
            <w:tcW w:w="804" w:type="pct"/>
            <w:noWrap w:val="0"/>
            <w:tcMar>
              <w:top w:w="75" w:type="dxa"/>
              <w:left w:w="150" w:type="dxa"/>
              <w:bottom w:w="75" w:type="dxa"/>
              <w:right w:w="150" w:type="dxa"/>
            </w:tcMar>
            <w:vAlign w:val="center"/>
          </w:tcPr>
          <w:p>
            <w:pPr>
              <w:topLinePunct/>
              <w:adjustRightInd w:val="0"/>
              <w:snapToGrid w:val="0"/>
              <w:jc w:val="center"/>
              <w:rPr>
                <w:rFonts w:ascii="宋体" w:hAnsi="宋体" w:cs="宋体"/>
                <w:kern w:val="0"/>
                <w:sz w:val="18"/>
                <w:szCs w:val="18"/>
              </w:rPr>
            </w:pPr>
            <w:r>
              <w:rPr>
                <w:rFonts w:hint="eastAsia" w:ascii="宋体" w:hAnsi="宋体" w:cs="宋体"/>
                <w:kern w:val="0"/>
                <w:sz w:val="18"/>
                <w:szCs w:val="18"/>
              </w:rPr>
              <w:t>预算金额（元）</w:t>
            </w:r>
          </w:p>
        </w:tc>
        <w:tc>
          <w:tcPr>
            <w:tcW w:w="551" w:type="pct"/>
            <w:noWrap w:val="0"/>
            <w:tcMar>
              <w:top w:w="75" w:type="dxa"/>
              <w:left w:w="150" w:type="dxa"/>
              <w:bottom w:w="75" w:type="dxa"/>
              <w:right w:w="150" w:type="dxa"/>
            </w:tcMar>
            <w:vAlign w:val="center"/>
          </w:tcPr>
          <w:p>
            <w:pPr>
              <w:topLinePunct/>
              <w:adjustRightInd w:val="0"/>
              <w:snapToGrid w:val="0"/>
              <w:jc w:val="center"/>
              <w:rPr>
                <w:rFonts w:ascii="宋体" w:hAnsi="宋体" w:cs="宋体"/>
                <w:kern w:val="0"/>
                <w:sz w:val="18"/>
                <w:szCs w:val="18"/>
              </w:rPr>
            </w:pPr>
            <w:r>
              <w:rPr>
                <w:rFonts w:hint="eastAsia" w:ascii="宋体" w:hAnsi="宋体" w:cs="宋体"/>
                <w:kern w:val="0"/>
                <w:sz w:val="18"/>
                <w:szCs w:val="18"/>
              </w:rPr>
              <w:t>单位</w:t>
            </w:r>
          </w:p>
        </w:tc>
        <w:tc>
          <w:tcPr>
            <w:tcW w:w="1212" w:type="pct"/>
            <w:noWrap w:val="0"/>
            <w:tcMar>
              <w:top w:w="75" w:type="dxa"/>
              <w:left w:w="150" w:type="dxa"/>
              <w:bottom w:w="75" w:type="dxa"/>
              <w:right w:w="150" w:type="dxa"/>
            </w:tcMar>
            <w:vAlign w:val="center"/>
          </w:tcPr>
          <w:p>
            <w:pPr>
              <w:topLinePunct/>
              <w:adjustRightInd w:val="0"/>
              <w:snapToGrid w:val="0"/>
              <w:ind w:left="90" w:hanging="90"/>
              <w:jc w:val="center"/>
              <w:rPr>
                <w:rFonts w:ascii="宋体" w:hAnsi="宋体" w:cs="宋体"/>
                <w:kern w:val="0"/>
                <w:sz w:val="18"/>
                <w:szCs w:val="18"/>
              </w:rPr>
            </w:pPr>
            <w:r>
              <w:rPr>
                <w:rFonts w:hint="eastAsia" w:ascii="宋体" w:hAnsi="宋体" w:cs="宋体"/>
                <w:kern w:val="0"/>
                <w:sz w:val="18"/>
                <w:szCs w:val="18"/>
              </w:rPr>
              <w:t>简要规格描述</w:t>
            </w:r>
          </w:p>
        </w:tc>
        <w:tc>
          <w:tcPr>
            <w:tcW w:w="643" w:type="pct"/>
            <w:noWrap w:val="0"/>
            <w:tcMar>
              <w:top w:w="75" w:type="dxa"/>
              <w:left w:w="150" w:type="dxa"/>
              <w:bottom w:w="75" w:type="dxa"/>
              <w:right w:w="150" w:type="dxa"/>
            </w:tcMar>
            <w:vAlign w:val="center"/>
          </w:tcPr>
          <w:p>
            <w:pPr>
              <w:topLinePunct/>
              <w:adjustRightInd w:val="0"/>
              <w:snapToGrid w:val="0"/>
              <w:jc w:val="center"/>
              <w:rPr>
                <w:rFonts w:ascii="宋体" w:hAnsi="宋体" w:cs="宋体"/>
                <w:kern w:val="0"/>
                <w:sz w:val="18"/>
                <w:szCs w:val="18"/>
              </w:rPr>
            </w:pPr>
            <w:r>
              <w:rPr>
                <w:rFonts w:hint="eastAsia" w:ascii="宋体" w:hAnsi="宋体" w:cs="宋体"/>
                <w:kern w:val="0"/>
                <w:sz w:val="18"/>
                <w:szCs w:val="18"/>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85" w:hRule="atLeast"/>
        </w:trPr>
        <w:tc>
          <w:tcPr>
            <w:tcW w:w="383" w:type="pct"/>
            <w:noWrap w:val="0"/>
            <w:tcMar>
              <w:top w:w="75" w:type="dxa"/>
              <w:left w:w="150" w:type="dxa"/>
              <w:bottom w:w="75" w:type="dxa"/>
              <w:right w:w="150" w:type="dxa"/>
            </w:tcMar>
            <w:vAlign w:val="center"/>
          </w:tcPr>
          <w:p>
            <w:pPr>
              <w:topLinePunct/>
              <w:adjustRightInd w:val="0"/>
              <w:snapToGrid w:val="0"/>
              <w:jc w:val="center"/>
              <w:rPr>
                <w:rFonts w:ascii="宋体" w:hAnsi="宋体" w:cs="宋体"/>
                <w:color w:val="auto"/>
                <w:kern w:val="0"/>
                <w:sz w:val="18"/>
                <w:szCs w:val="18"/>
              </w:rPr>
            </w:pPr>
            <w:r>
              <w:rPr>
                <w:rFonts w:hint="eastAsia" w:ascii="宋体" w:hAnsi="宋体" w:cs="宋体"/>
                <w:color w:val="auto"/>
                <w:kern w:val="0"/>
                <w:sz w:val="18"/>
                <w:szCs w:val="18"/>
              </w:rPr>
              <w:t>1</w:t>
            </w:r>
          </w:p>
        </w:tc>
        <w:tc>
          <w:tcPr>
            <w:tcW w:w="948" w:type="pct"/>
            <w:noWrap w:val="0"/>
            <w:tcMar>
              <w:top w:w="75" w:type="dxa"/>
              <w:left w:w="150" w:type="dxa"/>
              <w:bottom w:w="75" w:type="dxa"/>
              <w:right w:w="150" w:type="dxa"/>
            </w:tcMar>
            <w:vAlign w:val="center"/>
          </w:tcPr>
          <w:p>
            <w:pPr>
              <w:topLinePunct/>
              <w:adjustRightInd w:val="0"/>
              <w:snapToGrid w:val="0"/>
              <w:spacing w:line="420" w:lineRule="exact"/>
              <w:textAlignment w:val="baseline"/>
              <w:rPr>
                <w:rFonts w:hint="eastAsia" w:ascii="宋体" w:hAnsi="宋体" w:cs="宋体"/>
                <w:color w:val="auto"/>
                <w:kern w:val="0"/>
                <w:szCs w:val="21"/>
              </w:rPr>
            </w:pPr>
            <w:r>
              <w:rPr>
                <w:rFonts w:hint="eastAsia" w:ascii="宋体" w:hAnsi="宋体" w:cs="宋体"/>
                <w:color w:val="auto"/>
                <w:kern w:val="0"/>
                <w:szCs w:val="21"/>
              </w:rPr>
              <w:t>洛浦县“一站式”智能政务服务中心建设项目</w:t>
            </w:r>
          </w:p>
        </w:tc>
        <w:tc>
          <w:tcPr>
            <w:tcW w:w="456" w:type="pct"/>
            <w:noWrap w:val="0"/>
            <w:tcMar>
              <w:top w:w="75" w:type="dxa"/>
              <w:left w:w="150" w:type="dxa"/>
              <w:bottom w:w="75" w:type="dxa"/>
              <w:right w:w="150" w:type="dxa"/>
            </w:tcMar>
            <w:vAlign w:val="center"/>
          </w:tcPr>
          <w:p>
            <w:pPr>
              <w:topLinePunct/>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1</w:t>
            </w:r>
          </w:p>
        </w:tc>
        <w:tc>
          <w:tcPr>
            <w:tcW w:w="804" w:type="pct"/>
            <w:noWrap w:val="0"/>
            <w:tcMar>
              <w:top w:w="75" w:type="dxa"/>
              <w:left w:w="150" w:type="dxa"/>
              <w:bottom w:w="75" w:type="dxa"/>
              <w:right w:w="150" w:type="dxa"/>
            </w:tcMar>
            <w:vAlign w:val="center"/>
          </w:tcPr>
          <w:p>
            <w:pPr>
              <w:topLinePunct/>
              <w:adjustRightInd w:val="0"/>
              <w:snapToGrid w:val="0"/>
              <w:jc w:val="center"/>
              <w:rPr>
                <w:rFonts w:ascii="宋体" w:hAnsi="宋体" w:cs="宋体"/>
                <w:color w:val="auto"/>
                <w:kern w:val="0"/>
                <w:szCs w:val="21"/>
              </w:rPr>
            </w:pPr>
            <w:r>
              <w:rPr>
                <w:rFonts w:hint="eastAsia" w:ascii="宋体" w:hAnsi="宋体" w:cs="宋体"/>
                <w:color w:val="auto"/>
                <w:kern w:val="0"/>
                <w:szCs w:val="21"/>
              </w:rPr>
              <w:t>7000000.00</w:t>
            </w:r>
          </w:p>
        </w:tc>
        <w:tc>
          <w:tcPr>
            <w:tcW w:w="551" w:type="pct"/>
            <w:noWrap w:val="0"/>
            <w:tcMar>
              <w:top w:w="75" w:type="dxa"/>
              <w:left w:w="150" w:type="dxa"/>
              <w:bottom w:w="75" w:type="dxa"/>
              <w:right w:w="150" w:type="dxa"/>
            </w:tcMar>
            <w:vAlign w:val="center"/>
          </w:tcPr>
          <w:p>
            <w:pPr>
              <w:topLinePunct/>
              <w:adjustRightInd w:val="0"/>
              <w:snapToGrid w:val="0"/>
              <w:jc w:val="center"/>
              <w:rPr>
                <w:rFonts w:hint="eastAsia" w:ascii="宋体" w:hAnsi="宋体" w:cs="宋体"/>
                <w:color w:val="auto"/>
                <w:kern w:val="0"/>
                <w:szCs w:val="21"/>
              </w:rPr>
            </w:pPr>
            <w:r>
              <w:rPr>
                <w:rFonts w:hint="eastAsia" w:ascii="宋体" w:hAnsi="宋体" w:cs="宋体"/>
                <w:color w:val="auto"/>
                <w:kern w:val="0"/>
                <w:szCs w:val="21"/>
              </w:rPr>
              <w:t>批</w:t>
            </w:r>
          </w:p>
        </w:tc>
        <w:tc>
          <w:tcPr>
            <w:tcW w:w="1212" w:type="pct"/>
            <w:noWrap w:val="0"/>
            <w:tcMar>
              <w:top w:w="75" w:type="dxa"/>
              <w:left w:w="150" w:type="dxa"/>
              <w:bottom w:w="75" w:type="dxa"/>
              <w:right w:w="150" w:type="dxa"/>
            </w:tcMar>
            <w:vAlign w:val="center"/>
          </w:tcPr>
          <w:p>
            <w:pPr>
              <w:topLinePunct/>
              <w:adjustRightInd w:val="0"/>
              <w:snapToGrid w:val="0"/>
              <w:jc w:val="center"/>
              <w:rPr>
                <w:rFonts w:ascii="宋体" w:hAnsi="宋体" w:cs="宋体"/>
                <w:color w:val="auto"/>
                <w:kern w:val="0"/>
                <w:szCs w:val="21"/>
              </w:rPr>
            </w:pPr>
            <w:r>
              <w:rPr>
                <w:rFonts w:hint="eastAsia" w:ascii="宋体" w:hAnsi="宋体" w:eastAsia="宋体" w:cs="宋体"/>
                <w:color w:val="auto"/>
                <w:kern w:val="0"/>
                <w:szCs w:val="21"/>
                <w:highlight w:val="none"/>
              </w:rPr>
              <w:t>采购</w:t>
            </w:r>
            <w:r>
              <w:rPr>
                <w:rFonts w:hint="eastAsia" w:ascii="宋体" w:hAnsi="宋体" w:eastAsia="宋体" w:cs="宋体"/>
                <w:color w:val="auto"/>
                <w:kern w:val="0"/>
                <w:szCs w:val="21"/>
                <w:highlight w:val="none"/>
                <w:lang w:val="en-US" w:eastAsia="zh-CN"/>
              </w:rPr>
              <w:t>智能政务硬件、软件设备、机房及动环系统硬件设备、监控系统硬件设备、综合布线及弱电系统设备</w:t>
            </w:r>
          </w:p>
        </w:tc>
        <w:tc>
          <w:tcPr>
            <w:tcW w:w="643" w:type="pct"/>
            <w:noWrap w:val="0"/>
            <w:tcMar>
              <w:top w:w="75" w:type="dxa"/>
              <w:left w:w="150" w:type="dxa"/>
              <w:bottom w:w="75" w:type="dxa"/>
              <w:right w:w="150" w:type="dxa"/>
            </w:tcMar>
            <w:vAlign w:val="center"/>
          </w:tcPr>
          <w:p>
            <w:pPr>
              <w:topLinePunct/>
              <w:adjustRightInd w:val="0"/>
              <w:snapToGrid w:val="0"/>
              <w:jc w:val="center"/>
              <w:rPr>
                <w:rFonts w:ascii="宋体" w:hAnsi="宋体" w:cs="宋体"/>
                <w:color w:val="auto"/>
                <w:kern w:val="0"/>
                <w:szCs w:val="21"/>
              </w:rPr>
            </w:pPr>
            <w:r>
              <w:rPr>
                <w:rFonts w:hint="eastAsia" w:ascii="宋体" w:hAnsi="宋体" w:cs="宋体"/>
                <w:color w:val="auto"/>
                <w:kern w:val="0"/>
                <w:szCs w:val="21"/>
              </w:rPr>
              <w:t>具体参数详见招标文件</w:t>
            </w:r>
          </w:p>
        </w:tc>
      </w:tr>
    </w:tbl>
    <w:p>
      <w:pPr>
        <w:topLinePunct/>
        <w:adjustRightInd w:val="0"/>
        <w:snapToGrid w:val="0"/>
        <w:spacing w:line="420" w:lineRule="exact"/>
        <w:ind w:firstLine="420" w:firstLineChars="200"/>
        <w:textAlignment w:val="baseline"/>
        <w:rPr>
          <w:rFonts w:hint="eastAsia" w:ascii="宋体" w:hAnsi="宋体" w:cs="宋体"/>
          <w:color w:val="auto"/>
          <w:kern w:val="0"/>
          <w:szCs w:val="21"/>
        </w:rPr>
      </w:pPr>
      <w:r>
        <w:rPr>
          <w:rFonts w:hint="eastAsia" w:ascii="宋体" w:hAnsi="宋体" w:cs="宋体"/>
          <w:color w:val="auto"/>
          <w:kern w:val="0"/>
          <w:szCs w:val="21"/>
        </w:rPr>
        <w:t>合同履行期限：签订合同后15个工作日内完成所有货物及软件服务的安装调试及验收。</w:t>
      </w:r>
    </w:p>
    <w:p>
      <w:pPr>
        <w:topLinePunct/>
        <w:adjustRightInd w:val="0"/>
        <w:snapToGrid w:val="0"/>
        <w:spacing w:line="420" w:lineRule="exact"/>
        <w:ind w:firstLine="420" w:firstLineChars="200"/>
        <w:textAlignment w:val="baseline"/>
        <w:rPr>
          <w:rFonts w:ascii="宋体" w:hAnsi="宋体" w:cs="宋体"/>
          <w:kern w:val="0"/>
          <w:szCs w:val="21"/>
        </w:rPr>
      </w:pPr>
      <w:r>
        <w:rPr>
          <w:rFonts w:hint="eastAsia" w:ascii="宋体" w:hAnsi="宋体" w:cs="宋体"/>
          <w:kern w:val="0"/>
          <w:szCs w:val="21"/>
        </w:rPr>
        <w:t>本项目不接受联合体投标。</w:t>
      </w:r>
      <w:bookmarkStart w:id="4" w:name="_Toc28359090"/>
      <w:bookmarkStart w:id="5" w:name="_Toc35393630"/>
      <w:bookmarkStart w:id="6" w:name="_Toc28359013"/>
      <w:bookmarkStart w:id="7" w:name="_Toc35393799"/>
    </w:p>
    <w:bookmarkEnd w:id="4"/>
    <w:bookmarkEnd w:id="5"/>
    <w:bookmarkEnd w:id="6"/>
    <w:bookmarkEnd w:id="7"/>
    <w:p>
      <w:pPr>
        <w:topLinePunct/>
        <w:adjustRightInd w:val="0"/>
        <w:snapToGrid w:val="0"/>
        <w:spacing w:line="420" w:lineRule="exact"/>
        <w:ind w:firstLine="422" w:firstLineChars="200"/>
        <w:textAlignment w:val="baseline"/>
        <w:rPr>
          <w:rFonts w:ascii="宋体" w:hAnsi="宋体" w:cs="宋体"/>
          <w:b/>
          <w:bCs/>
          <w:kern w:val="0"/>
          <w:szCs w:val="21"/>
        </w:rPr>
      </w:pPr>
      <w:r>
        <w:rPr>
          <w:rFonts w:hint="eastAsia" w:ascii="宋体" w:hAnsi="宋体" w:cs="宋体"/>
          <w:b/>
          <w:bCs/>
          <w:kern w:val="0"/>
          <w:szCs w:val="21"/>
        </w:rPr>
        <w:t>二、申请人的资格要求：</w:t>
      </w:r>
    </w:p>
    <w:p>
      <w:pPr>
        <w:topLinePunct/>
        <w:adjustRightInd w:val="0"/>
        <w:snapToGrid w:val="0"/>
        <w:spacing w:line="420" w:lineRule="exact"/>
        <w:ind w:firstLine="420" w:firstLineChars="200"/>
        <w:textAlignment w:val="baseline"/>
        <w:rPr>
          <w:rFonts w:ascii="宋体" w:hAnsi="宋体" w:cs="宋体"/>
          <w:kern w:val="0"/>
          <w:szCs w:val="21"/>
        </w:rPr>
      </w:pPr>
      <w:r>
        <w:rPr>
          <w:rFonts w:hint="eastAsia" w:ascii="宋体" w:hAnsi="宋体" w:cs="宋体"/>
          <w:kern w:val="0"/>
          <w:szCs w:val="21"/>
        </w:rPr>
        <w:t>1.满足《中华人民共和国政府采购法》第二十二条规定；</w:t>
      </w:r>
    </w:p>
    <w:p>
      <w:pPr>
        <w:topLinePunct/>
        <w:adjustRightInd w:val="0"/>
        <w:snapToGrid w:val="0"/>
        <w:spacing w:line="420" w:lineRule="exact"/>
        <w:ind w:firstLine="420" w:firstLineChars="200"/>
        <w:textAlignment w:val="baseline"/>
        <w:rPr>
          <w:rFonts w:ascii="宋体" w:hAnsi="宋体" w:cs="宋体"/>
          <w:kern w:val="0"/>
          <w:szCs w:val="21"/>
        </w:rPr>
      </w:pPr>
      <w:r>
        <w:rPr>
          <w:rFonts w:hint="eastAsia" w:ascii="宋体" w:hAnsi="宋体" w:cs="宋体"/>
          <w:kern w:val="0"/>
          <w:szCs w:val="21"/>
        </w:rPr>
        <w:t>2.落实政府采购政策需满足的资格要求：</w:t>
      </w:r>
      <w:r>
        <w:rPr>
          <w:rFonts w:hint="eastAsia" w:ascii="宋体" w:hAnsi="宋体" w:cs="宋体"/>
          <w:szCs w:val="21"/>
          <w:shd w:val="clear" w:color="auto" w:fill="FFFFFF"/>
          <w:lang w:bidi="ar"/>
        </w:rPr>
        <w:t>（1）根据《政府采购促进中小企业发展管理办法》（财库﹝2020﹞46 号）。（2）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等政府采购政策。（3）《财政部发展改革委 生态环境部 市场监管总局 关于调整优化节能产品、环境标志产品政府采购执行机制的通知》（财库〔2019〕9号）。</w:t>
      </w:r>
    </w:p>
    <w:p>
      <w:pPr>
        <w:topLinePunct/>
        <w:adjustRightInd w:val="0"/>
        <w:snapToGrid w:val="0"/>
        <w:spacing w:line="420" w:lineRule="exact"/>
        <w:ind w:firstLine="420" w:firstLineChars="200"/>
        <w:textAlignment w:val="baseline"/>
        <w:rPr>
          <w:rFonts w:ascii="宋体" w:hAnsi="宋体" w:cs="宋体"/>
          <w:kern w:val="0"/>
          <w:szCs w:val="20"/>
        </w:rPr>
      </w:pPr>
      <w:r>
        <w:rPr>
          <w:rFonts w:hint="eastAsia" w:ascii="宋体" w:hAnsi="宋体" w:cs="宋体"/>
          <w:kern w:val="0"/>
          <w:szCs w:val="20"/>
        </w:rPr>
        <w:t>3.本项目的特定资格要求：</w:t>
      </w:r>
    </w:p>
    <w:p>
      <w:pPr>
        <w:topLinePunct/>
        <w:adjustRightInd w:val="0"/>
        <w:snapToGrid w:val="0"/>
        <w:spacing w:line="420" w:lineRule="exact"/>
        <w:ind w:firstLine="420" w:firstLineChars="200"/>
        <w:textAlignment w:val="baseline"/>
        <w:rPr>
          <w:rFonts w:ascii="宋体" w:hAnsi="宋体" w:cs="宋体"/>
          <w:kern w:val="0"/>
          <w:szCs w:val="20"/>
        </w:rPr>
      </w:pPr>
      <w:r>
        <w:rPr>
          <w:rFonts w:hint="eastAsia" w:ascii="宋体" w:hAnsi="宋体" w:cs="宋体"/>
          <w:kern w:val="0"/>
          <w:szCs w:val="20"/>
        </w:rPr>
        <w:t>（1）</w:t>
      </w:r>
      <w:r>
        <w:rPr>
          <w:rFonts w:hint="eastAsia" w:ascii="宋体" w:hAnsi="宋体" w:cs="宋体"/>
          <w:color w:val="auto"/>
          <w:kern w:val="0"/>
          <w:szCs w:val="20"/>
        </w:rPr>
        <w:t xml:space="preserve">具有独立承担民事责任的能力：在中华人民共和国境内注册的法人或其他组织或自然人， 投标（响应）时提交有效的营业执照（或事业法人登记证或身份证等相关证明） </w:t>
      </w:r>
      <w:r>
        <w:rPr>
          <w:rFonts w:hint="eastAsia" w:ascii="宋体" w:hAnsi="宋体" w:cs="宋体"/>
          <w:color w:val="auto"/>
          <w:kern w:val="0"/>
          <w:szCs w:val="20"/>
          <w:lang w:eastAsia="zh-CN"/>
        </w:rPr>
        <w:t>；</w:t>
      </w:r>
      <w:r>
        <w:rPr>
          <w:rFonts w:hint="eastAsia" w:ascii="宋体" w:hAnsi="宋体" w:cs="宋体"/>
          <w:color w:val="auto"/>
          <w:kern w:val="0"/>
          <w:szCs w:val="20"/>
        </w:rPr>
        <w:t>分支机构投标的，须提供总公司和分公司营业执照副本，总公司出具给分支机构的授权书。</w:t>
      </w:r>
    </w:p>
    <w:p>
      <w:pPr>
        <w:topLinePunct/>
        <w:adjustRightInd w:val="0"/>
        <w:snapToGrid w:val="0"/>
        <w:spacing w:line="420" w:lineRule="exact"/>
        <w:ind w:firstLine="420" w:firstLineChars="200"/>
        <w:textAlignment w:val="baseline"/>
        <w:rPr>
          <w:rFonts w:ascii="宋体" w:hAnsi="宋体" w:cs="宋体"/>
          <w:kern w:val="0"/>
          <w:szCs w:val="20"/>
        </w:rPr>
      </w:pPr>
      <w:r>
        <w:rPr>
          <w:rFonts w:hint="eastAsia" w:ascii="宋体" w:hAnsi="宋体" w:cs="宋体"/>
          <w:kern w:val="0"/>
          <w:szCs w:val="20"/>
        </w:rPr>
        <w:t>（2）近三年内（本项目投标截止期前）如在“信用中国（www.creditchina.gov.cn）”被列入失信被执行人、企业经营异常名录、税收违法黑名单、政府采购严重违法失信名单（尚在处罚期内的）；在“中国政府采购网（www.ccgp.gov.cn）”被列入政府采购严重违法失信行为记录名单的（尚在处罚期内的）；在“国家企业信用信息公示系统（</w:t>
      </w:r>
      <w:r>
        <w:fldChar w:fldCharType="begin"/>
      </w:r>
      <w:r>
        <w:instrText xml:space="preserve"> HYPERLINK "http://www.gsxt.gov.cn/" </w:instrText>
      </w:r>
      <w:r>
        <w:fldChar w:fldCharType="separate"/>
      </w:r>
      <w:r>
        <w:rPr>
          <w:rFonts w:hint="eastAsia" w:ascii="宋体" w:hAnsi="宋体" w:cs="宋体"/>
          <w:kern w:val="0"/>
          <w:szCs w:val="20"/>
        </w:rPr>
        <w:t>http://www.gsxt.gov.cn</w:t>
      </w:r>
      <w:r>
        <w:rPr>
          <w:rFonts w:hint="eastAsia" w:ascii="宋体" w:hAnsi="宋体" w:cs="宋体"/>
          <w:kern w:val="0"/>
          <w:szCs w:val="20"/>
        </w:rPr>
        <w:fldChar w:fldCharType="end"/>
      </w:r>
      <w:r>
        <w:rPr>
          <w:rFonts w:hint="eastAsia" w:ascii="宋体" w:hAnsi="宋体" w:cs="宋体"/>
          <w:kern w:val="0"/>
          <w:szCs w:val="20"/>
        </w:rPr>
        <w:t>）”列入经营异常名录信息、列入严重违法失信企业名单（黑名单）信息的将拒绝其参本次政府采购活动（开标现场查询核实）。</w:t>
      </w:r>
    </w:p>
    <w:p>
      <w:pPr>
        <w:topLinePunct/>
        <w:adjustRightInd w:val="0"/>
        <w:snapToGrid w:val="0"/>
        <w:spacing w:line="420" w:lineRule="exact"/>
        <w:ind w:firstLine="420" w:firstLineChars="200"/>
        <w:textAlignment w:val="baseline"/>
        <w:rPr>
          <w:rFonts w:ascii="宋体" w:hAnsi="宋体" w:cs="宋体"/>
          <w:kern w:val="0"/>
          <w:szCs w:val="20"/>
        </w:rPr>
      </w:pPr>
      <w:r>
        <w:rPr>
          <w:rFonts w:hint="eastAsia" w:ascii="宋体" w:hAnsi="宋体" w:cs="宋体"/>
          <w:kern w:val="0"/>
          <w:szCs w:val="20"/>
        </w:rPr>
        <w:t>（</w:t>
      </w:r>
      <w:r>
        <w:rPr>
          <w:rFonts w:hint="eastAsia" w:ascii="宋体" w:hAnsi="宋体" w:cs="宋体"/>
          <w:kern w:val="0"/>
          <w:szCs w:val="20"/>
          <w:lang w:val="en-US" w:eastAsia="zh-CN"/>
        </w:rPr>
        <w:t>2</w:t>
      </w:r>
      <w:r>
        <w:rPr>
          <w:rFonts w:hint="eastAsia" w:ascii="宋体" w:hAnsi="宋体" w:cs="宋体"/>
          <w:kern w:val="0"/>
          <w:szCs w:val="20"/>
        </w:rPr>
        <w:t>）提供2021年度由第三方财务审计机构出具的财务审计报告（2022年1月份后成立的公司可不提供但需提供银行出具的近一个月的资信证明）；</w:t>
      </w:r>
    </w:p>
    <w:p>
      <w:pPr>
        <w:topLinePunct/>
        <w:adjustRightInd w:val="0"/>
        <w:snapToGrid w:val="0"/>
        <w:spacing w:line="420" w:lineRule="exact"/>
        <w:ind w:firstLine="420" w:firstLineChars="200"/>
        <w:textAlignment w:val="baseline"/>
        <w:rPr>
          <w:rFonts w:ascii="宋体" w:hAnsi="宋体" w:cs="宋体"/>
          <w:kern w:val="0"/>
          <w:szCs w:val="20"/>
        </w:rPr>
      </w:pPr>
      <w:r>
        <w:rPr>
          <w:rFonts w:hint="eastAsia" w:ascii="宋体" w:hAnsi="宋体" w:cs="宋体"/>
          <w:kern w:val="0"/>
          <w:szCs w:val="20"/>
        </w:rPr>
        <w:t>（</w:t>
      </w:r>
      <w:r>
        <w:rPr>
          <w:rFonts w:hint="eastAsia" w:ascii="宋体" w:hAnsi="宋体" w:cs="宋体"/>
          <w:kern w:val="0"/>
          <w:szCs w:val="20"/>
          <w:lang w:val="en-US" w:eastAsia="zh-CN"/>
        </w:rPr>
        <w:t>3</w:t>
      </w:r>
      <w:r>
        <w:rPr>
          <w:rFonts w:hint="eastAsia" w:ascii="宋体" w:hAnsi="宋体" w:cs="宋体"/>
          <w:kern w:val="0"/>
          <w:szCs w:val="20"/>
        </w:rPr>
        <w:t>）提供税务机关出具近三个月的完税证明（2022年3月份后成立的公司按实际发生提供）；</w:t>
      </w:r>
    </w:p>
    <w:p>
      <w:pPr>
        <w:topLinePunct/>
        <w:adjustRightInd w:val="0"/>
        <w:snapToGrid w:val="0"/>
        <w:spacing w:line="420" w:lineRule="exact"/>
        <w:ind w:firstLine="420" w:firstLineChars="200"/>
        <w:textAlignment w:val="baseline"/>
        <w:rPr>
          <w:rFonts w:ascii="宋体" w:hAnsi="宋体" w:cs="宋体"/>
          <w:kern w:val="0"/>
          <w:szCs w:val="20"/>
        </w:rPr>
      </w:pPr>
      <w:r>
        <w:rPr>
          <w:rFonts w:hint="eastAsia" w:ascii="宋体" w:hAnsi="宋体" w:cs="宋体"/>
          <w:kern w:val="0"/>
          <w:szCs w:val="20"/>
        </w:rPr>
        <w:t>（</w:t>
      </w:r>
      <w:r>
        <w:rPr>
          <w:rFonts w:hint="eastAsia" w:ascii="宋体" w:hAnsi="宋体" w:cs="宋体"/>
          <w:kern w:val="0"/>
          <w:szCs w:val="20"/>
          <w:lang w:val="en-US" w:eastAsia="zh-CN"/>
        </w:rPr>
        <w:t>4</w:t>
      </w:r>
      <w:r>
        <w:rPr>
          <w:rFonts w:hint="eastAsia" w:ascii="宋体" w:hAnsi="宋体" w:cs="宋体"/>
          <w:kern w:val="0"/>
          <w:szCs w:val="20"/>
        </w:rPr>
        <w:t>）法人应携带《法定代表人身份证明书》原件及身份证原件，委托代理人应携带《法定代表人授权委托书》原件及身份证原件；</w:t>
      </w:r>
    </w:p>
    <w:p>
      <w:pPr>
        <w:topLinePunct/>
        <w:adjustRightInd w:val="0"/>
        <w:snapToGrid w:val="0"/>
        <w:spacing w:line="420" w:lineRule="exact"/>
        <w:ind w:firstLine="420" w:firstLineChars="200"/>
        <w:textAlignment w:val="baseline"/>
        <w:rPr>
          <w:rFonts w:ascii="宋体" w:hAnsi="宋体" w:cs="宋体"/>
          <w:kern w:val="0"/>
          <w:szCs w:val="20"/>
        </w:rPr>
      </w:pPr>
      <w:r>
        <w:rPr>
          <w:rFonts w:hint="eastAsia" w:ascii="宋体" w:hAnsi="宋体" w:cs="宋体"/>
          <w:kern w:val="0"/>
          <w:szCs w:val="20"/>
        </w:rPr>
        <w:t>（</w:t>
      </w:r>
      <w:r>
        <w:rPr>
          <w:rFonts w:hint="eastAsia" w:ascii="宋体" w:hAnsi="宋体" w:cs="宋体"/>
          <w:kern w:val="0"/>
          <w:szCs w:val="20"/>
          <w:lang w:val="en-US" w:eastAsia="zh-CN"/>
        </w:rPr>
        <w:t>5</w:t>
      </w:r>
      <w:r>
        <w:rPr>
          <w:rFonts w:hint="eastAsia" w:ascii="宋体" w:hAnsi="宋体" w:cs="宋体"/>
          <w:kern w:val="0"/>
          <w:szCs w:val="20"/>
        </w:rPr>
        <w:t>）提供本单位缴纳的近3个月社保缴纳证明（单位社保缴费凭证，2022年3月份后成立的公司按实际发生提供）；</w:t>
      </w:r>
    </w:p>
    <w:p>
      <w:pPr>
        <w:topLinePunct/>
        <w:adjustRightInd w:val="0"/>
        <w:snapToGrid w:val="0"/>
        <w:spacing w:line="420" w:lineRule="exact"/>
        <w:ind w:firstLine="420" w:firstLineChars="200"/>
        <w:textAlignment w:val="baseline"/>
        <w:rPr>
          <w:rFonts w:ascii="宋体" w:hAnsi="宋体" w:cs="宋体"/>
          <w:kern w:val="0"/>
          <w:szCs w:val="20"/>
        </w:rPr>
      </w:pPr>
      <w:r>
        <w:rPr>
          <w:rFonts w:hint="eastAsia" w:ascii="宋体" w:hAnsi="宋体" w:cs="宋体"/>
          <w:kern w:val="0"/>
          <w:szCs w:val="20"/>
        </w:rPr>
        <w:t>（</w:t>
      </w:r>
      <w:r>
        <w:rPr>
          <w:rFonts w:hint="eastAsia" w:ascii="宋体" w:hAnsi="宋体" w:cs="宋体"/>
          <w:kern w:val="0"/>
          <w:szCs w:val="20"/>
          <w:lang w:val="en-US" w:eastAsia="zh-CN"/>
        </w:rPr>
        <w:t>6</w:t>
      </w:r>
      <w:r>
        <w:rPr>
          <w:rFonts w:hint="eastAsia" w:ascii="宋体" w:hAnsi="宋体" w:cs="宋体"/>
          <w:kern w:val="0"/>
          <w:szCs w:val="20"/>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topLinePunct/>
        <w:adjustRightInd w:val="0"/>
        <w:snapToGrid w:val="0"/>
        <w:spacing w:line="420" w:lineRule="exact"/>
        <w:ind w:firstLine="420" w:firstLineChars="200"/>
        <w:textAlignment w:val="baseline"/>
        <w:rPr>
          <w:rFonts w:ascii="宋体" w:hAnsi="宋体" w:cs="宋体"/>
          <w:kern w:val="0"/>
          <w:szCs w:val="21"/>
        </w:rPr>
      </w:pPr>
      <w:r>
        <w:rPr>
          <w:rFonts w:hint="eastAsia" w:ascii="宋体" w:hAnsi="宋体" w:cs="宋体"/>
          <w:kern w:val="0"/>
          <w:szCs w:val="20"/>
        </w:rPr>
        <w:t>三、招标文件的发售时间、地址、售价：</w:t>
      </w:r>
    </w:p>
    <w:p>
      <w:pPr>
        <w:topLinePunct/>
        <w:adjustRightInd w:val="0"/>
        <w:snapToGrid w:val="0"/>
        <w:spacing w:line="420" w:lineRule="exact"/>
        <w:ind w:firstLine="420" w:firstLineChars="200"/>
        <w:textAlignment w:val="baseline"/>
        <w:rPr>
          <w:rFonts w:ascii="宋体" w:hAnsi="宋体" w:cs="宋体"/>
          <w:kern w:val="0"/>
          <w:szCs w:val="21"/>
        </w:rPr>
      </w:pPr>
      <w:r>
        <w:rPr>
          <w:rFonts w:hint="eastAsia" w:ascii="宋体" w:hAnsi="宋体" w:cs="宋体"/>
          <w:kern w:val="0"/>
          <w:szCs w:val="21"/>
        </w:rPr>
        <w:t>1、发售时间：2022年7月</w:t>
      </w:r>
      <w:r>
        <w:rPr>
          <w:rFonts w:hint="eastAsia" w:ascii="宋体" w:hAnsi="宋体" w:cs="宋体"/>
          <w:kern w:val="0"/>
          <w:szCs w:val="21"/>
          <w:lang w:val="en-US" w:eastAsia="zh-CN"/>
        </w:rPr>
        <w:t>8</w:t>
      </w:r>
      <w:r>
        <w:rPr>
          <w:rFonts w:hint="eastAsia" w:ascii="宋体" w:hAnsi="宋体" w:cs="宋体"/>
          <w:kern w:val="0"/>
          <w:szCs w:val="21"/>
        </w:rPr>
        <w:t>日至2022年7月27日00：00-24：00（北京时间，节假日除外）</w:t>
      </w:r>
    </w:p>
    <w:p>
      <w:pPr>
        <w:topLinePunct/>
        <w:adjustRightInd w:val="0"/>
        <w:snapToGrid w:val="0"/>
        <w:spacing w:line="420" w:lineRule="exact"/>
        <w:ind w:firstLine="420" w:firstLineChars="200"/>
        <w:textAlignment w:val="baseline"/>
        <w:rPr>
          <w:rFonts w:ascii="宋体" w:hAnsi="宋体" w:cs="宋体"/>
          <w:kern w:val="0"/>
          <w:szCs w:val="21"/>
        </w:rPr>
      </w:pPr>
      <w:r>
        <w:rPr>
          <w:rFonts w:hint="eastAsia" w:ascii="宋体" w:hAnsi="宋体" w:cs="宋体"/>
          <w:kern w:val="0"/>
          <w:szCs w:val="21"/>
        </w:rPr>
        <w:t>2、地点（网址）：《新疆政府采购网》（http：//www.ccgp-xinjiang.gov.cn/）</w:t>
      </w:r>
    </w:p>
    <w:p>
      <w:pPr>
        <w:topLinePunct/>
        <w:adjustRightInd w:val="0"/>
        <w:snapToGrid w:val="0"/>
        <w:spacing w:line="420" w:lineRule="exact"/>
        <w:ind w:firstLine="420" w:firstLineChars="200"/>
        <w:textAlignment w:val="baseline"/>
        <w:rPr>
          <w:rFonts w:ascii="宋体" w:hAnsi="宋体" w:cs="宋体"/>
          <w:kern w:val="0"/>
          <w:szCs w:val="21"/>
        </w:rPr>
      </w:pPr>
      <w:r>
        <w:rPr>
          <w:rFonts w:hint="eastAsia" w:ascii="宋体" w:hAnsi="宋体" w:cs="宋体"/>
          <w:kern w:val="0"/>
          <w:szCs w:val="21"/>
        </w:rPr>
        <w:t>3、方式：在符合该招标（采购）公告投标人资格要求条件的前提下，供应商登陆政采云平台https：//www.zcygov.cn/在线申请获取采购文件（进入“项目采购”应用，在获取采购文件菜单中选择项目，申请获取采购文件），不再需要报名，在开标时一并进行资格审核。</w:t>
      </w:r>
    </w:p>
    <w:p>
      <w:pPr>
        <w:topLinePunct/>
        <w:adjustRightInd w:val="0"/>
        <w:snapToGrid w:val="0"/>
        <w:spacing w:line="420" w:lineRule="exact"/>
        <w:ind w:firstLine="420" w:firstLineChars="200"/>
        <w:textAlignment w:val="baseline"/>
        <w:rPr>
          <w:rFonts w:ascii="宋体" w:hAnsi="宋体" w:cs="宋体"/>
          <w:kern w:val="0"/>
          <w:szCs w:val="21"/>
        </w:rPr>
      </w:pPr>
      <w:r>
        <w:rPr>
          <w:rFonts w:hint="eastAsia" w:ascii="宋体" w:hAnsi="宋体" w:cs="宋体"/>
          <w:kern w:val="0"/>
          <w:szCs w:val="21"/>
        </w:rPr>
        <w:t>4、售价：0元</w:t>
      </w:r>
    </w:p>
    <w:p>
      <w:pPr>
        <w:topLinePunct/>
        <w:adjustRightInd w:val="0"/>
        <w:snapToGrid w:val="0"/>
        <w:spacing w:line="420" w:lineRule="exact"/>
        <w:ind w:firstLine="420" w:firstLineChars="200"/>
        <w:textAlignment w:val="baseline"/>
        <w:rPr>
          <w:rFonts w:ascii="宋体" w:hAnsi="宋体" w:cs="宋体"/>
          <w:kern w:val="0"/>
          <w:szCs w:val="21"/>
        </w:rPr>
      </w:pPr>
      <w:r>
        <w:rPr>
          <w:rFonts w:hint="eastAsia" w:ascii="宋体" w:hAnsi="宋体" w:cs="宋体"/>
          <w:kern w:val="0"/>
          <w:szCs w:val="20"/>
        </w:rPr>
        <w:t>四、投标截止时间：</w:t>
      </w:r>
      <w:r>
        <w:rPr>
          <w:rFonts w:hint="eastAsia" w:ascii="宋体" w:hAnsi="宋体" w:cs="宋体"/>
          <w:kern w:val="0"/>
          <w:szCs w:val="21"/>
        </w:rPr>
        <w:t xml:space="preserve">2022-07-28 </w:t>
      </w:r>
      <w:r>
        <w:rPr>
          <w:rFonts w:hint="eastAsia" w:ascii="宋体" w:hAnsi="宋体" w:cs="宋体"/>
          <w:szCs w:val="21"/>
        </w:rPr>
        <w:t>10:30:00（</w:t>
      </w:r>
      <w:r>
        <w:rPr>
          <w:rFonts w:hint="eastAsia" w:ascii="宋体" w:hAnsi="宋体" w:cs="宋体"/>
          <w:kern w:val="0"/>
          <w:szCs w:val="21"/>
        </w:rPr>
        <w:t>北京时间）</w:t>
      </w:r>
    </w:p>
    <w:p>
      <w:pPr>
        <w:topLinePunct/>
        <w:adjustRightInd w:val="0"/>
        <w:snapToGrid w:val="0"/>
        <w:spacing w:line="420" w:lineRule="exact"/>
        <w:ind w:firstLine="420" w:firstLineChars="200"/>
        <w:textAlignment w:val="baseline"/>
        <w:rPr>
          <w:rFonts w:ascii="宋体" w:hAnsi="宋体" w:cs="宋体"/>
          <w:kern w:val="0"/>
          <w:szCs w:val="20"/>
        </w:rPr>
      </w:pPr>
      <w:r>
        <w:rPr>
          <w:rFonts w:hint="eastAsia" w:ascii="宋体" w:hAnsi="宋体" w:cs="宋体"/>
          <w:kern w:val="0"/>
          <w:szCs w:val="20"/>
        </w:rPr>
        <w:t>五、投标地址：洛浦县政务服务和公共资源交易中心(洛浦县文化路115号，洛浦县住建局5楼)</w:t>
      </w:r>
    </w:p>
    <w:p>
      <w:pPr>
        <w:topLinePunct/>
        <w:adjustRightInd w:val="0"/>
        <w:snapToGrid w:val="0"/>
        <w:spacing w:line="420" w:lineRule="exact"/>
        <w:ind w:firstLine="420" w:firstLineChars="200"/>
        <w:textAlignment w:val="baseline"/>
        <w:rPr>
          <w:rFonts w:ascii="宋体" w:hAnsi="宋体" w:cs="宋体"/>
          <w:kern w:val="0"/>
          <w:szCs w:val="21"/>
        </w:rPr>
      </w:pPr>
      <w:r>
        <w:rPr>
          <w:rFonts w:hint="eastAsia" w:ascii="宋体" w:hAnsi="宋体" w:cs="宋体"/>
          <w:kern w:val="0"/>
          <w:szCs w:val="20"/>
        </w:rPr>
        <w:t>六、开标时间：</w:t>
      </w:r>
      <w:r>
        <w:rPr>
          <w:rFonts w:hint="eastAsia" w:ascii="宋体" w:hAnsi="宋体" w:cs="宋体"/>
          <w:kern w:val="0"/>
          <w:szCs w:val="21"/>
        </w:rPr>
        <w:t xml:space="preserve">2022-07-28 </w:t>
      </w:r>
      <w:r>
        <w:rPr>
          <w:rFonts w:hint="eastAsia" w:ascii="宋体" w:hAnsi="宋体" w:cs="宋体"/>
          <w:szCs w:val="21"/>
        </w:rPr>
        <w:t>10:30:00（</w:t>
      </w:r>
      <w:r>
        <w:rPr>
          <w:rFonts w:hint="eastAsia" w:ascii="宋体" w:hAnsi="宋体" w:cs="宋体"/>
          <w:kern w:val="0"/>
          <w:szCs w:val="21"/>
        </w:rPr>
        <w:t>北京时间）</w:t>
      </w:r>
    </w:p>
    <w:p>
      <w:pPr>
        <w:topLinePunct/>
        <w:adjustRightInd w:val="0"/>
        <w:snapToGrid w:val="0"/>
        <w:spacing w:line="420" w:lineRule="exact"/>
        <w:ind w:firstLine="420" w:firstLineChars="200"/>
        <w:textAlignment w:val="baseline"/>
        <w:rPr>
          <w:rFonts w:ascii="宋体" w:hAnsi="宋体" w:cs="宋体"/>
          <w:kern w:val="0"/>
          <w:szCs w:val="20"/>
        </w:rPr>
      </w:pPr>
      <w:r>
        <w:rPr>
          <w:rFonts w:hint="eastAsia" w:ascii="宋体" w:hAnsi="宋体" w:cs="宋体"/>
          <w:kern w:val="0"/>
          <w:szCs w:val="20"/>
        </w:rPr>
        <w:t>七、开标地址：洛浦县政务服务和公共资源交易中心(洛浦县文化路115号，洛浦县住建局5楼)</w:t>
      </w:r>
    </w:p>
    <w:p>
      <w:pPr>
        <w:topLinePunct/>
        <w:adjustRightInd w:val="0"/>
        <w:snapToGrid w:val="0"/>
        <w:spacing w:line="420" w:lineRule="exact"/>
        <w:ind w:firstLine="420" w:firstLineChars="200"/>
        <w:textAlignment w:val="baseline"/>
        <w:rPr>
          <w:rFonts w:ascii="宋体" w:hAnsi="宋体" w:cs="宋体"/>
          <w:kern w:val="0"/>
          <w:szCs w:val="21"/>
        </w:rPr>
      </w:pPr>
      <w:r>
        <w:rPr>
          <w:rFonts w:hint="eastAsia" w:ascii="宋体" w:hAnsi="宋体" w:cs="宋体"/>
          <w:kern w:val="0"/>
          <w:szCs w:val="20"/>
        </w:rPr>
        <w:t>八、投标保证金：</w:t>
      </w:r>
    </w:p>
    <w:tbl>
      <w:tblPr>
        <w:tblStyle w:val="6"/>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45"/>
        <w:gridCol w:w="1280"/>
        <w:gridCol w:w="1179"/>
        <w:gridCol w:w="947"/>
        <w:gridCol w:w="840"/>
        <w:gridCol w:w="1041"/>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6" w:hRule="atLeast"/>
        </w:trPr>
        <w:tc>
          <w:tcPr>
            <w:tcW w:w="257" w:type="pct"/>
            <w:noWrap w:val="0"/>
            <w:tcMar>
              <w:top w:w="72" w:type="dxa"/>
              <w:left w:w="132" w:type="dxa"/>
              <w:bottom w:w="72" w:type="dxa"/>
              <w:right w:w="132" w:type="dxa"/>
            </w:tcMar>
            <w:vAlign w:val="center"/>
          </w:tcPr>
          <w:p>
            <w:pPr>
              <w:topLinePunct/>
              <w:adjustRightInd w:val="0"/>
              <w:snapToGrid w:val="0"/>
              <w:jc w:val="center"/>
              <w:rPr>
                <w:rFonts w:ascii="宋体" w:hAnsi="宋体" w:cs="宋体"/>
                <w:kern w:val="0"/>
                <w:szCs w:val="21"/>
              </w:rPr>
            </w:pPr>
            <w:r>
              <w:rPr>
                <w:rFonts w:hint="eastAsia" w:ascii="宋体" w:hAnsi="宋体" w:cs="宋体"/>
                <w:kern w:val="0"/>
                <w:szCs w:val="21"/>
              </w:rPr>
              <w:t>序号</w:t>
            </w:r>
          </w:p>
        </w:tc>
        <w:tc>
          <w:tcPr>
            <w:tcW w:w="740" w:type="pct"/>
            <w:noWrap w:val="0"/>
            <w:tcMar>
              <w:top w:w="72" w:type="dxa"/>
              <w:left w:w="132" w:type="dxa"/>
              <w:bottom w:w="72" w:type="dxa"/>
              <w:right w:w="132" w:type="dxa"/>
            </w:tcMar>
            <w:vAlign w:val="center"/>
          </w:tcPr>
          <w:p>
            <w:pPr>
              <w:topLinePunct/>
              <w:adjustRightInd w:val="0"/>
              <w:snapToGrid w:val="0"/>
              <w:jc w:val="center"/>
              <w:rPr>
                <w:rFonts w:ascii="宋体" w:hAnsi="宋体" w:cs="宋体"/>
                <w:kern w:val="0"/>
                <w:szCs w:val="21"/>
              </w:rPr>
            </w:pPr>
            <w:r>
              <w:rPr>
                <w:rFonts w:hint="eastAsia" w:ascii="宋体" w:hAnsi="宋体" w:cs="宋体"/>
                <w:kern w:val="0"/>
                <w:szCs w:val="21"/>
              </w:rPr>
              <w:t>标项名称</w:t>
            </w:r>
          </w:p>
        </w:tc>
        <w:tc>
          <w:tcPr>
            <w:tcW w:w="682" w:type="pct"/>
            <w:noWrap w:val="0"/>
            <w:tcMar>
              <w:top w:w="72" w:type="dxa"/>
              <w:left w:w="132" w:type="dxa"/>
              <w:bottom w:w="72" w:type="dxa"/>
              <w:right w:w="132" w:type="dxa"/>
            </w:tcMar>
            <w:vAlign w:val="center"/>
          </w:tcPr>
          <w:p>
            <w:pPr>
              <w:topLinePunct/>
              <w:adjustRightInd w:val="0"/>
              <w:snapToGrid w:val="0"/>
              <w:jc w:val="center"/>
              <w:rPr>
                <w:rFonts w:ascii="宋体" w:hAnsi="宋体" w:cs="宋体"/>
                <w:kern w:val="0"/>
                <w:szCs w:val="21"/>
              </w:rPr>
            </w:pPr>
            <w:r>
              <w:rPr>
                <w:rFonts w:hint="eastAsia" w:ascii="宋体" w:hAnsi="宋体" w:cs="宋体"/>
                <w:kern w:val="0"/>
                <w:szCs w:val="21"/>
              </w:rPr>
              <w:t>投标保证金金额（元）</w:t>
            </w:r>
          </w:p>
        </w:tc>
        <w:tc>
          <w:tcPr>
            <w:tcW w:w="547" w:type="pct"/>
            <w:noWrap w:val="0"/>
            <w:tcMar>
              <w:top w:w="72" w:type="dxa"/>
              <w:left w:w="132" w:type="dxa"/>
              <w:bottom w:w="72" w:type="dxa"/>
              <w:right w:w="132" w:type="dxa"/>
            </w:tcMar>
            <w:vAlign w:val="center"/>
          </w:tcPr>
          <w:p>
            <w:pPr>
              <w:topLinePunct/>
              <w:adjustRightInd w:val="0"/>
              <w:snapToGrid w:val="0"/>
              <w:jc w:val="center"/>
              <w:rPr>
                <w:rFonts w:ascii="宋体" w:hAnsi="宋体" w:cs="宋体"/>
                <w:kern w:val="0"/>
                <w:szCs w:val="21"/>
              </w:rPr>
            </w:pPr>
            <w:r>
              <w:rPr>
                <w:rFonts w:hint="eastAsia" w:ascii="宋体" w:hAnsi="宋体" w:cs="宋体"/>
                <w:kern w:val="0"/>
                <w:szCs w:val="21"/>
              </w:rPr>
              <w:t>开户银行</w:t>
            </w:r>
          </w:p>
        </w:tc>
        <w:tc>
          <w:tcPr>
            <w:tcW w:w="485" w:type="pct"/>
            <w:noWrap w:val="0"/>
            <w:tcMar>
              <w:top w:w="72" w:type="dxa"/>
              <w:left w:w="132" w:type="dxa"/>
              <w:bottom w:w="72" w:type="dxa"/>
              <w:right w:w="132" w:type="dxa"/>
            </w:tcMar>
            <w:vAlign w:val="center"/>
          </w:tcPr>
          <w:p>
            <w:pPr>
              <w:topLinePunct/>
              <w:adjustRightInd w:val="0"/>
              <w:snapToGrid w:val="0"/>
              <w:jc w:val="center"/>
              <w:rPr>
                <w:rFonts w:ascii="宋体" w:hAnsi="宋体" w:cs="宋体"/>
                <w:kern w:val="0"/>
                <w:szCs w:val="21"/>
              </w:rPr>
            </w:pPr>
            <w:r>
              <w:rPr>
                <w:rFonts w:hint="eastAsia" w:ascii="宋体" w:hAnsi="宋体" w:cs="宋体"/>
                <w:kern w:val="0"/>
                <w:szCs w:val="21"/>
              </w:rPr>
              <w:t>收款账号</w:t>
            </w:r>
          </w:p>
        </w:tc>
        <w:tc>
          <w:tcPr>
            <w:tcW w:w="602" w:type="pct"/>
            <w:noWrap w:val="0"/>
            <w:tcMar>
              <w:top w:w="72" w:type="dxa"/>
              <w:left w:w="132" w:type="dxa"/>
              <w:bottom w:w="72" w:type="dxa"/>
              <w:right w:w="132" w:type="dxa"/>
            </w:tcMar>
            <w:vAlign w:val="center"/>
          </w:tcPr>
          <w:p>
            <w:pPr>
              <w:topLinePunct/>
              <w:adjustRightInd w:val="0"/>
              <w:snapToGrid w:val="0"/>
              <w:jc w:val="center"/>
              <w:rPr>
                <w:rFonts w:ascii="宋体" w:hAnsi="宋体" w:cs="宋体"/>
                <w:kern w:val="0"/>
                <w:szCs w:val="21"/>
              </w:rPr>
            </w:pPr>
            <w:r>
              <w:rPr>
                <w:rFonts w:hint="eastAsia" w:ascii="宋体" w:hAnsi="宋体" w:cs="宋体"/>
                <w:kern w:val="0"/>
                <w:szCs w:val="21"/>
              </w:rPr>
              <w:t>交付方式</w:t>
            </w:r>
          </w:p>
        </w:tc>
        <w:tc>
          <w:tcPr>
            <w:tcW w:w="1683" w:type="pct"/>
            <w:noWrap w:val="0"/>
            <w:tcMar>
              <w:top w:w="72" w:type="dxa"/>
              <w:left w:w="132" w:type="dxa"/>
              <w:bottom w:w="72" w:type="dxa"/>
              <w:right w:w="132" w:type="dxa"/>
            </w:tcMar>
            <w:vAlign w:val="center"/>
          </w:tcPr>
          <w:p>
            <w:pPr>
              <w:topLinePunct/>
              <w:adjustRightInd w:val="0"/>
              <w:snapToGrid w:val="0"/>
              <w:jc w:val="center"/>
              <w:rPr>
                <w:rFonts w:ascii="宋体" w:hAnsi="宋体" w:cs="宋体"/>
                <w:kern w:val="0"/>
                <w:szCs w:val="21"/>
              </w:rPr>
            </w:pPr>
            <w:r>
              <w:rPr>
                <w:rFonts w:hint="eastAsia"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61" w:hRule="atLeast"/>
        </w:trPr>
        <w:tc>
          <w:tcPr>
            <w:tcW w:w="257" w:type="pct"/>
            <w:noWrap w:val="0"/>
            <w:tcMar>
              <w:top w:w="72" w:type="dxa"/>
              <w:left w:w="132" w:type="dxa"/>
              <w:bottom w:w="72" w:type="dxa"/>
              <w:right w:w="132" w:type="dxa"/>
            </w:tcMar>
            <w:vAlign w:val="center"/>
          </w:tcPr>
          <w:p>
            <w:pPr>
              <w:topLinePunct/>
              <w:adjustRightInd w:val="0"/>
              <w:snapToGrid w:val="0"/>
              <w:jc w:val="center"/>
              <w:rPr>
                <w:rFonts w:ascii="宋体" w:hAnsi="宋体" w:cs="宋体"/>
                <w:kern w:val="0"/>
                <w:szCs w:val="21"/>
              </w:rPr>
            </w:pPr>
            <w:r>
              <w:rPr>
                <w:rFonts w:hint="eastAsia" w:ascii="宋体" w:hAnsi="宋体" w:cs="宋体"/>
                <w:kern w:val="0"/>
                <w:szCs w:val="21"/>
              </w:rPr>
              <w:t>1</w:t>
            </w:r>
          </w:p>
        </w:tc>
        <w:tc>
          <w:tcPr>
            <w:tcW w:w="740" w:type="pct"/>
            <w:noWrap w:val="0"/>
            <w:tcMar>
              <w:top w:w="72" w:type="dxa"/>
              <w:left w:w="132" w:type="dxa"/>
              <w:bottom w:w="72" w:type="dxa"/>
              <w:right w:w="132" w:type="dxa"/>
            </w:tcMar>
            <w:vAlign w:val="center"/>
          </w:tcPr>
          <w:p>
            <w:pPr>
              <w:topLinePunct/>
              <w:adjustRightInd w:val="0"/>
              <w:snapToGrid w:val="0"/>
              <w:spacing w:line="420" w:lineRule="exact"/>
              <w:textAlignment w:val="baseline"/>
              <w:rPr>
                <w:rFonts w:ascii="宋体" w:hAnsi="宋体" w:cs="宋体"/>
                <w:kern w:val="0"/>
                <w:szCs w:val="21"/>
              </w:rPr>
            </w:pPr>
            <w:r>
              <w:rPr>
                <w:rFonts w:hint="eastAsia" w:ascii="宋体" w:hAnsi="宋体" w:cs="宋体"/>
                <w:kern w:val="0"/>
                <w:szCs w:val="21"/>
              </w:rPr>
              <w:t>洛浦县“一站式”智</w:t>
            </w:r>
            <w:r>
              <w:rPr>
                <w:rFonts w:hint="eastAsia" w:ascii="宋体" w:hAnsi="宋体" w:eastAsia="宋体" w:cs="宋体"/>
                <w:kern w:val="0"/>
                <w:szCs w:val="21"/>
              </w:rPr>
              <w:t>能</w:t>
            </w:r>
            <w:r>
              <w:rPr>
                <w:rFonts w:hint="eastAsia" w:ascii="宋体" w:hAnsi="宋体" w:cs="宋体"/>
                <w:kern w:val="0"/>
                <w:szCs w:val="21"/>
              </w:rPr>
              <w:t>政务服务中心建设项目</w:t>
            </w:r>
          </w:p>
        </w:tc>
        <w:tc>
          <w:tcPr>
            <w:tcW w:w="682" w:type="pct"/>
            <w:noWrap w:val="0"/>
            <w:tcMar>
              <w:top w:w="72" w:type="dxa"/>
              <w:left w:w="132" w:type="dxa"/>
              <w:bottom w:w="72" w:type="dxa"/>
              <w:right w:w="132" w:type="dxa"/>
            </w:tcMar>
            <w:vAlign w:val="center"/>
          </w:tcPr>
          <w:p>
            <w:pPr>
              <w:widowControl/>
              <w:spacing w:after="150" w:line="420" w:lineRule="exact"/>
              <w:ind w:left="105" w:hanging="105"/>
              <w:jc w:val="left"/>
              <w:rPr>
                <w:rFonts w:ascii="宋体" w:hAnsi="宋体" w:cs="宋体"/>
                <w:szCs w:val="21"/>
              </w:rPr>
            </w:pPr>
            <w:r>
              <w:rPr>
                <w:rFonts w:hint="eastAsia" w:ascii="宋体" w:hAnsi="宋体" w:eastAsia="宋体" w:cs="宋体"/>
                <w:kern w:val="0"/>
                <w:szCs w:val="21"/>
              </w:rPr>
              <w:t>70000.00</w:t>
            </w:r>
          </w:p>
        </w:tc>
        <w:tc>
          <w:tcPr>
            <w:tcW w:w="547" w:type="pct"/>
            <w:noWrap w:val="0"/>
            <w:tcMar>
              <w:top w:w="72" w:type="dxa"/>
              <w:left w:w="132" w:type="dxa"/>
              <w:bottom w:w="72" w:type="dxa"/>
              <w:right w:w="132" w:type="dxa"/>
            </w:tcMar>
            <w:vAlign w:val="center"/>
          </w:tcPr>
          <w:p>
            <w:pPr>
              <w:spacing w:line="360" w:lineRule="auto"/>
              <w:ind w:left="105" w:right="62" w:hanging="105" w:hangingChars="50"/>
              <w:jc w:val="center"/>
              <w:rPr>
                <w:rFonts w:ascii="宋体" w:hAnsi="宋体" w:cs="宋体"/>
                <w:kern w:val="0"/>
                <w:szCs w:val="21"/>
              </w:rPr>
            </w:pPr>
            <w:r>
              <w:rPr>
                <w:rFonts w:hint="eastAsia" w:ascii="宋体" w:hAnsi="宋体" w:cs="宋体"/>
                <w:szCs w:val="21"/>
              </w:rPr>
              <w:t>中国农业银行股份有限公司洛浦县支行</w:t>
            </w:r>
          </w:p>
        </w:tc>
        <w:tc>
          <w:tcPr>
            <w:tcW w:w="485" w:type="pct"/>
            <w:noWrap w:val="0"/>
            <w:tcMar>
              <w:top w:w="72" w:type="dxa"/>
              <w:left w:w="132" w:type="dxa"/>
              <w:bottom w:w="72" w:type="dxa"/>
              <w:right w:w="132" w:type="dxa"/>
            </w:tcMar>
            <w:vAlign w:val="center"/>
          </w:tcPr>
          <w:p>
            <w:pPr>
              <w:spacing w:line="360" w:lineRule="auto"/>
              <w:ind w:left="120" w:right="62" w:hanging="120" w:hangingChars="50"/>
              <w:jc w:val="center"/>
              <w:rPr>
                <w:rFonts w:ascii="宋体" w:hAnsi="宋体" w:cs="宋体"/>
                <w:szCs w:val="21"/>
              </w:rPr>
            </w:pPr>
            <w:r>
              <w:rPr>
                <w:rFonts w:ascii="宋体" w:hAnsi="宋体" w:cs="宋体"/>
                <w:kern w:val="0"/>
                <w:sz w:val="24"/>
                <w:szCs w:val="24"/>
                <w:lang w:bidi="ar"/>
              </w:rPr>
              <w:t>30581601040888887</w:t>
            </w:r>
          </w:p>
        </w:tc>
        <w:tc>
          <w:tcPr>
            <w:tcW w:w="602" w:type="pct"/>
            <w:noWrap w:val="0"/>
            <w:tcMar>
              <w:top w:w="72" w:type="dxa"/>
              <w:left w:w="132" w:type="dxa"/>
              <w:bottom w:w="72" w:type="dxa"/>
              <w:right w:w="132" w:type="dxa"/>
            </w:tcMar>
            <w:vAlign w:val="center"/>
          </w:tcPr>
          <w:p>
            <w:pPr>
              <w:spacing w:line="360" w:lineRule="auto"/>
              <w:ind w:left="105" w:right="62" w:hanging="105" w:hangingChars="50"/>
              <w:jc w:val="center"/>
              <w:rPr>
                <w:rFonts w:ascii="宋体" w:hAnsi="宋体" w:cs="宋体"/>
                <w:kern w:val="0"/>
                <w:szCs w:val="21"/>
              </w:rPr>
            </w:pPr>
            <w:r>
              <w:rPr>
                <w:rFonts w:hint="eastAsia" w:ascii="宋体" w:hAnsi="宋体" w:cs="宋体"/>
                <w:szCs w:val="21"/>
              </w:rPr>
              <w:t>转账汇款（对公转账、从基本账户转入）</w:t>
            </w:r>
          </w:p>
        </w:tc>
        <w:tc>
          <w:tcPr>
            <w:tcW w:w="1683" w:type="pct"/>
            <w:noWrap w:val="0"/>
            <w:tcMar>
              <w:top w:w="72" w:type="dxa"/>
              <w:left w:w="132" w:type="dxa"/>
              <w:bottom w:w="72" w:type="dxa"/>
              <w:right w:w="132" w:type="dxa"/>
            </w:tcMar>
            <w:vAlign w:val="center"/>
          </w:tcPr>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由投标单位的基本账户转至指定账户（必须注明项目名称，无须到洛浦县政务服务和公共资源交易中心换取收据，开标时需携带投标保证金电子回单）</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账户名称：洛浦县政务服务和公共资源交易中心</w:t>
            </w:r>
          </w:p>
          <w:p>
            <w:pPr>
              <w:autoSpaceDE w:val="0"/>
              <w:autoSpaceDN w:val="0"/>
              <w:adjustRightInd w:val="0"/>
              <w:spacing w:line="360" w:lineRule="auto"/>
              <w:ind w:right="62"/>
              <w:jc w:val="left"/>
              <w:rPr>
                <w:rFonts w:ascii="宋体" w:hAnsi="宋体" w:cs="宋体"/>
                <w:kern w:val="0"/>
                <w:sz w:val="24"/>
                <w:szCs w:val="21"/>
              </w:rPr>
            </w:pPr>
            <w:r>
              <w:rPr>
                <w:rFonts w:hint="eastAsia" w:ascii="宋体" w:hAnsi="宋体" w:cs="宋体"/>
                <w:szCs w:val="21"/>
              </w:rPr>
              <w:t>开户行行号：103896558162</w:t>
            </w:r>
          </w:p>
        </w:tc>
      </w:tr>
    </w:tbl>
    <w:p>
      <w:pPr>
        <w:topLinePunct/>
        <w:adjustRightInd w:val="0"/>
        <w:snapToGrid w:val="0"/>
        <w:spacing w:line="420" w:lineRule="exact"/>
        <w:ind w:firstLine="420" w:firstLineChars="200"/>
        <w:textAlignment w:val="baseline"/>
        <w:rPr>
          <w:rFonts w:ascii="宋体" w:hAnsi="宋体" w:cs="宋体"/>
          <w:kern w:val="0"/>
          <w:szCs w:val="20"/>
        </w:rPr>
      </w:pPr>
      <w:r>
        <w:rPr>
          <w:rFonts w:hint="eastAsia" w:ascii="宋体" w:hAnsi="宋体" w:cs="宋体"/>
          <w:kern w:val="0"/>
          <w:szCs w:val="20"/>
        </w:rPr>
        <w:t>九、公告期限：</w:t>
      </w:r>
    </w:p>
    <w:p>
      <w:pPr>
        <w:pStyle w:val="5"/>
        <w:widowControl/>
        <w:spacing w:before="60" w:after="60" w:line="312" w:lineRule="auto"/>
        <w:ind w:firstLine="420"/>
        <w:rPr>
          <w:rFonts w:hint="eastAsia" w:ascii="宋体" w:hAnsi="宋体" w:cs="宋体"/>
          <w:kern w:val="0"/>
          <w:sz w:val="21"/>
          <w:szCs w:val="20"/>
        </w:rPr>
      </w:pPr>
      <w:r>
        <w:rPr>
          <w:rFonts w:hint="eastAsia" w:ascii="宋体" w:hAnsi="宋体" w:cs="宋体"/>
          <w:kern w:val="0"/>
          <w:szCs w:val="20"/>
        </w:rPr>
        <w:t>1、本项目</w:t>
      </w:r>
      <w:r>
        <w:rPr>
          <w:rFonts w:hint="eastAsia" w:ascii="宋体" w:hAnsi="宋体" w:cs="宋体"/>
          <w:kern w:val="0"/>
          <w:sz w:val="21"/>
          <w:szCs w:val="20"/>
        </w:rPr>
        <w:t>公告期限为5个工作日。</w:t>
      </w:r>
    </w:p>
    <w:p>
      <w:pPr>
        <w:pStyle w:val="5"/>
        <w:widowControl/>
        <w:spacing w:before="60" w:after="60" w:line="312" w:lineRule="auto"/>
        <w:ind w:firstLine="420"/>
        <w:rPr>
          <w:rFonts w:hint="eastAsia" w:ascii="宋体" w:hAnsi="宋体" w:cs="宋体"/>
          <w:kern w:val="0"/>
          <w:sz w:val="21"/>
          <w:szCs w:val="20"/>
        </w:rPr>
      </w:pPr>
      <w:r>
        <w:rPr>
          <w:rFonts w:hint="eastAsia" w:ascii="宋体" w:hAnsi="宋体" w:cs="宋体"/>
          <w:kern w:val="0"/>
          <w:sz w:val="21"/>
          <w:szCs w:val="20"/>
        </w:rPr>
        <w:t>十、其他补充事宜</w:t>
      </w:r>
    </w:p>
    <w:p>
      <w:pPr>
        <w:pStyle w:val="5"/>
        <w:widowControl/>
        <w:spacing w:before="60" w:after="60" w:line="312" w:lineRule="auto"/>
        <w:ind w:firstLine="420"/>
        <w:rPr>
          <w:rFonts w:ascii="宋体" w:hAnsi="宋体" w:cs="宋体"/>
          <w:kern w:val="0"/>
          <w:sz w:val="21"/>
          <w:szCs w:val="20"/>
        </w:rPr>
      </w:pPr>
      <w:r>
        <w:rPr>
          <w:rFonts w:hint="eastAsia" w:ascii="宋体" w:hAnsi="宋体" w:cs="宋体"/>
          <w:kern w:val="0"/>
          <w:sz w:val="21"/>
          <w:szCs w:val="20"/>
        </w:rPr>
        <w:t xml:space="preserve"> 无</w:t>
      </w:r>
    </w:p>
    <w:p>
      <w:pPr>
        <w:pStyle w:val="5"/>
        <w:widowControl/>
        <w:spacing w:before="60" w:after="60" w:line="312" w:lineRule="auto"/>
        <w:ind w:firstLine="420"/>
        <w:rPr>
          <w:rFonts w:hint="eastAsia" w:ascii="宋体" w:hAnsi="宋体" w:cs="宋体"/>
          <w:kern w:val="0"/>
          <w:sz w:val="21"/>
          <w:szCs w:val="20"/>
        </w:rPr>
      </w:pPr>
      <w:r>
        <w:rPr>
          <w:rFonts w:hint="eastAsia" w:ascii="宋体" w:hAnsi="宋体" w:cs="宋体"/>
          <w:kern w:val="0"/>
          <w:sz w:val="21"/>
          <w:szCs w:val="20"/>
        </w:rPr>
        <w:t>十一、联系方式</w:t>
      </w:r>
    </w:p>
    <w:p>
      <w:pPr>
        <w:pStyle w:val="5"/>
        <w:widowControl/>
        <w:spacing w:before="60" w:after="60" w:line="312" w:lineRule="auto"/>
        <w:ind w:firstLine="420"/>
        <w:rPr>
          <w:rFonts w:hint="eastAsia" w:ascii="宋体" w:hAnsi="宋体" w:cs="宋体"/>
          <w:kern w:val="0"/>
          <w:sz w:val="21"/>
          <w:szCs w:val="20"/>
        </w:rPr>
      </w:pPr>
      <w:r>
        <w:rPr>
          <w:rFonts w:hint="eastAsia" w:ascii="宋体" w:hAnsi="宋体" w:cs="宋体"/>
          <w:kern w:val="0"/>
          <w:sz w:val="21"/>
          <w:szCs w:val="20"/>
        </w:rPr>
        <w:t>1.采购人信息</w:t>
      </w:r>
    </w:p>
    <w:p>
      <w:pPr>
        <w:pStyle w:val="5"/>
        <w:widowControl/>
        <w:spacing w:before="60" w:after="60" w:line="312" w:lineRule="auto"/>
        <w:ind w:firstLine="420"/>
        <w:rPr>
          <w:rFonts w:hint="eastAsia" w:ascii="宋体" w:hAnsi="宋体" w:cs="宋体"/>
          <w:kern w:val="0"/>
          <w:sz w:val="21"/>
          <w:szCs w:val="20"/>
        </w:rPr>
      </w:pPr>
      <w:r>
        <w:rPr>
          <w:rFonts w:hint="eastAsia" w:ascii="宋体" w:hAnsi="宋体" w:cs="宋体"/>
          <w:kern w:val="0"/>
          <w:sz w:val="21"/>
          <w:szCs w:val="20"/>
        </w:rPr>
        <w:t xml:space="preserve">名 称：和田地区北京工业园区管理委员会 </w:t>
      </w:r>
    </w:p>
    <w:p>
      <w:pPr>
        <w:pStyle w:val="5"/>
        <w:widowControl/>
        <w:spacing w:before="60" w:after="60" w:line="312" w:lineRule="auto"/>
        <w:ind w:firstLine="420"/>
        <w:rPr>
          <w:rFonts w:hint="eastAsia" w:ascii="宋体" w:hAnsi="宋体" w:cs="宋体"/>
          <w:kern w:val="0"/>
          <w:sz w:val="21"/>
          <w:szCs w:val="20"/>
        </w:rPr>
      </w:pPr>
      <w:r>
        <w:rPr>
          <w:rFonts w:hint="eastAsia" w:ascii="宋体" w:hAnsi="宋体" w:cs="宋体"/>
          <w:kern w:val="0"/>
          <w:sz w:val="21"/>
          <w:szCs w:val="20"/>
        </w:rPr>
        <w:t>地 址：洛浦县工业园区玉龙湾路4号</w:t>
      </w:r>
    </w:p>
    <w:p>
      <w:pPr>
        <w:pStyle w:val="5"/>
        <w:widowControl/>
        <w:spacing w:before="60" w:after="60" w:line="312" w:lineRule="auto"/>
        <w:ind w:firstLine="420"/>
        <w:rPr>
          <w:rFonts w:hint="eastAsia" w:ascii="宋体" w:hAnsi="宋体" w:cs="宋体"/>
          <w:kern w:val="0"/>
          <w:sz w:val="21"/>
          <w:szCs w:val="20"/>
        </w:rPr>
      </w:pPr>
      <w:r>
        <w:rPr>
          <w:rFonts w:hint="eastAsia" w:ascii="宋体" w:hAnsi="宋体" w:cs="宋体"/>
          <w:kern w:val="0"/>
          <w:sz w:val="21"/>
          <w:szCs w:val="20"/>
        </w:rPr>
        <w:t>联系方式：0903-6621095</w:t>
      </w:r>
    </w:p>
    <w:p>
      <w:pPr>
        <w:pStyle w:val="5"/>
        <w:widowControl/>
        <w:spacing w:before="60" w:after="60" w:line="312" w:lineRule="auto"/>
        <w:ind w:firstLine="420"/>
        <w:rPr>
          <w:rFonts w:hint="eastAsia" w:ascii="宋体" w:hAnsi="宋体" w:cs="宋体"/>
          <w:kern w:val="0"/>
          <w:sz w:val="21"/>
          <w:szCs w:val="20"/>
        </w:rPr>
      </w:pPr>
      <w:r>
        <w:rPr>
          <w:rFonts w:hint="eastAsia" w:ascii="宋体" w:hAnsi="宋体" w:cs="宋体"/>
          <w:kern w:val="0"/>
          <w:sz w:val="21"/>
          <w:szCs w:val="20"/>
        </w:rPr>
        <w:t>2.采购代理机构信息</w:t>
      </w:r>
    </w:p>
    <w:p>
      <w:pPr>
        <w:pStyle w:val="5"/>
        <w:widowControl/>
        <w:spacing w:before="60" w:after="60" w:line="312" w:lineRule="auto"/>
        <w:ind w:firstLine="420"/>
        <w:rPr>
          <w:rFonts w:hint="eastAsia" w:ascii="宋体" w:hAnsi="宋体" w:cs="宋体"/>
          <w:kern w:val="0"/>
          <w:sz w:val="21"/>
          <w:szCs w:val="20"/>
        </w:rPr>
      </w:pPr>
      <w:r>
        <w:rPr>
          <w:rFonts w:hint="eastAsia" w:ascii="宋体" w:hAnsi="宋体" w:cs="宋体"/>
          <w:kern w:val="0"/>
          <w:sz w:val="21"/>
          <w:szCs w:val="20"/>
        </w:rPr>
        <w:t>名 称：新疆浩诚致远项目管理咨询有限公司</w:t>
      </w:r>
    </w:p>
    <w:p>
      <w:pPr>
        <w:pStyle w:val="5"/>
        <w:widowControl/>
        <w:spacing w:before="60" w:after="60" w:line="312" w:lineRule="auto"/>
        <w:ind w:firstLine="420"/>
        <w:rPr>
          <w:rFonts w:hint="eastAsia" w:ascii="宋体" w:hAnsi="宋体" w:cs="宋体"/>
          <w:kern w:val="0"/>
          <w:sz w:val="21"/>
          <w:szCs w:val="20"/>
        </w:rPr>
      </w:pPr>
      <w:r>
        <w:rPr>
          <w:rFonts w:hint="eastAsia" w:ascii="宋体" w:hAnsi="宋体" w:cs="宋体"/>
          <w:kern w:val="0"/>
          <w:sz w:val="21"/>
          <w:szCs w:val="20"/>
        </w:rPr>
        <w:t>地 址：和田市屯垦路墩库卡社区631号</w:t>
      </w:r>
    </w:p>
    <w:p>
      <w:pPr>
        <w:pStyle w:val="5"/>
        <w:widowControl/>
        <w:spacing w:before="60" w:after="60" w:line="312" w:lineRule="auto"/>
        <w:ind w:firstLine="420"/>
        <w:rPr>
          <w:rFonts w:hint="eastAsia" w:ascii="宋体" w:hAnsi="宋体" w:cs="宋体"/>
          <w:kern w:val="0"/>
          <w:sz w:val="21"/>
          <w:szCs w:val="20"/>
        </w:rPr>
      </w:pPr>
      <w:r>
        <w:rPr>
          <w:rFonts w:hint="eastAsia" w:ascii="宋体" w:hAnsi="宋体" w:cs="宋体"/>
          <w:kern w:val="0"/>
          <w:sz w:val="21"/>
          <w:szCs w:val="20"/>
        </w:rPr>
        <w:t>联系方式：0903-2099765</w:t>
      </w:r>
    </w:p>
    <w:p>
      <w:pPr>
        <w:pStyle w:val="5"/>
        <w:widowControl/>
        <w:spacing w:before="60" w:after="60" w:line="312" w:lineRule="auto"/>
        <w:ind w:firstLine="420"/>
        <w:rPr>
          <w:rFonts w:hint="eastAsia" w:ascii="宋体" w:hAnsi="宋体" w:cs="宋体"/>
          <w:kern w:val="0"/>
          <w:sz w:val="21"/>
          <w:szCs w:val="20"/>
        </w:rPr>
      </w:pPr>
      <w:r>
        <w:rPr>
          <w:rFonts w:hint="eastAsia" w:ascii="宋体" w:hAnsi="宋体" w:cs="宋体"/>
          <w:kern w:val="0"/>
          <w:sz w:val="21"/>
          <w:szCs w:val="20"/>
        </w:rPr>
        <w:t>3.同级政府采购监督管理部门名称：洛浦县政府采购管理办公室 </w:t>
      </w:r>
    </w:p>
    <w:p>
      <w:pPr>
        <w:pStyle w:val="5"/>
        <w:widowControl/>
        <w:spacing w:before="60" w:after="60" w:line="312" w:lineRule="auto"/>
        <w:ind w:firstLine="420"/>
        <w:rPr>
          <w:rFonts w:hint="eastAsia" w:ascii="宋体" w:hAnsi="宋体" w:cs="宋体"/>
          <w:kern w:val="0"/>
          <w:sz w:val="21"/>
          <w:szCs w:val="20"/>
        </w:rPr>
      </w:pPr>
      <w:r>
        <w:rPr>
          <w:rFonts w:hint="eastAsia" w:ascii="宋体" w:hAnsi="宋体" w:cs="宋体"/>
          <w:kern w:val="0"/>
          <w:sz w:val="21"/>
          <w:szCs w:val="20"/>
        </w:rPr>
        <w:t xml:space="preserve">联系人：唐洋龙       </w:t>
      </w:r>
    </w:p>
    <w:p>
      <w:pPr>
        <w:pStyle w:val="5"/>
        <w:widowControl/>
        <w:spacing w:before="60" w:after="60" w:line="312" w:lineRule="auto"/>
        <w:ind w:firstLine="420"/>
        <w:rPr>
          <w:rFonts w:hint="eastAsia" w:ascii="宋体" w:hAnsi="宋体" w:cs="宋体"/>
          <w:kern w:val="0"/>
          <w:sz w:val="21"/>
          <w:szCs w:val="20"/>
        </w:rPr>
      </w:pPr>
      <w:r>
        <w:rPr>
          <w:rFonts w:hint="eastAsia" w:ascii="宋体" w:hAnsi="宋体" w:cs="宋体"/>
          <w:kern w:val="0"/>
          <w:sz w:val="21"/>
          <w:szCs w:val="20"/>
        </w:rPr>
        <w:t>联系电话：0903-6622186</w:t>
      </w:r>
    </w:p>
    <w:p>
      <w:pPr>
        <w:pStyle w:val="5"/>
        <w:widowControl/>
        <w:spacing w:before="60" w:after="60" w:line="312" w:lineRule="auto"/>
        <w:ind w:firstLine="420"/>
        <w:rPr>
          <w:rFonts w:hint="eastAsia" w:ascii="宋体" w:hAnsi="宋体" w:cs="宋体"/>
          <w:kern w:val="0"/>
          <w:sz w:val="21"/>
          <w:szCs w:val="20"/>
        </w:rPr>
      </w:pPr>
    </w:p>
    <w:p>
      <w:pPr>
        <w:pStyle w:val="5"/>
        <w:widowControl/>
        <w:spacing w:before="60" w:after="60" w:line="312" w:lineRule="auto"/>
        <w:ind w:firstLine="420"/>
        <w:rPr>
          <w:rFonts w:hint="eastAsia" w:ascii="宋体" w:hAnsi="宋体" w:cs="宋体"/>
          <w:kern w:val="0"/>
          <w:sz w:val="21"/>
          <w:szCs w:val="20"/>
        </w:rPr>
      </w:pPr>
      <w:r>
        <w:rPr>
          <w:rFonts w:hint="eastAsia" w:ascii="宋体" w:hAnsi="宋体" w:cs="宋体"/>
          <w:kern w:val="0"/>
          <w:sz w:val="21"/>
          <w:szCs w:val="20"/>
        </w:rPr>
        <w:t xml:space="preserve">和田地区北京工业园区管理委员会 </w:t>
      </w:r>
      <w:r>
        <w:rPr>
          <w:rFonts w:hint="eastAsia" w:ascii="宋体" w:hAnsi="宋体" w:cs="宋体"/>
          <w:kern w:val="0"/>
          <w:sz w:val="21"/>
          <w:szCs w:val="20"/>
          <w:lang w:val="en-US" w:eastAsia="zh-CN"/>
        </w:rPr>
        <w:t xml:space="preserve">     </w:t>
      </w:r>
      <w:r>
        <w:rPr>
          <w:rFonts w:hint="eastAsia" w:ascii="宋体" w:hAnsi="宋体" w:cs="宋体"/>
          <w:kern w:val="0"/>
          <w:sz w:val="21"/>
          <w:szCs w:val="20"/>
        </w:rPr>
        <w:t>新疆浩诚致远项目管理咨询有限公司</w:t>
      </w:r>
    </w:p>
    <w:p>
      <w:pPr>
        <w:pStyle w:val="5"/>
        <w:widowControl/>
        <w:spacing w:before="60" w:after="60" w:line="312" w:lineRule="auto"/>
        <w:ind w:firstLine="840" w:firstLineChars="400"/>
        <w:rPr>
          <w:rFonts w:hint="eastAsia" w:ascii="宋体" w:hAnsi="宋体" w:cs="宋体"/>
          <w:kern w:val="0"/>
          <w:sz w:val="21"/>
          <w:szCs w:val="20"/>
        </w:rPr>
      </w:pPr>
      <w:r>
        <w:rPr>
          <w:rFonts w:hint="eastAsia" w:ascii="宋体" w:hAnsi="宋体" w:cs="宋体"/>
          <w:kern w:val="0"/>
          <w:sz w:val="21"/>
          <w:szCs w:val="20"/>
          <w:lang w:val="en-US" w:eastAsia="zh-CN"/>
        </w:rPr>
        <w:t>2022年7月7日                        2022年7月7日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M2RiMjRmOTBlMmUzMmRmODQ1Yzg0Yzc1NTljYjEifQ=="/>
  </w:docVars>
  <w:rsids>
    <w:rsidRoot w:val="1DB7218F"/>
    <w:rsid w:val="1DB7218F"/>
    <w:rsid w:val="758D7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pPr>
    <w:rPr>
      <w:rFonts w:ascii="Times New Roman" w:hAnsi="Times New Roman"/>
      <w:szCs w:val="24"/>
    </w:rPr>
  </w:style>
  <w:style w:type="paragraph" w:styleId="3">
    <w:name w:val="footer"/>
    <w:basedOn w:val="1"/>
    <w:next w:val="1"/>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2022-07-06T07:00:00Z</dcterms:created>
  <dc:creator>蓬蓬莲子</dc:creator>
  <cp:lastModifiedBy>蓬蓬莲子</cp:lastModifiedBy>
  <cp:lastPrinted>2022-07-06T07:03:00Z</cp:lastPrinted>
  <dcterms:modified xsi:type="dcterms:W3CDTF">2022-07-07T03:42:03Z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2A86B142AA68415EB3C0477924DB64CB</vt:lpwstr>
  </property>
</Properties>
</file>