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jc w:val="center"/>
        <w:rPr>
          <w:rFonts w:ascii="Tahoma" w:hAnsi="Tahoma" w:eastAsia="黑体" w:cs="Tahoma"/>
          <w:b/>
          <w:bCs/>
          <w:color w:val="000000" w:themeColor="text1"/>
          <w:sz w:val="44"/>
          <w:highlight w:val="none"/>
          <w14:textFill>
            <w14:solidFill>
              <w14:schemeClr w14:val="tx1"/>
            </w14:solidFill>
          </w14:textFill>
        </w:rPr>
      </w:pPr>
    </w:p>
    <w:p>
      <w:pPr>
        <w:spacing w:line="240" w:lineRule="exact"/>
        <w:jc w:val="center"/>
        <w:rPr>
          <w:rFonts w:ascii="Tahoma" w:hAnsi="Tahoma" w:eastAsia="黑体" w:cs="Tahoma"/>
          <w:b/>
          <w:bCs/>
          <w:color w:val="000000" w:themeColor="text1"/>
          <w:sz w:val="44"/>
          <w:highlight w:val="none"/>
          <w14:textFill>
            <w14:solidFill>
              <w14:schemeClr w14:val="tx1"/>
            </w14:solidFill>
          </w14:textFill>
        </w:rPr>
      </w:pPr>
    </w:p>
    <w:p>
      <w:pPr>
        <w:spacing w:line="400" w:lineRule="exact"/>
        <w:jc w:val="center"/>
        <w:rPr>
          <w:rFonts w:ascii="Tahoma" w:hAnsi="黑体" w:eastAsia="黑体" w:cs="Tahoma"/>
          <w:b/>
          <w:color w:val="000000" w:themeColor="text1"/>
          <w:sz w:val="44"/>
          <w:szCs w:val="44"/>
          <w:highlight w:val="none"/>
          <w14:textFill>
            <w14:solidFill>
              <w14:schemeClr w14:val="tx1"/>
            </w14:solidFill>
          </w14:textFill>
        </w:rPr>
      </w:pPr>
    </w:p>
    <w:p>
      <w:pPr>
        <w:spacing w:line="276" w:lineRule="auto"/>
        <w:jc w:val="center"/>
        <w:rPr>
          <w:rFonts w:hint="eastAsia" w:ascii="Tahoma" w:hAnsi="黑体" w:eastAsia="黑体" w:cs="Tahoma"/>
          <w:b/>
          <w:color w:val="000000" w:themeColor="text1"/>
          <w:sz w:val="52"/>
          <w:szCs w:val="52"/>
          <w:highlight w:val="none"/>
          <w:lang w:eastAsia="zh-CN"/>
          <w14:textFill>
            <w14:solidFill>
              <w14:schemeClr w14:val="tx1"/>
            </w14:solidFill>
          </w14:textFill>
        </w:rPr>
      </w:pPr>
      <w:r>
        <w:rPr>
          <w:rFonts w:hint="eastAsia" w:ascii="Tahoma" w:hAnsi="黑体" w:eastAsia="黑体" w:cs="Tahoma"/>
          <w:b/>
          <w:color w:val="000000" w:themeColor="text1"/>
          <w:sz w:val="52"/>
          <w:szCs w:val="52"/>
          <w:highlight w:val="none"/>
          <w:lang w:val="en-US" w:eastAsia="zh-CN"/>
          <w14:textFill>
            <w14:solidFill>
              <w14:schemeClr w14:val="tx1"/>
            </w14:solidFill>
          </w14:textFill>
        </w:rPr>
        <w:t>和田地区</w:t>
      </w:r>
      <w:r>
        <w:rPr>
          <w:rFonts w:hint="eastAsia" w:ascii="Tahoma" w:hAnsi="黑体" w:eastAsia="黑体" w:cs="Tahoma"/>
          <w:b/>
          <w:color w:val="000000" w:themeColor="text1"/>
          <w:sz w:val="52"/>
          <w:szCs w:val="52"/>
          <w:highlight w:val="none"/>
          <w:lang w:eastAsia="zh-CN"/>
          <w14:textFill>
            <w14:solidFill>
              <w14:schemeClr w14:val="tx1"/>
            </w14:solidFill>
          </w14:textFill>
        </w:rPr>
        <w:t>和田县人民医院综合能力提升及</w:t>
      </w:r>
    </w:p>
    <w:p>
      <w:pPr>
        <w:spacing w:line="276" w:lineRule="auto"/>
        <w:jc w:val="center"/>
        <w:rPr>
          <w:rFonts w:hint="eastAsia" w:ascii="Tahoma" w:hAnsi="Tahoma" w:eastAsia="黑体" w:cs="Tahoma"/>
          <w:color w:val="000000" w:themeColor="text1"/>
          <w:sz w:val="96"/>
          <w:highlight w:val="none"/>
          <w:lang w:eastAsia="zh-CN"/>
          <w14:textFill>
            <w14:solidFill>
              <w14:schemeClr w14:val="tx1"/>
            </w14:solidFill>
          </w14:textFill>
        </w:rPr>
      </w:pPr>
      <w:r>
        <w:rPr>
          <w:rFonts w:hint="eastAsia" w:ascii="Tahoma" w:hAnsi="黑体" w:eastAsia="黑体" w:cs="Tahoma"/>
          <w:b/>
          <w:color w:val="000000" w:themeColor="text1"/>
          <w:sz w:val="52"/>
          <w:szCs w:val="52"/>
          <w:highlight w:val="none"/>
          <w:lang w:eastAsia="zh-CN"/>
          <w14:textFill>
            <w14:solidFill>
              <w14:schemeClr w14:val="tx1"/>
            </w14:solidFill>
          </w14:textFill>
        </w:rPr>
        <w:t>信息化建设项目</w:t>
      </w:r>
    </w:p>
    <w:p>
      <w:pPr>
        <w:spacing w:line="400" w:lineRule="exact"/>
        <w:jc w:val="center"/>
        <w:rPr>
          <w:rFonts w:ascii="Tahoma" w:hAnsi="Tahoma" w:eastAsia="黑体" w:cs="Tahoma"/>
          <w:color w:val="000000" w:themeColor="text1"/>
          <w:sz w:val="96"/>
          <w:highlight w:val="none"/>
          <w14:textFill>
            <w14:solidFill>
              <w14:schemeClr w14:val="tx1"/>
            </w14:solidFill>
          </w14:textFill>
        </w:rPr>
      </w:pPr>
    </w:p>
    <w:p>
      <w:pPr>
        <w:spacing w:line="400" w:lineRule="exact"/>
        <w:jc w:val="center"/>
        <w:rPr>
          <w:rFonts w:ascii="Tahoma" w:hAnsi="Tahoma" w:eastAsia="黑体" w:cs="Tahoma"/>
          <w:color w:val="000000" w:themeColor="text1"/>
          <w:sz w:val="96"/>
          <w:highlight w:val="none"/>
          <w14:textFill>
            <w14:solidFill>
              <w14:schemeClr w14:val="tx1"/>
            </w14:solidFill>
          </w14:textFill>
        </w:rPr>
      </w:pPr>
    </w:p>
    <w:p>
      <w:pPr>
        <w:spacing w:line="400" w:lineRule="exact"/>
        <w:jc w:val="center"/>
        <w:rPr>
          <w:rFonts w:ascii="Tahoma" w:hAnsi="Tahoma" w:eastAsia="黑体" w:cs="Tahoma"/>
          <w:color w:val="000000" w:themeColor="text1"/>
          <w:sz w:val="96"/>
          <w:highlight w:val="none"/>
          <w14:textFill>
            <w14:solidFill>
              <w14:schemeClr w14:val="tx1"/>
            </w14:solidFill>
          </w14:textFill>
        </w:rPr>
      </w:pPr>
    </w:p>
    <w:p>
      <w:pPr>
        <w:pStyle w:val="16"/>
        <w:rPr>
          <w:color w:val="000000" w:themeColor="text1"/>
          <w:highlight w:val="none"/>
          <w14:textFill>
            <w14:solidFill>
              <w14:schemeClr w14:val="tx1"/>
            </w14:solidFill>
          </w14:textFill>
        </w:rPr>
      </w:pPr>
    </w:p>
    <w:p>
      <w:pPr>
        <w:spacing w:line="400" w:lineRule="exact"/>
        <w:jc w:val="center"/>
        <w:rPr>
          <w:rFonts w:ascii="Tahoma" w:hAnsi="Tahoma" w:eastAsia="黑体" w:cs="Tahoma"/>
          <w:color w:val="000000" w:themeColor="text1"/>
          <w:sz w:val="96"/>
          <w:highlight w:val="none"/>
          <w14:textFill>
            <w14:solidFill>
              <w14:schemeClr w14:val="tx1"/>
            </w14:solidFill>
          </w14:textFill>
        </w:rPr>
      </w:pPr>
    </w:p>
    <w:p>
      <w:pPr>
        <w:spacing w:line="400" w:lineRule="exact"/>
        <w:jc w:val="center"/>
        <w:rPr>
          <w:rFonts w:ascii="Tahoma" w:hAnsi="Tahoma" w:eastAsia="黑体" w:cs="Tahoma"/>
          <w:color w:val="000000" w:themeColor="text1"/>
          <w:sz w:val="96"/>
          <w:highlight w:val="none"/>
          <w14:textFill>
            <w14:solidFill>
              <w14:schemeClr w14:val="tx1"/>
            </w14:solidFill>
          </w14:textFill>
        </w:rPr>
      </w:pPr>
    </w:p>
    <w:p>
      <w:pPr>
        <w:pStyle w:val="19"/>
        <w:rPr>
          <w:color w:val="000000" w:themeColor="text1"/>
          <w:highlight w:val="none"/>
          <w14:textFill>
            <w14:solidFill>
              <w14:schemeClr w14:val="tx1"/>
            </w14:solidFill>
          </w14:textFill>
        </w:rPr>
      </w:pPr>
    </w:p>
    <w:p>
      <w:pPr>
        <w:shd w:val="clear"/>
        <w:jc w:val="center"/>
        <w:rPr>
          <w:rFonts w:ascii="Tahoma" w:hAnsi="Tahoma" w:cs="Tahoma"/>
          <w:b/>
          <w:bCs/>
          <w:color w:val="000000" w:themeColor="text1"/>
          <w:sz w:val="84"/>
          <w:highlight w:val="none"/>
          <w14:textFill>
            <w14:solidFill>
              <w14:schemeClr w14:val="tx1"/>
            </w14:solidFill>
          </w14:textFill>
        </w:rPr>
      </w:pPr>
      <w:r>
        <w:rPr>
          <w:rFonts w:ascii="Tahoma" w:hAnsi="黑体" w:eastAsia="黑体" w:cs="Tahoma"/>
          <w:b/>
          <w:bCs/>
          <w:color w:val="000000" w:themeColor="text1"/>
          <w:sz w:val="96"/>
          <w:highlight w:val="none"/>
          <w14:textFill>
            <w14:solidFill>
              <w14:schemeClr w14:val="tx1"/>
            </w14:solidFill>
          </w14:textFill>
        </w:rPr>
        <w:t>招标文件</w:t>
      </w:r>
    </w:p>
    <w:p>
      <w:pPr>
        <w:pStyle w:val="13"/>
        <w:shd w:val="clear"/>
        <w:snapToGrid w:val="0"/>
        <w:spacing w:line="400" w:lineRule="exact"/>
        <w:jc w:val="center"/>
        <w:rPr>
          <w:rFonts w:hint="default" w:ascii="Tahoma" w:hAnsi="Tahoma" w:eastAsia="黑体" w:cs="Tahoma"/>
          <w:b/>
          <w:color w:val="000000" w:themeColor="text1"/>
          <w:sz w:val="32"/>
          <w:szCs w:val="32"/>
          <w:highlight w:val="none"/>
          <w:shd w:val="clear" w:fill="FFFF00"/>
          <w:lang w:val="en-US" w:eastAsia="zh-CN"/>
          <w14:textFill>
            <w14:solidFill>
              <w14:schemeClr w14:val="tx1"/>
            </w14:solidFill>
          </w14:textFill>
        </w:rPr>
      </w:pPr>
      <w:r>
        <w:rPr>
          <w:rFonts w:ascii="Tahoma" w:hAnsi="Tahoma" w:eastAsia="黑体" w:cs="Tahoma"/>
          <w:b/>
          <w:bCs/>
          <w:color w:val="000000" w:themeColor="text1"/>
          <w:sz w:val="32"/>
          <w:szCs w:val="32"/>
          <w:highlight w:val="none"/>
          <w14:textFill>
            <w14:solidFill>
              <w14:schemeClr w14:val="tx1"/>
            </w14:solidFill>
          </w14:textFill>
        </w:rPr>
        <w:t>项目编号</w:t>
      </w:r>
      <w:r>
        <w:rPr>
          <w:rFonts w:ascii="Tahoma" w:hAnsi="Tahoma" w:eastAsia="黑体" w:cs="Tahoma"/>
          <w:b/>
          <w:bCs/>
          <w:color w:val="000000" w:themeColor="text1"/>
          <w:sz w:val="32"/>
          <w:szCs w:val="32"/>
          <w:highlight w:val="none"/>
          <w:shd w:val="clear"/>
          <w14:textFill>
            <w14:solidFill>
              <w14:schemeClr w14:val="tx1"/>
            </w14:solidFill>
          </w14:textFill>
        </w:rPr>
        <w:t>：</w:t>
      </w:r>
      <w:r>
        <w:rPr>
          <w:rFonts w:hint="eastAsia" w:ascii="Tahoma" w:hAnsi="Tahoma" w:eastAsia="黑体" w:cs="Tahoma"/>
          <w:b/>
          <w:bCs/>
          <w:color w:val="000000" w:themeColor="text1"/>
          <w:sz w:val="32"/>
          <w:szCs w:val="32"/>
          <w:highlight w:val="none"/>
          <w:shd w:val="clear"/>
          <w:lang w:eastAsia="zh-CN"/>
          <w14:textFill>
            <w14:solidFill>
              <w14:schemeClr w14:val="tx1"/>
            </w14:solidFill>
          </w14:textFill>
        </w:rPr>
        <w:t>HTXZFCG（2022FS）039号</w:t>
      </w:r>
    </w:p>
    <w:p>
      <w:pPr>
        <w:pStyle w:val="13"/>
        <w:shd w:val="clear"/>
        <w:snapToGrid w:val="0"/>
        <w:spacing w:line="240" w:lineRule="exact"/>
        <w:ind w:firstLine="3518" w:firstLineChars="1095"/>
        <w:rPr>
          <w:rFonts w:ascii="Tahoma" w:hAnsi="Tahoma" w:cs="Tahoma"/>
          <w:b/>
          <w:bCs/>
          <w:color w:val="000000" w:themeColor="text1"/>
          <w:sz w:val="32"/>
          <w:szCs w:val="32"/>
          <w:highlight w:val="none"/>
          <w:u w:val="single"/>
          <w14:textFill>
            <w14:solidFill>
              <w14:schemeClr w14:val="tx1"/>
            </w14:solidFill>
          </w14:textFill>
        </w:rPr>
      </w:pPr>
    </w:p>
    <w:p>
      <w:pPr>
        <w:pStyle w:val="13"/>
        <w:snapToGrid w:val="0"/>
        <w:spacing w:line="240" w:lineRule="exact"/>
        <w:ind w:firstLine="3518" w:firstLineChars="1095"/>
        <w:rPr>
          <w:rFonts w:ascii="Tahoma" w:hAnsi="Tahoma" w:cs="Tahoma"/>
          <w:b/>
          <w:bCs/>
          <w:color w:val="000000" w:themeColor="text1"/>
          <w:sz w:val="32"/>
          <w:szCs w:val="32"/>
          <w:highlight w:val="none"/>
          <w:u w:val="single"/>
          <w14:textFill>
            <w14:solidFill>
              <w14:schemeClr w14:val="tx1"/>
            </w14:solidFill>
          </w14:textFill>
        </w:rPr>
      </w:pPr>
    </w:p>
    <w:p>
      <w:pPr>
        <w:snapToGrid w:val="0"/>
        <w:spacing w:line="240" w:lineRule="exact"/>
        <w:rPr>
          <w:rFonts w:ascii="Tahoma" w:hAnsi="Tahoma" w:eastAsia="黑体" w:cs="Tahoma"/>
          <w:b/>
          <w:bCs/>
          <w:color w:val="000000" w:themeColor="text1"/>
          <w:sz w:val="36"/>
          <w:szCs w:val="32"/>
          <w:highlight w:val="none"/>
          <w14:textFill>
            <w14:solidFill>
              <w14:schemeClr w14:val="tx1"/>
            </w14:solidFill>
          </w14:textFill>
        </w:rPr>
      </w:pPr>
    </w:p>
    <w:p>
      <w:pPr>
        <w:snapToGrid w:val="0"/>
        <w:spacing w:line="240" w:lineRule="exact"/>
        <w:jc w:val="center"/>
        <w:rPr>
          <w:rFonts w:ascii="Tahoma" w:hAnsi="Tahoma" w:eastAsia="黑体" w:cs="Tahoma"/>
          <w:b/>
          <w:bCs/>
          <w:color w:val="000000" w:themeColor="text1"/>
          <w:sz w:val="36"/>
          <w:szCs w:val="32"/>
          <w:highlight w:val="none"/>
          <w14:textFill>
            <w14:solidFill>
              <w14:schemeClr w14:val="tx1"/>
            </w14:solidFill>
          </w14:textFill>
        </w:rPr>
      </w:pPr>
    </w:p>
    <w:p>
      <w:pPr>
        <w:snapToGrid w:val="0"/>
        <w:spacing w:line="240" w:lineRule="exact"/>
        <w:jc w:val="center"/>
        <w:rPr>
          <w:rFonts w:ascii="Tahoma" w:hAnsi="Tahoma" w:eastAsia="黑体" w:cs="Tahoma"/>
          <w:b/>
          <w:bCs/>
          <w:color w:val="000000" w:themeColor="text1"/>
          <w:sz w:val="36"/>
          <w:szCs w:val="32"/>
          <w:highlight w:val="none"/>
          <w14:textFill>
            <w14:solidFill>
              <w14:schemeClr w14:val="tx1"/>
            </w14:solidFill>
          </w14:textFill>
        </w:rPr>
      </w:pPr>
    </w:p>
    <w:p>
      <w:pPr>
        <w:snapToGrid w:val="0"/>
        <w:spacing w:line="240" w:lineRule="exact"/>
        <w:jc w:val="center"/>
        <w:rPr>
          <w:rFonts w:ascii="Tahoma" w:hAnsi="Tahoma" w:eastAsia="黑体" w:cs="Tahoma"/>
          <w:b/>
          <w:bCs/>
          <w:color w:val="000000" w:themeColor="text1"/>
          <w:sz w:val="36"/>
          <w:szCs w:val="32"/>
          <w:highlight w:val="none"/>
          <w14:textFill>
            <w14:solidFill>
              <w14:schemeClr w14:val="tx1"/>
            </w14:solidFill>
          </w14:textFill>
        </w:rPr>
      </w:pPr>
    </w:p>
    <w:p>
      <w:pPr>
        <w:snapToGrid w:val="0"/>
        <w:spacing w:line="240" w:lineRule="exact"/>
        <w:jc w:val="center"/>
        <w:rPr>
          <w:rFonts w:ascii="Tahoma" w:hAnsi="Tahoma" w:eastAsia="黑体" w:cs="Tahoma"/>
          <w:b/>
          <w:bCs/>
          <w:color w:val="000000" w:themeColor="text1"/>
          <w:sz w:val="36"/>
          <w:szCs w:val="32"/>
          <w:highlight w:val="none"/>
          <w14:textFill>
            <w14:solidFill>
              <w14:schemeClr w14:val="tx1"/>
            </w14:solidFill>
          </w14:textFill>
        </w:rPr>
      </w:pPr>
    </w:p>
    <w:p>
      <w:pPr>
        <w:snapToGrid w:val="0"/>
        <w:spacing w:line="240" w:lineRule="exact"/>
        <w:jc w:val="both"/>
        <w:rPr>
          <w:rFonts w:ascii="Tahoma" w:hAnsi="Tahoma" w:eastAsia="黑体" w:cs="Tahoma"/>
          <w:b/>
          <w:bCs/>
          <w:color w:val="000000" w:themeColor="text1"/>
          <w:sz w:val="36"/>
          <w:szCs w:val="32"/>
          <w:highlight w:val="none"/>
          <w14:textFill>
            <w14:solidFill>
              <w14:schemeClr w14:val="tx1"/>
            </w14:solidFill>
          </w14:textFill>
        </w:rPr>
      </w:pPr>
    </w:p>
    <w:p>
      <w:pPr>
        <w:snapToGrid w:val="0"/>
        <w:spacing w:line="240" w:lineRule="exact"/>
        <w:jc w:val="center"/>
        <w:rPr>
          <w:rFonts w:ascii="Tahoma" w:hAnsi="Tahoma" w:eastAsia="黑体" w:cs="Tahoma"/>
          <w:b/>
          <w:bCs/>
          <w:color w:val="000000" w:themeColor="text1"/>
          <w:sz w:val="36"/>
          <w:szCs w:val="32"/>
          <w:highlight w:val="none"/>
          <w14:textFill>
            <w14:solidFill>
              <w14:schemeClr w14:val="tx1"/>
            </w14:solidFill>
          </w14:textFill>
        </w:rPr>
      </w:pPr>
    </w:p>
    <w:p>
      <w:pPr>
        <w:snapToGrid w:val="0"/>
        <w:spacing w:line="240" w:lineRule="exact"/>
        <w:jc w:val="center"/>
        <w:rPr>
          <w:rFonts w:ascii="Tahoma" w:hAnsi="Tahoma" w:eastAsia="黑体" w:cs="Tahoma"/>
          <w:b/>
          <w:bCs/>
          <w:color w:val="000000" w:themeColor="text1"/>
          <w:sz w:val="36"/>
          <w:szCs w:val="32"/>
          <w:highlight w:val="none"/>
          <w14:textFill>
            <w14:solidFill>
              <w14:schemeClr w14:val="tx1"/>
            </w14:solidFill>
          </w14:textFill>
        </w:rPr>
      </w:pPr>
    </w:p>
    <w:p>
      <w:pPr>
        <w:snapToGrid w:val="0"/>
        <w:spacing w:line="240" w:lineRule="exact"/>
        <w:jc w:val="center"/>
        <w:rPr>
          <w:rFonts w:ascii="Tahoma" w:hAnsi="Tahoma" w:eastAsia="黑体" w:cs="Tahoma"/>
          <w:b/>
          <w:bCs/>
          <w:color w:val="000000" w:themeColor="text1"/>
          <w:sz w:val="36"/>
          <w:szCs w:val="32"/>
          <w:highlight w:val="none"/>
          <w14:textFill>
            <w14:solidFill>
              <w14:schemeClr w14:val="tx1"/>
            </w14:solidFill>
          </w14:textFill>
        </w:rPr>
      </w:pPr>
    </w:p>
    <w:p>
      <w:pPr>
        <w:pStyle w:val="16"/>
        <w:rPr>
          <w:color w:val="000000" w:themeColor="text1"/>
          <w:highlight w:val="none"/>
          <w14:textFill>
            <w14:solidFill>
              <w14:schemeClr w14:val="tx1"/>
            </w14:solidFill>
          </w14:textFill>
        </w:rPr>
      </w:pPr>
    </w:p>
    <w:p>
      <w:pPr>
        <w:pStyle w:val="16"/>
        <w:rPr>
          <w:color w:val="000000" w:themeColor="text1"/>
          <w:highlight w:val="none"/>
          <w14:textFill>
            <w14:solidFill>
              <w14:schemeClr w14:val="tx1"/>
            </w14:solidFill>
          </w14:textFill>
        </w:rPr>
      </w:pPr>
    </w:p>
    <w:p>
      <w:pPr>
        <w:snapToGrid w:val="0"/>
        <w:spacing w:line="240" w:lineRule="exact"/>
        <w:jc w:val="center"/>
        <w:rPr>
          <w:rFonts w:ascii="Tahoma" w:hAnsi="Tahoma" w:eastAsia="黑体" w:cs="Tahoma"/>
          <w:b/>
          <w:bCs/>
          <w:color w:val="000000" w:themeColor="text1"/>
          <w:sz w:val="36"/>
          <w:szCs w:val="32"/>
          <w:highlight w:val="none"/>
          <w14:textFill>
            <w14:solidFill>
              <w14:schemeClr w14:val="tx1"/>
            </w14:solidFill>
          </w14:textFill>
        </w:rPr>
      </w:pPr>
    </w:p>
    <w:p>
      <w:pPr>
        <w:snapToGrid w:val="0"/>
        <w:spacing w:line="240" w:lineRule="exact"/>
        <w:jc w:val="center"/>
        <w:rPr>
          <w:rFonts w:ascii="Tahoma" w:hAnsi="Tahoma" w:eastAsia="黑体" w:cs="Tahoma"/>
          <w:b/>
          <w:bCs/>
          <w:color w:val="000000" w:themeColor="text1"/>
          <w:sz w:val="36"/>
          <w:szCs w:val="32"/>
          <w:highlight w:val="none"/>
          <w14:textFill>
            <w14:solidFill>
              <w14:schemeClr w14:val="tx1"/>
            </w14:solidFill>
          </w14:textFill>
        </w:rPr>
      </w:pPr>
    </w:p>
    <w:p>
      <w:pPr>
        <w:snapToGrid w:val="0"/>
        <w:spacing w:line="240" w:lineRule="exact"/>
        <w:jc w:val="center"/>
        <w:rPr>
          <w:rFonts w:ascii="Tahoma" w:hAnsi="Tahoma" w:eastAsia="黑体" w:cs="Tahoma"/>
          <w:b/>
          <w:bCs/>
          <w:color w:val="000000" w:themeColor="text1"/>
          <w:sz w:val="36"/>
          <w:szCs w:val="32"/>
          <w:highlight w:val="none"/>
          <w14:textFill>
            <w14:solidFill>
              <w14:schemeClr w14:val="tx1"/>
            </w14:solidFill>
          </w14:textFill>
        </w:rPr>
      </w:pPr>
    </w:p>
    <w:p>
      <w:pPr>
        <w:snapToGrid w:val="0"/>
        <w:spacing w:line="240" w:lineRule="exact"/>
        <w:jc w:val="center"/>
        <w:rPr>
          <w:rFonts w:ascii="Tahoma" w:hAnsi="Tahoma" w:eastAsia="黑体" w:cs="Tahoma"/>
          <w:b/>
          <w:bCs/>
          <w:color w:val="000000" w:themeColor="text1"/>
          <w:sz w:val="36"/>
          <w:szCs w:val="32"/>
          <w:highlight w:val="none"/>
          <w14:textFill>
            <w14:solidFill>
              <w14:schemeClr w14:val="tx1"/>
            </w14:solidFill>
          </w14:textFill>
        </w:rPr>
      </w:pPr>
    </w:p>
    <w:p>
      <w:pPr>
        <w:snapToGrid w:val="0"/>
        <w:spacing w:line="240" w:lineRule="exact"/>
        <w:jc w:val="center"/>
        <w:rPr>
          <w:rFonts w:ascii="Tahoma" w:hAnsi="Tahoma" w:eastAsia="黑体" w:cs="Tahoma"/>
          <w:b/>
          <w:bCs/>
          <w:color w:val="000000" w:themeColor="text1"/>
          <w:sz w:val="36"/>
          <w:szCs w:val="32"/>
          <w:highlight w:val="none"/>
          <w14:textFill>
            <w14:solidFill>
              <w14:schemeClr w14:val="tx1"/>
            </w14:solidFill>
          </w14:textFill>
        </w:rPr>
      </w:pPr>
    </w:p>
    <w:p>
      <w:pPr>
        <w:snapToGrid w:val="0"/>
        <w:spacing w:line="360" w:lineRule="auto"/>
        <w:jc w:val="center"/>
        <w:rPr>
          <w:rFonts w:ascii="Tahoma" w:hAnsi="Tahoma" w:eastAsia="黑体" w:cs="Tahoma"/>
          <w:b/>
          <w:bCs/>
          <w:color w:val="000000" w:themeColor="text1"/>
          <w:sz w:val="32"/>
          <w:szCs w:val="32"/>
          <w:highlight w:val="none"/>
          <w14:textFill>
            <w14:solidFill>
              <w14:schemeClr w14:val="tx1"/>
            </w14:solidFill>
          </w14:textFill>
        </w:rPr>
      </w:pPr>
      <w:r>
        <w:rPr>
          <w:rFonts w:ascii="Tahoma" w:hAnsi="黑体" w:eastAsia="黑体" w:cs="Tahoma"/>
          <w:b/>
          <w:bCs/>
          <w:color w:val="000000" w:themeColor="text1"/>
          <w:sz w:val="32"/>
          <w:szCs w:val="32"/>
          <w:highlight w:val="none"/>
          <w14:textFill>
            <w14:solidFill>
              <w14:schemeClr w14:val="tx1"/>
            </w14:solidFill>
          </w14:textFill>
        </w:rPr>
        <w:t>招标人：</w:t>
      </w:r>
      <w:r>
        <w:rPr>
          <w:rFonts w:hint="eastAsia" w:ascii="Tahoma" w:hAnsi="黑体" w:eastAsia="黑体" w:cs="Tahoma"/>
          <w:b/>
          <w:bCs/>
          <w:color w:val="000000" w:themeColor="text1"/>
          <w:sz w:val="32"/>
          <w:szCs w:val="32"/>
          <w:highlight w:val="none"/>
          <w14:textFill>
            <w14:solidFill>
              <w14:schemeClr w14:val="tx1"/>
            </w14:solidFill>
          </w14:textFill>
        </w:rPr>
        <w:t>和田县人民医院</w:t>
      </w:r>
    </w:p>
    <w:p>
      <w:pPr>
        <w:snapToGrid w:val="0"/>
        <w:spacing w:line="360" w:lineRule="auto"/>
        <w:jc w:val="center"/>
        <w:rPr>
          <w:rFonts w:ascii="Tahoma" w:hAnsi="Tahoma" w:eastAsia="黑体" w:cs="Tahoma"/>
          <w:b/>
          <w:bCs/>
          <w:color w:val="000000" w:themeColor="text1"/>
          <w:sz w:val="32"/>
          <w:szCs w:val="32"/>
          <w:highlight w:val="none"/>
          <w14:textFill>
            <w14:solidFill>
              <w14:schemeClr w14:val="tx1"/>
            </w14:solidFill>
          </w14:textFill>
        </w:rPr>
      </w:pPr>
      <w:r>
        <w:rPr>
          <w:rFonts w:ascii="Tahoma" w:hAnsi="黑体" w:eastAsia="黑体" w:cs="Tahoma"/>
          <w:b/>
          <w:bCs/>
          <w:color w:val="000000" w:themeColor="text1"/>
          <w:sz w:val="32"/>
          <w:szCs w:val="32"/>
          <w:highlight w:val="none"/>
          <w14:textFill>
            <w14:solidFill>
              <w14:schemeClr w14:val="tx1"/>
            </w14:solidFill>
          </w14:textFill>
        </w:rPr>
        <w:t>招标代理人：</w:t>
      </w:r>
      <w:r>
        <w:rPr>
          <w:rFonts w:hint="eastAsia" w:ascii="Tahoma" w:hAnsi="黑体" w:eastAsia="黑体" w:cs="Tahoma"/>
          <w:b/>
          <w:bCs/>
          <w:color w:val="000000" w:themeColor="text1"/>
          <w:sz w:val="32"/>
          <w:szCs w:val="32"/>
          <w:highlight w:val="none"/>
          <w14:textFill>
            <w14:solidFill>
              <w14:schemeClr w14:val="tx1"/>
            </w14:solidFill>
          </w14:textFill>
        </w:rPr>
        <w:t>新疆浩诚致远项目管理咨询有限公司</w:t>
      </w:r>
    </w:p>
    <w:p>
      <w:pPr>
        <w:snapToGrid w:val="0"/>
        <w:spacing w:line="360" w:lineRule="auto"/>
        <w:jc w:val="center"/>
        <w:rPr>
          <w:rFonts w:ascii="Tahoma" w:hAnsi="Tahoma" w:eastAsia="黑体" w:cs="Tahoma"/>
          <w:b/>
          <w:bCs/>
          <w:color w:val="000000" w:themeColor="text1"/>
          <w:sz w:val="32"/>
          <w:szCs w:val="32"/>
          <w:highlight w:val="none"/>
          <w14:textFill>
            <w14:solidFill>
              <w14:schemeClr w14:val="tx1"/>
            </w14:solidFill>
          </w14:textFill>
        </w:rPr>
      </w:pPr>
      <w:r>
        <w:rPr>
          <w:rFonts w:ascii="Tahoma" w:hAnsi="黑体" w:eastAsia="黑体" w:cs="Tahoma"/>
          <w:b/>
          <w:bCs/>
          <w:color w:val="000000" w:themeColor="text1"/>
          <w:sz w:val="32"/>
          <w:szCs w:val="32"/>
          <w:highlight w:val="none"/>
          <w14:textFill>
            <w14:solidFill>
              <w14:schemeClr w14:val="tx1"/>
            </w14:solidFill>
          </w14:textFill>
        </w:rPr>
        <w:t>日</w:t>
      </w:r>
      <w:r>
        <w:rPr>
          <w:rFonts w:ascii="Tahoma" w:hAnsi="Tahoma" w:eastAsia="黑体" w:cs="Tahoma"/>
          <w:b/>
          <w:bCs/>
          <w:color w:val="000000" w:themeColor="text1"/>
          <w:sz w:val="32"/>
          <w:szCs w:val="32"/>
          <w:highlight w:val="none"/>
          <w14:textFill>
            <w14:solidFill>
              <w14:schemeClr w14:val="tx1"/>
            </w14:solidFill>
          </w14:textFill>
        </w:rPr>
        <w:t xml:space="preserve">  </w:t>
      </w:r>
      <w:r>
        <w:rPr>
          <w:rFonts w:ascii="Tahoma" w:hAnsi="黑体" w:eastAsia="黑体" w:cs="Tahoma"/>
          <w:b/>
          <w:bCs/>
          <w:color w:val="000000" w:themeColor="text1"/>
          <w:sz w:val="32"/>
          <w:szCs w:val="32"/>
          <w:highlight w:val="none"/>
          <w14:textFill>
            <w14:solidFill>
              <w14:schemeClr w14:val="tx1"/>
            </w14:solidFill>
          </w14:textFill>
        </w:rPr>
        <w:t>期：</w:t>
      </w:r>
      <w:r>
        <w:rPr>
          <w:rFonts w:ascii="Tahoma" w:hAnsi="Tahoma" w:eastAsia="黑体" w:cs="Tahoma"/>
          <w:b/>
          <w:bCs/>
          <w:color w:val="000000" w:themeColor="text1"/>
          <w:sz w:val="32"/>
          <w:szCs w:val="32"/>
          <w:highlight w:val="none"/>
          <w14:textFill>
            <w14:solidFill>
              <w14:schemeClr w14:val="tx1"/>
            </w14:solidFill>
          </w14:textFill>
        </w:rPr>
        <w:t>20</w:t>
      </w:r>
      <w:r>
        <w:rPr>
          <w:rFonts w:hint="eastAsia" w:ascii="Tahoma" w:hAnsi="Tahoma" w:eastAsia="黑体" w:cs="Tahoma"/>
          <w:b/>
          <w:bCs/>
          <w:color w:val="000000" w:themeColor="text1"/>
          <w:sz w:val="32"/>
          <w:szCs w:val="32"/>
          <w:highlight w:val="none"/>
          <w14:textFill>
            <w14:solidFill>
              <w14:schemeClr w14:val="tx1"/>
            </w14:solidFill>
          </w14:textFill>
        </w:rPr>
        <w:t>2</w:t>
      </w:r>
      <w:r>
        <w:rPr>
          <w:rFonts w:hint="eastAsia" w:ascii="Tahoma" w:hAnsi="Tahoma" w:eastAsia="黑体" w:cs="Tahoma"/>
          <w:b/>
          <w:bCs/>
          <w:color w:val="000000" w:themeColor="text1"/>
          <w:sz w:val="32"/>
          <w:szCs w:val="32"/>
          <w:highlight w:val="none"/>
          <w:lang w:val="en-US" w:eastAsia="zh-CN"/>
          <w14:textFill>
            <w14:solidFill>
              <w14:schemeClr w14:val="tx1"/>
            </w14:solidFill>
          </w14:textFill>
        </w:rPr>
        <w:t>2</w:t>
      </w:r>
      <w:r>
        <w:rPr>
          <w:rFonts w:ascii="Tahoma" w:hAnsi="Tahoma" w:eastAsia="黑体" w:cs="Tahoma"/>
          <w:b/>
          <w:bCs/>
          <w:color w:val="000000" w:themeColor="text1"/>
          <w:sz w:val="32"/>
          <w:szCs w:val="32"/>
          <w:highlight w:val="none"/>
          <w14:textFill>
            <w14:solidFill>
              <w14:schemeClr w14:val="tx1"/>
            </w14:solidFill>
          </w14:textFill>
        </w:rPr>
        <w:t>年</w:t>
      </w:r>
      <w:r>
        <w:rPr>
          <w:rFonts w:hint="eastAsia" w:ascii="Tahoma" w:hAnsi="Tahoma" w:eastAsia="黑体" w:cs="Tahoma"/>
          <w:b/>
          <w:bCs/>
          <w:color w:val="000000" w:themeColor="text1"/>
          <w:sz w:val="32"/>
          <w:szCs w:val="32"/>
          <w:highlight w:val="none"/>
          <w:lang w:val="en-US" w:eastAsia="zh-CN"/>
          <w14:textFill>
            <w14:solidFill>
              <w14:schemeClr w14:val="tx1"/>
            </w14:solidFill>
          </w14:textFill>
        </w:rPr>
        <w:t>5</w:t>
      </w:r>
      <w:r>
        <w:rPr>
          <w:rFonts w:ascii="Tahoma" w:hAnsi="Tahoma" w:eastAsia="黑体" w:cs="Tahoma"/>
          <w:b/>
          <w:bCs/>
          <w:color w:val="000000" w:themeColor="text1"/>
          <w:sz w:val="32"/>
          <w:szCs w:val="32"/>
          <w:highlight w:val="none"/>
          <w14:textFill>
            <w14:solidFill>
              <w14:schemeClr w14:val="tx1"/>
            </w14:solidFill>
          </w14:textFill>
        </w:rPr>
        <w:t>月</w:t>
      </w:r>
    </w:p>
    <w:p>
      <w:pPr>
        <w:snapToGrid w:val="0"/>
        <w:spacing w:line="240" w:lineRule="exact"/>
        <w:jc w:val="center"/>
        <w:rPr>
          <w:rFonts w:ascii="Tahoma" w:hAnsi="Tahoma" w:eastAsia="黑体" w:cs="Tahoma"/>
          <w:b/>
          <w:bCs/>
          <w:color w:val="000000" w:themeColor="text1"/>
          <w:sz w:val="32"/>
          <w:szCs w:val="32"/>
          <w:highlight w:val="none"/>
          <w14:textFill>
            <w14:solidFill>
              <w14:schemeClr w14:val="tx1"/>
            </w14:solidFill>
          </w14:textFill>
        </w:rPr>
      </w:pPr>
    </w:p>
    <w:p>
      <w:pPr>
        <w:spacing w:line="360" w:lineRule="exact"/>
        <w:jc w:val="center"/>
        <w:rPr>
          <w:rFonts w:ascii="Tahoma" w:hAnsi="Tahoma" w:eastAsia="黑体" w:cs="Tahoma"/>
          <w:b/>
          <w:color w:val="000000" w:themeColor="text1"/>
          <w:sz w:val="36"/>
          <w:szCs w:val="36"/>
          <w:highlight w:val="none"/>
          <w14:textFill>
            <w14:solidFill>
              <w14:schemeClr w14:val="tx1"/>
            </w14:solidFill>
          </w14:textFill>
        </w:rPr>
      </w:pPr>
      <w:r>
        <w:rPr>
          <w:rFonts w:ascii="Tahoma" w:hAnsi="Tahoma" w:eastAsia="黑体" w:cs="Tahoma"/>
          <w:b/>
          <w:color w:val="000000" w:themeColor="text1"/>
          <w:sz w:val="36"/>
          <w:szCs w:val="36"/>
          <w:highlight w:val="none"/>
          <w14:textFill>
            <w14:solidFill>
              <w14:schemeClr w14:val="tx1"/>
            </w14:solidFill>
          </w14:textFill>
        </w:rPr>
        <w:t>目   录</w:t>
      </w:r>
    </w:p>
    <w:p>
      <w:pPr>
        <w:spacing w:line="360" w:lineRule="exact"/>
        <w:jc w:val="center"/>
        <w:rPr>
          <w:rFonts w:ascii="Tahoma" w:hAnsi="Tahoma" w:eastAsia="黑体" w:cs="Tahoma"/>
          <w:b/>
          <w:color w:val="000000" w:themeColor="text1"/>
          <w:sz w:val="36"/>
          <w:szCs w:val="36"/>
          <w:highlight w:val="none"/>
          <w14:textFill>
            <w14:solidFill>
              <w14:schemeClr w14:val="tx1"/>
            </w14:solidFill>
          </w14:textFill>
        </w:rPr>
      </w:pPr>
    </w:p>
    <w:p>
      <w:pPr>
        <w:spacing w:line="240" w:lineRule="exact"/>
        <w:jc w:val="center"/>
        <w:rPr>
          <w:rFonts w:ascii="Tahoma" w:hAnsi="Tahoma" w:eastAsia="黑体" w:cs="Tahoma"/>
          <w:color w:val="000000" w:themeColor="text1"/>
          <w:sz w:val="24"/>
          <w:highlight w:val="none"/>
          <w14:textFill>
            <w14:solidFill>
              <w14:schemeClr w14:val="tx1"/>
            </w14:solidFill>
          </w14:textFill>
        </w:rPr>
      </w:pPr>
    </w:p>
    <w:p>
      <w:pPr>
        <w:tabs>
          <w:tab w:val="right" w:leader="middleDot" w:pos="9000"/>
        </w:tabs>
        <w:spacing w:line="600" w:lineRule="auto"/>
        <w:jc w:val="center"/>
        <w:rPr>
          <w:rFonts w:ascii="Tahoma" w:hAnsi="Tahoma" w:eastAsia="黑体" w:cs="Tahoma"/>
          <w:b/>
          <w:color w:val="000000" w:themeColor="text1"/>
          <w:sz w:val="24"/>
          <w:highlight w:val="none"/>
          <w14:textFill>
            <w14:solidFill>
              <w14:schemeClr w14:val="tx1"/>
            </w14:solidFill>
          </w14:textFill>
        </w:rPr>
      </w:pPr>
      <w:r>
        <w:rPr>
          <w:rFonts w:ascii="Tahoma" w:hAnsi="Tahoma" w:eastAsia="黑体" w:cs="Tahoma"/>
          <w:b/>
          <w:color w:val="000000" w:themeColor="text1"/>
          <w:szCs w:val="21"/>
          <w:highlight w:val="none"/>
          <w14:textFill>
            <w14:solidFill>
              <w14:schemeClr w14:val="tx1"/>
            </w14:solidFill>
          </w14:textFill>
        </w:rPr>
        <w:fldChar w:fldCharType="begin"/>
      </w:r>
      <w:r>
        <w:rPr>
          <w:rFonts w:ascii="Tahoma" w:hAnsi="Tahoma" w:eastAsia="黑体" w:cs="Tahoma"/>
          <w:b/>
          <w:color w:val="000000" w:themeColor="text1"/>
          <w:szCs w:val="21"/>
          <w:highlight w:val="none"/>
          <w14:textFill>
            <w14:solidFill>
              <w14:schemeClr w14:val="tx1"/>
            </w14:solidFill>
          </w14:textFill>
        </w:rPr>
        <w:instrText xml:space="preserve">TOC \o "1-1" \h \u </w:instrText>
      </w:r>
      <w:r>
        <w:rPr>
          <w:rFonts w:ascii="Tahoma" w:hAnsi="Tahoma" w:eastAsia="黑体" w:cs="Tahoma"/>
          <w:b/>
          <w:color w:val="000000" w:themeColor="text1"/>
          <w:szCs w:val="21"/>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"_Toc4908" </w:instrText>
      </w:r>
      <w:r>
        <w:rPr>
          <w:color w:val="000000" w:themeColor="text1"/>
          <w:highlight w:val="none"/>
          <w14:textFill>
            <w14:solidFill>
              <w14:schemeClr w14:val="tx1"/>
            </w14:solidFill>
          </w14:textFill>
        </w:rPr>
        <w:fldChar w:fldCharType="separate"/>
      </w:r>
      <w:r>
        <w:rPr>
          <w:rFonts w:ascii="Tahoma" w:hAnsi="Tahoma" w:eastAsia="黑体" w:cs="Tahoma"/>
          <w:b/>
          <w:color w:val="000000" w:themeColor="text1"/>
          <w:sz w:val="24"/>
          <w:highlight w:val="none"/>
          <w14:textFill>
            <w14:solidFill>
              <w14:schemeClr w14:val="tx1"/>
            </w14:solidFill>
          </w14:textFill>
        </w:rPr>
        <w:t xml:space="preserve">第一章 </w:t>
      </w:r>
      <w:r>
        <w:rPr>
          <w:rFonts w:hint="eastAsia" w:ascii="Tahoma" w:hAnsi="Tahoma" w:eastAsia="黑体" w:cs="Tahoma"/>
          <w:b/>
          <w:color w:val="000000" w:themeColor="text1"/>
          <w:sz w:val="24"/>
          <w:highlight w:val="none"/>
          <w:lang w:val="en-US" w:eastAsia="zh-CN"/>
          <w14:textFill>
            <w14:solidFill>
              <w14:schemeClr w14:val="tx1"/>
            </w14:solidFill>
          </w14:textFill>
        </w:rPr>
        <w:t>招标公告</w:t>
      </w:r>
      <w:r>
        <w:rPr>
          <w:rFonts w:ascii="Tahoma" w:hAnsi="Tahoma" w:eastAsia="黑体" w:cs="Tahoma"/>
          <w:b/>
          <w:color w:val="000000" w:themeColor="text1"/>
          <w:sz w:val="24"/>
          <w:highlight w:val="none"/>
          <w14:textFill>
            <w14:solidFill>
              <w14:schemeClr w14:val="tx1"/>
            </w14:solidFill>
          </w14:textFill>
        </w:rPr>
        <w:tab/>
      </w:r>
      <w:r>
        <w:rPr>
          <w:rFonts w:hint="eastAsia" w:ascii="Tahoma" w:hAnsi="Tahoma" w:eastAsia="黑体" w:cs="Tahoma"/>
          <w:b/>
          <w:color w:val="000000" w:themeColor="text1"/>
          <w:sz w:val="24"/>
          <w:highlight w:val="none"/>
          <w:lang w:val="en-US" w:eastAsia="zh-CN"/>
          <w14:textFill>
            <w14:solidFill>
              <w14:schemeClr w14:val="tx1"/>
            </w14:solidFill>
          </w14:textFill>
        </w:rPr>
        <w:t>3</w:t>
      </w:r>
      <w:r>
        <w:rPr>
          <w:rFonts w:hint="eastAsia" w:ascii="Tahoma" w:hAnsi="Tahoma" w:eastAsia="黑体" w:cs="Tahoma"/>
          <w:b/>
          <w:color w:val="000000" w:themeColor="text1"/>
          <w:sz w:val="24"/>
          <w:highlight w:val="none"/>
          <w14:textFill>
            <w14:solidFill>
              <w14:schemeClr w14:val="tx1"/>
            </w14:solidFill>
          </w14:textFill>
        </w:rPr>
        <w:fldChar w:fldCharType="end"/>
      </w:r>
    </w:p>
    <w:p>
      <w:pPr>
        <w:tabs>
          <w:tab w:val="right" w:leader="middleDot" w:pos="9000"/>
        </w:tabs>
        <w:spacing w:line="600" w:lineRule="auto"/>
        <w:jc w:val="center"/>
        <w:rPr>
          <w:rFonts w:ascii="Tahoma" w:hAnsi="Tahoma" w:eastAsia="黑体" w:cs="Tahoma"/>
          <w:b/>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"_Toc1120" </w:instrText>
      </w:r>
      <w:r>
        <w:rPr>
          <w:color w:val="000000" w:themeColor="text1"/>
          <w:highlight w:val="none"/>
          <w14:textFill>
            <w14:solidFill>
              <w14:schemeClr w14:val="tx1"/>
            </w14:solidFill>
          </w14:textFill>
        </w:rPr>
        <w:fldChar w:fldCharType="separate"/>
      </w:r>
      <w:r>
        <w:rPr>
          <w:rFonts w:ascii="Tahoma" w:hAnsi="Tahoma" w:eastAsia="黑体" w:cs="Tahoma"/>
          <w:b/>
          <w:color w:val="000000" w:themeColor="text1"/>
          <w:sz w:val="24"/>
          <w:highlight w:val="none"/>
          <w14:textFill>
            <w14:solidFill>
              <w14:schemeClr w14:val="tx1"/>
            </w14:solidFill>
          </w14:textFill>
        </w:rPr>
        <w:t>第二章 投标人须知</w:t>
      </w:r>
      <w:r>
        <w:rPr>
          <w:rFonts w:ascii="Tahoma" w:hAnsi="Tahoma" w:eastAsia="黑体" w:cs="Tahoma"/>
          <w:b/>
          <w:color w:val="000000" w:themeColor="text1"/>
          <w:sz w:val="24"/>
          <w:highlight w:val="none"/>
          <w14:textFill>
            <w14:solidFill>
              <w14:schemeClr w14:val="tx1"/>
            </w14:solidFill>
          </w14:textFill>
        </w:rPr>
        <w:tab/>
      </w:r>
      <w:r>
        <w:rPr>
          <w:rFonts w:hint="eastAsia" w:ascii="Tahoma" w:hAnsi="Tahoma" w:eastAsia="黑体" w:cs="Tahoma"/>
          <w:b/>
          <w:color w:val="000000" w:themeColor="text1"/>
          <w:sz w:val="24"/>
          <w:highlight w:val="none"/>
          <w:lang w:val="en-US" w:eastAsia="zh-CN"/>
          <w14:textFill>
            <w14:solidFill>
              <w14:schemeClr w14:val="tx1"/>
            </w14:solidFill>
          </w14:textFill>
        </w:rPr>
        <w:t>9</w:t>
      </w:r>
      <w:r>
        <w:rPr>
          <w:rFonts w:ascii="Tahoma" w:hAnsi="Tahoma" w:eastAsia="黑体" w:cs="Tahoma"/>
          <w:b/>
          <w:color w:val="000000" w:themeColor="text1"/>
          <w:sz w:val="24"/>
          <w:highlight w:val="none"/>
          <w14:textFill>
            <w14:solidFill>
              <w14:schemeClr w14:val="tx1"/>
            </w14:solidFill>
          </w14:textFill>
        </w:rPr>
        <w:fldChar w:fldCharType="end"/>
      </w:r>
    </w:p>
    <w:p>
      <w:pPr>
        <w:tabs>
          <w:tab w:val="right" w:leader="middleDot" w:pos="9000"/>
        </w:tabs>
        <w:spacing w:line="600" w:lineRule="auto"/>
        <w:jc w:val="center"/>
        <w:rPr>
          <w:rFonts w:hint="eastAsia" w:ascii="Tahoma" w:hAnsi="Tahoma" w:eastAsia="黑体" w:cs="Tahoma"/>
          <w:b/>
          <w:color w:val="000000" w:themeColor="text1"/>
          <w:sz w:val="24"/>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"_Toc17885" </w:instrText>
      </w:r>
      <w:r>
        <w:rPr>
          <w:color w:val="000000" w:themeColor="text1"/>
          <w:highlight w:val="none"/>
          <w14:textFill>
            <w14:solidFill>
              <w14:schemeClr w14:val="tx1"/>
            </w14:solidFill>
          </w14:textFill>
        </w:rPr>
        <w:fldChar w:fldCharType="separate"/>
      </w:r>
      <w:r>
        <w:rPr>
          <w:rFonts w:ascii="Tahoma" w:hAnsi="Tahoma" w:eastAsia="黑体" w:cs="Tahoma"/>
          <w:b/>
          <w:color w:val="000000" w:themeColor="text1"/>
          <w:sz w:val="24"/>
          <w:highlight w:val="none"/>
          <w14:textFill>
            <w14:solidFill>
              <w14:schemeClr w14:val="tx1"/>
            </w14:solidFill>
          </w14:textFill>
        </w:rPr>
        <w:t>第三章 评标办法</w:t>
      </w:r>
      <w:r>
        <w:rPr>
          <w:rFonts w:ascii="Tahoma" w:hAnsi="Tahoma" w:eastAsia="黑体" w:cs="Tahoma"/>
          <w:b/>
          <w:color w:val="000000" w:themeColor="text1"/>
          <w:sz w:val="24"/>
          <w:highlight w:val="none"/>
          <w14:textFill>
            <w14:solidFill>
              <w14:schemeClr w14:val="tx1"/>
            </w14:solidFill>
          </w14:textFill>
        </w:rPr>
        <w:tab/>
      </w:r>
      <w:r>
        <w:rPr>
          <w:rFonts w:hint="eastAsia" w:ascii="Tahoma" w:hAnsi="Tahoma" w:eastAsia="黑体" w:cs="Tahoma"/>
          <w:b/>
          <w:color w:val="000000" w:themeColor="text1"/>
          <w:sz w:val="24"/>
          <w:highlight w:val="none"/>
          <w:lang w:val="en-US" w:eastAsia="zh-CN"/>
          <w14:textFill>
            <w14:solidFill>
              <w14:schemeClr w14:val="tx1"/>
            </w14:solidFill>
          </w14:textFill>
        </w:rPr>
        <w:t>2</w:t>
      </w:r>
      <w:r>
        <w:rPr>
          <w:rFonts w:ascii="Tahoma" w:hAnsi="Tahoma" w:eastAsia="黑体" w:cs="Tahoma"/>
          <w:b/>
          <w:color w:val="000000" w:themeColor="text1"/>
          <w:sz w:val="24"/>
          <w:highlight w:val="none"/>
          <w14:textFill>
            <w14:solidFill>
              <w14:schemeClr w14:val="tx1"/>
            </w14:solidFill>
          </w14:textFill>
        </w:rPr>
        <w:fldChar w:fldCharType="end"/>
      </w:r>
      <w:r>
        <w:rPr>
          <w:rFonts w:hint="eastAsia" w:ascii="Tahoma" w:hAnsi="Tahoma" w:eastAsia="黑体" w:cs="Tahoma"/>
          <w:b/>
          <w:color w:val="000000" w:themeColor="text1"/>
          <w:sz w:val="24"/>
          <w:highlight w:val="none"/>
          <w:lang w:val="en-US" w:eastAsia="zh-CN"/>
          <w14:textFill>
            <w14:solidFill>
              <w14:schemeClr w14:val="tx1"/>
            </w14:solidFill>
          </w14:textFill>
        </w:rPr>
        <w:t>6</w:t>
      </w:r>
    </w:p>
    <w:p>
      <w:pPr>
        <w:tabs>
          <w:tab w:val="right" w:leader="middleDot" w:pos="9000"/>
        </w:tabs>
        <w:spacing w:line="600" w:lineRule="auto"/>
        <w:jc w:val="center"/>
        <w:rPr>
          <w:rFonts w:hint="eastAsia" w:ascii="Tahoma" w:hAnsi="Tahoma" w:eastAsia="黑体" w:cs="Tahoma"/>
          <w:b/>
          <w:color w:val="000000" w:themeColor="text1"/>
          <w:sz w:val="24"/>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"_Toc30156" </w:instrText>
      </w:r>
      <w:r>
        <w:rPr>
          <w:color w:val="000000" w:themeColor="text1"/>
          <w:highlight w:val="none"/>
          <w14:textFill>
            <w14:solidFill>
              <w14:schemeClr w14:val="tx1"/>
            </w14:solidFill>
          </w14:textFill>
        </w:rPr>
        <w:fldChar w:fldCharType="separate"/>
      </w:r>
      <w:r>
        <w:rPr>
          <w:rFonts w:ascii="Tahoma" w:hAnsi="Tahoma" w:eastAsia="黑体" w:cs="Tahoma"/>
          <w:b/>
          <w:color w:val="000000" w:themeColor="text1"/>
          <w:sz w:val="24"/>
          <w:highlight w:val="none"/>
          <w14:textFill>
            <w14:solidFill>
              <w14:schemeClr w14:val="tx1"/>
            </w14:solidFill>
          </w14:textFill>
        </w:rPr>
        <w:t>第四章 合同附件格式及条款</w:t>
      </w:r>
      <w:r>
        <w:rPr>
          <w:rFonts w:ascii="Tahoma" w:hAnsi="Tahoma" w:eastAsia="黑体" w:cs="Tahoma"/>
          <w:b/>
          <w:color w:val="000000" w:themeColor="text1"/>
          <w:sz w:val="24"/>
          <w:highlight w:val="none"/>
          <w14:textFill>
            <w14:solidFill>
              <w14:schemeClr w14:val="tx1"/>
            </w14:solidFill>
          </w14:textFill>
        </w:rPr>
        <w:tab/>
      </w:r>
      <w:r>
        <w:rPr>
          <w:rFonts w:hint="eastAsia" w:ascii="Tahoma" w:hAnsi="Tahoma" w:eastAsia="黑体" w:cs="Tahoma"/>
          <w:b/>
          <w:color w:val="000000" w:themeColor="text1"/>
          <w:sz w:val="24"/>
          <w:highlight w:val="none"/>
          <w:lang w:val="en-US" w:eastAsia="zh-CN"/>
          <w14:textFill>
            <w14:solidFill>
              <w14:schemeClr w14:val="tx1"/>
            </w14:solidFill>
          </w14:textFill>
        </w:rPr>
        <w:t>3</w:t>
      </w:r>
      <w:r>
        <w:rPr>
          <w:rFonts w:ascii="Tahoma" w:hAnsi="Tahoma" w:eastAsia="黑体" w:cs="Tahoma"/>
          <w:b/>
          <w:color w:val="000000" w:themeColor="text1"/>
          <w:sz w:val="24"/>
          <w:highlight w:val="none"/>
          <w14:textFill>
            <w14:solidFill>
              <w14:schemeClr w14:val="tx1"/>
            </w14:solidFill>
          </w14:textFill>
        </w:rPr>
        <w:fldChar w:fldCharType="end"/>
      </w:r>
      <w:r>
        <w:rPr>
          <w:rFonts w:hint="eastAsia" w:ascii="Tahoma" w:hAnsi="Tahoma" w:eastAsia="黑体" w:cs="Tahoma"/>
          <w:b/>
          <w:color w:val="000000" w:themeColor="text1"/>
          <w:sz w:val="24"/>
          <w:highlight w:val="none"/>
          <w:lang w:val="en-US" w:eastAsia="zh-CN"/>
          <w14:textFill>
            <w14:solidFill>
              <w14:schemeClr w14:val="tx1"/>
            </w14:solidFill>
          </w14:textFill>
        </w:rPr>
        <w:t>6</w:t>
      </w:r>
    </w:p>
    <w:p>
      <w:pPr>
        <w:tabs>
          <w:tab w:val="right" w:leader="middleDot" w:pos="9000"/>
        </w:tabs>
        <w:spacing w:line="600" w:lineRule="auto"/>
        <w:jc w:val="center"/>
        <w:rPr>
          <w:rFonts w:hint="eastAsia" w:ascii="Tahoma" w:hAnsi="Tahoma" w:eastAsia="黑体" w:cs="Tahoma"/>
          <w:b/>
          <w:color w:val="000000" w:themeColor="text1"/>
          <w:sz w:val="24"/>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"_Toc11713" </w:instrText>
      </w:r>
      <w:r>
        <w:rPr>
          <w:color w:val="000000" w:themeColor="text1"/>
          <w:highlight w:val="none"/>
          <w14:textFill>
            <w14:solidFill>
              <w14:schemeClr w14:val="tx1"/>
            </w14:solidFill>
          </w14:textFill>
        </w:rPr>
        <w:fldChar w:fldCharType="separate"/>
      </w:r>
      <w:r>
        <w:rPr>
          <w:rFonts w:ascii="Tahoma" w:hAnsi="Tahoma" w:eastAsia="黑体" w:cs="Tahoma"/>
          <w:b/>
          <w:color w:val="000000" w:themeColor="text1"/>
          <w:sz w:val="24"/>
          <w:highlight w:val="none"/>
          <w14:textFill>
            <w14:solidFill>
              <w14:schemeClr w14:val="tx1"/>
            </w14:solidFill>
          </w14:textFill>
        </w:rPr>
        <w:t xml:space="preserve">第五章 </w:t>
      </w:r>
      <w:r>
        <w:rPr>
          <w:rFonts w:hint="eastAsia" w:ascii="Tahoma" w:hAnsi="Tahoma" w:eastAsia="黑体" w:cs="Tahoma"/>
          <w:b/>
          <w:color w:val="000000" w:themeColor="text1"/>
          <w:sz w:val="24"/>
          <w:highlight w:val="none"/>
          <w14:textFill>
            <w14:solidFill>
              <w14:schemeClr w14:val="tx1"/>
            </w14:solidFill>
          </w14:textFill>
        </w:rPr>
        <w:t>货物</w:t>
      </w:r>
      <w:r>
        <w:rPr>
          <w:rFonts w:ascii="Tahoma" w:hAnsi="Tahoma" w:eastAsia="黑体" w:cs="Tahoma"/>
          <w:b/>
          <w:color w:val="000000" w:themeColor="text1"/>
          <w:sz w:val="24"/>
          <w:highlight w:val="none"/>
          <w14:textFill>
            <w14:solidFill>
              <w14:schemeClr w14:val="tx1"/>
            </w14:solidFill>
          </w14:textFill>
        </w:rPr>
        <w:t>（产品）采购清单</w:t>
      </w:r>
      <w:r>
        <w:rPr>
          <w:rFonts w:ascii="Tahoma" w:hAnsi="Tahoma" w:eastAsia="黑体" w:cs="Tahoma"/>
          <w:b/>
          <w:color w:val="000000" w:themeColor="text1"/>
          <w:sz w:val="24"/>
          <w:highlight w:val="none"/>
          <w14:textFill>
            <w14:solidFill>
              <w14:schemeClr w14:val="tx1"/>
            </w14:solidFill>
          </w14:textFill>
        </w:rPr>
        <w:tab/>
      </w:r>
      <w:r>
        <w:rPr>
          <w:rFonts w:hint="eastAsia" w:ascii="Tahoma" w:hAnsi="Tahoma" w:eastAsia="黑体" w:cs="Tahoma"/>
          <w:b/>
          <w:color w:val="000000" w:themeColor="text1"/>
          <w:sz w:val="24"/>
          <w:highlight w:val="none"/>
          <w:lang w:val="en-US" w:eastAsia="zh-CN"/>
          <w14:textFill>
            <w14:solidFill>
              <w14:schemeClr w14:val="tx1"/>
            </w14:solidFill>
          </w14:textFill>
        </w:rPr>
        <w:t>5</w:t>
      </w:r>
      <w:r>
        <w:rPr>
          <w:rFonts w:ascii="Tahoma" w:hAnsi="Tahoma" w:eastAsia="黑体" w:cs="Tahoma"/>
          <w:b/>
          <w:color w:val="000000" w:themeColor="text1"/>
          <w:sz w:val="24"/>
          <w:highlight w:val="none"/>
          <w14:textFill>
            <w14:solidFill>
              <w14:schemeClr w14:val="tx1"/>
            </w14:solidFill>
          </w14:textFill>
        </w:rPr>
        <w:fldChar w:fldCharType="end"/>
      </w:r>
      <w:r>
        <w:rPr>
          <w:rFonts w:hint="eastAsia" w:ascii="Tahoma" w:hAnsi="Tahoma" w:eastAsia="黑体" w:cs="Tahoma"/>
          <w:b/>
          <w:color w:val="000000" w:themeColor="text1"/>
          <w:sz w:val="24"/>
          <w:highlight w:val="none"/>
          <w:lang w:val="en-US" w:eastAsia="zh-CN"/>
          <w14:textFill>
            <w14:solidFill>
              <w14:schemeClr w14:val="tx1"/>
            </w14:solidFill>
          </w14:textFill>
        </w:rPr>
        <w:t>0</w:t>
      </w:r>
    </w:p>
    <w:p>
      <w:pPr>
        <w:tabs>
          <w:tab w:val="right" w:leader="middleDot" w:pos="9000"/>
        </w:tabs>
        <w:spacing w:line="600" w:lineRule="auto"/>
        <w:jc w:val="center"/>
        <w:rPr>
          <w:rFonts w:hint="eastAsia" w:ascii="Tahoma" w:hAnsi="Tahoma" w:eastAsia="黑体" w:cs="Tahoma"/>
          <w:b/>
          <w:color w:val="000000" w:themeColor="text1"/>
          <w:sz w:val="24"/>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"_Toc32713" </w:instrText>
      </w:r>
      <w:r>
        <w:rPr>
          <w:color w:val="000000" w:themeColor="text1"/>
          <w:highlight w:val="none"/>
          <w14:textFill>
            <w14:solidFill>
              <w14:schemeClr w14:val="tx1"/>
            </w14:solidFill>
          </w14:textFill>
        </w:rPr>
        <w:fldChar w:fldCharType="separate"/>
      </w:r>
      <w:r>
        <w:rPr>
          <w:rFonts w:ascii="Tahoma" w:hAnsi="Tahoma" w:eastAsia="黑体" w:cs="Tahoma"/>
          <w:b/>
          <w:color w:val="000000" w:themeColor="text1"/>
          <w:sz w:val="24"/>
          <w:highlight w:val="none"/>
          <w14:textFill>
            <w14:solidFill>
              <w14:schemeClr w14:val="tx1"/>
            </w14:solidFill>
          </w14:textFill>
        </w:rPr>
        <w:t>第六章 技术标准及要求</w:t>
      </w:r>
      <w:r>
        <w:rPr>
          <w:rFonts w:ascii="Tahoma" w:hAnsi="Tahoma" w:eastAsia="黑体" w:cs="Tahoma"/>
          <w:b/>
          <w:color w:val="000000" w:themeColor="text1"/>
          <w:sz w:val="24"/>
          <w:highlight w:val="none"/>
          <w14:textFill>
            <w14:solidFill>
              <w14:schemeClr w14:val="tx1"/>
            </w14:solidFill>
          </w14:textFill>
        </w:rPr>
        <w:tab/>
      </w:r>
      <w:r>
        <w:rPr>
          <w:rFonts w:hint="eastAsia" w:ascii="Tahoma" w:hAnsi="Tahoma" w:eastAsia="黑体" w:cs="Tahoma"/>
          <w:b/>
          <w:color w:val="000000" w:themeColor="text1"/>
          <w:sz w:val="24"/>
          <w:highlight w:val="none"/>
          <w:lang w:val="en-US" w:eastAsia="zh-CN"/>
          <w14:textFill>
            <w14:solidFill>
              <w14:schemeClr w14:val="tx1"/>
            </w14:solidFill>
          </w14:textFill>
        </w:rPr>
        <w:t>6</w:t>
      </w:r>
      <w:r>
        <w:rPr>
          <w:rFonts w:ascii="Tahoma" w:hAnsi="Tahoma" w:eastAsia="黑体" w:cs="Tahoma"/>
          <w:b/>
          <w:color w:val="000000" w:themeColor="text1"/>
          <w:sz w:val="24"/>
          <w:highlight w:val="none"/>
          <w14:textFill>
            <w14:solidFill>
              <w14:schemeClr w14:val="tx1"/>
            </w14:solidFill>
          </w14:textFill>
        </w:rPr>
        <w:fldChar w:fldCharType="end"/>
      </w:r>
      <w:r>
        <w:rPr>
          <w:rFonts w:hint="eastAsia" w:ascii="Tahoma" w:hAnsi="Tahoma" w:eastAsia="黑体" w:cs="Tahoma"/>
          <w:b/>
          <w:color w:val="000000" w:themeColor="text1"/>
          <w:sz w:val="24"/>
          <w:highlight w:val="none"/>
          <w:lang w:val="en-US" w:eastAsia="zh-CN"/>
          <w14:textFill>
            <w14:solidFill>
              <w14:schemeClr w14:val="tx1"/>
            </w14:solidFill>
          </w14:textFill>
        </w:rPr>
        <w:t>2</w:t>
      </w:r>
    </w:p>
    <w:p>
      <w:pPr>
        <w:tabs>
          <w:tab w:val="right" w:leader="middleDot" w:pos="9000"/>
        </w:tabs>
        <w:spacing w:line="720" w:lineRule="auto"/>
        <w:jc w:val="center"/>
        <w:rPr>
          <w:rFonts w:hint="default" w:ascii="Tahoma" w:hAnsi="Tahoma" w:eastAsia="黑体" w:cs="Tahoma"/>
          <w:b/>
          <w:color w:val="000000" w:themeColor="text1"/>
          <w:szCs w:val="21"/>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"_Toc26727" </w:instrText>
      </w:r>
      <w:r>
        <w:rPr>
          <w:color w:val="000000" w:themeColor="text1"/>
          <w:highlight w:val="none"/>
          <w14:textFill>
            <w14:solidFill>
              <w14:schemeClr w14:val="tx1"/>
            </w14:solidFill>
          </w14:textFill>
        </w:rPr>
        <w:fldChar w:fldCharType="separate"/>
      </w:r>
      <w:r>
        <w:rPr>
          <w:rFonts w:ascii="Tahoma" w:hAnsi="Tahoma" w:eastAsia="黑体" w:cs="Tahoma"/>
          <w:b/>
          <w:color w:val="000000" w:themeColor="text1"/>
          <w:sz w:val="24"/>
          <w:highlight w:val="none"/>
          <w14:textFill>
            <w14:solidFill>
              <w14:schemeClr w14:val="tx1"/>
            </w14:solidFill>
          </w14:textFill>
        </w:rPr>
        <w:t>第七章 投标文件格式</w:t>
      </w:r>
      <w:r>
        <w:rPr>
          <w:rFonts w:ascii="Tahoma" w:hAnsi="Tahoma" w:eastAsia="黑体" w:cs="Tahoma"/>
          <w:b/>
          <w:color w:val="000000" w:themeColor="text1"/>
          <w:sz w:val="24"/>
          <w:highlight w:val="none"/>
          <w14:textFill>
            <w14:solidFill>
              <w14:schemeClr w14:val="tx1"/>
            </w14:solidFill>
          </w14:textFill>
        </w:rPr>
        <w:tab/>
      </w:r>
      <w:r>
        <w:rPr>
          <w:rFonts w:hint="eastAsia" w:ascii="Tahoma" w:hAnsi="Tahoma" w:eastAsia="黑体" w:cs="Tahoma"/>
          <w:b/>
          <w:color w:val="000000" w:themeColor="text1"/>
          <w:sz w:val="24"/>
          <w:highlight w:val="none"/>
          <w:lang w:val="en-US" w:eastAsia="zh-CN"/>
          <w14:textFill>
            <w14:solidFill>
              <w14:schemeClr w14:val="tx1"/>
            </w14:solidFill>
          </w14:textFill>
        </w:rPr>
        <w:t>1</w:t>
      </w:r>
      <w:r>
        <w:rPr>
          <w:rFonts w:ascii="Tahoma" w:hAnsi="Tahoma" w:eastAsia="黑体" w:cs="Tahoma"/>
          <w:b/>
          <w:color w:val="000000" w:themeColor="text1"/>
          <w:sz w:val="24"/>
          <w:highlight w:val="none"/>
          <w14:textFill>
            <w14:solidFill>
              <w14:schemeClr w14:val="tx1"/>
            </w14:solidFill>
          </w14:textFill>
        </w:rPr>
        <w:fldChar w:fldCharType="end"/>
      </w:r>
      <w:r>
        <w:rPr>
          <w:rFonts w:hint="eastAsia" w:ascii="Tahoma" w:hAnsi="Tahoma" w:eastAsia="黑体" w:cs="Tahoma"/>
          <w:b/>
          <w:color w:val="000000" w:themeColor="text1"/>
          <w:sz w:val="24"/>
          <w:highlight w:val="none"/>
          <w:lang w:val="en-US" w:eastAsia="zh-CN"/>
          <w14:textFill>
            <w14:solidFill>
              <w14:schemeClr w14:val="tx1"/>
            </w14:solidFill>
          </w14:textFill>
        </w:rPr>
        <w:t>36</w:t>
      </w:r>
    </w:p>
    <w:p>
      <w:pPr>
        <w:tabs>
          <w:tab w:val="right" w:leader="middleDot" w:pos="9000"/>
        </w:tabs>
        <w:spacing w:line="720" w:lineRule="auto"/>
        <w:jc w:val="center"/>
        <w:rPr>
          <w:rFonts w:ascii="Tahoma" w:hAnsi="Tahoma" w:eastAsia="黑体" w:cs="Tahoma"/>
          <w:b/>
          <w:color w:val="000000" w:themeColor="text1"/>
          <w:szCs w:val="21"/>
          <w:highlight w:val="none"/>
          <w14:textFill>
            <w14:solidFill>
              <w14:schemeClr w14:val="tx1"/>
            </w14:solidFill>
          </w14:textFill>
        </w:rPr>
      </w:pPr>
    </w:p>
    <w:p>
      <w:pPr>
        <w:tabs>
          <w:tab w:val="right" w:leader="middleDot" w:pos="9000"/>
        </w:tabs>
        <w:spacing w:line="720" w:lineRule="auto"/>
        <w:rPr>
          <w:rFonts w:ascii="Tahoma" w:hAnsi="Tahoma" w:cs="Tahoma"/>
          <w:color w:val="000000" w:themeColor="text1"/>
          <w:szCs w:val="21"/>
          <w:highlight w:val="none"/>
          <w14:textFill>
            <w14:solidFill>
              <w14:schemeClr w14:val="tx1"/>
            </w14:solidFill>
          </w14:textFill>
        </w:rPr>
      </w:pPr>
      <w:r>
        <w:rPr>
          <w:rFonts w:ascii="Tahoma" w:hAnsi="Tahoma" w:eastAsia="黑体" w:cs="Tahoma"/>
          <w:b/>
          <w:color w:val="000000" w:themeColor="text1"/>
          <w:szCs w:val="21"/>
          <w:highlight w:val="none"/>
          <w14:textFill>
            <w14:solidFill>
              <w14:schemeClr w14:val="tx1"/>
            </w14:solidFill>
          </w14:textFill>
        </w:rPr>
        <w:fldChar w:fldCharType="end"/>
      </w:r>
    </w:p>
    <w:p>
      <w:pPr>
        <w:pStyle w:val="2"/>
        <w:ind w:firstLine="2530" w:firstLineChars="700"/>
        <w:rPr>
          <w:rFonts w:ascii="Tahoma" w:hAnsi="Tahoma" w:cs="Tahoma"/>
          <w:b/>
          <w:bCs/>
          <w:color w:val="000000" w:themeColor="text1"/>
          <w:sz w:val="36"/>
          <w:highlight w:val="none"/>
          <w14:textFill>
            <w14:solidFill>
              <w14:schemeClr w14:val="tx1"/>
            </w14:solidFill>
          </w14:textFill>
        </w:rPr>
      </w:pPr>
    </w:p>
    <w:p>
      <w:pPr>
        <w:pStyle w:val="2"/>
        <w:ind w:firstLine="2530" w:firstLineChars="700"/>
        <w:rPr>
          <w:rFonts w:ascii="Tahoma" w:hAnsi="Tahoma" w:cs="Tahoma"/>
          <w:b/>
          <w:bCs/>
          <w:color w:val="000000" w:themeColor="text1"/>
          <w:sz w:val="36"/>
          <w:highlight w:val="none"/>
          <w14:textFill>
            <w14:solidFill>
              <w14:schemeClr w14:val="tx1"/>
            </w14:solidFill>
          </w14:textFill>
        </w:rPr>
      </w:pPr>
    </w:p>
    <w:p>
      <w:pPr>
        <w:pStyle w:val="2"/>
        <w:spacing w:line="240" w:lineRule="exact"/>
        <w:ind w:firstLine="3092" w:firstLineChars="700"/>
        <w:rPr>
          <w:rFonts w:ascii="Tahoma" w:hAnsi="Tahoma" w:eastAsia="黑体" w:cs="Tahoma"/>
          <w:b/>
          <w:bCs/>
          <w:color w:val="000000" w:themeColor="text1"/>
          <w:sz w:val="44"/>
          <w:highlight w:val="none"/>
          <w14:textFill>
            <w14:solidFill>
              <w14:schemeClr w14:val="tx1"/>
            </w14:solidFill>
          </w14:textFill>
        </w:rPr>
      </w:pPr>
    </w:p>
    <w:p>
      <w:pPr>
        <w:pStyle w:val="2"/>
        <w:spacing w:line="240" w:lineRule="exact"/>
        <w:ind w:firstLine="3092" w:firstLineChars="700"/>
        <w:rPr>
          <w:rFonts w:ascii="Tahoma" w:hAnsi="Tahoma" w:eastAsia="黑体" w:cs="Tahoma"/>
          <w:b/>
          <w:bCs/>
          <w:color w:val="000000" w:themeColor="text1"/>
          <w:sz w:val="44"/>
          <w:highlight w:val="none"/>
          <w14:textFill>
            <w14:solidFill>
              <w14:schemeClr w14:val="tx1"/>
            </w14:solidFill>
          </w14:textFill>
        </w:rPr>
      </w:pPr>
    </w:p>
    <w:p>
      <w:pPr>
        <w:pStyle w:val="2"/>
        <w:spacing w:line="240" w:lineRule="exact"/>
        <w:ind w:firstLine="3092" w:firstLineChars="700"/>
        <w:rPr>
          <w:rFonts w:ascii="Tahoma" w:hAnsi="Tahoma" w:eastAsia="黑体" w:cs="Tahoma"/>
          <w:b/>
          <w:bCs/>
          <w:color w:val="000000" w:themeColor="text1"/>
          <w:sz w:val="44"/>
          <w:highlight w:val="none"/>
          <w14:textFill>
            <w14:solidFill>
              <w14:schemeClr w14:val="tx1"/>
            </w14:solidFill>
          </w14:textFill>
        </w:rPr>
      </w:pPr>
    </w:p>
    <w:p>
      <w:pPr>
        <w:pStyle w:val="2"/>
        <w:spacing w:line="240" w:lineRule="exact"/>
        <w:ind w:firstLine="3092" w:firstLineChars="700"/>
        <w:rPr>
          <w:rFonts w:ascii="Tahoma" w:hAnsi="Tahoma" w:eastAsia="黑体" w:cs="Tahoma"/>
          <w:b/>
          <w:bCs/>
          <w:color w:val="000000" w:themeColor="text1"/>
          <w:sz w:val="44"/>
          <w:highlight w:val="none"/>
          <w14:textFill>
            <w14:solidFill>
              <w14:schemeClr w14:val="tx1"/>
            </w14:solidFill>
          </w14:textFill>
        </w:rPr>
      </w:pPr>
    </w:p>
    <w:p>
      <w:pPr>
        <w:pStyle w:val="2"/>
        <w:spacing w:line="240" w:lineRule="exact"/>
        <w:rPr>
          <w:rFonts w:ascii="Tahoma" w:hAnsi="Tahoma" w:eastAsia="黑体" w:cs="Tahoma"/>
          <w:b/>
          <w:bCs/>
          <w:color w:val="000000" w:themeColor="text1"/>
          <w:sz w:val="44"/>
          <w:highlight w:val="none"/>
          <w14:textFill>
            <w14:solidFill>
              <w14:schemeClr w14:val="tx1"/>
            </w14:solidFill>
          </w14:textFill>
        </w:rPr>
      </w:pPr>
    </w:p>
    <w:p>
      <w:pPr>
        <w:pStyle w:val="2"/>
        <w:spacing w:line="240" w:lineRule="exact"/>
        <w:ind w:firstLine="3092" w:firstLineChars="700"/>
        <w:rPr>
          <w:rFonts w:ascii="Tahoma" w:hAnsi="Tahoma" w:eastAsia="黑体" w:cs="Tahoma"/>
          <w:b/>
          <w:bCs/>
          <w:color w:val="000000" w:themeColor="text1"/>
          <w:sz w:val="44"/>
          <w:highlight w:val="none"/>
          <w14:textFill>
            <w14:solidFill>
              <w14:schemeClr w14:val="tx1"/>
            </w14:solidFill>
          </w14:textFill>
        </w:rPr>
      </w:pPr>
    </w:p>
    <w:p>
      <w:pPr>
        <w:pStyle w:val="2"/>
        <w:spacing w:line="240" w:lineRule="exact"/>
        <w:ind w:firstLine="3092" w:firstLineChars="700"/>
        <w:rPr>
          <w:rFonts w:ascii="Tahoma" w:hAnsi="Tahoma" w:eastAsia="黑体" w:cs="Tahoma"/>
          <w:b/>
          <w:bCs/>
          <w:color w:val="000000" w:themeColor="text1"/>
          <w:sz w:val="44"/>
          <w:highlight w:val="none"/>
          <w14:textFill>
            <w14:solidFill>
              <w14:schemeClr w14:val="tx1"/>
            </w14:solidFill>
          </w14:textFill>
        </w:rPr>
      </w:pPr>
    </w:p>
    <w:p>
      <w:pPr>
        <w:pStyle w:val="2"/>
        <w:spacing w:line="240" w:lineRule="exact"/>
        <w:ind w:firstLine="3092" w:firstLineChars="700"/>
        <w:rPr>
          <w:rFonts w:ascii="Tahoma" w:hAnsi="Tahoma" w:eastAsia="黑体" w:cs="Tahoma"/>
          <w:b/>
          <w:bCs/>
          <w:color w:val="000000" w:themeColor="text1"/>
          <w:sz w:val="44"/>
          <w:highlight w:val="none"/>
          <w14:textFill>
            <w14:solidFill>
              <w14:schemeClr w14:val="tx1"/>
            </w14:solidFill>
          </w14:textFill>
        </w:rPr>
      </w:pPr>
    </w:p>
    <w:p>
      <w:pPr>
        <w:pStyle w:val="2"/>
        <w:spacing w:line="240" w:lineRule="exact"/>
        <w:ind w:firstLine="3092" w:firstLineChars="700"/>
        <w:rPr>
          <w:rFonts w:ascii="Tahoma" w:hAnsi="Tahoma" w:eastAsia="黑体" w:cs="Tahoma"/>
          <w:b/>
          <w:bCs/>
          <w:color w:val="000000" w:themeColor="text1"/>
          <w:sz w:val="44"/>
          <w:highlight w:val="none"/>
          <w14:textFill>
            <w14:solidFill>
              <w14:schemeClr w14:val="tx1"/>
            </w14:solidFill>
          </w14:textFill>
        </w:rPr>
      </w:pPr>
    </w:p>
    <w:p>
      <w:pPr>
        <w:pStyle w:val="2"/>
        <w:spacing w:line="240" w:lineRule="exact"/>
        <w:ind w:firstLine="3092" w:firstLineChars="700"/>
        <w:rPr>
          <w:rFonts w:ascii="Tahoma" w:hAnsi="Tahoma" w:eastAsia="黑体" w:cs="Tahoma"/>
          <w:b/>
          <w:bCs/>
          <w:color w:val="000000" w:themeColor="text1"/>
          <w:sz w:val="44"/>
          <w:highlight w:val="none"/>
          <w14:textFill>
            <w14:solidFill>
              <w14:schemeClr w14:val="tx1"/>
            </w14:solidFill>
          </w14:textFill>
        </w:rPr>
      </w:pPr>
    </w:p>
    <w:p>
      <w:pPr>
        <w:pStyle w:val="2"/>
        <w:spacing w:line="240" w:lineRule="exact"/>
        <w:ind w:firstLine="3092" w:firstLineChars="700"/>
        <w:rPr>
          <w:rFonts w:ascii="Tahoma" w:hAnsi="Tahoma" w:eastAsia="黑体" w:cs="Tahoma"/>
          <w:b/>
          <w:bCs/>
          <w:color w:val="000000" w:themeColor="text1"/>
          <w:sz w:val="44"/>
          <w:highlight w:val="none"/>
          <w14:textFill>
            <w14:solidFill>
              <w14:schemeClr w14:val="tx1"/>
            </w14:solidFill>
          </w14:textFill>
        </w:rPr>
      </w:pPr>
    </w:p>
    <w:p>
      <w:pPr>
        <w:pStyle w:val="2"/>
        <w:spacing w:line="240" w:lineRule="exact"/>
        <w:ind w:firstLine="3092" w:firstLineChars="700"/>
        <w:rPr>
          <w:rFonts w:ascii="Tahoma" w:hAnsi="Tahoma" w:eastAsia="黑体" w:cs="Tahoma"/>
          <w:b/>
          <w:bCs/>
          <w:color w:val="000000" w:themeColor="text1"/>
          <w:sz w:val="44"/>
          <w:highlight w:val="none"/>
          <w14:textFill>
            <w14:solidFill>
              <w14:schemeClr w14:val="tx1"/>
            </w14:solidFill>
          </w14:textFill>
        </w:rPr>
      </w:pPr>
    </w:p>
    <w:p>
      <w:pPr>
        <w:pStyle w:val="2"/>
        <w:spacing w:line="240" w:lineRule="exact"/>
        <w:ind w:firstLine="3092" w:firstLineChars="700"/>
        <w:rPr>
          <w:rFonts w:ascii="Tahoma" w:hAnsi="Tahoma" w:eastAsia="黑体" w:cs="Tahoma"/>
          <w:b/>
          <w:bCs/>
          <w:color w:val="000000" w:themeColor="text1"/>
          <w:sz w:val="44"/>
          <w:highlight w:val="none"/>
          <w14:textFill>
            <w14:solidFill>
              <w14:schemeClr w14:val="tx1"/>
            </w14:solidFill>
          </w14:textFill>
        </w:rPr>
      </w:pPr>
    </w:p>
    <w:p>
      <w:pPr>
        <w:pStyle w:val="2"/>
        <w:spacing w:line="240" w:lineRule="exact"/>
        <w:ind w:firstLine="3092" w:firstLineChars="700"/>
        <w:rPr>
          <w:rFonts w:ascii="Tahoma" w:hAnsi="Tahoma" w:eastAsia="黑体" w:cs="Tahoma"/>
          <w:b/>
          <w:bCs/>
          <w:color w:val="000000" w:themeColor="text1"/>
          <w:sz w:val="44"/>
          <w:highlight w:val="none"/>
          <w14:textFill>
            <w14:solidFill>
              <w14:schemeClr w14:val="tx1"/>
            </w14:solidFill>
          </w14:textFill>
        </w:rPr>
      </w:pPr>
    </w:p>
    <w:p>
      <w:pPr>
        <w:pStyle w:val="2"/>
        <w:spacing w:line="240" w:lineRule="exact"/>
        <w:ind w:firstLine="3092" w:firstLineChars="700"/>
        <w:rPr>
          <w:rFonts w:ascii="Tahoma" w:hAnsi="Tahoma" w:eastAsia="黑体" w:cs="Tahoma"/>
          <w:b/>
          <w:bCs/>
          <w:color w:val="000000" w:themeColor="text1"/>
          <w:sz w:val="44"/>
          <w:highlight w:val="none"/>
          <w14:textFill>
            <w14:solidFill>
              <w14:schemeClr w14:val="tx1"/>
            </w14:solidFill>
          </w14:textFill>
        </w:rPr>
      </w:pPr>
    </w:p>
    <w:p>
      <w:pPr>
        <w:pStyle w:val="2"/>
        <w:spacing w:line="240" w:lineRule="exact"/>
        <w:ind w:firstLine="3092" w:firstLineChars="700"/>
        <w:rPr>
          <w:rFonts w:ascii="Tahoma" w:hAnsi="Tahoma" w:eastAsia="黑体" w:cs="Tahoma"/>
          <w:b/>
          <w:bCs/>
          <w:color w:val="000000" w:themeColor="text1"/>
          <w:sz w:val="44"/>
          <w:highlight w:val="none"/>
          <w14:textFill>
            <w14:solidFill>
              <w14:schemeClr w14:val="tx1"/>
            </w14:solidFill>
          </w14:textFill>
        </w:rPr>
      </w:pPr>
    </w:p>
    <w:p>
      <w:pPr>
        <w:pStyle w:val="2"/>
        <w:spacing w:line="240" w:lineRule="exact"/>
        <w:ind w:firstLine="3092" w:firstLineChars="700"/>
        <w:rPr>
          <w:rFonts w:ascii="Tahoma" w:hAnsi="Tahoma" w:eastAsia="黑体" w:cs="Tahoma"/>
          <w:b/>
          <w:bCs/>
          <w:color w:val="000000" w:themeColor="text1"/>
          <w:sz w:val="44"/>
          <w:highlight w:val="none"/>
          <w14:textFill>
            <w14:solidFill>
              <w14:schemeClr w14:val="tx1"/>
            </w14:solidFill>
          </w14:textFill>
        </w:rPr>
      </w:pPr>
    </w:p>
    <w:p>
      <w:pPr>
        <w:pStyle w:val="2"/>
        <w:spacing w:line="240" w:lineRule="exact"/>
        <w:rPr>
          <w:rFonts w:ascii="Tahoma" w:hAnsi="Tahoma" w:eastAsia="黑体" w:cs="Tahoma"/>
          <w:b/>
          <w:bCs/>
          <w:color w:val="000000" w:themeColor="text1"/>
          <w:sz w:val="44"/>
          <w:highlight w:val="none"/>
          <w14:textFill>
            <w14:solidFill>
              <w14:schemeClr w14:val="tx1"/>
            </w14:solidFill>
          </w14:textFill>
        </w:rPr>
      </w:pPr>
    </w:p>
    <w:p>
      <w:pPr>
        <w:pStyle w:val="2"/>
        <w:spacing w:line="240" w:lineRule="exact"/>
        <w:ind w:firstLine="3092" w:firstLineChars="700"/>
        <w:rPr>
          <w:rFonts w:ascii="Tahoma" w:hAnsi="Tahoma" w:eastAsia="黑体" w:cs="Tahoma"/>
          <w:b/>
          <w:bCs/>
          <w:color w:val="000000" w:themeColor="text1"/>
          <w:sz w:val="44"/>
          <w:highlight w:val="none"/>
          <w14:textFill>
            <w14:solidFill>
              <w14:schemeClr w14:val="tx1"/>
            </w14:solidFill>
          </w14:textFill>
        </w:rPr>
      </w:pPr>
    </w:p>
    <w:p>
      <w:pPr>
        <w:pStyle w:val="2"/>
        <w:spacing w:line="240" w:lineRule="exact"/>
        <w:ind w:firstLine="3092" w:firstLineChars="700"/>
        <w:rPr>
          <w:rFonts w:ascii="Tahoma" w:hAnsi="Tahoma" w:eastAsia="黑体" w:cs="Tahoma"/>
          <w:b/>
          <w:bCs/>
          <w:color w:val="000000" w:themeColor="text1"/>
          <w:sz w:val="44"/>
          <w:highlight w:val="none"/>
          <w14:textFill>
            <w14:solidFill>
              <w14:schemeClr w14:val="tx1"/>
            </w14:solidFill>
          </w14:textFill>
        </w:rPr>
      </w:pPr>
    </w:p>
    <w:p>
      <w:pPr>
        <w:pStyle w:val="2"/>
        <w:spacing w:line="240" w:lineRule="exact"/>
        <w:ind w:firstLine="3092" w:firstLineChars="700"/>
        <w:rPr>
          <w:rFonts w:ascii="Tahoma" w:hAnsi="Tahoma" w:eastAsia="黑体" w:cs="Tahoma"/>
          <w:b/>
          <w:bCs/>
          <w:color w:val="000000" w:themeColor="text1"/>
          <w:sz w:val="44"/>
          <w:highlight w:val="none"/>
          <w14:textFill>
            <w14:solidFill>
              <w14:schemeClr w14:val="tx1"/>
            </w14:solidFill>
          </w14:textFill>
        </w:rPr>
      </w:pPr>
    </w:p>
    <w:p>
      <w:pPr>
        <w:pStyle w:val="2"/>
        <w:spacing w:line="240" w:lineRule="exact"/>
        <w:ind w:firstLine="3092" w:firstLineChars="700"/>
        <w:rPr>
          <w:rFonts w:ascii="Tahoma" w:hAnsi="Tahoma" w:eastAsia="黑体" w:cs="Tahoma"/>
          <w:b/>
          <w:bCs/>
          <w:color w:val="000000" w:themeColor="text1"/>
          <w:sz w:val="44"/>
          <w:highlight w:val="none"/>
          <w14:textFill>
            <w14:solidFill>
              <w14:schemeClr w14:val="tx1"/>
            </w14:solidFill>
          </w14:textFill>
        </w:rPr>
      </w:pPr>
    </w:p>
    <w:p>
      <w:pPr>
        <w:pStyle w:val="2"/>
        <w:spacing w:line="240" w:lineRule="exact"/>
        <w:ind w:firstLine="3092" w:firstLineChars="700"/>
        <w:rPr>
          <w:rFonts w:ascii="Tahoma" w:hAnsi="Tahoma" w:eastAsia="黑体" w:cs="Tahoma"/>
          <w:b/>
          <w:bCs/>
          <w:color w:val="000000" w:themeColor="text1"/>
          <w:sz w:val="44"/>
          <w:highlight w:val="none"/>
          <w14:textFill>
            <w14:solidFill>
              <w14:schemeClr w14:val="tx1"/>
            </w14:solidFill>
          </w14:textFill>
        </w:rPr>
      </w:pPr>
    </w:p>
    <w:p>
      <w:pPr>
        <w:pStyle w:val="2"/>
        <w:spacing w:line="240" w:lineRule="exact"/>
        <w:ind w:firstLine="3092" w:firstLineChars="700"/>
        <w:rPr>
          <w:rFonts w:ascii="Tahoma" w:hAnsi="Tahoma" w:eastAsia="黑体" w:cs="Tahoma"/>
          <w:b/>
          <w:bCs/>
          <w:color w:val="000000" w:themeColor="text1"/>
          <w:sz w:val="44"/>
          <w:highlight w:val="none"/>
          <w14:textFill>
            <w14:solidFill>
              <w14:schemeClr w14:val="tx1"/>
            </w14:solidFill>
          </w14:textFill>
        </w:rPr>
      </w:pPr>
    </w:p>
    <w:p>
      <w:pPr>
        <w:pStyle w:val="2"/>
        <w:spacing w:line="240" w:lineRule="exact"/>
        <w:ind w:firstLine="3092" w:firstLineChars="700"/>
        <w:rPr>
          <w:rFonts w:ascii="Tahoma" w:hAnsi="Tahoma" w:eastAsia="黑体" w:cs="Tahoma"/>
          <w:b/>
          <w:bCs/>
          <w:color w:val="000000" w:themeColor="text1"/>
          <w:sz w:val="44"/>
          <w:highlight w:val="none"/>
          <w14:textFill>
            <w14:solidFill>
              <w14:schemeClr w14:val="tx1"/>
            </w14:solidFill>
          </w14:textFill>
        </w:rPr>
      </w:pPr>
    </w:p>
    <w:p>
      <w:pPr>
        <w:pStyle w:val="2"/>
        <w:spacing w:line="240" w:lineRule="exact"/>
        <w:ind w:firstLine="3092" w:firstLineChars="700"/>
        <w:rPr>
          <w:rFonts w:ascii="Tahoma" w:hAnsi="Tahoma" w:eastAsia="黑体" w:cs="Tahoma"/>
          <w:b/>
          <w:bCs/>
          <w:color w:val="000000" w:themeColor="text1"/>
          <w:sz w:val="44"/>
          <w:highlight w:val="none"/>
          <w14:textFill>
            <w14:solidFill>
              <w14:schemeClr w14:val="tx1"/>
            </w14:solidFill>
          </w14:textFill>
        </w:rPr>
      </w:pPr>
    </w:p>
    <w:p>
      <w:pPr>
        <w:pStyle w:val="2"/>
        <w:spacing w:line="240" w:lineRule="exact"/>
        <w:ind w:firstLine="3092" w:firstLineChars="700"/>
        <w:rPr>
          <w:rFonts w:ascii="Tahoma" w:hAnsi="Tahoma" w:eastAsia="黑体" w:cs="Tahoma"/>
          <w:b/>
          <w:bCs/>
          <w:color w:val="000000" w:themeColor="text1"/>
          <w:sz w:val="44"/>
          <w:highlight w:val="none"/>
          <w14:textFill>
            <w14:solidFill>
              <w14:schemeClr w14:val="tx1"/>
            </w14:solidFill>
          </w14:textFill>
        </w:rPr>
      </w:pPr>
    </w:p>
    <w:p>
      <w:pPr>
        <w:pStyle w:val="2"/>
        <w:spacing w:line="240" w:lineRule="exact"/>
        <w:ind w:firstLine="3092" w:firstLineChars="700"/>
        <w:rPr>
          <w:rFonts w:ascii="Tahoma" w:hAnsi="Tahoma" w:eastAsia="黑体" w:cs="Tahoma"/>
          <w:b/>
          <w:bCs/>
          <w:color w:val="000000" w:themeColor="text1"/>
          <w:sz w:val="44"/>
          <w:highlight w:val="none"/>
          <w14:textFill>
            <w14:solidFill>
              <w14:schemeClr w14:val="tx1"/>
            </w14:solidFill>
          </w14:textFill>
        </w:rPr>
      </w:pPr>
    </w:p>
    <w:p>
      <w:pPr>
        <w:pStyle w:val="2"/>
        <w:spacing w:line="240" w:lineRule="exact"/>
        <w:ind w:firstLine="3092" w:firstLineChars="700"/>
        <w:rPr>
          <w:rFonts w:ascii="Tahoma" w:hAnsi="Tahoma" w:eastAsia="黑体" w:cs="Tahoma"/>
          <w:b/>
          <w:bCs/>
          <w:color w:val="000000" w:themeColor="text1"/>
          <w:sz w:val="44"/>
          <w:highlight w:val="none"/>
          <w14:textFill>
            <w14:solidFill>
              <w14:schemeClr w14:val="tx1"/>
            </w14:solidFill>
          </w14:textFill>
        </w:rPr>
      </w:pPr>
    </w:p>
    <w:p>
      <w:pPr>
        <w:pStyle w:val="2"/>
        <w:spacing w:line="240" w:lineRule="exact"/>
        <w:ind w:firstLine="3092" w:firstLineChars="700"/>
        <w:rPr>
          <w:rFonts w:ascii="Tahoma" w:hAnsi="Tahoma" w:eastAsia="黑体" w:cs="Tahoma"/>
          <w:b/>
          <w:bCs/>
          <w:color w:val="000000" w:themeColor="text1"/>
          <w:sz w:val="44"/>
          <w:highlight w:val="none"/>
          <w14:textFill>
            <w14:solidFill>
              <w14:schemeClr w14:val="tx1"/>
            </w14:solidFill>
          </w14:textFill>
        </w:rPr>
      </w:pPr>
    </w:p>
    <w:p>
      <w:pPr>
        <w:pStyle w:val="2"/>
        <w:spacing w:line="240" w:lineRule="exact"/>
        <w:ind w:firstLine="3092" w:firstLineChars="700"/>
        <w:rPr>
          <w:rFonts w:ascii="Tahoma" w:hAnsi="Tahoma" w:eastAsia="黑体" w:cs="Tahoma"/>
          <w:b/>
          <w:bCs/>
          <w:color w:val="000000" w:themeColor="text1"/>
          <w:sz w:val="44"/>
          <w:highlight w:val="none"/>
          <w14:textFill>
            <w14:solidFill>
              <w14:schemeClr w14:val="tx1"/>
            </w14:solidFill>
          </w14:textFill>
        </w:rPr>
      </w:pPr>
    </w:p>
    <w:p>
      <w:pPr>
        <w:pStyle w:val="2"/>
        <w:spacing w:line="240" w:lineRule="exact"/>
        <w:ind w:firstLine="3092" w:firstLineChars="700"/>
        <w:rPr>
          <w:rFonts w:ascii="Tahoma" w:hAnsi="Tahoma" w:eastAsia="黑体" w:cs="Tahoma"/>
          <w:b/>
          <w:bCs/>
          <w:color w:val="000000" w:themeColor="text1"/>
          <w:sz w:val="44"/>
          <w:highlight w:val="none"/>
          <w14:textFill>
            <w14:solidFill>
              <w14:schemeClr w14:val="tx1"/>
            </w14:solidFill>
          </w14:textFill>
        </w:rPr>
      </w:pPr>
    </w:p>
    <w:p>
      <w:pPr>
        <w:pStyle w:val="2"/>
        <w:spacing w:line="240" w:lineRule="exact"/>
        <w:ind w:firstLine="3092" w:firstLineChars="700"/>
        <w:rPr>
          <w:rFonts w:ascii="Tahoma" w:hAnsi="Tahoma" w:eastAsia="黑体" w:cs="Tahoma"/>
          <w:b/>
          <w:bCs/>
          <w:color w:val="000000" w:themeColor="text1"/>
          <w:sz w:val="44"/>
          <w:highlight w:val="none"/>
          <w14:textFill>
            <w14:solidFill>
              <w14:schemeClr w14:val="tx1"/>
            </w14:solidFill>
          </w14:textFill>
        </w:rPr>
      </w:pPr>
    </w:p>
    <w:p>
      <w:pPr>
        <w:pStyle w:val="2"/>
        <w:spacing w:line="240" w:lineRule="exact"/>
        <w:ind w:firstLine="3092" w:firstLineChars="700"/>
        <w:rPr>
          <w:rFonts w:ascii="Tahoma" w:hAnsi="Tahoma" w:eastAsia="黑体" w:cs="Tahoma"/>
          <w:b/>
          <w:bCs/>
          <w:color w:val="000000" w:themeColor="text1"/>
          <w:sz w:val="44"/>
          <w:highlight w:val="none"/>
          <w14:textFill>
            <w14:solidFill>
              <w14:schemeClr w14:val="tx1"/>
            </w14:solidFill>
          </w14:textFill>
        </w:rPr>
      </w:pPr>
    </w:p>
    <w:p>
      <w:pPr>
        <w:pStyle w:val="2"/>
        <w:spacing w:line="240" w:lineRule="exact"/>
        <w:ind w:firstLine="3092" w:firstLineChars="700"/>
        <w:rPr>
          <w:rFonts w:ascii="Tahoma" w:hAnsi="Tahoma" w:eastAsia="黑体" w:cs="Tahoma"/>
          <w:b/>
          <w:bCs/>
          <w:color w:val="000000" w:themeColor="text1"/>
          <w:sz w:val="44"/>
          <w:highlight w:val="none"/>
          <w14:textFill>
            <w14:solidFill>
              <w14:schemeClr w14:val="tx1"/>
            </w14:solidFill>
          </w14:textFill>
        </w:rPr>
      </w:pPr>
    </w:p>
    <w:p>
      <w:pPr>
        <w:pStyle w:val="2"/>
        <w:spacing w:line="240" w:lineRule="exact"/>
        <w:ind w:firstLine="3092" w:firstLineChars="700"/>
        <w:rPr>
          <w:rFonts w:ascii="Tahoma" w:hAnsi="Tahoma" w:eastAsia="黑体" w:cs="Tahoma"/>
          <w:b/>
          <w:bCs/>
          <w:color w:val="000000" w:themeColor="text1"/>
          <w:sz w:val="44"/>
          <w:highlight w:val="none"/>
          <w14:textFill>
            <w14:solidFill>
              <w14:schemeClr w14:val="tx1"/>
            </w14:solidFill>
          </w14:textFill>
        </w:rPr>
      </w:pPr>
    </w:p>
    <w:p>
      <w:pPr>
        <w:pStyle w:val="2"/>
        <w:spacing w:line="240" w:lineRule="exact"/>
        <w:ind w:firstLine="3092" w:firstLineChars="700"/>
        <w:rPr>
          <w:rFonts w:ascii="Tahoma" w:hAnsi="Tahoma" w:eastAsia="黑体" w:cs="Tahoma"/>
          <w:b/>
          <w:bCs/>
          <w:color w:val="000000" w:themeColor="text1"/>
          <w:sz w:val="44"/>
          <w:highlight w:val="none"/>
          <w14:textFill>
            <w14:solidFill>
              <w14:schemeClr w14:val="tx1"/>
            </w14:solidFill>
          </w14:textFill>
        </w:rPr>
      </w:pPr>
    </w:p>
    <w:p>
      <w:pPr>
        <w:pStyle w:val="2"/>
        <w:spacing w:line="240" w:lineRule="exact"/>
        <w:ind w:firstLine="3092" w:firstLineChars="700"/>
        <w:rPr>
          <w:rFonts w:ascii="Tahoma" w:hAnsi="Tahoma" w:eastAsia="黑体" w:cs="Tahoma"/>
          <w:b/>
          <w:bCs/>
          <w:color w:val="000000" w:themeColor="text1"/>
          <w:sz w:val="44"/>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80" w:lineRule="exact"/>
        <w:ind w:firstLine="3092" w:firstLineChars="700"/>
        <w:jc w:val="both"/>
        <w:textAlignment w:val="auto"/>
        <w:rPr>
          <w:rFonts w:hint="default" w:ascii="Tahoma" w:hAnsi="Tahoma" w:eastAsia="黑体" w:cs="Tahoma"/>
          <w:b/>
          <w:bCs/>
          <w:color w:val="000000" w:themeColor="text1"/>
          <w:kern w:val="0"/>
          <w:sz w:val="44"/>
          <w:highlight w:val="none"/>
          <w:lang w:val="en-US" w:eastAsia="zh-CN"/>
          <w14:textFill>
            <w14:solidFill>
              <w14:schemeClr w14:val="tx1"/>
            </w14:solidFill>
          </w14:textFill>
        </w:rPr>
      </w:pPr>
      <w:r>
        <w:rPr>
          <w:rFonts w:hint="eastAsia" w:ascii="Tahoma" w:hAnsi="Tahoma" w:eastAsia="黑体" w:cs="Tahoma"/>
          <w:b/>
          <w:bCs/>
          <w:color w:val="000000" w:themeColor="text1"/>
          <w:kern w:val="0"/>
          <w:sz w:val="44"/>
          <w:highlight w:val="none"/>
          <w:lang w:eastAsia="zh-CN"/>
          <w14:textFill>
            <w14:solidFill>
              <w14:schemeClr w14:val="tx1"/>
            </w14:solidFill>
          </w14:textFill>
        </w:rPr>
        <w:t>第一章</w:t>
      </w:r>
      <w:r>
        <w:rPr>
          <w:rFonts w:hint="eastAsia" w:ascii="Tahoma" w:hAnsi="Tahoma" w:eastAsia="黑体" w:cs="Tahoma"/>
          <w:b/>
          <w:bCs/>
          <w:color w:val="000000" w:themeColor="text1"/>
          <w:kern w:val="0"/>
          <w:sz w:val="44"/>
          <w:highlight w:val="none"/>
          <w:lang w:val="en-US" w:eastAsia="zh-CN"/>
          <w14:textFill>
            <w14:solidFill>
              <w14:schemeClr w14:val="tx1"/>
            </w14:solidFill>
          </w14:textFill>
        </w:rPr>
        <w:t xml:space="preserve">   </w:t>
      </w:r>
      <w:r>
        <w:rPr>
          <w:rFonts w:hint="eastAsia" w:ascii="Tahoma" w:hAnsi="Tahoma" w:eastAsia="黑体" w:cs="Tahoma"/>
          <w:b/>
          <w:bCs/>
          <w:color w:val="000000" w:themeColor="text1"/>
          <w:kern w:val="0"/>
          <w:sz w:val="44"/>
          <w:highlight w:val="none"/>
          <w:lang w:eastAsia="zh-CN"/>
          <w14:textFill>
            <w14:solidFill>
              <w14:schemeClr w14:val="tx1"/>
            </w14:solidFill>
          </w14:textFill>
        </w:rPr>
        <w:t>招标公告</w:t>
      </w:r>
    </w:p>
    <w:p>
      <w:pPr>
        <w:spacing w:line="360" w:lineRule="exact"/>
        <w:rPr>
          <w:rFonts w:ascii="Tahoma" w:hAnsi="Tahoma" w:eastAsia="黑体" w:cs="Tahoma"/>
          <w:b/>
          <w:bCs/>
          <w:color w:val="000000" w:themeColor="text1"/>
          <w:kern w:val="0"/>
          <w:sz w:val="44"/>
          <w:highlight w:val="none"/>
          <w14:textFill>
            <w14:solidFill>
              <w14:schemeClr w14:val="tx1"/>
            </w14:solidFill>
          </w14:textFill>
        </w:rPr>
      </w:pPr>
    </w:p>
    <w:p>
      <w:pPr>
        <w:spacing w:line="360" w:lineRule="exact"/>
        <w:rPr>
          <w:rFonts w:ascii="Tahoma" w:hAnsi="Tahoma" w:eastAsia="黑体" w:cs="Tahoma"/>
          <w:b/>
          <w:bCs/>
          <w:color w:val="000000" w:themeColor="text1"/>
          <w:kern w:val="0"/>
          <w:sz w:val="44"/>
          <w:highlight w:val="none"/>
          <w14:textFill>
            <w14:solidFill>
              <w14:schemeClr w14:val="tx1"/>
            </w14:solidFill>
          </w14:textFill>
        </w:rPr>
      </w:pPr>
    </w:p>
    <w:p>
      <w:pPr>
        <w:spacing w:line="360" w:lineRule="exact"/>
        <w:rPr>
          <w:rFonts w:ascii="Tahoma" w:hAnsi="Tahoma" w:eastAsia="黑体" w:cs="Tahoma"/>
          <w:b/>
          <w:bCs/>
          <w:color w:val="000000" w:themeColor="text1"/>
          <w:kern w:val="0"/>
          <w:sz w:val="44"/>
          <w:highlight w:val="none"/>
          <w14:textFill>
            <w14:solidFill>
              <w14:schemeClr w14:val="tx1"/>
            </w14:solidFill>
          </w14:textFill>
        </w:rPr>
      </w:pPr>
    </w:p>
    <w:p>
      <w:pPr>
        <w:spacing w:line="360" w:lineRule="exact"/>
        <w:rPr>
          <w:rFonts w:ascii="Tahoma" w:hAnsi="Tahoma" w:eastAsia="黑体" w:cs="Tahoma"/>
          <w:b/>
          <w:bCs/>
          <w:color w:val="000000" w:themeColor="text1"/>
          <w:kern w:val="0"/>
          <w:sz w:val="44"/>
          <w:highlight w:val="none"/>
          <w14:textFill>
            <w14:solidFill>
              <w14:schemeClr w14:val="tx1"/>
            </w14:solidFill>
          </w14:textFill>
        </w:rPr>
      </w:pPr>
    </w:p>
    <w:p>
      <w:pPr>
        <w:spacing w:line="360" w:lineRule="exact"/>
        <w:rPr>
          <w:rFonts w:ascii="Tahoma" w:hAnsi="Tahoma" w:eastAsia="黑体" w:cs="Tahoma"/>
          <w:b/>
          <w:bCs/>
          <w:color w:val="000000" w:themeColor="text1"/>
          <w:kern w:val="0"/>
          <w:sz w:val="44"/>
          <w:highlight w:val="none"/>
          <w14:textFill>
            <w14:solidFill>
              <w14:schemeClr w14:val="tx1"/>
            </w14:solidFill>
          </w14:textFill>
        </w:rPr>
      </w:pPr>
    </w:p>
    <w:p>
      <w:pPr>
        <w:pStyle w:val="19"/>
        <w:rPr>
          <w:color w:val="000000" w:themeColor="text1"/>
          <w:highlight w:val="none"/>
          <w14:textFill>
            <w14:solidFill>
              <w14:schemeClr w14:val="tx1"/>
            </w14:solidFill>
          </w14:textFill>
        </w:rPr>
      </w:pPr>
    </w:p>
    <w:p>
      <w:pPr>
        <w:spacing w:line="360" w:lineRule="exact"/>
        <w:rPr>
          <w:rFonts w:ascii="Tahoma" w:hAnsi="Tahoma" w:eastAsia="黑体" w:cs="Tahoma"/>
          <w:b/>
          <w:bCs/>
          <w:color w:val="000000" w:themeColor="text1"/>
          <w:kern w:val="0"/>
          <w:sz w:val="44"/>
          <w:highlight w:val="none"/>
          <w14:textFill>
            <w14:solidFill>
              <w14:schemeClr w14:val="tx1"/>
            </w14:solidFill>
          </w14:textFill>
        </w:rPr>
      </w:pPr>
    </w:p>
    <w:p>
      <w:pPr>
        <w:spacing w:line="360" w:lineRule="exact"/>
        <w:rPr>
          <w:rFonts w:ascii="Tahoma" w:hAnsi="Tahoma" w:eastAsia="黑体" w:cs="Tahoma"/>
          <w:b/>
          <w:bCs/>
          <w:color w:val="000000" w:themeColor="text1"/>
          <w:kern w:val="0"/>
          <w:sz w:val="44"/>
          <w:highlight w:val="none"/>
          <w14:textFill>
            <w14:solidFill>
              <w14:schemeClr w14:val="tx1"/>
            </w14:solidFill>
          </w14:textFill>
        </w:rPr>
      </w:pPr>
    </w:p>
    <w:p>
      <w:pPr>
        <w:spacing w:line="360" w:lineRule="exact"/>
        <w:rPr>
          <w:rFonts w:ascii="Tahoma" w:hAnsi="Tahoma" w:eastAsia="黑体" w:cs="Tahoma"/>
          <w:b/>
          <w:bCs/>
          <w:color w:val="000000" w:themeColor="text1"/>
          <w:kern w:val="0"/>
          <w:sz w:val="44"/>
          <w:highlight w:val="none"/>
          <w14:textFill>
            <w14:solidFill>
              <w14:schemeClr w14:val="tx1"/>
            </w14:solidFill>
          </w14:textFill>
        </w:rPr>
      </w:pPr>
    </w:p>
    <w:p>
      <w:pPr>
        <w:spacing w:line="360" w:lineRule="exact"/>
        <w:rPr>
          <w:rFonts w:ascii="Tahoma" w:hAnsi="Tahoma" w:eastAsia="黑体" w:cs="Tahoma"/>
          <w:b/>
          <w:bCs/>
          <w:color w:val="000000" w:themeColor="text1"/>
          <w:kern w:val="0"/>
          <w:sz w:val="44"/>
          <w:highlight w:val="none"/>
          <w14:textFill>
            <w14:solidFill>
              <w14:schemeClr w14:val="tx1"/>
            </w14:solidFill>
          </w14:textFill>
        </w:rPr>
      </w:pPr>
    </w:p>
    <w:p>
      <w:pPr>
        <w:spacing w:line="360" w:lineRule="exact"/>
        <w:rPr>
          <w:rFonts w:ascii="Tahoma" w:hAnsi="Tahoma" w:eastAsia="黑体" w:cs="Tahoma"/>
          <w:b/>
          <w:bCs/>
          <w:color w:val="000000" w:themeColor="text1"/>
          <w:kern w:val="0"/>
          <w:sz w:val="44"/>
          <w:highlight w:val="none"/>
          <w14:textFill>
            <w14:solidFill>
              <w14:schemeClr w14:val="tx1"/>
            </w14:solidFill>
          </w14:textFill>
        </w:rPr>
      </w:pPr>
    </w:p>
    <w:p>
      <w:pPr>
        <w:spacing w:line="360" w:lineRule="exact"/>
        <w:rPr>
          <w:rFonts w:ascii="Tahoma" w:hAnsi="Tahoma" w:eastAsia="黑体" w:cs="Tahoma"/>
          <w:b/>
          <w:bCs/>
          <w:color w:val="000000" w:themeColor="text1"/>
          <w:kern w:val="0"/>
          <w:sz w:val="44"/>
          <w:highlight w:val="none"/>
          <w14:textFill>
            <w14:solidFill>
              <w14:schemeClr w14:val="tx1"/>
            </w14:solidFill>
          </w14:textFill>
        </w:rPr>
      </w:pPr>
    </w:p>
    <w:p>
      <w:pPr>
        <w:spacing w:line="360" w:lineRule="exact"/>
        <w:rPr>
          <w:rFonts w:ascii="Tahoma" w:hAnsi="Tahoma" w:eastAsia="黑体" w:cs="Tahoma"/>
          <w:b/>
          <w:bCs/>
          <w:color w:val="000000" w:themeColor="text1"/>
          <w:kern w:val="0"/>
          <w:sz w:val="44"/>
          <w:highlight w:val="none"/>
          <w14:textFill>
            <w14:solidFill>
              <w14:schemeClr w14:val="tx1"/>
            </w14:solidFill>
          </w14:textFill>
        </w:rPr>
      </w:pPr>
    </w:p>
    <w:p>
      <w:pPr>
        <w:spacing w:line="360" w:lineRule="exact"/>
        <w:rPr>
          <w:rFonts w:ascii="Tahoma" w:hAnsi="Tahoma" w:eastAsia="黑体" w:cs="Tahoma"/>
          <w:b/>
          <w:bCs/>
          <w:color w:val="000000" w:themeColor="text1"/>
          <w:kern w:val="0"/>
          <w:sz w:val="44"/>
          <w:highlight w:val="none"/>
          <w14:textFill>
            <w14:solidFill>
              <w14:schemeClr w14:val="tx1"/>
            </w14:solidFill>
          </w14:textFill>
        </w:rPr>
      </w:pPr>
    </w:p>
    <w:p>
      <w:pPr>
        <w:spacing w:line="360" w:lineRule="exact"/>
        <w:rPr>
          <w:rFonts w:ascii="Tahoma" w:hAnsi="Tahoma" w:eastAsia="黑体" w:cs="Tahoma"/>
          <w:b/>
          <w:bCs/>
          <w:color w:val="000000" w:themeColor="text1"/>
          <w:kern w:val="0"/>
          <w:sz w:val="44"/>
          <w:highlight w:val="none"/>
          <w14:textFill>
            <w14:solidFill>
              <w14:schemeClr w14:val="tx1"/>
            </w14:solidFill>
          </w14:textFill>
        </w:rPr>
      </w:pPr>
    </w:p>
    <w:p>
      <w:pPr>
        <w:spacing w:line="360" w:lineRule="exact"/>
        <w:rPr>
          <w:rFonts w:ascii="Tahoma" w:hAnsi="Tahoma" w:eastAsia="黑体" w:cs="Tahoma"/>
          <w:b/>
          <w:bCs/>
          <w:color w:val="000000" w:themeColor="text1"/>
          <w:kern w:val="0"/>
          <w:sz w:val="44"/>
          <w:highlight w:val="none"/>
          <w14:textFill>
            <w14:solidFill>
              <w14:schemeClr w14:val="tx1"/>
            </w14:solidFill>
          </w14:textFill>
        </w:rPr>
      </w:pPr>
    </w:p>
    <w:p>
      <w:pPr>
        <w:spacing w:line="360" w:lineRule="exact"/>
        <w:rPr>
          <w:rFonts w:ascii="Tahoma" w:hAnsi="Tahoma" w:eastAsia="黑体" w:cs="Tahoma"/>
          <w:b/>
          <w:bCs/>
          <w:color w:val="000000" w:themeColor="text1"/>
          <w:kern w:val="0"/>
          <w:sz w:val="44"/>
          <w:highlight w:val="none"/>
          <w14:textFill>
            <w14:solidFill>
              <w14:schemeClr w14:val="tx1"/>
            </w14:solidFill>
          </w14:textFill>
        </w:rPr>
      </w:pPr>
    </w:p>
    <w:p>
      <w:pPr>
        <w:spacing w:line="360" w:lineRule="exact"/>
        <w:rPr>
          <w:rFonts w:ascii="Tahoma" w:hAnsi="Tahoma" w:eastAsia="黑体" w:cs="Tahoma"/>
          <w:b/>
          <w:bCs/>
          <w:color w:val="000000" w:themeColor="text1"/>
          <w:kern w:val="0"/>
          <w:sz w:val="44"/>
          <w:highlight w:val="none"/>
          <w14:textFill>
            <w14:solidFill>
              <w14:schemeClr w14:val="tx1"/>
            </w14:solidFill>
          </w14:textFill>
        </w:rPr>
      </w:pPr>
    </w:p>
    <w:p>
      <w:pPr>
        <w:pStyle w:val="3"/>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color w:val="000000" w:themeColor="text1"/>
          <w:sz w:val="36"/>
          <w:szCs w:val="36"/>
          <w:highlight w:val="none"/>
          <w14:textFill>
            <w14:solidFill>
              <w14:schemeClr w14:val="tx1"/>
            </w14:solidFill>
          </w14:textFill>
        </w:rPr>
      </w:pPr>
      <w:r>
        <w:rPr>
          <w:rFonts w:hint="eastAsia"/>
          <w:color w:val="000000" w:themeColor="text1"/>
          <w:sz w:val="36"/>
          <w:szCs w:val="36"/>
          <w:highlight w:val="none"/>
          <w:lang w:eastAsia="zh-CN"/>
          <w14:textFill>
            <w14:solidFill>
              <w14:schemeClr w14:val="tx1"/>
            </w14:solidFill>
          </w14:textFill>
        </w:rPr>
        <w:t>和田地区和田县人民医院综合能力提升及信息化建设项目</w:t>
      </w:r>
      <w:r>
        <w:rPr>
          <w:color w:val="000000" w:themeColor="text1"/>
          <w:sz w:val="36"/>
          <w:szCs w:val="36"/>
          <w:highlight w:val="none"/>
          <w14:textFill>
            <w14:solidFill>
              <w14:schemeClr w14:val="tx1"/>
            </w14:solidFill>
          </w14:textFill>
        </w:rPr>
        <w:t>公开招标公告</w:t>
      </w:r>
    </w:p>
    <w:p>
      <w:pPr>
        <w:pStyle w:val="18"/>
        <w:keepNext w:val="0"/>
        <w:keepLines w:val="0"/>
        <w:pageBreakBefore w:val="0"/>
        <w:widowControl/>
        <w:suppressLineNumbers w:val="0"/>
        <w:kinsoku/>
        <w:wordWrap/>
        <w:overflowPunct/>
        <w:topLinePunct w:val="0"/>
        <w:autoSpaceDE/>
        <w:autoSpaceDN/>
        <w:bidi w:val="0"/>
        <w:adjustRightInd w:val="0"/>
        <w:snapToGrid w:val="0"/>
        <w:spacing w:line="288" w:lineRule="auto"/>
        <w:textAlignment w:val="auto"/>
        <w:rPr>
          <w:color w:val="000000" w:themeColor="text1"/>
          <w:highlight w:val="none"/>
          <w14:textFill>
            <w14:solidFill>
              <w14:schemeClr w14:val="tx1"/>
            </w14:solidFill>
          </w14:textFill>
        </w:rPr>
      </w:pPr>
      <w:r>
        <w:rPr>
          <w:rFonts w:ascii="仿宋" w:hAnsi="仿宋" w:eastAsia="仿宋" w:cs="仿宋"/>
          <w:color w:val="000000" w:themeColor="text1"/>
          <w:sz w:val="27"/>
          <w:szCs w:val="27"/>
          <w:highlight w:val="none"/>
          <w14:textFill>
            <w14:solidFill>
              <w14:schemeClr w14:val="tx1"/>
            </w14:solidFill>
          </w14:textFill>
        </w:rPr>
        <w:t>项目概况</w:t>
      </w:r>
      <w:r>
        <w:rPr>
          <w:rFonts w:hint="eastAsia" w:ascii="仿宋" w:hAnsi="仿宋" w:eastAsia="仿宋" w:cs="仿宋"/>
          <w:color w:val="000000" w:themeColor="text1"/>
          <w:highlight w:val="none"/>
          <w14:textFill>
            <w14:solidFill>
              <w14:schemeClr w14:val="tx1"/>
            </w14:solidFill>
          </w14:textFill>
        </w:rPr>
        <w:t xml:space="preserve"> </w:t>
      </w:r>
    </w:p>
    <w:p>
      <w:pPr>
        <w:pStyle w:val="18"/>
        <w:keepNext w:val="0"/>
        <w:keepLines w:val="0"/>
        <w:pageBreakBefore w:val="0"/>
        <w:widowControl/>
        <w:suppressLineNumbers w:val="0"/>
        <w:kinsoku/>
        <w:wordWrap/>
        <w:overflowPunct/>
        <w:topLinePunct w:val="0"/>
        <w:autoSpaceDE/>
        <w:autoSpaceDN/>
        <w:bidi w:val="0"/>
        <w:adjustRightInd w:val="0"/>
        <w:snapToGrid w:val="0"/>
        <w:spacing w:line="288" w:lineRule="auto"/>
        <w:ind w:firstLine="540" w:firstLineChars="200"/>
        <w:textAlignment w:val="auto"/>
        <w:rPr>
          <w:color w:val="000000" w:themeColor="text1"/>
          <w:highlight w:val="none"/>
          <w14:textFill>
            <w14:solidFill>
              <w14:schemeClr w14:val="tx1"/>
            </w14:solidFill>
          </w14:textFill>
        </w:rPr>
      </w:pPr>
      <w:r>
        <w:rPr>
          <w:rFonts w:hint="eastAsia" w:ascii="仿宋" w:hAnsi="仿宋" w:eastAsia="仿宋" w:cs="仿宋"/>
          <w:color w:val="000000" w:themeColor="text1"/>
          <w:sz w:val="27"/>
          <w:szCs w:val="27"/>
          <w:highlight w:val="none"/>
          <w:lang w:val="en-US" w:eastAsia="zh-CN"/>
          <w14:textFill>
            <w14:solidFill>
              <w14:schemeClr w14:val="tx1"/>
            </w14:solidFill>
          </w14:textFill>
        </w:rPr>
        <w:t>和田地区</w:t>
      </w:r>
      <w:r>
        <w:rPr>
          <w:rFonts w:hint="eastAsia" w:ascii="仿宋" w:hAnsi="仿宋" w:eastAsia="仿宋" w:cs="仿宋"/>
          <w:color w:val="000000" w:themeColor="text1"/>
          <w:sz w:val="27"/>
          <w:szCs w:val="27"/>
          <w:highlight w:val="none"/>
          <w:lang w:eastAsia="zh-CN"/>
          <w14:textFill>
            <w14:solidFill>
              <w14:schemeClr w14:val="tx1"/>
            </w14:solidFill>
          </w14:textFill>
        </w:rPr>
        <w:t>和田县人民医院综合</w:t>
      </w:r>
      <w:r>
        <w:rPr>
          <w:rFonts w:hint="eastAsia" w:ascii="仿宋" w:hAnsi="仿宋" w:eastAsia="仿宋" w:cs="仿宋"/>
          <w:color w:val="000000" w:themeColor="text1"/>
          <w:sz w:val="27"/>
          <w:szCs w:val="27"/>
          <w:highlight w:val="none"/>
          <w:lang w:val="en-US" w:eastAsia="zh-CN"/>
          <w14:textFill>
            <w14:solidFill>
              <w14:schemeClr w14:val="tx1"/>
            </w14:solidFill>
          </w14:textFill>
        </w:rPr>
        <w:t>与院区</w:t>
      </w:r>
      <w:r>
        <w:rPr>
          <w:rFonts w:hint="eastAsia" w:ascii="仿宋" w:hAnsi="仿宋" w:eastAsia="仿宋" w:cs="仿宋"/>
          <w:color w:val="000000" w:themeColor="text1"/>
          <w:sz w:val="27"/>
          <w:szCs w:val="27"/>
          <w:highlight w:val="none"/>
          <w:lang w:eastAsia="zh-CN"/>
          <w14:textFill>
            <w14:solidFill>
              <w14:schemeClr w14:val="tx1"/>
            </w14:solidFill>
          </w14:textFill>
        </w:rPr>
        <w:t>能力提升及信息化建设项目</w:t>
      </w:r>
      <w:r>
        <w:rPr>
          <w:rFonts w:hint="eastAsia" w:ascii="仿宋" w:hAnsi="仿宋" w:eastAsia="仿宋" w:cs="仿宋"/>
          <w:color w:val="000000" w:themeColor="text1"/>
          <w:sz w:val="27"/>
          <w:szCs w:val="27"/>
          <w:highlight w:val="none"/>
          <w14:textFill>
            <w14:solidFill>
              <w14:schemeClr w14:val="tx1"/>
            </w14:solidFill>
          </w14:textFill>
        </w:rPr>
        <w:t>的潜在投标人应在新疆政府采购网获取招标文件，并于20</w:t>
      </w:r>
      <w:r>
        <w:rPr>
          <w:rFonts w:hint="eastAsia" w:ascii="仿宋" w:hAnsi="仿宋" w:eastAsia="仿宋" w:cs="仿宋"/>
          <w:color w:val="000000" w:themeColor="text1"/>
          <w:sz w:val="27"/>
          <w:szCs w:val="27"/>
          <w:highlight w:val="none"/>
          <w:lang w:val="en-US" w:eastAsia="zh-CN"/>
          <w14:textFill>
            <w14:solidFill>
              <w14:schemeClr w14:val="tx1"/>
            </w14:solidFill>
          </w14:textFill>
        </w:rPr>
        <w:t>22</w:t>
      </w:r>
      <w:r>
        <w:rPr>
          <w:rFonts w:hint="eastAsia" w:ascii="仿宋" w:hAnsi="仿宋" w:eastAsia="仿宋" w:cs="仿宋"/>
          <w:color w:val="000000" w:themeColor="text1"/>
          <w:sz w:val="27"/>
          <w:szCs w:val="27"/>
          <w:highlight w:val="none"/>
          <w14:textFill>
            <w14:solidFill>
              <w14:schemeClr w14:val="tx1"/>
            </w14:solidFill>
          </w14:textFill>
        </w:rPr>
        <w:t>年</w:t>
      </w:r>
      <w:r>
        <w:rPr>
          <w:rFonts w:hint="eastAsia" w:ascii="仿宋" w:hAnsi="仿宋" w:eastAsia="仿宋" w:cs="仿宋"/>
          <w:color w:val="000000" w:themeColor="text1"/>
          <w:sz w:val="27"/>
          <w:szCs w:val="27"/>
          <w:highlight w:val="none"/>
          <w:lang w:val="en-US" w:eastAsia="zh-CN"/>
          <w14:textFill>
            <w14:solidFill>
              <w14:schemeClr w14:val="tx1"/>
            </w14:solidFill>
          </w14:textFill>
        </w:rPr>
        <w:t>6</w:t>
      </w:r>
      <w:r>
        <w:rPr>
          <w:rFonts w:hint="eastAsia" w:ascii="仿宋" w:hAnsi="仿宋" w:eastAsia="仿宋" w:cs="仿宋"/>
          <w:color w:val="000000" w:themeColor="text1"/>
          <w:sz w:val="27"/>
          <w:szCs w:val="27"/>
          <w:highlight w:val="none"/>
          <w14:textFill>
            <w14:solidFill>
              <w14:schemeClr w14:val="tx1"/>
            </w14:solidFill>
          </w14:textFill>
        </w:rPr>
        <w:t>月</w:t>
      </w:r>
      <w:r>
        <w:rPr>
          <w:rFonts w:hint="eastAsia" w:ascii="仿宋" w:hAnsi="仿宋" w:eastAsia="仿宋" w:cs="仿宋"/>
          <w:color w:val="000000" w:themeColor="text1"/>
          <w:sz w:val="27"/>
          <w:szCs w:val="27"/>
          <w:highlight w:val="none"/>
          <w:lang w:val="en-US" w:eastAsia="zh-CN"/>
          <w14:textFill>
            <w14:solidFill>
              <w14:schemeClr w14:val="tx1"/>
            </w14:solidFill>
          </w14:textFill>
        </w:rPr>
        <w:t>14</w:t>
      </w:r>
      <w:r>
        <w:rPr>
          <w:rFonts w:hint="eastAsia" w:ascii="仿宋" w:hAnsi="仿宋" w:eastAsia="仿宋" w:cs="仿宋"/>
          <w:color w:val="000000" w:themeColor="text1"/>
          <w:sz w:val="27"/>
          <w:szCs w:val="27"/>
          <w:highlight w:val="none"/>
          <w14:textFill>
            <w14:solidFill>
              <w14:schemeClr w14:val="tx1"/>
            </w14:solidFill>
          </w14:textFill>
        </w:rPr>
        <w:t>日</w:t>
      </w:r>
      <w:r>
        <w:rPr>
          <w:rFonts w:hint="eastAsia" w:ascii="仿宋" w:hAnsi="仿宋" w:eastAsia="仿宋" w:cs="仿宋"/>
          <w:color w:val="000000" w:themeColor="text1"/>
          <w:sz w:val="27"/>
          <w:szCs w:val="27"/>
          <w:highlight w:val="none"/>
          <w:lang w:val="en-US" w:eastAsia="zh-CN"/>
          <w14:textFill>
            <w14:solidFill>
              <w14:schemeClr w14:val="tx1"/>
            </w14:solidFill>
          </w14:textFill>
        </w:rPr>
        <w:t>上</w:t>
      </w:r>
      <w:r>
        <w:rPr>
          <w:rFonts w:hint="eastAsia" w:ascii="仿宋" w:hAnsi="仿宋" w:eastAsia="仿宋" w:cs="仿宋"/>
          <w:color w:val="000000" w:themeColor="text1"/>
          <w:sz w:val="27"/>
          <w:szCs w:val="27"/>
          <w:highlight w:val="none"/>
          <w14:textFill>
            <w14:solidFill>
              <w14:schemeClr w14:val="tx1"/>
            </w14:solidFill>
          </w14:textFill>
        </w:rPr>
        <w:t>午1</w:t>
      </w:r>
      <w:r>
        <w:rPr>
          <w:rFonts w:hint="eastAsia" w:ascii="仿宋" w:hAnsi="仿宋" w:eastAsia="仿宋" w:cs="仿宋"/>
          <w:color w:val="000000" w:themeColor="text1"/>
          <w:sz w:val="27"/>
          <w:szCs w:val="27"/>
          <w:highlight w:val="none"/>
          <w:lang w:val="en-US" w:eastAsia="zh-CN"/>
          <w14:textFill>
            <w14:solidFill>
              <w14:schemeClr w14:val="tx1"/>
            </w14:solidFill>
          </w14:textFill>
        </w:rPr>
        <w:t>1</w:t>
      </w:r>
      <w:r>
        <w:rPr>
          <w:rFonts w:hint="eastAsia" w:ascii="仿宋" w:hAnsi="仿宋" w:eastAsia="仿宋" w:cs="仿宋"/>
          <w:color w:val="000000" w:themeColor="text1"/>
          <w:sz w:val="27"/>
          <w:szCs w:val="27"/>
          <w:highlight w:val="none"/>
          <w14:textFill>
            <w14:solidFill>
              <w14:schemeClr w14:val="tx1"/>
            </w14:solidFill>
          </w14:textFill>
        </w:rPr>
        <w:t>:00（北京时间）前递交投标文件。</w:t>
      </w:r>
      <w:r>
        <w:rPr>
          <w:rFonts w:hint="eastAsia" w:ascii="仿宋" w:hAnsi="仿宋" w:eastAsia="仿宋" w:cs="仿宋"/>
          <w:color w:val="000000" w:themeColor="text1"/>
          <w:highlight w:val="none"/>
          <w14:textFill>
            <w14:solidFill>
              <w14:schemeClr w14:val="tx1"/>
            </w14:solidFill>
          </w14:textFill>
        </w:rPr>
        <w:t xml:space="preserve"> </w:t>
      </w:r>
    </w:p>
    <w:p>
      <w:pPr>
        <w:pStyle w:val="18"/>
        <w:keepNext w:val="0"/>
        <w:keepLines w:val="0"/>
        <w:pageBreakBefore w:val="0"/>
        <w:widowControl/>
        <w:suppressLineNumbers w:val="0"/>
        <w:kinsoku/>
        <w:wordWrap/>
        <w:overflowPunct/>
        <w:topLinePunct w:val="0"/>
        <w:autoSpaceDE/>
        <w:autoSpaceDN/>
        <w:bidi w:val="0"/>
        <w:adjustRightInd w:val="0"/>
        <w:snapToGrid w:val="0"/>
        <w:spacing w:before="255" w:beforeAutospacing="0" w:after="255" w:afterAutospacing="0" w:line="288" w:lineRule="auto"/>
        <w:jc w:val="both"/>
        <w:textAlignment w:val="auto"/>
        <w:rPr>
          <w:rFonts w:ascii="黑体" w:hAnsi="宋体" w:eastAsia="黑体" w:cs="黑体"/>
          <w:color w:val="000000" w:themeColor="text1"/>
          <w:sz w:val="27"/>
          <w:szCs w:val="27"/>
          <w:highlight w:val="none"/>
          <w14:textFill>
            <w14:solidFill>
              <w14:schemeClr w14:val="tx1"/>
            </w14:solidFill>
          </w14:textFill>
        </w:rPr>
      </w:pPr>
      <w:r>
        <w:rPr>
          <w:rStyle w:val="22"/>
          <w:rFonts w:ascii="黑体" w:hAnsi="宋体" w:eastAsia="黑体" w:cs="黑体"/>
          <w:color w:val="000000" w:themeColor="text1"/>
          <w:sz w:val="27"/>
          <w:szCs w:val="27"/>
          <w:highlight w:val="none"/>
          <w14:textFill>
            <w14:solidFill>
              <w14:schemeClr w14:val="tx1"/>
            </w14:solidFill>
          </w14:textFill>
        </w:rPr>
        <w:t>一、项目基本情况</w:t>
      </w:r>
      <w:r>
        <w:rPr>
          <w:rFonts w:ascii="黑体" w:hAnsi="宋体" w:eastAsia="黑体" w:cs="黑体"/>
          <w:color w:val="000000" w:themeColor="text1"/>
          <w:sz w:val="27"/>
          <w:szCs w:val="27"/>
          <w:highlight w:val="none"/>
          <w14:textFill>
            <w14:solidFill>
              <w14:schemeClr w14:val="tx1"/>
            </w14:solidFill>
          </w14:textFill>
        </w:rPr>
        <w:t xml:space="preserve"> </w:t>
      </w:r>
    </w:p>
    <w:p>
      <w:pPr>
        <w:pStyle w:val="18"/>
        <w:keepNext w:val="0"/>
        <w:keepLines w:val="0"/>
        <w:pageBreakBefore w:val="0"/>
        <w:widowControl/>
        <w:suppressLineNumbers w:val="0"/>
        <w:kinsoku/>
        <w:wordWrap/>
        <w:overflowPunct/>
        <w:topLinePunct w:val="0"/>
        <w:autoSpaceDE/>
        <w:autoSpaceDN/>
        <w:bidi w:val="0"/>
        <w:adjustRightInd w:val="0"/>
        <w:snapToGrid w:val="0"/>
        <w:spacing w:line="288" w:lineRule="auto"/>
        <w:ind w:left="0" w:firstLine="420"/>
        <w:textAlignment w:val="auto"/>
        <w:rPr>
          <w:rFonts w:hint="default" w:ascii="仿宋" w:hAnsi="仿宋" w:eastAsia="仿宋" w:cs="仿宋"/>
          <w:color w:val="000000" w:themeColor="text1"/>
          <w:sz w:val="27"/>
          <w:szCs w:val="27"/>
          <w:highlight w:val="none"/>
          <w:lang w:val="en-US" w:eastAsia="zh-CN"/>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项目编号：</w:t>
      </w:r>
      <w:r>
        <w:rPr>
          <w:rFonts w:hint="eastAsia" w:ascii="仿宋" w:hAnsi="仿宋" w:eastAsia="仿宋" w:cs="仿宋"/>
          <w:color w:val="000000" w:themeColor="text1"/>
          <w:sz w:val="27"/>
          <w:szCs w:val="27"/>
          <w:highlight w:val="none"/>
          <w:lang w:val="en-US" w:eastAsia="zh-CN"/>
          <w14:textFill>
            <w14:solidFill>
              <w14:schemeClr w14:val="tx1"/>
            </w14:solidFill>
          </w14:textFill>
        </w:rPr>
        <w:t>HTXZFCG（2022FS）039号</w:t>
      </w:r>
    </w:p>
    <w:p>
      <w:pPr>
        <w:pStyle w:val="18"/>
        <w:keepNext w:val="0"/>
        <w:keepLines w:val="0"/>
        <w:pageBreakBefore w:val="0"/>
        <w:widowControl/>
        <w:suppressLineNumbers w:val="0"/>
        <w:kinsoku/>
        <w:wordWrap/>
        <w:overflowPunct/>
        <w:topLinePunct w:val="0"/>
        <w:autoSpaceDE/>
        <w:autoSpaceDN/>
        <w:bidi w:val="0"/>
        <w:adjustRightInd w:val="0"/>
        <w:snapToGrid w:val="0"/>
        <w:spacing w:line="288" w:lineRule="auto"/>
        <w:ind w:left="0" w:firstLine="420"/>
        <w:textAlignment w:val="auto"/>
        <w:rPr>
          <w:rFonts w:hint="eastAsia" w:eastAsia="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项目名称：</w:t>
      </w:r>
      <w:r>
        <w:rPr>
          <w:rFonts w:hint="eastAsia" w:ascii="仿宋" w:hAnsi="仿宋" w:eastAsia="仿宋" w:cs="仿宋"/>
          <w:color w:val="000000" w:themeColor="text1"/>
          <w:sz w:val="27"/>
          <w:szCs w:val="27"/>
          <w:highlight w:val="none"/>
          <w:lang w:eastAsia="zh-CN"/>
          <w14:textFill>
            <w14:solidFill>
              <w14:schemeClr w14:val="tx1"/>
            </w14:solidFill>
          </w14:textFill>
        </w:rPr>
        <w:t>和田地区和田县人民医院综合能力提升及信息化建设项目</w:t>
      </w:r>
    </w:p>
    <w:p>
      <w:pPr>
        <w:pStyle w:val="18"/>
        <w:keepNext w:val="0"/>
        <w:keepLines w:val="0"/>
        <w:pageBreakBefore w:val="0"/>
        <w:widowControl/>
        <w:suppressLineNumbers w:val="0"/>
        <w:kinsoku/>
        <w:wordWrap/>
        <w:overflowPunct/>
        <w:topLinePunct w:val="0"/>
        <w:autoSpaceDE/>
        <w:autoSpaceDN/>
        <w:bidi w:val="0"/>
        <w:adjustRightInd w:val="0"/>
        <w:snapToGrid w:val="0"/>
        <w:spacing w:line="288" w:lineRule="auto"/>
        <w:ind w:left="0" w:firstLine="420"/>
        <w:textAlignment w:val="auto"/>
        <w:rPr>
          <w:color w:val="000000" w:themeColor="text1"/>
          <w:highlight w:val="none"/>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采购方式：公开招标</w:t>
      </w:r>
    </w:p>
    <w:p>
      <w:pPr>
        <w:pStyle w:val="18"/>
        <w:keepNext w:val="0"/>
        <w:keepLines w:val="0"/>
        <w:pageBreakBefore w:val="0"/>
        <w:widowControl/>
        <w:suppressLineNumbers w:val="0"/>
        <w:kinsoku/>
        <w:wordWrap/>
        <w:overflowPunct/>
        <w:topLinePunct w:val="0"/>
        <w:autoSpaceDE/>
        <w:autoSpaceDN/>
        <w:bidi w:val="0"/>
        <w:adjustRightInd w:val="0"/>
        <w:snapToGrid w:val="0"/>
        <w:spacing w:line="288" w:lineRule="auto"/>
        <w:ind w:left="0" w:firstLine="420"/>
        <w:textAlignment w:val="auto"/>
        <w:rPr>
          <w:rFonts w:hint="default" w:eastAsia="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预算金额（元）：</w:t>
      </w:r>
      <w:r>
        <w:rPr>
          <w:rFonts w:hint="eastAsia" w:ascii="仿宋" w:hAnsi="仿宋" w:eastAsia="仿宋" w:cs="仿宋"/>
          <w:color w:val="000000" w:themeColor="text1"/>
          <w:sz w:val="27"/>
          <w:szCs w:val="27"/>
          <w:highlight w:val="none"/>
          <w:lang w:val="en-US" w:eastAsia="zh-CN"/>
          <w14:textFill>
            <w14:solidFill>
              <w14:schemeClr w14:val="tx1"/>
            </w14:solidFill>
          </w14:textFill>
        </w:rPr>
        <w:t>21976917.00</w:t>
      </w:r>
    </w:p>
    <w:p>
      <w:pPr>
        <w:pStyle w:val="18"/>
        <w:keepNext w:val="0"/>
        <w:keepLines w:val="0"/>
        <w:pageBreakBefore w:val="0"/>
        <w:widowControl/>
        <w:suppressLineNumbers w:val="0"/>
        <w:kinsoku/>
        <w:wordWrap/>
        <w:overflowPunct/>
        <w:topLinePunct w:val="0"/>
        <w:autoSpaceDE/>
        <w:autoSpaceDN/>
        <w:bidi w:val="0"/>
        <w:adjustRightInd w:val="0"/>
        <w:snapToGrid w:val="0"/>
        <w:spacing w:line="288" w:lineRule="auto"/>
        <w:ind w:left="0" w:firstLine="420"/>
        <w:textAlignment w:val="auto"/>
        <w:rPr>
          <w:color w:val="000000" w:themeColor="text1"/>
          <w:highlight w:val="none"/>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最高限价（元）：</w:t>
      </w:r>
      <w:r>
        <w:rPr>
          <w:rFonts w:hint="eastAsia" w:ascii="仿宋" w:hAnsi="仿宋" w:eastAsia="仿宋" w:cs="仿宋"/>
          <w:color w:val="000000" w:themeColor="text1"/>
          <w:sz w:val="27"/>
          <w:szCs w:val="27"/>
          <w:highlight w:val="none"/>
          <w:lang w:val="en-US" w:eastAsia="zh-CN"/>
          <w14:textFill>
            <w14:solidFill>
              <w14:schemeClr w14:val="tx1"/>
            </w14:solidFill>
          </w14:textFill>
        </w:rPr>
        <w:t>21976917.00</w:t>
      </w:r>
    </w:p>
    <w:p>
      <w:pPr>
        <w:pStyle w:val="18"/>
        <w:keepNext w:val="0"/>
        <w:keepLines w:val="0"/>
        <w:pageBreakBefore w:val="0"/>
        <w:widowControl/>
        <w:suppressLineNumbers w:val="0"/>
        <w:kinsoku/>
        <w:wordWrap/>
        <w:overflowPunct/>
        <w:topLinePunct w:val="0"/>
        <w:autoSpaceDE/>
        <w:autoSpaceDN/>
        <w:bidi w:val="0"/>
        <w:adjustRightInd w:val="0"/>
        <w:snapToGrid w:val="0"/>
        <w:spacing w:line="288" w:lineRule="auto"/>
        <w:ind w:left="0" w:firstLine="420"/>
        <w:textAlignment w:val="auto"/>
        <w:rPr>
          <w:color w:val="000000" w:themeColor="text1"/>
          <w:highlight w:val="none"/>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采购需求：</w:t>
      </w:r>
      <w:r>
        <w:rPr>
          <w:rFonts w:hint="eastAsia" w:ascii="仿宋" w:hAnsi="仿宋" w:eastAsia="仿宋" w:cs="仿宋"/>
          <w:color w:val="000000" w:themeColor="text1"/>
          <w:sz w:val="27"/>
          <w:szCs w:val="27"/>
          <w:highlight w:val="none"/>
          <w:lang w:eastAsia="zh-CN"/>
          <w14:textFill>
            <w14:solidFill>
              <w14:schemeClr w14:val="tx1"/>
            </w14:solidFill>
          </w14:textFill>
        </w:rPr>
        <w:t>和田地区和田县人民医院综合能力提升及信息化建设项目</w:t>
      </w:r>
      <w:r>
        <w:rPr>
          <w:rFonts w:hint="eastAsia" w:ascii="仿宋" w:hAnsi="仿宋" w:eastAsia="仿宋" w:cs="仿宋"/>
          <w:color w:val="000000" w:themeColor="text1"/>
          <w:sz w:val="27"/>
          <w:szCs w:val="27"/>
          <w:highlight w:val="none"/>
          <w:lang w:val="en-US" w:eastAsia="zh-CN"/>
          <w14:textFill>
            <w14:solidFill>
              <w14:schemeClr w14:val="tx1"/>
            </w14:solidFill>
          </w14:textFill>
        </w:rPr>
        <w:t>软件、</w:t>
      </w:r>
      <w:r>
        <w:rPr>
          <w:rFonts w:hint="eastAsia" w:ascii="仿宋" w:hAnsi="仿宋" w:eastAsia="仿宋" w:cs="仿宋"/>
          <w:color w:val="000000" w:themeColor="text1"/>
          <w:sz w:val="27"/>
          <w:szCs w:val="27"/>
          <w:highlight w:val="none"/>
          <w14:textFill>
            <w14:solidFill>
              <w14:schemeClr w14:val="tx1"/>
            </w14:solidFill>
          </w14:textFill>
        </w:rPr>
        <w:t>硬件</w:t>
      </w:r>
    </w:p>
    <w:p>
      <w:pPr>
        <w:pStyle w:val="18"/>
        <w:keepNext w:val="0"/>
        <w:keepLines w:val="0"/>
        <w:pageBreakBefore w:val="0"/>
        <w:widowControl/>
        <w:suppressLineNumbers w:val="0"/>
        <w:kinsoku/>
        <w:wordWrap/>
        <w:overflowPunct/>
        <w:topLinePunct w:val="0"/>
        <w:autoSpaceDE/>
        <w:autoSpaceDN/>
        <w:bidi w:val="0"/>
        <w:adjustRightInd w:val="0"/>
        <w:snapToGrid w:val="0"/>
        <w:spacing w:line="288" w:lineRule="auto"/>
        <w:ind w:left="0" w:firstLine="420"/>
        <w:textAlignment w:val="auto"/>
        <w:rPr>
          <w:rFonts w:hint="eastAsia" w:eastAsia="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标项名称:</w:t>
      </w:r>
      <w:r>
        <w:rPr>
          <w:rFonts w:hint="eastAsia" w:ascii="仿宋" w:hAnsi="仿宋" w:eastAsia="仿宋" w:cs="仿宋"/>
          <w:color w:val="000000" w:themeColor="text1"/>
          <w:sz w:val="27"/>
          <w:szCs w:val="27"/>
          <w:highlight w:val="none"/>
          <w:lang w:eastAsia="zh-CN"/>
          <w14:textFill>
            <w14:solidFill>
              <w14:schemeClr w14:val="tx1"/>
            </w14:solidFill>
          </w14:textFill>
        </w:rPr>
        <w:t>和田地区和田县人民医院综合能力提升及信息化建设项目</w:t>
      </w:r>
    </w:p>
    <w:p>
      <w:pPr>
        <w:pStyle w:val="18"/>
        <w:keepNext w:val="0"/>
        <w:keepLines w:val="0"/>
        <w:pageBreakBefore w:val="0"/>
        <w:widowControl/>
        <w:suppressLineNumbers w:val="0"/>
        <w:kinsoku/>
        <w:wordWrap/>
        <w:overflowPunct/>
        <w:topLinePunct w:val="0"/>
        <w:autoSpaceDE/>
        <w:autoSpaceDN/>
        <w:bidi w:val="0"/>
        <w:adjustRightInd w:val="0"/>
        <w:snapToGrid w:val="0"/>
        <w:spacing w:line="288" w:lineRule="auto"/>
        <w:ind w:left="0" w:firstLine="420"/>
        <w:textAlignment w:val="auto"/>
        <w:rPr>
          <w:color w:val="000000" w:themeColor="text1"/>
          <w:highlight w:val="none"/>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数量:/</w:t>
      </w:r>
    </w:p>
    <w:p>
      <w:pPr>
        <w:pStyle w:val="18"/>
        <w:keepNext w:val="0"/>
        <w:keepLines w:val="0"/>
        <w:pageBreakBefore w:val="0"/>
        <w:widowControl/>
        <w:suppressLineNumbers w:val="0"/>
        <w:kinsoku/>
        <w:wordWrap/>
        <w:overflowPunct/>
        <w:topLinePunct w:val="0"/>
        <w:autoSpaceDE/>
        <w:autoSpaceDN/>
        <w:bidi w:val="0"/>
        <w:adjustRightInd w:val="0"/>
        <w:snapToGrid w:val="0"/>
        <w:spacing w:line="288" w:lineRule="auto"/>
        <w:ind w:left="0" w:firstLine="420"/>
        <w:textAlignment w:val="auto"/>
        <w:rPr>
          <w:color w:val="000000" w:themeColor="text1"/>
          <w:highlight w:val="none"/>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预算金额（元）:</w:t>
      </w:r>
      <w:r>
        <w:rPr>
          <w:rFonts w:hint="eastAsia" w:ascii="仿宋" w:hAnsi="仿宋" w:eastAsia="仿宋" w:cs="仿宋"/>
          <w:color w:val="000000" w:themeColor="text1"/>
          <w:sz w:val="27"/>
          <w:szCs w:val="27"/>
          <w:highlight w:val="none"/>
          <w:lang w:val="en-US" w:eastAsia="zh-CN"/>
          <w14:textFill>
            <w14:solidFill>
              <w14:schemeClr w14:val="tx1"/>
            </w14:solidFill>
          </w14:textFill>
        </w:rPr>
        <w:t>21976917.00</w:t>
      </w:r>
    </w:p>
    <w:p>
      <w:pPr>
        <w:pStyle w:val="18"/>
        <w:keepNext w:val="0"/>
        <w:keepLines w:val="0"/>
        <w:pageBreakBefore w:val="0"/>
        <w:widowControl/>
        <w:suppressLineNumbers w:val="0"/>
        <w:kinsoku/>
        <w:wordWrap/>
        <w:overflowPunct/>
        <w:topLinePunct w:val="0"/>
        <w:autoSpaceDE/>
        <w:autoSpaceDN/>
        <w:bidi w:val="0"/>
        <w:adjustRightInd w:val="0"/>
        <w:snapToGrid w:val="0"/>
        <w:spacing w:line="288" w:lineRule="auto"/>
        <w:ind w:left="0" w:firstLine="420"/>
        <w:textAlignment w:val="auto"/>
        <w:rPr>
          <w:color w:val="000000" w:themeColor="text1"/>
          <w:highlight w:val="none"/>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简要规格描述或项目基本概况介绍、用途：（详见采购清单）</w:t>
      </w:r>
    </w:p>
    <w:p>
      <w:pPr>
        <w:pStyle w:val="18"/>
        <w:keepNext w:val="0"/>
        <w:keepLines w:val="0"/>
        <w:pageBreakBefore w:val="0"/>
        <w:widowControl/>
        <w:suppressLineNumbers w:val="0"/>
        <w:kinsoku/>
        <w:wordWrap/>
        <w:overflowPunct/>
        <w:topLinePunct w:val="0"/>
        <w:autoSpaceDE/>
        <w:autoSpaceDN/>
        <w:bidi w:val="0"/>
        <w:adjustRightInd w:val="0"/>
        <w:snapToGrid w:val="0"/>
        <w:spacing w:line="288" w:lineRule="auto"/>
        <w:ind w:left="0" w:firstLine="420"/>
        <w:textAlignment w:val="auto"/>
        <w:rPr>
          <w:color w:val="000000" w:themeColor="text1"/>
          <w:highlight w:val="none"/>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备注：</w:t>
      </w:r>
    </w:p>
    <w:p>
      <w:pPr>
        <w:pStyle w:val="18"/>
        <w:keepNext w:val="0"/>
        <w:keepLines w:val="0"/>
        <w:pageBreakBefore w:val="0"/>
        <w:widowControl/>
        <w:suppressLineNumbers w:val="0"/>
        <w:kinsoku/>
        <w:wordWrap/>
        <w:overflowPunct/>
        <w:topLinePunct w:val="0"/>
        <w:autoSpaceDE/>
        <w:autoSpaceDN/>
        <w:bidi w:val="0"/>
        <w:adjustRightInd w:val="0"/>
        <w:snapToGrid w:val="0"/>
        <w:spacing w:line="288" w:lineRule="auto"/>
        <w:ind w:left="0" w:firstLine="420"/>
        <w:textAlignment w:val="auto"/>
        <w:rPr>
          <w:color w:val="000000" w:themeColor="text1"/>
          <w:highlight w:val="none"/>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合同履约期限：</w:t>
      </w:r>
      <w:r>
        <w:rPr>
          <w:rFonts w:hint="eastAsia" w:ascii="仿宋" w:hAnsi="仿宋" w:eastAsia="仿宋" w:cs="仿宋"/>
          <w:color w:val="000000" w:themeColor="text1"/>
          <w:sz w:val="27"/>
          <w:szCs w:val="27"/>
          <w:highlight w:val="none"/>
          <w:lang w:val="en-US" w:eastAsia="zh-CN"/>
          <w14:textFill>
            <w14:solidFill>
              <w14:schemeClr w14:val="tx1"/>
            </w14:solidFill>
          </w14:textFill>
        </w:rPr>
        <w:t>合同签订后2个月内完成</w:t>
      </w:r>
      <w:r>
        <w:rPr>
          <w:rFonts w:hint="eastAsia" w:ascii="仿宋" w:hAnsi="仿宋" w:eastAsia="仿宋" w:cs="仿宋"/>
          <w:color w:val="000000" w:themeColor="text1"/>
          <w:sz w:val="27"/>
          <w:szCs w:val="27"/>
          <w:highlight w:val="none"/>
          <w14:textFill>
            <w14:solidFill>
              <w14:schemeClr w14:val="tx1"/>
            </w14:solidFill>
          </w14:textFill>
        </w:rPr>
        <w:t>。</w:t>
      </w:r>
    </w:p>
    <w:p>
      <w:pPr>
        <w:pStyle w:val="18"/>
        <w:keepNext w:val="0"/>
        <w:keepLines w:val="0"/>
        <w:pageBreakBefore w:val="0"/>
        <w:widowControl/>
        <w:suppressLineNumbers w:val="0"/>
        <w:kinsoku/>
        <w:wordWrap/>
        <w:overflowPunct/>
        <w:topLinePunct w:val="0"/>
        <w:autoSpaceDE/>
        <w:autoSpaceDN/>
        <w:bidi w:val="0"/>
        <w:adjustRightInd w:val="0"/>
        <w:snapToGrid w:val="0"/>
        <w:spacing w:line="288" w:lineRule="auto"/>
        <w:ind w:left="0" w:firstLine="420"/>
        <w:textAlignment w:val="auto"/>
        <w:rPr>
          <w:color w:val="000000" w:themeColor="text1"/>
          <w:highlight w:val="none"/>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本项目（</w:t>
      </w:r>
      <w:r>
        <w:rPr>
          <w:rFonts w:hint="eastAsia" w:ascii="仿宋" w:hAnsi="仿宋" w:eastAsia="仿宋" w:cs="仿宋"/>
          <w:color w:val="000000" w:themeColor="text1"/>
          <w:sz w:val="27"/>
          <w:szCs w:val="27"/>
          <w:highlight w:val="none"/>
          <w:lang w:val="en-US" w:eastAsia="zh-CN"/>
          <w14:textFill>
            <w14:solidFill>
              <w14:schemeClr w14:val="tx1"/>
            </w14:solidFill>
          </w14:textFill>
        </w:rPr>
        <w:t>是</w:t>
      </w:r>
      <w:r>
        <w:rPr>
          <w:rFonts w:hint="eastAsia" w:ascii="仿宋" w:hAnsi="仿宋" w:eastAsia="仿宋" w:cs="仿宋"/>
          <w:color w:val="000000" w:themeColor="text1"/>
          <w:sz w:val="27"/>
          <w:szCs w:val="27"/>
          <w:highlight w:val="none"/>
          <w14:textFill>
            <w14:solidFill>
              <w14:schemeClr w14:val="tx1"/>
            </w14:solidFill>
          </w14:textFill>
        </w:rPr>
        <w:t>）接受联合体投标。</w:t>
      </w:r>
    </w:p>
    <w:p>
      <w:pPr>
        <w:pStyle w:val="18"/>
        <w:keepNext w:val="0"/>
        <w:keepLines w:val="0"/>
        <w:pageBreakBefore w:val="0"/>
        <w:widowControl/>
        <w:suppressLineNumbers w:val="0"/>
        <w:kinsoku/>
        <w:wordWrap/>
        <w:overflowPunct/>
        <w:topLinePunct w:val="0"/>
        <w:autoSpaceDE/>
        <w:autoSpaceDN/>
        <w:bidi w:val="0"/>
        <w:adjustRightInd w:val="0"/>
        <w:snapToGrid w:val="0"/>
        <w:spacing w:line="288" w:lineRule="auto"/>
        <w:textAlignment w:val="auto"/>
        <w:rPr>
          <w:color w:val="000000" w:themeColor="text1"/>
          <w:highlight w:val="none"/>
          <w14:textFill>
            <w14:solidFill>
              <w14:schemeClr w14:val="tx1"/>
            </w14:solidFill>
          </w14:textFill>
        </w:rPr>
      </w:pPr>
      <w:r>
        <w:rPr>
          <w:rStyle w:val="22"/>
          <w:rFonts w:ascii="黑体" w:hAnsi="宋体" w:eastAsia="黑体" w:cs="黑体"/>
          <w:color w:val="000000" w:themeColor="text1"/>
          <w:sz w:val="27"/>
          <w:szCs w:val="27"/>
          <w:highlight w:val="none"/>
          <w14:textFill>
            <w14:solidFill>
              <w14:schemeClr w14:val="tx1"/>
            </w14:solidFill>
          </w14:textFill>
        </w:rPr>
        <w:t>二、申请人的资格要求：</w:t>
      </w:r>
    </w:p>
    <w:p>
      <w:pPr>
        <w:pStyle w:val="18"/>
        <w:keepNext w:val="0"/>
        <w:keepLines w:val="0"/>
        <w:pageBreakBefore w:val="0"/>
        <w:widowControl/>
        <w:suppressLineNumbers w:val="0"/>
        <w:kinsoku/>
        <w:wordWrap/>
        <w:overflowPunct/>
        <w:topLinePunct w:val="0"/>
        <w:autoSpaceDE/>
        <w:autoSpaceDN/>
        <w:bidi w:val="0"/>
        <w:adjustRightInd w:val="0"/>
        <w:snapToGrid w:val="0"/>
        <w:spacing w:line="288" w:lineRule="auto"/>
        <w:ind w:left="0" w:firstLine="420"/>
        <w:textAlignment w:val="auto"/>
        <w:rPr>
          <w:rFonts w:hint="eastAsia" w:ascii="仿宋" w:hAnsi="仿宋" w:eastAsia="仿宋" w:cs="仿宋"/>
          <w:color w:val="000000" w:themeColor="text1"/>
          <w:sz w:val="27"/>
          <w:szCs w:val="27"/>
          <w:highlight w:val="none"/>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1.满足《中华人民共和国政府采购法》第二十二条规定；</w:t>
      </w:r>
    </w:p>
    <w:p>
      <w:pPr>
        <w:pStyle w:val="18"/>
        <w:keepNext w:val="0"/>
        <w:keepLines w:val="0"/>
        <w:pageBreakBefore w:val="0"/>
        <w:widowControl/>
        <w:suppressLineNumbers w:val="0"/>
        <w:kinsoku/>
        <w:wordWrap/>
        <w:overflowPunct/>
        <w:topLinePunct w:val="0"/>
        <w:autoSpaceDE/>
        <w:autoSpaceDN/>
        <w:bidi w:val="0"/>
        <w:adjustRightInd w:val="0"/>
        <w:snapToGrid w:val="0"/>
        <w:spacing w:line="288" w:lineRule="auto"/>
        <w:ind w:left="0" w:firstLine="420"/>
        <w:textAlignment w:val="auto"/>
        <w:rPr>
          <w:rFonts w:hint="eastAsia" w:ascii="仿宋" w:hAnsi="仿宋" w:eastAsia="仿宋" w:cs="仿宋"/>
          <w:color w:val="000000" w:themeColor="text1"/>
          <w:sz w:val="27"/>
          <w:szCs w:val="27"/>
          <w:highlight w:val="none"/>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2.落实政府采购政策需满足的资格要求：标项1：（1）《新疆维吾尔自治区政府采购促进中小企业发展管理实施办法》（新财规〔2021〕6号）；（2）《财政部、司法部关于政府采购支持监狱企业发展有关问题的通知》（财库〔2014〕68号）；（3）《关于调整优化节能产品、环境标志产品政府采购执行机制的通知》（财库〔2019）9号）；（4）《财政部民政部中国残疾人联合会关于促进残疾人就业政府采购政策的通知》（财库〔2017〕141号）。（5）投标产品为计算机、打印机、空调、照明产品、电视机、电热水器、显示器、便器、水嘴等九大类政府强制采购的产品，必须为国家财政部、环境保护部、国家发改委等有关部门发布的《环境标志产品政府采购清单》和《节能产品政府采购清单》中的产品。。</w:t>
      </w:r>
    </w:p>
    <w:p>
      <w:pPr>
        <w:pStyle w:val="18"/>
        <w:keepNext w:val="0"/>
        <w:keepLines w:val="0"/>
        <w:pageBreakBefore w:val="0"/>
        <w:widowControl/>
        <w:suppressLineNumbers w:val="0"/>
        <w:kinsoku/>
        <w:wordWrap/>
        <w:overflowPunct/>
        <w:topLinePunct w:val="0"/>
        <w:autoSpaceDE/>
        <w:autoSpaceDN/>
        <w:bidi w:val="0"/>
        <w:adjustRightInd w:val="0"/>
        <w:snapToGrid w:val="0"/>
        <w:spacing w:line="288" w:lineRule="auto"/>
        <w:ind w:left="0" w:firstLine="420"/>
        <w:textAlignment w:val="auto"/>
        <w:rPr>
          <w:rFonts w:hint="eastAsia" w:ascii="仿宋" w:hAnsi="仿宋" w:eastAsia="仿宋" w:cs="仿宋"/>
          <w:color w:val="000000" w:themeColor="text1"/>
          <w:sz w:val="27"/>
          <w:szCs w:val="27"/>
          <w:highlight w:val="none"/>
          <w14:textFill>
            <w14:solidFill>
              <w14:schemeClr w14:val="tx1"/>
            </w14:solidFill>
          </w14:textFill>
        </w:rPr>
      </w:pPr>
      <w:r>
        <w:rPr>
          <w:rFonts w:hint="eastAsia" w:ascii="仿宋" w:hAnsi="仿宋" w:eastAsia="仿宋" w:cs="仿宋"/>
          <w:color w:val="000000" w:themeColor="text1"/>
          <w:sz w:val="27"/>
          <w:szCs w:val="27"/>
          <w:highlight w:val="none"/>
          <w:lang w:val="en-US" w:eastAsia="zh-CN"/>
          <w14:textFill>
            <w14:solidFill>
              <w14:schemeClr w14:val="tx1"/>
            </w14:solidFill>
          </w14:textFill>
        </w:rPr>
        <w:t>3</w:t>
      </w:r>
      <w:r>
        <w:rPr>
          <w:rFonts w:hint="eastAsia" w:ascii="仿宋" w:hAnsi="仿宋" w:eastAsia="仿宋" w:cs="仿宋"/>
          <w:color w:val="000000" w:themeColor="text1"/>
          <w:sz w:val="27"/>
          <w:szCs w:val="27"/>
          <w:highlight w:val="none"/>
          <w14:textFill>
            <w14:solidFill>
              <w14:schemeClr w14:val="tx1"/>
            </w14:solidFill>
          </w14:textFill>
        </w:rPr>
        <w:t>.本项目的特定资格要求：标项1：</w:t>
      </w:r>
    </w:p>
    <w:p>
      <w:pPr>
        <w:pStyle w:val="18"/>
        <w:keepNext w:val="0"/>
        <w:keepLines w:val="0"/>
        <w:pageBreakBefore w:val="0"/>
        <w:widowControl/>
        <w:suppressLineNumbers w:val="0"/>
        <w:kinsoku/>
        <w:wordWrap/>
        <w:overflowPunct/>
        <w:topLinePunct w:val="0"/>
        <w:autoSpaceDE/>
        <w:autoSpaceDN/>
        <w:bidi w:val="0"/>
        <w:adjustRightInd w:val="0"/>
        <w:snapToGrid w:val="0"/>
        <w:spacing w:line="288" w:lineRule="auto"/>
        <w:ind w:left="0" w:firstLine="420"/>
        <w:textAlignment w:val="auto"/>
        <w:rPr>
          <w:rFonts w:hint="eastAsia" w:ascii="仿宋" w:hAnsi="仿宋" w:eastAsia="仿宋" w:cs="仿宋"/>
          <w:color w:val="000000" w:themeColor="text1"/>
          <w:sz w:val="27"/>
          <w:szCs w:val="27"/>
          <w:highlight w:val="none"/>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（1）投标人具备实施医院信息化建设能力，具备市场监督管理局核准的有效营业执照；</w:t>
      </w:r>
    </w:p>
    <w:p>
      <w:pPr>
        <w:pStyle w:val="18"/>
        <w:keepNext w:val="0"/>
        <w:keepLines w:val="0"/>
        <w:pageBreakBefore w:val="0"/>
        <w:widowControl/>
        <w:suppressLineNumbers w:val="0"/>
        <w:kinsoku/>
        <w:wordWrap/>
        <w:overflowPunct/>
        <w:topLinePunct w:val="0"/>
        <w:autoSpaceDE/>
        <w:autoSpaceDN/>
        <w:bidi w:val="0"/>
        <w:adjustRightInd w:val="0"/>
        <w:snapToGrid w:val="0"/>
        <w:spacing w:line="288" w:lineRule="auto"/>
        <w:ind w:left="0" w:firstLine="420"/>
        <w:textAlignment w:val="auto"/>
        <w:rPr>
          <w:rFonts w:hint="eastAsia" w:ascii="仿宋" w:hAnsi="仿宋" w:eastAsia="仿宋" w:cs="仿宋"/>
          <w:color w:val="000000" w:themeColor="text1"/>
          <w:sz w:val="27"/>
          <w:szCs w:val="27"/>
          <w:highlight w:val="none"/>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（2）由法人参标的需提供法人身份证明及法人身份证；由委托人参标的需提供</w:t>
      </w:r>
      <w:r>
        <w:rPr>
          <w:rFonts w:hint="eastAsia" w:ascii="仿宋" w:hAnsi="仿宋" w:eastAsia="仿宋" w:cs="仿宋"/>
          <w:color w:val="000000" w:themeColor="text1"/>
          <w:sz w:val="27"/>
          <w:szCs w:val="27"/>
          <w:highlight w:val="none"/>
          <w:lang w:val="en-US" w:eastAsia="zh-CN"/>
          <w14:textFill>
            <w14:solidFill>
              <w14:schemeClr w14:val="tx1"/>
            </w14:solidFill>
          </w14:textFill>
        </w:rPr>
        <w:t>法人</w:t>
      </w:r>
      <w:r>
        <w:rPr>
          <w:rFonts w:hint="eastAsia" w:ascii="仿宋" w:hAnsi="仿宋" w:eastAsia="仿宋" w:cs="仿宋"/>
          <w:color w:val="000000" w:themeColor="text1"/>
          <w:sz w:val="27"/>
          <w:szCs w:val="27"/>
          <w:highlight w:val="none"/>
          <w14:textFill>
            <w14:solidFill>
              <w14:schemeClr w14:val="tx1"/>
            </w14:solidFill>
          </w14:textFill>
        </w:rPr>
        <w:t>授权委托书、委托人身份证（授权书需附法人及委托人身份证复印件）及近三个月社保缴纳凭证；</w:t>
      </w:r>
    </w:p>
    <w:p>
      <w:pPr>
        <w:pStyle w:val="18"/>
        <w:keepNext w:val="0"/>
        <w:keepLines w:val="0"/>
        <w:pageBreakBefore w:val="0"/>
        <w:widowControl/>
        <w:suppressLineNumbers w:val="0"/>
        <w:kinsoku/>
        <w:wordWrap/>
        <w:overflowPunct/>
        <w:topLinePunct w:val="0"/>
        <w:autoSpaceDE/>
        <w:autoSpaceDN/>
        <w:bidi w:val="0"/>
        <w:adjustRightInd w:val="0"/>
        <w:snapToGrid w:val="0"/>
        <w:spacing w:line="288" w:lineRule="auto"/>
        <w:ind w:left="0" w:firstLine="420"/>
        <w:textAlignment w:val="auto"/>
        <w:rPr>
          <w:rFonts w:hint="eastAsia" w:ascii="仿宋" w:hAnsi="仿宋" w:eastAsia="仿宋" w:cs="仿宋"/>
          <w:color w:val="000000" w:themeColor="text1"/>
          <w:sz w:val="27"/>
          <w:szCs w:val="27"/>
          <w:highlight w:val="none"/>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（3）投标人具有良好的商业信誉和独立健全的财务会计制度（需提供</w:t>
      </w:r>
      <w:r>
        <w:rPr>
          <w:rFonts w:hint="eastAsia" w:ascii="仿宋" w:hAnsi="仿宋" w:eastAsia="仿宋" w:cs="仿宋"/>
          <w:color w:val="000000" w:themeColor="text1"/>
          <w:sz w:val="27"/>
          <w:szCs w:val="27"/>
          <w:highlight w:val="none"/>
          <w:lang w:val="en-US" w:eastAsia="zh-CN"/>
          <w14:textFill>
            <w14:solidFill>
              <w14:schemeClr w14:val="tx1"/>
            </w14:solidFill>
          </w14:textFill>
        </w:rPr>
        <w:t>2021年度</w:t>
      </w:r>
      <w:r>
        <w:rPr>
          <w:rFonts w:hint="eastAsia" w:ascii="仿宋" w:hAnsi="仿宋" w:eastAsia="仿宋" w:cs="仿宋"/>
          <w:color w:val="000000" w:themeColor="text1"/>
          <w:sz w:val="27"/>
          <w:szCs w:val="27"/>
          <w:highlight w:val="none"/>
          <w14:textFill>
            <w14:solidFill>
              <w14:schemeClr w14:val="tx1"/>
            </w14:solidFill>
          </w14:textFill>
        </w:rPr>
        <w:t>财务审计报告</w:t>
      </w:r>
      <w:r>
        <w:rPr>
          <w:rFonts w:hint="eastAsia" w:ascii="仿宋" w:hAnsi="仿宋" w:eastAsia="仿宋" w:cs="仿宋"/>
          <w:color w:val="000000" w:themeColor="text1"/>
          <w:sz w:val="27"/>
          <w:szCs w:val="27"/>
          <w:highlight w:val="none"/>
          <w:lang w:eastAsia="zh-CN"/>
          <w14:textFill>
            <w14:solidFill>
              <w14:schemeClr w14:val="tx1"/>
            </w14:solidFill>
          </w14:textFill>
        </w:rPr>
        <w:t>（</w:t>
      </w:r>
      <w:r>
        <w:rPr>
          <w:rFonts w:hint="eastAsia" w:ascii="仿宋" w:hAnsi="仿宋" w:eastAsia="仿宋" w:cs="仿宋"/>
          <w:color w:val="000000" w:themeColor="text1"/>
          <w:sz w:val="27"/>
          <w:szCs w:val="27"/>
          <w:highlight w:val="none"/>
          <w:lang w:val="en-US" w:eastAsia="zh-CN"/>
          <w14:textFill>
            <w14:solidFill>
              <w14:schemeClr w14:val="tx1"/>
            </w14:solidFill>
          </w14:textFill>
        </w:rPr>
        <w:t>2021年新成立公司提供银行出具资信证明</w:t>
      </w:r>
      <w:r>
        <w:rPr>
          <w:rFonts w:hint="eastAsia" w:ascii="仿宋" w:hAnsi="仿宋" w:eastAsia="仿宋" w:cs="仿宋"/>
          <w:color w:val="000000" w:themeColor="text1"/>
          <w:sz w:val="27"/>
          <w:szCs w:val="27"/>
          <w:highlight w:val="none"/>
          <w:lang w:eastAsia="zh-CN"/>
          <w14:textFill>
            <w14:solidFill>
              <w14:schemeClr w14:val="tx1"/>
            </w14:solidFill>
          </w14:textFill>
        </w:rPr>
        <w:t>））</w:t>
      </w:r>
      <w:r>
        <w:rPr>
          <w:rFonts w:hint="eastAsia" w:ascii="仿宋" w:hAnsi="仿宋" w:eastAsia="仿宋" w:cs="仿宋"/>
          <w:color w:val="000000" w:themeColor="text1"/>
          <w:sz w:val="27"/>
          <w:szCs w:val="27"/>
          <w:highlight w:val="none"/>
          <w14:textFill>
            <w14:solidFill>
              <w14:schemeClr w14:val="tx1"/>
            </w14:solidFill>
          </w14:textFill>
        </w:rPr>
        <w:t>及近三个月完税证明材料；</w:t>
      </w:r>
    </w:p>
    <w:p>
      <w:pPr>
        <w:pStyle w:val="18"/>
        <w:keepNext w:val="0"/>
        <w:keepLines w:val="0"/>
        <w:pageBreakBefore w:val="0"/>
        <w:widowControl/>
        <w:suppressLineNumbers w:val="0"/>
        <w:kinsoku/>
        <w:wordWrap/>
        <w:overflowPunct/>
        <w:topLinePunct w:val="0"/>
        <w:autoSpaceDE/>
        <w:autoSpaceDN/>
        <w:bidi w:val="0"/>
        <w:adjustRightInd w:val="0"/>
        <w:snapToGrid w:val="0"/>
        <w:spacing w:line="288" w:lineRule="auto"/>
        <w:ind w:left="0" w:firstLine="420"/>
        <w:textAlignment w:val="auto"/>
        <w:rPr>
          <w:rFonts w:hint="eastAsia" w:ascii="仿宋" w:hAnsi="仿宋" w:eastAsia="仿宋" w:cs="仿宋"/>
          <w:color w:val="000000" w:themeColor="text1"/>
          <w:sz w:val="27"/>
          <w:szCs w:val="27"/>
          <w:highlight w:val="none"/>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（4）投标人</w:t>
      </w:r>
      <w:r>
        <w:rPr>
          <w:rFonts w:hint="eastAsia" w:ascii="仿宋" w:hAnsi="仿宋" w:eastAsia="仿宋" w:cs="仿宋"/>
          <w:color w:val="000000" w:themeColor="text1"/>
          <w:sz w:val="27"/>
          <w:szCs w:val="27"/>
          <w:highlight w:val="none"/>
          <w:lang w:val="en-US" w:eastAsia="zh-CN"/>
          <w14:textFill>
            <w14:solidFill>
              <w14:schemeClr w14:val="tx1"/>
            </w14:solidFill>
          </w14:textFill>
        </w:rPr>
        <w:t>需</w:t>
      </w:r>
      <w:r>
        <w:rPr>
          <w:rFonts w:hint="eastAsia" w:ascii="仿宋" w:hAnsi="仿宋" w:eastAsia="仿宋" w:cs="仿宋"/>
          <w:color w:val="000000" w:themeColor="text1"/>
          <w:sz w:val="27"/>
          <w:szCs w:val="27"/>
          <w:highlight w:val="none"/>
          <w14:textFill>
            <w14:solidFill>
              <w14:schemeClr w14:val="tx1"/>
            </w14:solidFill>
          </w14:textFill>
        </w:rPr>
        <w:t>提供信用中国（</w:t>
      </w:r>
      <w:r>
        <w:rPr>
          <w:rFonts w:hint="eastAsia" w:ascii="仿宋" w:hAnsi="仿宋" w:eastAsia="仿宋" w:cs="仿宋"/>
          <w:color w:val="000000" w:themeColor="text1"/>
          <w:sz w:val="27"/>
          <w:szCs w:val="27"/>
          <w:highlight w:val="none"/>
          <w:lang w:val="en-US" w:eastAsia="zh-CN"/>
          <w14:textFill>
            <w14:solidFill>
              <w14:schemeClr w14:val="tx1"/>
            </w14:solidFill>
          </w14:textFill>
        </w:rPr>
        <w:t>www</w:t>
      </w:r>
      <w:r>
        <w:rPr>
          <w:rFonts w:hint="eastAsia" w:ascii="仿宋" w:hAnsi="仿宋" w:eastAsia="仿宋" w:cs="仿宋"/>
          <w:color w:val="000000" w:themeColor="text1"/>
          <w:sz w:val="27"/>
          <w:szCs w:val="27"/>
          <w:highlight w:val="none"/>
          <w14:textFill>
            <w14:solidFill>
              <w14:schemeClr w14:val="tx1"/>
            </w14:solidFill>
          </w14:textFill>
        </w:rPr>
        <w:t>.creditchina.gov.cn）、中国政府采购网（www.ccgp.gov.cn）、国家企业信用信息公示系统（www.gsxt.gov.cn）的查询结果，如被列入失信被执行人、重大税收违法案件当事人名单、政府采购严重违法失信行为记录名单的（尚在处罚期内的），将拒绝其参加本次采购活动；</w:t>
      </w:r>
    </w:p>
    <w:p>
      <w:pPr>
        <w:pStyle w:val="18"/>
        <w:keepNext w:val="0"/>
        <w:keepLines w:val="0"/>
        <w:pageBreakBefore w:val="0"/>
        <w:widowControl/>
        <w:suppressLineNumbers w:val="0"/>
        <w:kinsoku/>
        <w:wordWrap/>
        <w:overflowPunct/>
        <w:topLinePunct w:val="0"/>
        <w:autoSpaceDE/>
        <w:autoSpaceDN/>
        <w:bidi w:val="0"/>
        <w:adjustRightInd w:val="0"/>
        <w:snapToGrid w:val="0"/>
        <w:spacing w:line="288" w:lineRule="auto"/>
        <w:ind w:left="0" w:firstLine="420"/>
        <w:textAlignment w:val="auto"/>
        <w:rPr>
          <w:rFonts w:hint="default" w:ascii="仿宋" w:hAnsi="仿宋" w:eastAsia="仿宋" w:cs="仿宋"/>
          <w:color w:val="000000" w:themeColor="text1"/>
          <w:sz w:val="27"/>
          <w:szCs w:val="27"/>
          <w:highlight w:val="none"/>
          <w:lang w:val="en-US" w:eastAsia="zh-CN"/>
          <w14:textFill>
            <w14:solidFill>
              <w14:schemeClr w14:val="tx1"/>
            </w14:solidFill>
          </w14:textFill>
        </w:rPr>
      </w:pPr>
      <w:r>
        <w:rPr>
          <w:rFonts w:hint="eastAsia" w:ascii="仿宋" w:hAnsi="仿宋" w:eastAsia="仿宋" w:cs="仿宋"/>
          <w:color w:val="000000" w:themeColor="text1"/>
          <w:sz w:val="27"/>
          <w:szCs w:val="27"/>
          <w:highlight w:val="none"/>
          <w:lang w:eastAsia="zh-CN"/>
          <w14:textFill>
            <w14:solidFill>
              <w14:schemeClr w14:val="tx1"/>
            </w14:solidFill>
          </w14:textFill>
        </w:rPr>
        <w:t>（</w:t>
      </w:r>
      <w:r>
        <w:rPr>
          <w:rFonts w:hint="eastAsia" w:ascii="仿宋" w:hAnsi="仿宋" w:eastAsia="仿宋" w:cs="仿宋"/>
          <w:color w:val="000000" w:themeColor="text1"/>
          <w:sz w:val="27"/>
          <w:szCs w:val="27"/>
          <w:highlight w:val="none"/>
          <w:lang w:val="en-US" w:eastAsia="zh-CN"/>
          <w14:textFill>
            <w14:solidFill>
              <w14:schemeClr w14:val="tx1"/>
            </w14:solidFill>
          </w14:textFill>
        </w:rPr>
        <w:t>5）本项目接受联合体投标，联合体组成必须符合国家相关法律法规，联合体成员个数不得超过两家（含两家）。</w:t>
      </w:r>
    </w:p>
    <w:p>
      <w:pPr>
        <w:pStyle w:val="18"/>
        <w:keepNext w:val="0"/>
        <w:keepLines w:val="0"/>
        <w:pageBreakBefore w:val="0"/>
        <w:widowControl/>
        <w:suppressLineNumbers w:val="0"/>
        <w:kinsoku/>
        <w:wordWrap/>
        <w:overflowPunct/>
        <w:topLinePunct w:val="0"/>
        <w:autoSpaceDE/>
        <w:autoSpaceDN/>
        <w:bidi w:val="0"/>
        <w:adjustRightInd w:val="0"/>
        <w:snapToGrid w:val="0"/>
        <w:spacing w:line="288" w:lineRule="auto"/>
        <w:ind w:left="0" w:firstLine="420"/>
        <w:textAlignment w:val="auto"/>
        <w:rPr>
          <w:color w:val="000000" w:themeColor="text1"/>
          <w:highlight w:val="none"/>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w:t>
      </w:r>
      <w:r>
        <w:rPr>
          <w:rFonts w:hint="eastAsia" w:ascii="仿宋" w:hAnsi="仿宋" w:eastAsia="仿宋" w:cs="仿宋"/>
          <w:color w:val="000000" w:themeColor="text1"/>
          <w:sz w:val="27"/>
          <w:szCs w:val="27"/>
          <w:highlight w:val="none"/>
          <w:lang w:val="en-US" w:eastAsia="zh-CN"/>
          <w14:textFill>
            <w14:solidFill>
              <w14:schemeClr w14:val="tx1"/>
            </w14:solidFill>
          </w14:textFill>
        </w:rPr>
        <w:t>6</w:t>
      </w:r>
      <w:r>
        <w:rPr>
          <w:rFonts w:hint="eastAsia" w:ascii="仿宋" w:hAnsi="仿宋" w:eastAsia="仿宋" w:cs="仿宋"/>
          <w:color w:val="000000" w:themeColor="text1"/>
          <w:sz w:val="27"/>
          <w:szCs w:val="27"/>
          <w:highlight w:val="none"/>
          <w14:textFill>
            <w14:solidFill>
              <w14:schemeClr w14:val="tx1"/>
            </w14:solidFill>
          </w14:textFill>
        </w:rPr>
        <w:t>）与采购人存在利害关系可能影响公正性的单位，不得参加投标。单位负责人为同一人或存在控股、管理关系的不同单位，不得参加同一标段投标，否则，相关投标均无效。</w:t>
      </w:r>
    </w:p>
    <w:p>
      <w:pPr>
        <w:pStyle w:val="18"/>
        <w:keepNext w:val="0"/>
        <w:keepLines w:val="0"/>
        <w:pageBreakBefore w:val="0"/>
        <w:widowControl/>
        <w:suppressLineNumbers w:val="0"/>
        <w:kinsoku/>
        <w:wordWrap/>
        <w:overflowPunct/>
        <w:topLinePunct w:val="0"/>
        <w:autoSpaceDE/>
        <w:autoSpaceDN/>
        <w:bidi w:val="0"/>
        <w:adjustRightInd w:val="0"/>
        <w:snapToGrid w:val="0"/>
        <w:spacing w:before="255" w:beforeAutospacing="0" w:after="255" w:afterAutospacing="0" w:line="288" w:lineRule="auto"/>
        <w:jc w:val="both"/>
        <w:textAlignment w:val="auto"/>
        <w:rPr>
          <w:rFonts w:ascii="黑体" w:hAnsi="宋体" w:eastAsia="黑体" w:cs="黑体"/>
          <w:color w:val="000000" w:themeColor="text1"/>
          <w:sz w:val="27"/>
          <w:szCs w:val="27"/>
          <w:highlight w:val="none"/>
          <w14:textFill>
            <w14:solidFill>
              <w14:schemeClr w14:val="tx1"/>
            </w14:solidFill>
          </w14:textFill>
        </w:rPr>
      </w:pPr>
      <w:r>
        <w:rPr>
          <w:rStyle w:val="22"/>
          <w:rFonts w:ascii="黑体" w:hAnsi="宋体" w:eastAsia="黑体" w:cs="黑体"/>
          <w:color w:val="000000" w:themeColor="text1"/>
          <w:sz w:val="27"/>
          <w:szCs w:val="27"/>
          <w:highlight w:val="none"/>
          <w14:textFill>
            <w14:solidFill>
              <w14:schemeClr w14:val="tx1"/>
            </w14:solidFill>
          </w14:textFill>
        </w:rPr>
        <w:t>三、获取招标文件</w:t>
      </w:r>
    </w:p>
    <w:p>
      <w:pPr>
        <w:pStyle w:val="18"/>
        <w:keepNext w:val="0"/>
        <w:keepLines w:val="0"/>
        <w:pageBreakBefore w:val="0"/>
        <w:widowControl/>
        <w:suppressLineNumbers w:val="0"/>
        <w:kinsoku/>
        <w:wordWrap/>
        <w:overflowPunct/>
        <w:topLinePunct w:val="0"/>
        <w:autoSpaceDE/>
        <w:autoSpaceDN/>
        <w:bidi w:val="0"/>
        <w:adjustRightInd w:val="0"/>
        <w:snapToGrid w:val="0"/>
        <w:spacing w:line="288" w:lineRule="auto"/>
        <w:ind w:left="0" w:firstLine="420"/>
        <w:textAlignment w:val="auto"/>
        <w:rPr>
          <w:color w:val="000000" w:themeColor="text1"/>
          <w:highlight w:val="none"/>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时间：20</w:t>
      </w:r>
      <w:r>
        <w:rPr>
          <w:rFonts w:hint="eastAsia" w:ascii="仿宋" w:hAnsi="仿宋" w:eastAsia="仿宋" w:cs="仿宋"/>
          <w:color w:val="000000" w:themeColor="text1"/>
          <w:sz w:val="27"/>
          <w:szCs w:val="27"/>
          <w:highlight w:val="none"/>
          <w:lang w:val="en-US" w:eastAsia="zh-CN"/>
          <w14:textFill>
            <w14:solidFill>
              <w14:schemeClr w14:val="tx1"/>
            </w14:solidFill>
          </w14:textFill>
        </w:rPr>
        <w:t>22</w:t>
      </w:r>
      <w:r>
        <w:rPr>
          <w:rFonts w:hint="eastAsia" w:ascii="仿宋" w:hAnsi="仿宋" w:eastAsia="仿宋" w:cs="仿宋"/>
          <w:color w:val="000000" w:themeColor="text1"/>
          <w:sz w:val="27"/>
          <w:szCs w:val="27"/>
          <w:highlight w:val="none"/>
          <w14:textFill>
            <w14:solidFill>
              <w14:schemeClr w14:val="tx1"/>
            </w14:solidFill>
          </w14:textFill>
        </w:rPr>
        <w:t>年</w:t>
      </w:r>
      <w:r>
        <w:rPr>
          <w:rFonts w:hint="eastAsia" w:ascii="仿宋" w:hAnsi="仿宋" w:eastAsia="仿宋" w:cs="仿宋"/>
          <w:color w:val="000000" w:themeColor="text1"/>
          <w:sz w:val="27"/>
          <w:szCs w:val="27"/>
          <w:highlight w:val="none"/>
          <w:lang w:val="en-US" w:eastAsia="zh-CN"/>
          <w14:textFill>
            <w14:solidFill>
              <w14:schemeClr w14:val="tx1"/>
            </w14:solidFill>
          </w14:textFill>
        </w:rPr>
        <w:t>5</w:t>
      </w:r>
      <w:r>
        <w:rPr>
          <w:rFonts w:hint="eastAsia" w:ascii="仿宋" w:hAnsi="仿宋" w:eastAsia="仿宋" w:cs="仿宋"/>
          <w:color w:val="000000" w:themeColor="text1"/>
          <w:sz w:val="27"/>
          <w:szCs w:val="27"/>
          <w:highlight w:val="none"/>
          <w14:textFill>
            <w14:solidFill>
              <w14:schemeClr w14:val="tx1"/>
            </w14:solidFill>
          </w14:textFill>
        </w:rPr>
        <w:t>月</w:t>
      </w:r>
      <w:r>
        <w:rPr>
          <w:rFonts w:hint="eastAsia" w:ascii="仿宋" w:hAnsi="仿宋" w:eastAsia="仿宋" w:cs="仿宋"/>
          <w:color w:val="000000" w:themeColor="text1"/>
          <w:sz w:val="27"/>
          <w:szCs w:val="27"/>
          <w:highlight w:val="none"/>
          <w:lang w:val="en-US" w:eastAsia="zh-CN"/>
          <w14:textFill>
            <w14:solidFill>
              <w14:schemeClr w14:val="tx1"/>
            </w14:solidFill>
          </w14:textFill>
        </w:rPr>
        <w:t>25</w:t>
      </w:r>
      <w:r>
        <w:rPr>
          <w:rFonts w:hint="eastAsia" w:ascii="仿宋" w:hAnsi="仿宋" w:eastAsia="仿宋" w:cs="仿宋"/>
          <w:color w:val="000000" w:themeColor="text1"/>
          <w:sz w:val="27"/>
          <w:szCs w:val="27"/>
          <w:highlight w:val="none"/>
          <w14:textFill>
            <w14:solidFill>
              <w14:schemeClr w14:val="tx1"/>
            </w14:solidFill>
          </w14:textFill>
        </w:rPr>
        <w:t>日至202</w:t>
      </w:r>
      <w:r>
        <w:rPr>
          <w:rFonts w:hint="eastAsia" w:ascii="仿宋" w:hAnsi="仿宋" w:eastAsia="仿宋" w:cs="仿宋"/>
          <w:color w:val="000000" w:themeColor="text1"/>
          <w:sz w:val="27"/>
          <w:szCs w:val="27"/>
          <w:highlight w:val="none"/>
          <w:lang w:val="en-US" w:eastAsia="zh-CN"/>
          <w14:textFill>
            <w14:solidFill>
              <w14:schemeClr w14:val="tx1"/>
            </w14:solidFill>
          </w14:textFill>
        </w:rPr>
        <w:t>2</w:t>
      </w:r>
      <w:r>
        <w:rPr>
          <w:rFonts w:hint="eastAsia" w:ascii="仿宋" w:hAnsi="仿宋" w:eastAsia="仿宋" w:cs="仿宋"/>
          <w:color w:val="000000" w:themeColor="text1"/>
          <w:sz w:val="27"/>
          <w:szCs w:val="27"/>
          <w:highlight w:val="none"/>
          <w14:textFill>
            <w14:solidFill>
              <w14:schemeClr w14:val="tx1"/>
            </w14:solidFill>
          </w14:textFill>
        </w:rPr>
        <w:t>年</w:t>
      </w:r>
      <w:r>
        <w:rPr>
          <w:rFonts w:hint="eastAsia" w:ascii="仿宋" w:hAnsi="仿宋" w:eastAsia="仿宋" w:cs="仿宋"/>
          <w:color w:val="000000" w:themeColor="text1"/>
          <w:sz w:val="27"/>
          <w:szCs w:val="27"/>
          <w:highlight w:val="none"/>
          <w:lang w:val="en-US" w:eastAsia="zh-CN"/>
          <w14:textFill>
            <w14:solidFill>
              <w14:schemeClr w14:val="tx1"/>
            </w14:solidFill>
          </w14:textFill>
        </w:rPr>
        <w:t>6</w:t>
      </w:r>
      <w:r>
        <w:rPr>
          <w:rFonts w:hint="eastAsia" w:ascii="仿宋" w:hAnsi="仿宋" w:eastAsia="仿宋" w:cs="仿宋"/>
          <w:color w:val="000000" w:themeColor="text1"/>
          <w:sz w:val="27"/>
          <w:szCs w:val="27"/>
          <w:highlight w:val="none"/>
          <w14:textFill>
            <w14:solidFill>
              <w14:schemeClr w14:val="tx1"/>
            </w14:solidFill>
          </w14:textFill>
        </w:rPr>
        <w:t>月</w:t>
      </w:r>
      <w:r>
        <w:rPr>
          <w:rFonts w:hint="eastAsia" w:ascii="仿宋" w:hAnsi="仿宋" w:eastAsia="仿宋" w:cs="仿宋"/>
          <w:color w:val="000000" w:themeColor="text1"/>
          <w:sz w:val="27"/>
          <w:szCs w:val="27"/>
          <w:highlight w:val="none"/>
          <w:lang w:val="en-US" w:eastAsia="zh-CN"/>
          <w14:textFill>
            <w14:solidFill>
              <w14:schemeClr w14:val="tx1"/>
            </w14:solidFill>
          </w14:textFill>
        </w:rPr>
        <w:t>1</w:t>
      </w:r>
      <w:r>
        <w:rPr>
          <w:rFonts w:hint="eastAsia" w:ascii="仿宋" w:hAnsi="仿宋" w:eastAsia="仿宋" w:cs="仿宋"/>
          <w:color w:val="000000" w:themeColor="text1"/>
          <w:sz w:val="27"/>
          <w:szCs w:val="27"/>
          <w:highlight w:val="none"/>
          <w14:textFill>
            <w14:solidFill>
              <w14:schemeClr w14:val="tx1"/>
            </w14:solidFill>
          </w14:textFill>
        </w:rPr>
        <w:t>日，每天上午10:00至14:00，下午1</w:t>
      </w:r>
      <w:r>
        <w:rPr>
          <w:rFonts w:hint="eastAsia" w:ascii="仿宋" w:hAnsi="仿宋" w:eastAsia="仿宋" w:cs="仿宋"/>
          <w:color w:val="000000" w:themeColor="text1"/>
          <w:sz w:val="27"/>
          <w:szCs w:val="27"/>
          <w:highlight w:val="none"/>
          <w:lang w:val="en-US" w:eastAsia="zh-CN"/>
          <w14:textFill>
            <w14:solidFill>
              <w14:schemeClr w14:val="tx1"/>
            </w14:solidFill>
          </w14:textFill>
        </w:rPr>
        <w:t>4</w:t>
      </w:r>
      <w:r>
        <w:rPr>
          <w:rFonts w:hint="eastAsia" w:ascii="仿宋" w:hAnsi="仿宋" w:eastAsia="仿宋" w:cs="仿宋"/>
          <w:color w:val="000000" w:themeColor="text1"/>
          <w:sz w:val="27"/>
          <w:szCs w:val="27"/>
          <w:highlight w:val="none"/>
          <w14:textFill>
            <w14:solidFill>
              <w14:schemeClr w14:val="tx1"/>
            </w14:solidFill>
          </w14:textFill>
        </w:rPr>
        <w:t>:</w:t>
      </w:r>
      <w:r>
        <w:rPr>
          <w:rFonts w:hint="eastAsia" w:ascii="仿宋" w:hAnsi="仿宋" w:eastAsia="仿宋" w:cs="仿宋"/>
          <w:color w:val="000000" w:themeColor="text1"/>
          <w:sz w:val="27"/>
          <w:szCs w:val="27"/>
          <w:highlight w:val="none"/>
          <w:lang w:val="en-US" w:eastAsia="zh-CN"/>
          <w14:textFill>
            <w14:solidFill>
              <w14:schemeClr w14:val="tx1"/>
            </w14:solidFill>
          </w14:textFill>
        </w:rPr>
        <w:t>0</w:t>
      </w:r>
      <w:r>
        <w:rPr>
          <w:rFonts w:hint="eastAsia" w:ascii="仿宋" w:hAnsi="仿宋" w:eastAsia="仿宋" w:cs="仿宋"/>
          <w:color w:val="000000" w:themeColor="text1"/>
          <w:sz w:val="27"/>
          <w:szCs w:val="27"/>
          <w:highlight w:val="none"/>
          <w14:textFill>
            <w14:solidFill>
              <w14:schemeClr w14:val="tx1"/>
            </w14:solidFill>
          </w14:textFill>
        </w:rPr>
        <w:t>0至</w:t>
      </w:r>
      <w:r>
        <w:rPr>
          <w:rFonts w:hint="eastAsia" w:ascii="仿宋" w:hAnsi="仿宋" w:eastAsia="仿宋" w:cs="仿宋"/>
          <w:color w:val="000000" w:themeColor="text1"/>
          <w:sz w:val="27"/>
          <w:szCs w:val="27"/>
          <w:highlight w:val="none"/>
          <w:lang w:val="en-US" w:eastAsia="zh-CN"/>
          <w14:textFill>
            <w14:solidFill>
              <w14:schemeClr w14:val="tx1"/>
            </w14:solidFill>
          </w14:textFill>
        </w:rPr>
        <w:t>23</w:t>
      </w:r>
      <w:r>
        <w:rPr>
          <w:rFonts w:hint="eastAsia" w:ascii="仿宋" w:hAnsi="仿宋" w:eastAsia="仿宋" w:cs="仿宋"/>
          <w:color w:val="000000" w:themeColor="text1"/>
          <w:sz w:val="27"/>
          <w:szCs w:val="27"/>
          <w:highlight w:val="none"/>
          <w14:textFill>
            <w14:solidFill>
              <w14:schemeClr w14:val="tx1"/>
            </w14:solidFill>
          </w14:textFill>
        </w:rPr>
        <w:t>:</w:t>
      </w:r>
      <w:r>
        <w:rPr>
          <w:rFonts w:hint="eastAsia" w:ascii="仿宋" w:hAnsi="仿宋" w:eastAsia="仿宋" w:cs="仿宋"/>
          <w:color w:val="000000" w:themeColor="text1"/>
          <w:sz w:val="27"/>
          <w:szCs w:val="27"/>
          <w:highlight w:val="none"/>
          <w:lang w:val="en-US" w:eastAsia="zh-CN"/>
          <w14:textFill>
            <w14:solidFill>
              <w14:schemeClr w14:val="tx1"/>
            </w14:solidFill>
          </w14:textFill>
        </w:rPr>
        <w:t>59</w:t>
      </w:r>
      <w:r>
        <w:rPr>
          <w:rFonts w:hint="eastAsia" w:ascii="仿宋" w:hAnsi="仿宋" w:eastAsia="仿宋" w:cs="仿宋"/>
          <w:color w:val="000000" w:themeColor="text1"/>
          <w:sz w:val="27"/>
          <w:szCs w:val="27"/>
          <w:highlight w:val="none"/>
          <w14:textFill>
            <w14:solidFill>
              <w14:schemeClr w14:val="tx1"/>
            </w14:solidFill>
          </w14:textFill>
        </w:rPr>
        <w:t>（北京时间，法定节假日除外）</w:t>
      </w:r>
    </w:p>
    <w:p>
      <w:pPr>
        <w:pStyle w:val="18"/>
        <w:keepNext w:val="0"/>
        <w:keepLines w:val="0"/>
        <w:pageBreakBefore w:val="0"/>
        <w:widowControl/>
        <w:suppressLineNumbers w:val="0"/>
        <w:kinsoku/>
        <w:wordWrap/>
        <w:overflowPunct/>
        <w:topLinePunct w:val="0"/>
        <w:autoSpaceDE/>
        <w:autoSpaceDN/>
        <w:bidi w:val="0"/>
        <w:adjustRightInd w:val="0"/>
        <w:snapToGrid w:val="0"/>
        <w:spacing w:line="288" w:lineRule="auto"/>
        <w:ind w:left="0" w:firstLine="420"/>
        <w:textAlignment w:val="auto"/>
        <w:rPr>
          <w:color w:val="000000" w:themeColor="text1"/>
          <w:highlight w:val="none"/>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地点：新疆政府采购网</w:t>
      </w:r>
    </w:p>
    <w:p>
      <w:pPr>
        <w:pStyle w:val="18"/>
        <w:keepNext w:val="0"/>
        <w:keepLines w:val="0"/>
        <w:pageBreakBefore w:val="0"/>
        <w:widowControl/>
        <w:suppressLineNumbers w:val="0"/>
        <w:kinsoku/>
        <w:wordWrap/>
        <w:overflowPunct/>
        <w:topLinePunct w:val="0"/>
        <w:autoSpaceDE/>
        <w:autoSpaceDN/>
        <w:bidi w:val="0"/>
        <w:adjustRightInd w:val="0"/>
        <w:snapToGrid w:val="0"/>
        <w:spacing w:line="288" w:lineRule="auto"/>
        <w:ind w:left="0" w:firstLine="420"/>
        <w:textAlignment w:val="auto"/>
        <w:rPr>
          <w:color w:val="000000" w:themeColor="text1"/>
          <w:highlight w:val="none"/>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方式：供应商自行登录新疆政府采购网官网，（即：http://www.ccgp-xinjiang.gov.cn/），首页点击“采购公告”，进入项目公告中自行下载《政府采购报名表》、《招标文件》，报名表如实填写后加盖鲜红公章以彩色扫描件形式，于2022年</w:t>
      </w:r>
      <w:r>
        <w:rPr>
          <w:rFonts w:hint="eastAsia" w:ascii="仿宋" w:hAnsi="仿宋" w:eastAsia="仿宋" w:cs="仿宋"/>
          <w:color w:val="000000" w:themeColor="text1"/>
          <w:sz w:val="27"/>
          <w:szCs w:val="27"/>
          <w:highlight w:val="none"/>
          <w:lang w:val="en-US" w:eastAsia="zh-CN"/>
          <w14:textFill>
            <w14:solidFill>
              <w14:schemeClr w14:val="tx1"/>
            </w14:solidFill>
          </w14:textFill>
        </w:rPr>
        <w:t>6</w:t>
      </w:r>
      <w:r>
        <w:rPr>
          <w:rFonts w:hint="eastAsia" w:ascii="仿宋" w:hAnsi="仿宋" w:eastAsia="仿宋" w:cs="仿宋"/>
          <w:color w:val="000000" w:themeColor="text1"/>
          <w:sz w:val="27"/>
          <w:szCs w:val="27"/>
          <w:highlight w:val="none"/>
          <w14:textFill>
            <w14:solidFill>
              <w14:schemeClr w14:val="tx1"/>
            </w14:solidFill>
          </w14:textFill>
        </w:rPr>
        <w:t>月</w:t>
      </w:r>
      <w:r>
        <w:rPr>
          <w:rFonts w:hint="eastAsia" w:ascii="仿宋" w:hAnsi="仿宋" w:eastAsia="仿宋" w:cs="仿宋"/>
          <w:color w:val="000000" w:themeColor="text1"/>
          <w:sz w:val="27"/>
          <w:szCs w:val="27"/>
          <w:highlight w:val="none"/>
          <w:lang w:val="en-US" w:eastAsia="zh-CN"/>
          <w14:textFill>
            <w14:solidFill>
              <w14:schemeClr w14:val="tx1"/>
            </w14:solidFill>
          </w14:textFill>
        </w:rPr>
        <w:t>1</w:t>
      </w:r>
      <w:r>
        <w:rPr>
          <w:rFonts w:hint="eastAsia" w:ascii="仿宋" w:hAnsi="仿宋" w:eastAsia="仿宋" w:cs="仿宋"/>
          <w:color w:val="000000" w:themeColor="text1"/>
          <w:sz w:val="27"/>
          <w:szCs w:val="27"/>
          <w:highlight w:val="none"/>
          <w14:textFill>
            <w14:solidFill>
              <w14:schemeClr w14:val="tx1"/>
            </w14:solidFill>
          </w14:textFill>
        </w:rPr>
        <w:t>日北京时间</w:t>
      </w:r>
      <w:r>
        <w:rPr>
          <w:rFonts w:hint="eastAsia" w:ascii="仿宋" w:hAnsi="仿宋" w:eastAsia="仿宋" w:cs="仿宋"/>
          <w:color w:val="000000" w:themeColor="text1"/>
          <w:sz w:val="27"/>
          <w:szCs w:val="27"/>
          <w:highlight w:val="none"/>
          <w:lang w:val="en-US" w:eastAsia="zh-CN"/>
          <w14:textFill>
            <w14:solidFill>
              <w14:schemeClr w14:val="tx1"/>
            </w14:solidFill>
          </w14:textFill>
        </w:rPr>
        <w:t>23</w:t>
      </w:r>
      <w:r>
        <w:rPr>
          <w:rFonts w:hint="eastAsia" w:ascii="仿宋" w:hAnsi="仿宋" w:eastAsia="仿宋" w:cs="仿宋"/>
          <w:color w:val="000000" w:themeColor="text1"/>
          <w:sz w:val="27"/>
          <w:szCs w:val="27"/>
          <w:highlight w:val="none"/>
          <w14:textFill>
            <w14:solidFill>
              <w14:schemeClr w14:val="tx1"/>
            </w14:solidFill>
          </w14:textFill>
        </w:rPr>
        <w:t>:</w:t>
      </w:r>
      <w:r>
        <w:rPr>
          <w:rFonts w:hint="eastAsia" w:ascii="仿宋" w:hAnsi="仿宋" w:eastAsia="仿宋" w:cs="仿宋"/>
          <w:color w:val="000000" w:themeColor="text1"/>
          <w:sz w:val="27"/>
          <w:szCs w:val="27"/>
          <w:highlight w:val="none"/>
          <w:lang w:val="en-US" w:eastAsia="zh-CN"/>
          <w14:textFill>
            <w14:solidFill>
              <w14:schemeClr w14:val="tx1"/>
            </w14:solidFill>
          </w14:textFill>
        </w:rPr>
        <w:t>59</w:t>
      </w:r>
      <w:r>
        <w:rPr>
          <w:rFonts w:hint="eastAsia" w:ascii="仿宋" w:hAnsi="仿宋" w:eastAsia="仿宋" w:cs="仿宋"/>
          <w:color w:val="000000" w:themeColor="text1"/>
          <w:sz w:val="27"/>
          <w:szCs w:val="27"/>
          <w:highlight w:val="none"/>
          <w14:textFill>
            <w14:solidFill>
              <w14:schemeClr w14:val="tx1"/>
            </w14:solidFill>
          </w14:textFill>
        </w:rPr>
        <w:t>前发送至招标公告中规定的报名电子邮箱，电子邮箱为453142526@qq.com，逾期发送的将拒绝投标。联系人：何馨怡；联系方式：15309910678。</w:t>
      </w:r>
    </w:p>
    <w:p>
      <w:pPr>
        <w:pStyle w:val="18"/>
        <w:keepNext w:val="0"/>
        <w:keepLines w:val="0"/>
        <w:pageBreakBefore w:val="0"/>
        <w:widowControl/>
        <w:suppressLineNumbers w:val="0"/>
        <w:kinsoku/>
        <w:wordWrap/>
        <w:overflowPunct/>
        <w:topLinePunct w:val="0"/>
        <w:autoSpaceDE/>
        <w:autoSpaceDN/>
        <w:bidi w:val="0"/>
        <w:adjustRightInd w:val="0"/>
        <w:snapToGrid w:val="0"/>
        <w:spacing w:line="288" w:lineRule="auto"/>
        <w:ind w:left="0" w:firstLine="420"/>
        <w:textAlignment w:val="auto"/>
        <w:rPr>
          <w:color w:val="000000" w:themeColor="text1"/>
          <w:highlight w:val="none"/>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售价（元）：</w:t>
      </w:r>
      <w:r>
        <w:rPr>
          <w:rFonts w:hint="eastAsia" w:ascii="仿宋" w:hAnsi="仿宋" w:eastAsia="仿宋" w:cs="仿宋"/>
          <w:color w:val="000000" w:themeColor="text1"/>
          <w:sz w:val="27"/>
          <w:szCs w:val="27"/>
          <w:highlight w:val="none"/>
          <w:lang w:val="en-US" w:eastAsia="zh-CN"/>
          <w14:textFill>
            <w14:solidFill>
              <w14:schemeClr w14:val="tx1"/>
            </w14:solidFill>
          </w14:textFill>
        </w:rPr>
        <w:t>200</w:t>
      </w:r>
    </w:p>
    <w:p>
      <w:pPr>
        <w:pStyle w:val="18"/>
        <w:keepNext w:val="0"/>
        <w:keepLines w:val="0"/>
        <w:pageBreakBefore w:val="0"/>
        <w:widowControl/>
        <w:suppressLineNumbers w:val="0"/>
        <w:kinsoku/>
        <w:wordWrap/>
        <w:overflowPunct/>
        <w:topLinePunct w:val="0"/>
        <w:autoSpaceDE/>
        <w:autoSpaceDN/>
        <w:bidi w:val="0"/>
        <w:adjustRightInd w:val="0"/>
        <w:snapToGrid w:val="0"/>
        <w:spacing w:before="255" w:beforeAutospacing="0" w:after="255" w:afterAutospacing="0" w:line="288" w:lineRule="auto"/>
        <w:jc w:val="both"/>
        <w:textAlignment w:val="auto"/>
        <w:rPr>
          <w:rFonts w:ascii="黑体" w:hAnsi="宋体" w:eastAsia="黑体" w:cs="黑体"/>
          <w:color w:val="000000" w:themeColor="text1"/>
          <w:sz w:val="27"/>
          <w:szCs w:val="27"/>
          <w:highlight w:val="none"/>
          <w14:textFill>
            <w14:solidFill>
              <w14:schemeClr w14:val="tx1"/>
            </w14:solidFill>
          </w14:textFill>
        </w:rPr>
      </w:pPr>
      <w:r>
        <w:rPr>
          <w:rStyle w:val="22"/>
          <w:rFonts w:ascii="黑体" w:hAnsi="宋体" w:eastAsia="黑体" w:cs="黑体"/>
          <w:color w:val="000000" w:themeColor="text1"/>
          <w:sz w:val="27"/>
          <w:szCs w:val="27"/>
          <w:highlight w:val="none"/>
          <w14:textFill>
            <w14:solidFill>
              <w14:schemeClr w14:val="tx1"/>
            </w14:solidFill>
          </w14:textFill>
        </w:rPr>
        <w:t>四、提交投标文件截止时间、开标时间和地点</w:t>
      </w:r>
    </w:p>
    <w:p>
      <w:pPr>
        <w:pStyle w:val="18"/>
        <w:keepNext w:val="0"/>
        <w:keepLines w:val="0"/>
        <w:pageBreakBefore w:val="0"/>
        <w:widowControl/>
        <w:suppressLineNumbers w:val="0"/>
        <w:kinsoku/>
        <w:wordWrap/>
        <w:overflowPunct/>
        <w:topLinePunct w:val="0"/>
        <w:autoSpaceDE/>
        <w:autoSpaceDN/>
        <w:bidi w:val="0"/>
        <w:adjustRightInd w:val="0"/>
        <w:snapToGrid w:val="0"/>
        <w:spacing w:line="288" w:lineRule="auto"/>
        <w:ind w:left="0" w:firstLine="420"/>
        <w:textAlignment w:val="auto"/>
        <w:rPr>
          <w:color w:val="000000" w:themeColor="text1"/>
          <w:highlight w:val="none"/>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提交投标文件截止时间：202</w:t>
      </w:r>
      <w:r>
        <w:rPr>
          <w:rFonts w:hint="eastAsia" w:ascii="仿宋" w:hAnsi="仿宋" w:eastAsia="仿宋" w:cs="仿宋"/>
          <w:color w:val="000000" w:themeColor="text1"/>
          <w:sz w:val="27"/>
          <w:szCs w:val="27"/>
          <w:highlight w:val="none"/>
          <w:lang w:val="en-US" w:eastAsia="zh-CN"/>
          <w14:textFill>
            <w14:solidFill>
              <w14:schemeClr w14:val="tx1"/>
            </w14:solidFill>
          </w14:textFill>
        </w:rPr>
        <w:t>2</w:t>
      </w:r>
      <w:r>
        <w:rPr>
          <w:rFonts w:hint="eastAsia" w:ascii="仿宋" w:hAnsi="仿宋" w:eastAsia="仿宋" w:cs="仿宋"/>
          <w:color w:val="000000" w:themeColor="text1"/>
          <w:sz w:val="27"/>
          <w:szCs w:val="27"/>
          <w:highlight w:val="none"/>
          <w14:textFill>
            <w14:solidFill>
              <w14:schemeClr w14:val="tx1"/>
            </w14:solidFill>
          </w14:textFill>
        </w:rPr>
        <w:t>年</w:t>
      </w:r>
      <w:r>
        <w:rPr>
          <w:rFonts w:hint="eastAsia" w:ascii="仿宋" w:hAnsi="仿宋" w:eastAsia="仿宋" w:cs="仿宋"/>
          <w:color w:val="000000" w:themeColor="text1"/>
          <w:sz w:val="27"/>
          <w:szCs w:val="27"/>
          <w:highlight w:val="none"/>
          <w:lang w:val="en-US" w:eastAsia="zh-CN"/>
          <w14:textFill>
            <w14:solidFill>
              <w14:schemeClr w14:val="tx1"/>
            </w14:solidFill>
          </w14:textFill>
        </w:rPr>
        <w:t>6</w:t>
      </w:r>
      <w:r>
        <w:rPr>
          <w:rFonts w:hint="eastAsia" w:ascii="仿宋" w:hAnsi="仿宋" w:eastAsia="仿宋" w:cs="仿宋"/>
          <w:color w:val="000000" w:themeColor="text1"/>
          <w:sz w:val="27"/>
          <w:szCs w:val="27"/>
          <w:highlight w:val="none"/>
          <w14:textFill>
            <w14:solidFill>
              <w14:schemeClr w14:val="tx1"/>
            </w14:solidFill>
          </w14:textFill>
        </w:rPr>
        <w:t>月</w:t>
      </w:r>
      <w:r>
        <w:rPr>
          <w:rFonts w:hint="eastAsia" w:ascii="仿宋" w:hAnsi="仿宋" w:eastAsia="仿宋" w:cs="仿宋"/>
          <w:color w:val="000000" w:themeColor="text1"/>
          <w:sz w:val="27"/>
          <w:szCs w:val="27"/>
          <w:highlight w:val="none"/>
          <w:lang w:val="en-US" w:eastAsia="zh-CN"/>
          <w14:textFill>
            <w14:solidFill>
              <w14:schemeClr w14:val="tx1"/>
            </w14:solidFill>
          </w14:textFill>
        </w:rPr>
        <w:t>14</w:t>
      </w:r>
      <w:r>
        <w:rPr>
          <w:rFonts w:hint="eastAsia" w:ascii="仿宋" w:hAnsi="仿宋" w:eastAsia="仿宋" w:cs="仿宋"/>
          <w:color w:val="000000" w:themeColor="text1"/>
          <w:sz w:val="27"/>
          <w:szCs w:val="27"/>
          <w:highlight w:val="none"/>
          <w14:textFill>
            <w14:solidFill>
              <w14:schemeClr w14:val="tx1"/>
            </w14:solidFill>
          </w14:textFill>
        </w:rPr>
        <w:t>日</w:t>
      </w:r>
      <w:r>
        <w:rPr>
          <w:rFonts w:hint="eastAsia" w:ascii="仿宋" w:hAnsi="仿宋" w:eastAsia="仿宋" w:cs="仿宋"/>
          <w:color w:val="000000" w:themeColor="text1"/>
          <w:sz w:val="27"/>
          <w:szCs w:val="27"/>
          <w:highlight w:val="none"/>
          <w:lang w:val="en-US" w:eastAsia="zh-CN"/>
          <w14:textFill>
            <w14:solidFill>
              <w14:schemeClr w14:val="tx1"/>
            </w14:solidFill>
          </w14:textFill>
        </w:rPr>
        <w:t>上</w:t>
      </w:r>
      <w:r>
        <w:rPr>
          <w:rFonts w:hint="eastAsia" w:ascii="仿宋" w:hAnsi="仿宋" w:eastAsia="仿宋" w:cs="仿宋"/>
          <w:color w:val="000000" w:themeColor="text1"/>
          <w:sz w:val="27"/>
          <w:szCs w:val="27"/>
          <w:highlight w:val="none"/>
          <w14:textFill>
            <w14:solidFill>
              <w14:schemeClr w14:val="tx1"/>
            </w14:solidFill>
          </w14:textFill>
        </w:rPr>
        <w:t>午1</w:t>
      </w:r>
      <w:r>
        <w:rPr>
          <w:rFonts w:hint="eastAsia" w:ascii="仿宋" w:hAnsi="仿宋" w:eastAsia="仿宋" w:cs="仿宋"/>
          <w:color w:val="000000" w:themeColor="text1"/>
          <w:sz w:val="27"/>
          <w:szCs w:val="27"/>
          <w:highlight w:val="none"/>
          <w:lang w:val="en-US" w:eastAsia="zh-CN"/>
          <w14:textFill>
            <w14:solidFill>
              <w14:schemeClr w14:val="tx1"/>
            </w14:solidFill>
          </w14:textFill>
        </w:rPr>
        <w:t>1</w:t>
      </w:r>
      <w:r>
        <w:rPr>
          <w:rFonts w:hint="eastAsia" w:ascii="仿宋" w:hAnsi="仿宋" w:eastAsia="仿宋" w:cs="仿宋"/>
          <w:color w:val="000000" w:themeColor="text1"/>
          <w:sz w:val="27"/>
          <w:szCs w:val="27"/>
          <w:highlight w:val="none"/>
          <w14:textFill>
            <w14:solidFill>
              <w14:schemeClr w14:val="tx1"/>
            </w14:solidFill>
          </w14:textFill>
        </w:rPr>
        <w:t>:00（北京时间）</w:t>
      </w:r>
    </w:p>
    <w:p>
      <w:pPr>
        <w:pStyle w:val="18"/>
        <w:keepNext w:val="0"/>
        <w:keepLines w:val="0"/>
        <w:pageBreakBefore w:val="0"/>
        <w:widowControl/>
        <w:suppressLineNumbers w:val="0"/>
        <w:kinsoku/>
        <w:wordWrap/>
        <w:overflowPunct/>
        <w:topLinePunct w:val="0"/>
        <w:autoSpaceDE/>
        <w:autoSpaceDN/>
        <w:bidi w:val="0"/>
        <w:adjustRightInd w:val="0"/>
        <w:snapToGrid w:val="0"/>
        <w:spacing w:line="288" w:lineRule="auto"/>
        <w:ind w:left="0" w:firstLine="420"/>
        <w:textAlignment w:val="auto"/>
        <w:rPr>
          <w:rFonts w:hint="eastAsia" w:eastAsia="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投标地点：</w:t>
      </w:r>
      <w:r>
        <w:rPr>
          <w:rFonts w:hint="eastAsia" w:ascii="仿宋" w:hAnsi="仿宋" w:eastAsia="仿宋" w:cs="仿宋"/>
          <w:color w:val="000000" w:themeColor="text1"/>
          <w:sz w:val="27"/>
          <w:szCs w:val="27"/>
          <w:highlight w:val="none"/>
          <w:lang w:eastAsia="zh-CN"/>
          <w14:textFill>
            <w14:solidFill>
              <w14:schemeClr w14:val="tx1"/>
            </w14:solidFill>
          </w14:textFill>
        </w:rPr>
        <w:t>和田县行政服务和公共资源交易中心（和田县经济新区昌盛路）</w:t>
      </w:r>
    </w:p>
    <w:p>
      <w:pPr>
        <w:pStyle w:val="18"/>
        <w:keepNext w:val="0"/>
        <w:keepLines w:val="0"/>
        <w:pageBreakBefore w:val="0"/>
        <w:widowControl/>
        <w:suppressLineNumbers w:val="0"/>
        <w:kinsoku/>
        <w:wordWrap/>
        <w:overflowPunct/>
        <w:topLinePunct w:val="0"/>
        <w:autoSpaceDE/>
        <w:autoSpaceDN/>
        <w:bidi w:val="0"/>
        <w:adjustRightInd w:val="0"/>
        <w:snapToGrid w:val="0"/>
        <w:spacing w:line="288" w:lineRule="auto"/>
        <w:ind w:left="0" w:firstLine="420"/>
        <w:textAlignment w:val="auto"/>
        <w:rPr>
          <w:color w:val="000000" w:themeColor="text1"/>
          <w:highlight w:val="none"/>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开标时间：202</w:t>
      </w:r>
      <w:r>
        <w:rPr>
          <w:rFonts w:hint="eastAsia" w:ascii="仿宋" w:hAnsi="仿宋" w:eastAsia="仿宋" w:cs="仿宋"/>
          <w:color w:val="000000" w:themeColor="text1"/>
          <w:sz w:val="27"/>
          <w:szCs w:val="27"/>
          <w:highlight w:val="none"/>
          <w:lang w:val="en-US" w:eastAsia="zh-CN"/>
          <w14:textFill>
            <w14:solidFill>
              <w14:schemeClr w14:val="tx1"/>
            </w14:solidFill>
          </w14:textFill>
        </w:rPr>
        <w:t>2</w:t>
      </w:r>
      <w:r>
        <w:rPr>
          <w:rFonts w:hint="eastAsia" w:ascii="仿宋" w:hAnsi="仿宋" w:eastAsia="仿宋" w:cs="仿宋"/>
          <w:color w:val="000000" w:themeColor="text1"/>
          <w:sz w:val="27"/>
          <w:szCs w:val="27"/>
          <w:highlight w:val="none"/>
          <w14:textFill>
            <w14:solidFill>
              <w14:schemeClr w14:val="tx1"/>
            </w14:solidFill>
          </w14:textFill>
        </w:rPr>
        <w:t>年</w:t>
      </w:r>
      <w:r>
        <w:rPr>
          <w:rFonts w:hint="eastAsia" w:ascii="仿宋" w:hAnsi="仿宋" w:eastAsia="仿宋" w:cs="仿宋"/>
          <w:color w:val="000000" w:themeColor="text1"/>
          <w:sz w:val="27"/>
          <w:szCs w:val="27"/>
          <w:highlight w:val="none"/>
          <w:lang w:val="en-US" w:eastAsia="zh-CN"/>
          <w14:textFill>
            <w14:solidFill>
              <w14:schemeClr w14:val="tx1"/>
            </w14:solidFill>
          </w14:textFill>
        </w:rPr>
        <w:t>6</w:t>
      </w:r>
      <w:r>
        <w:rPr>
          <w:rFonts w:hint="eastAsia" w:ascii="仿宋" w:hAnsi="仿宋" w:eastAsia="仿宋" w:cs="仿宋"/>
          <w:color w:val="000000" w:themeColor="text1"/>
          <w:sz w:val="27"/>
          <w:szCs w:val="27"/>
          <w:highlight w:val="none"/>
          <w14:textFill>
            <w14:solidFill>
              <w14:schemeClr w14:val="tx1"/>
            </w14:solidFill>
          </w14:textFill>
        </w:rPr>
        <w:t>月</w:t>
      </w:r>
      <w:r>
        <w:rPr>
          <w:rFonts w:hint="eastAsia" w:ascii="仿宋" w:hAnsi="仿宋" w:eastAsia="仿宋" w:cs="仿宋"/>
          <w:color w:val="000000" w:themeColor="text1"/>
          <w:sz w:val="27"/>
          <w:szCs w:val="27"/>
          <w:highlight w:val="none"/>
          <w:lang w:val="en-US" w:eastAsia="zh-CN"/>
          <w14:textFill>
            <w14:solidFill>
              <w14:schemeClr w14:val="tx1"/>
            </w14:solidFill>
          </w14:textFill>
        </w:rPr>
        <w:t>14</w:t>
      </w:r>
      <w:r>
        <w:rPr>
          <w:rFonts w:hint="eastAsia" w:ascii="仿宋" w:hAnsi="仿宋" w:eastAsia="仿宋" w:cs="仿宋"/>
          <w:color w:val="000000" w:themeColor="text1"/>
          <w:sz w:val="27"/>
          <w:szCs w:val="27"/>
          <w:highlight w:val="none"/>
          <w14:textFill>
            <w14:solidFill>
              <w14:schemeClr w14:val="tx1"/>
            </w14:solidFill>
          </w14:textFill>
        </w:rPr>
        <w:t>日</w:t>
      </w:r>
      <w:r>
        <w:rPr>
          <w:rFonts w:hint="eastAsia" w:ascii="仿宋" w:hAnsi="仿宋" w:eastAsia="仿宋" w:cs="仿宋"/>
          <w:color w:val="000000" w:themeColor="text1"/>
          <w:sz w:val="27"/>
          <w:szCs w:val="27"/>
          <w:highlight w:val="none"/>
          <w:lang w:val="en-US" w:eastAsia="zh-CN"/>
          <w14:textFill>
            <w14:solidFill>
              <w14:schemeClr w14:val="tx1"/>
            </w14:solidFill>
          </w14:textFill>
        </w:rPr>
        <w:t>上</w:t>
      </w:r>
      <w:r>
        <w:rPr>
          <w:rFonts w:hint="eastAsia" w:ascii="仿宋" w:hAnsi="仿宋" w:eastAsia="仿宋" w:cs="仿宋"/>
          <w:color w:val="000000" w:themeColor="text1"/>
          <w:sz w:val="27"/>
          <w:szCs w:val="27"/>
          <w:highlight w:val="none"/>
          <w14:textFill>
            <w14:solidFill>
              <w14:schemeClr w14:val="tx1"/>
            </w14:solidFill>
          </w14:textFill>
        </w:rPr>
        <w:t>午1</w:t>
      </w:r>
      <w:r>
        <w:rPr>
          <w:rFonts w:hint="eastAsia" w:ascii="仿宋" w:hAnsi="仿宋" w:eastAsia="仿宋" w:cs="仿宋"/>
          <w:color w:val="000000" w:themeColor="text1"/>
          <w:sz w:val="27"/>
          <w:szCs w:val="27"/>
          <w:highlight w:val="none"/>
          <w:lang w:val="en-US" w:eastAsia="zh-CN"/>
          <w14:textFill>
            <w14:solidFill>
              <w14:schemeClr w14:val="tx1"/>
            </w14:solidFill>
          </w14:textFill>
        </w:rPr>
        <w:t>1</w:t>
      </w:r>
      <w:r>
        <w:rPr>
          <w:rFonts w:hint="eastAsia" w:ascii="仿宋" w:hAnsi="仿宋" w:eastAsia="仿宋" w:cs="仿宋"/>
          <w:color w:val="000000" w:themeColor="text1"/>
          <w:sz w:val="27"/>
          <w:szCs w:val="27"/>
          <w:highlight w:val="none"/>
          <w14:textFill>
            <w14:solidFill>
              <w14:schemeClr w14:val="tx1"/>
            </w14:solidFill>
          </w14:textFill>
        </w:rPr>
        <w:t>:00（北京时间）</w:t>
      </w:r>
    </w:p>
    <w:p>
      <w:pPr>
        <w:pStyle w:val="18"/>
        <w:keepNext w:val="0"/>
        <w:keepLines w:val="0"/>
        <w:pageBreakBefore w:val="0"/>
        <w:widowControl/>
        <w:suppressLineNumbers w:val="0"/>
        <w:kinsoku/>
        <w:wordWrap/>
        <w:overflowPunct/>
        <w:topLinePunct w:val="0"/>
        <w:autoSpaceDE/>
        <w:autoSpaceDN/>
        <w:bidi w:val="0"/>
        <w:adjustRightInd w:val="0"/>
        <w:snapToGrid w:val="0"/>
        <w:spacing w:line="288" w:lineRule="auto"/>
        <w:ind w:left="0" w:firstLine="420"/>
        <w:textAlignment w:val="auto"/>
        <w:rPr>
          <w:rFonts w:hint="eastAsia" w:ascii="仿宋" w:hAnsi="仿宋" w:eastAsia="仿宋" w:cs="仿宋"/>
          <w:color w:val="000000" w:themeColor="text1"/>
          <w:sz w:val="27"/>
          <w:szCs w:val="27"/>
          <w:highlight w:val="none"/>
          <w:lang w:eastAsia="zh-CN"/>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开标地点：</w:t>
      </w:r>
      <w:r>
        <w:rPr>
          <w:rFonts w:hint="eastAsia" w:ascii="仿宋" w:hAnsi="仿宋" w:eastAsia="仿宋" w:cs="仿宋"/>
          <w:color w:val="000000" w:themeColor="text1"/>
          <w:sz w:val="27"/>
          <w:szCs w:val="27"/>
          <w:highlight w:val="none"/>
          <w:lang w:eastAsia="zh-CN"/>
          <w14:textFill>
            <w14:solidFill>
              <w14:schemeClr w14:val="tx1"/>
            </w14:solidFill>
          </w14:textFill>
        </w:rPr>
        <w:t>和田县行政服务和公共资源交易中心（和田县经济新区昌盛路）</w:t>
      </w:r>
    </w:p>
    <w:p>
      <w:pPr>
        <w:pStyle w:val="18"/>
        <w:keepNext w:val="0"/>
        <w:keepLines w:val="0"/>
        <w:pageBreakBefore w:val="0"/>
        <w:widowControl/>
        <w:suppressLineNumbers w:val="0"/>
        <w:kinsoku/>
        <w:wordWrap/>
        <w:overflowPunct/>
        <w:topLinePunct w:val="0"/>
        <w:autoSpaceDE/>
        <w:autoSpaceDN/>
        <w:bidi w:val="0"/>
        <w:adjustRightInd w:val="0"/>
        <w:snapToGrid w:val="0"/>
        <w:spacing w:before="255" w:beforeAutospacing="0" w:after="255" w:afterAutospacing="0" w:line="288" w:lineRule="auto"/>
        <w:jc w:val="both"/>
        <w:textAlignment w:val="auto"/>
        <w:rPr>
          <w:rFonts w:ascii="黑体" w:hAnsi="宋体" w:eastAsia="黑体" w:cs="黑体"/>
          <w:color w:val="000000" w:themeColor="text1"/>
          <w:sz w:val="31"/>
          <w:szCs w:val="31"/>
          <w:highlight w:val="none"/>
          <w14:textFill>
            <w14:solidFill>
              <w14:schemeClr w14:val="tx1"/>
            </w14:solidFill>
          </w14:textFill>
        </w:rPr>
      </w:pPr>
      <w:r>
        <w:rPr>
          <w:rStyle w:val="22"/>
          <w:rFonts w:ascii="黑体" w:hAnsi="宋体" w:eastAsia="黑体" w:cs="黑体"/>
          <w:color w:val="000000" w:themeColor="text1"/>
          <w:sz w:val="27"/>
          <w:szCs w:val="27"/>
          <w:highlight w:val="none"/>
          <w14:textFill>
            <w14:solidFill>
              <w14:schemeClr w14:val="tx1"/>
            </w14:solidFill>
          </w14:textFill>
        </w:rPr>
        <w:t>五、公告期限</w:t>
      </w:r>
    </w:p>
    <w:p>
      <w:pPr>
        <w:pStyle w:val="18"/>
        <w:keepNext w:val="0"/>
        <w:keepLines w:val="0"/>
        <w:pageBreakBefore w:val="0"/>
        <w:widowControl/>
        <w:suppressLineNumbers w:val="0"/>
        <w:kinsoku/>
        <w:wordWrap/>
        <w:overflowPunct/>
        <w:topLinePunct w:val="0"/>
        <w:autoSpaceDE/>
        <w:autoSpaceDN/>
        <w:bidi w:val="0"/>
        <w:adjustRightInd w:val="0"/>
        <w:snapToGrid w:val="0"/>
        <w:spacing w:line="288" w:lineRule="auto"/>
        <w:ind w:left="0" w:firstLine="420"/>
        <w:textAlignment w:val="auto"/>
        <w:rPr>
          <w:color w:val="000000" w:themeColor="text1"/>
          <w:highlight w:val="none"/>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自本公告发布之日起5个工作日。</w:t>
      </w:r>
    </w:p>
    <w:p>
      <w:pPr>
        <w:pStyle w:val="18"/>
        <w:keepNext w:val="0"/>
        <w:keepLines w:val="0"/>
        <w:pageBreakBefore w:val="0"/>
        <w:widowControl/>
        <w:suppressLineNumbers w:val="0"/>
        <w:kinsoku/>
        <w:wordWrap/>
        <w:overflowPunct/>
        <w:topLinePunct w:val="0"/>
        <w:autoSpaceDE/>
        <w:autoSpaceDN/>
        <w:bidi w:val="0"/>
        <w:adjustRightInd w:val="0"/>
        <w:snapToGrid w:val="0"/>
        <w:spacing w:before="255" w:beforeAutospacing="0" w:after="255" w:afterAutospacing="0" w:line="288" w:lineRule="auto"/>
        <w:jc w:val="both"/>
        <w:textAlignment w:val="auto"/>
        <w:rPr>
          <w:rFonts w:ascii="黑体" w:hAnsi="宋体" w:eastAsia="黑体" w:cs="黑体"/>
          <w:color w:val="000000" w:themeColor="text1"/>
          <w:sz w:val="27"/>
          <w:szCs w:val="27"/>
          <w:highlight w:val="none"/>
          <w14:textFill>
            <w14:solidFill>
              <w14:schemeClr w14:val="tx1"/>
            </w14:solidFill>
          </w14:textFill>
        </w:rPr>
      </w:pPr>
      <w:r>
        <w:rPr>
          <w:rStyle w:val="22"/>
          <w:rFonts w:ascii="黑体" w:hAnsi="宋体" w:eastAsia="黑体" w:cs="黑体"/>
          <w:color w:val="000000" w:themeColor="text1"/>
          <w:sz w:val="27"/>
          <w:szCs w:val="27"/>
          <w:highlight w:val="none"/>
          <w14:textFill>
            <w14:solidFill>
              <w14:schemeClr w14:val="tx1"/>
            </w14:solidFill>
          </w14:textFill>
        </w:rPr>
        <w:t>六、其他补充事宜</w:t>
      </w:r>
    </w:p>
    <w:p>
      <w:pPr>
        <w:pStyle w:val="18"/>
        <w:keepNext w:val="0"/>
        <w:keepLines w:val="0"/>
        <w:pageBreakBefore w:val="0"/>
        <w:widowControl/>
        <w:suppressLineNumbers w:val="0"/>
        <w:kinsoku/>
        <w:wordWrap/>
        <w:overflowPunct/>
        <w:topLinePunct w:val="0"/>
        <w:autoSpaceDE/>
        <w:autoSpaceDN/>
        <w:bidi w:val="0"/>
        <w:adjustRightInd w:val="0"/>
        <w:snapToGrid w:val="0"/>
        <w:spacing w:line="288" w:lineRule="auto"/>
        <w:ind w:left="0" w:firstLine="420"/>
        <w:textAlignment w:val="auto"/>
        <w:rPr>
          <w:rFonts w:hint="eastAsia" w:ascii="仿宋" w:hAnsi="仿宋" w:eastAsia="仿宋" w:cs="仿宋"/>
          <w:color w:val="000000" w:themeColor="text1"/>
          <w:sz w:val="27"/>
          <w:szCs w:val="27"/>
          <w:highlight w:val="none"/>
          <w:lang w:eastAsia="zh-CN"/>
          <w14:textFill>
            <w14:solidFill>
              <w14:schemeClr w14:val="tx1"/>
            </w14:solidFill>
          </w14:textFill>
        </w:rPr>
      </w:pPr>
      <w:r>
        <w:rPr>
          <w:rFonts w:hint="eastAsia" w:ascii="仿宋" w:hAnsi="仿宋" w:eastAsia="仿宋" w:cs="仿宋"/>
          <w:color w:val="000000" w:themeColor="text1"/>
          <w:sz w:val="27"/>
          <w:szCs w:val="27"/>
          <w:highlight w:val="none"/>
          <w:lang w:val="en-US" w:eastAsia="zh-CN"/>
          <w14:textFill>
            <w14:solidFill>
              <w14:schemeClr w14:val="tx1"/>
            </w14:solidFill>
          </w14:textFill>
        </w:rPr>
        <w:t>无</w:t>
      </w:r>
    </w:p>
    <w:p>
      <w:pPr>
        <w:pStyle w:val="18"/>
        <w:keepNext w:val="0"/>
        <w:keepLines w:val="0"/>
        <w:pageBreakBefore w:val="0"/>
        <w:widowControl/>
        <w:suppressLineNumbers w:val="0"/>
        <w:kinsoku/>
        <w:wordWrap/>
        <w:overflowPunct/>
        <w:topLinePunct w:val="0"/>
        <w:autoSpaceDE/>
        <w:autoSpaceDN/>
        <w:bidi w:val="0"/>
        <w:adjustRightInd w:val="0"/>
        <w:snapToGrid w:val="0"/>
        <w:spacing w:before="255" w:beforeAutospacing="0" w:after="255" w:afterAutospacing="0" w:line="288" w:lineRule="auto"/>
        <w:jc w:val="both"/>
        <w:textAlignment w:val="auto"/>
        <w:rPr>
          <w:rFonts w:ascii="黑体" w:hAnsi="宋体" w:eastAsia="黑体" w:cs="黑体"/>
          <w:color w:val="000000" w:themeColor="text1"/>
          <w:sz w:val="31"/>
          <w:szCs w:val="31"/>
          <w:highlight w:val="none"/>
          <w14:textFill>
            <w14:solidFill>
              <w14:schemeClr w14:val="tx1"/>
            </w14:solidFill>
          </w14:textFill>
        </w:rPr>
      </w:pPr>
      <w:r>
        <w:rPr>
          <w:rStyle w:val="22"/>
          <w:rFonts w:ascii="黑体" w:hAnsi="宋体" w:eastAsia="黑体" w:cs="黑体"/>
          <w:color w:val="000000" w:themeColor="text1"/>
          <w:sz w:val="27"/>
          <w:szCs w:val="27"/>
          <w:highlight w:val="none"/>
          <w14:textFill>
            <w14:solidFill>
              <w14:schemeClr w14:val="tx1"/>
            </w14:solidFill>
          </w14:textFill>
        </w:rPr>
        <w:t>七、对本次采购提出询问，请按以下方式联系</w:t>
      </w:r>
    </w:p>
    <w:p>
      <w:pPr>
        <w:pStyle w:val="18"/>
        <w:keepNext w:val="0"/>
        <w:keepLines w:val="0"/>
        <w:pageBreakBefore w:val="0"/>
        <w:widowControl/>
        <w:suppressLineNumbers w:val="0"/>
        <w:kinsoku/>
        <w:wordWrap/>
        <w:overflowPunct/>
        <w:topLinePunct w:val="0"/>
        <w:autoSpaceDE/>
        <w:autoSpaceDN/>
        <w:bidi w:val="0"/>
        <w:adjustRightInd w:val="0"/>
        <w:snapToGrid w:val="0"/>
        <w:spacing w:line="288" w:lineRule="auto"/>
        <w:ind w:left="0" w:firstLine="42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1.采购人信息</w:t>
      </w:r>
    </w:p>
    <w:p>
      <w:pPr>
        <w:pStyle w:val="18"/>
        <w:keepNext w:val="0"/>
        <w:keepLines w:val="0"/>
        <w:pageBreakBefore w:val="0"/>
        <w:widowControl/>
        <w:suppressLineNumbers w:val="0"/>
        <w:kinsoku/>
        <w:wordWrap/>
        <w:overflowPunct/>
        <w:topLinePunct w:val="0"/>
        <w:autoSpaceDE/>
        <w:autoSpaceDN/>
        <w:bidi w:val="0"/>
        <w:adjustRightInd w:val="0"/>
        <w:snapToGrid w:val="0"/>
        <w:spacing w:line="288" w:lineRule="auto"/>
        <w:ind w:left="0" w:firstLine="420"/>
        <w:textAlignment w:val="auto"/>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名 称：</w:t>
      </w:r>
      <w:r>
        <w:rPr>
          <w:rStyle w:val="24"/>
          <w:rFonts w:hint="eastAsia" w:ascii="仿宋" w:hAnsi="仿宋" w:eastAsia="仿宋" w:cs="仿宋"/>
          <w:color w:val="000000" w:themeColor="text1"/>
          <w:sz w:val="27"/>
          <w:szCs w:val="27"/>
          <w:highlight w:val="none"/>
          <w:lang w:val="en-US" w:eastAsia="zh-CN"/>
          <w14:textFill>
            <w14:solidFill>
              <w14:schemeClr w14:val="tx1"/>
            </w14:solidFill>
          </w14:textFill>
        </w:rPr>
        <w:t>和田县人民医院</w:t>
      </w:r>
    </w:p>
    <w:p>
      <w:pPr>
        <w:pStyle w:val="18"/>
        <w:keepNext w:val="0"/>
        <w:keepLines w:val="0"/>
        <w:pageBreakBefore w:val="0"/>
        <w:widowControl/>
        <w:suppressLineNumbers w:val="0"/>
        <w:kinsoku/>
        <w:wordWrap/>
        <w:overflowPunct/>
        <w:topLinePunct w:val="0"/>
        <w:autoSpaceDE/>
        <w:autoSpaceDN/>
        <w:bidi w:val="0"/>
        <w:adjustRightInd w:val="0"/>
        <w:snapToGrid w:val="0"/>
        <w:spacing w:line="288" w:lineRule="auto"/>
        <w:ind w:left="0" w:firstLine="420"/>
        <w:textAlignment w:val="auto"/>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地 址：</w:t>
      </w:r>
      <w:r>
        <w:rPr>
          <w:rFonts w:hint="eastAsia" w:ascii="仿宋" w:hAnsi="仿宋" w:eastAsia="仿宋" w:cs="仿宋"/>
          <w:color w:val="000000" w:themeColor="text1"/>
          <w:sz w:val="27"/>
          <w:szCs w:val="27"/>
          <w:highlight w:val="none"/>
          <w:lang w:val="en-US" w:eastAsia="zh-CN"/>
          <w14:textFill>
            <w14:solidFill>
              <w14:schemeClr w14:val="tx1"/>
            </w14:solidFill>
          </w14:textFill>
        </w:rPr>
        <w:t>和田市迎宾路517</w:t>
      </w:r>
    </w:p>
    <w:p>
      <w:pPr>
        <w:pStyle w:val="18"/>
        <w:keepNext w:val="0"/>
        <w:keepLines w:val="0"/>
        <w:pageBreakBefore w:val="0"/>
        <w:widowControl/>
        <w:suppressLineNumbers w:val="0"/>
        <w:kinsoku/>
        <w:wordWrap/>
        <w:overflowPunct/>
        <w:topLinePunct w:val="0"/>
        <w:autoSpaceDE/>
        <w:autoSpaceDN/>
        <w:bidi w:val="0"/>
        <w:adjustRightInd w:val="0"/>
        <w:snapToGrid w:val="0"/>
        <w:spacing w:line="288" w:lineRule="auto"/>
        <w:ind w:left="0" w:firstLine="420"/>
        <w:textAlignment w:val="auto"/>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联系方式：</w:t>
      </w:r>
      <w:r>
        <w:rPr>
          <w:rFonts w:hint="eastAsia" w:ascii="仿宋" w:hAnsi="仿宋" w:eastAsia="仿宋" w:cs="仿宋"/>
          <w:color w:val="000000" w:themeColor="text1"/>
          <w:sz w:val="27"/>
          <w:szCs w:val="27"/>
          <w:highlight w:val="none"/>
          <w:lang w:val="en-US" w:eastAsia="zh-CN"/>
          <w14:textFill>
            <w14:solidFill>
              <w14:schemeClr w14:val="tx1"/>
            </w14:solidFill>
          </w14:textFill>
        </w:rPr>
        <w:t>0903-2052275</w:t>
      </w:r>
    </w:p>
    <w:p>
      <w:pPr>
        <w:pStyle w:val="18"/>
        <w:keepNext w:val="0"/>
        <w:keepLines w:val="0"/>
        <w:pageBreakBefore w:val="0"/>
        <w:widowControl/>
        <w:suppressLineNumbers w:val="0"/>
        <w:kinsoku/>
        <w:wordWrap/>
        <w:overflowPunct/>
        <w:topLinePunct w:val="0"/>
        <w:autoSpaceDE/>
        <w:autoSpaceDN/>
        <w:bidi w:val="0"/>
        <w:adjustRightInd w:val="0"/>
        <w:snapToGrid w:val="0"/>
        <w:spacing w:line="288" w:lineRule="auto"/>
        <w:ind w:left="0" w:firstLine="42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2.采购代理机构信息</w:t>
      </w:r>
    </w:p>
    <w:p>
      <w:pPr>
        <w:pStyle w:val="18"/>
        <w:keepNext w:val="0"/>
        <w:keepLines w:val="0"/>
        <w:pageBreakBefore w:val="0"/>
        <w:widowControl/>
        <w:suppressLineNumbers w:val="0"/>
        <w:kinsoku/>
        <w:wordWrap/>
        <w:overflowPunct/>
        <w:topLinePunct w:val="0"/>
        <w:autoSpaceDE/>
        <w:autoSpaceDN/>
        <w:bidi w:val="0"/>
        <w:adjustRightInd w:val="0"/>
        <w:snapToGrid w:val="0"/>
        <w:spacing w:line="288" w:lineRule="auto"/>
        <w:ind w:left="0" w:firstLine="42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名 称：新疆浩诚致远项目管理咨询有限公司</w:t>
      </w:r>
    </w:p>
    <w:p>
      <w:pPr>
        <w:pStyle w:val="18"/>
        <w:keepNext w:val="0"/>
        <w:keepLines w:val="0"/>
        <w:pageBreakBefore w:val="0"/>
        <w:widowControl/>
        <w:suppressLineNumbers w:val="0"/>
        <w:kinsoku/>
        <w:wordWrap/>
        <w:overflowPunct/>
        <w:topLinePunct w:val="0"/>
        <w:autoSpaceDE/>
        <w:autoSpaceDN/>
        <w:bidi w:val="0"/>
        <w:adjustRightInd w:val="0"/>
        <w:snapToGrid w:val="0"/>
        <w:spacing w:line="288" w:lineRule="auto"/>
        <w:ind w:left="0" w:firstLine="42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地 址：和田市屯垦路墩库卡社区631号</w:t>
      </w:r>
    </w:p>
    <w:p>
      <w:pPr>
        <w:pStyle w:val="18"/>
        <w:keepNext w:val="0"/>
        <w:keepLines w:val="0"/>
        <w:pageBreakBefore w:val="0"/>
        <w:widowControl/>
        <w:suppressLineNumbers w:val="0"/>
        <w:kinsoku/>
        <w:wordWrap/>
        <w:overflowPunct/>
        <w:topLinePunct w:val="0"/>
        <w:autoSpaceDE/>
        <w:autoSpaceDN/>
        <w:bidi w:val="0"/>
        <w:adjustRightInd w:val="0"/>
        <w:snapToGrid w:val="0"/>
        <w:spacing w:line="288" w:lineRule="auto"/>
        <w:ind w:left="0" w:firstLine="420"/>
        <w:textAlignment w:val="auto"/>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联系方式：</w:t>
      </w:r>
      <w:r>
        <w:rPr>
          <w:rFonts w:hint="eastAsia" w:ascii="仿宋" w:hAnsi="仿宋" w:eastAsia="仿宋" w:cs="仿宋"/>
          <w:color w:val="000000" w:themeColor="text1"/>
          <w:sz w:val="27"/>
          <w:szCs w:val="27"/>
          <w:highlight w:val="none"/>
          <w:lang w:val="en-US" w:eastAsia="zh-CN"/>
          <w14:textFill>
            <w14:solidFill>
              <w14:schemeClr w14:val="tx1"/>
            </w14:solidFill>
          </w14:textFill>
        </w:rPr>
        <w:t>0903-2099765</w:t>
      </w:r>
    </w:p>
    <w:p>
      <w:pPr>
        <w:pStyle w:val="18"/>
        <w:keepNext w:val="0"/>
        <w:keepLines w:val="0"/>
        <w:pageBreakBefore w:val="0"/>
        <w:widowControl/>
        <w:suppressLineNumbers w:val="0"/>
        <w:kinsoku/>
        <w:wordWrap/>
        <w:overflowPunct/>
        <w:topLinePunct w:val="0"/>
        <w:autoSpaceDE/>
        <w:autoSpaceDN/>
        <w:bidi w:val="0"/>
        <w:adjustRightInd w:val="0"/>
        <w:snapToGrid w:val="0"/>
        <w:spacing w:line="288" w:lineRule="auto"/>
        <w:ind w:left="0" w:firstLine="42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3.项目联系方式</w:t>
      </w:r>
    </w:p>
    <w:p>
      <w:pPr>
        <w:pStyle w:val="18"/>
        <w:keepNext w:val="0"/>
        <w:keepLines w:val="0"/>
        <w:pageBreakBefore w:val="0"/>
        <w:widowControl/>
        <w:suppressLineNumbers w:val="0"/>
        <w:kinsoku/>
        <w:wordWrap/>
        <w:overflowPunct/>
        <w:topLinePunct w:val="0"/>
        <w:autoSpaceDE/>
        <w:autoSpaceDN/>
        <w:bidi w:val="0"/>
        <w:adjustRightInd w:val="0"/>
        <w:snapToGrid w:val="0"/>
        <w:spacing w:line="288" w:lineRule="auto"/>
        <w:ind w:left="0" w:firstLine="420"/>
        <w:textAlignment w:val="auto"/>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项目联系人：</w:t>
      </w:r>
      <w:r>
        <w:rPr>
          <w:rStyle w:val="24"/>
          <w:rFonts w:hint="eastAsia" w:ascii="仿宋" w:hAnsi="仿宋" w:eastAsia="仿宋" w:cs="仿宋"/>
          <w:color w:val="000000" w:themeColor="text1"/>
          <w:sz w:val="27"/>
          <w:szCs w:val="27"/>
          <w:highlight w:val="none"/>
          <w:lang w:val="en-US" w:eastAsia="zh-CN"/>
          <w14:textFill>
            <w14:solidFill>
              <w14:schemeClr w14:val="tx1"/>
            </w14:solidFill>
          </w14:textFill>
        </w:rPr>
        <w:t>何馨怡</w:t>
      </w:r>
    </w:p>
    <w:p>
      <w:pPr>
        <w:pStyle w:val="18"/>
        <w:keepNext w:val="0"/>
        <w:keepLines w:val="0"/>
        <w:pageBreakBefore w:val="0"/>
        <w:widowControl/>
        <w:suppressLineNumbers w:val="0"/>
        <w:kinsoku/>
        <w:wordWrap/>
        <w:overflowPunct/>
        <w:topLinePunct w:val="0"/>
        <w:autoSpaceDE/>
        <w:autoSpaceDN/>
        <w:bidi w:val="0"/>
        <w:adjustRightInd w:val="0"/>
        <w:snapToGrid w:val="0"/>
        <w:spacing w:line="288" w:lineRule="auto"/>
        <w:ind w:left="0" w:firstLine="420"/>
        <w:textAlignment w:val="auto"/>
        <w:rPr>
          <w:rStyle w:val="24"/>
          <w:rFonts w:hint="eastAsia" w:ascii="仿宋" w:hAnsi="仿宋" w:eastAsia="仿宋" w:cs="仿宋"/>
          <w:color w:val="000000" w:themeColor="text1"/>
          <w:sz w:val="27"/>
          <w:szCs w:val="27"/>
          <w:highlight w:val="none"/>
          <w:lang w:val="en-US" w:eastAsia="zh-CN"/>
          <w14:textFill>
            <w14:solidFill>
              <w14:schemeClr w14:val="tx1"/>
            </w14:solidFill>
          </w14:textFill>
        </w:rPr>
        <w:sectPr>
          <w:headerReference r:id="rId3" w:type="default"/>
          <w:footerReference r:id="rId4" w:type="default"/>
          <w:pgSz w:w="12240" w:h="15840"/>
          <w:pgMar w:top="1440" w:right="1080" w:bottom="1440" w:left="1080" w:header="720" w:footer="720" w:gutter="0"/>
          <w:pgBorders>
            <w:top w:val="none" w:sz="0" w:space="0"/>
            <w:left w:val="none" w:sz="0" w:space="0"/>
            <w:bottom w:val="none" w:sz="0" w:space="0"/>
            <w:right w:val="none" w:sz="0" w:space="0"/>
          </w:pgBorders>
          <w:pgNumType w:fmt="decimal" w:start="1"/>
          <w:cols w:space="720" w:num="1"/>
          <w:docGrid w:linePitch="323" w:charSpace="0"/>
        </w:sectPr>
      </w:pPr>
      <w:r>
        <w:rPr>
          <w:rFonts w:hint="eastAsia" w:ascii="仿宋" w:hAnsi="仿宋" w:eastAsia="仿宋" w:cs="仿宋"/>
          <w:color w:val="000000" w:themeColor="text1"/>
          <w:sz w:val="27"/>
          <w:szCs w:val="27"/>
          <w:highlight w:val="none"/>
          <w14:textFill>
            <w14:solidFill>
              <w14:schemeClr w14:val="tx1"/>
            </w14:solidFill>
          </w14:textFill>
        </w:rPr>
        <w:t>电 话：</w:t>
      </w:r>
      <w:r>
        <w:rPr>
          <w:rStyle w:val="24"/>
          <w:rFonts w:hint="eastAsia" w:ascii="仿宋" w:hAnsi="仿宋" w:eastAsia="仿宋" w:cs="仿宋"/>
          <w:color w:val="000000" w:themeColor="text1"/>
          <w:sz w:val="27"/>
          <w:szCs w:val="27"/>
          <w:highlight w:val="none"/>
          <w:lang w:val="en-US" w:eastAsia="zh-CN"/>
          <w14:textFill>
            <w14:solidFill>
              <w14:schemeClr w14:val="tx1"/>
            </w14:solidFill>
          </w14:textFill>
        </w:rPr>
        <w:t>0903-2099765</w:t>
      </w:r>
    </w:p>
    <w:p>
      <w:pPr>
        <w:pStyle w:val="5"/>
        <w:rPr>
          <w:rFonts w:hint="default" w:eastAsia="宋体"/>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招投标监督管理机构备案登记栏：</w:t>
      </w:r>
    </w:p>
    <w:p>
      <w:pPr>
        <w:pBdr>
          <w:top w:val="single" w:color="auto" w:sz="4" w:space="0"/>
          <w:left w:val="single" w:color="auto" w:sz="4" w:space="0"/>
          <w:bottom w:val="single" w:color="auto" w:sz="4" w:space="0"/>
          <w:right w:val="single" w:color="auto" w:sz="4" w:space="0"/>
        </w:pBdr>
        <w:rPr>
          <w:color w:val="000000" w:themeColor="text1"/>
          <w:highlight w:val="none"/>
          <w14:textFill>
            <w14:solidFill>
              <w14:schemeClr w14:val="tx1"/>
            </w14:solidFill>
          </w14:textFill>
        </w:rPr>
      </w:pPr>
    </w:p>
    <w:p>
      <w:pPr>
        <w:pStyle w:val="2"/>
        <w:pBdr>
          <w:top w:val="single" w:color="auto" w:sz="4" w:space="0"/>
          <w:left w:val="single" w:color="auto" w:sz="4" w:space="0"/>
          <w:bottom w:val="single" w:color="auto" w:sz="4" w:space="0"/>
          <w:right w:val="single" w:color="auto" w:sz="4" w:space="0"/>
        </w:pBdr>
        <w:snapToGrid w:val="0"/>
        <w:spacing w:line="240" w:lineRule="exact"/>
        <w:jc w:val="center"/>
        <w:rPr>
          <w:rFonts w:ascii="Tahoma" w:hAnsi="Tahoma" w:eastAsia="黑体" w:cs="Tahoma"/>
          <w:b/>
          <w:color w:val="000000" w:themeColor="text1"/>
          <w:sz w:val="44"/>
          <w:highlight w:val="none"/>
          <w14:textFill>
            <w14:solidFill>
              <w14:schemeClr w14:val="tx1"/>
            </w14:solidFill>
          </w14:textFill>
        </w:rPr>
      </w:pPr>
    </w:p>
    <w:p>
      <w:pPr>
        <w:pStyle w:val="2"/>
        <w:pBdr>
          <w:top w:val="single" w:color="auto" w:sz="4" w:space="0"/>
          <w:left w:val="single" w:color="auto" w:sz="4" w:space="0"/>
          <w:bottom w:val="single" w:color="auto" w:sz="4" w:space="0"/>
          <w:right w:val="single" w:color="auto" w:sz="4" w:space="0"/>
        </w:pBdr>
        <w:snapToGrid w:val="0"/>
        <w:spacing w:line="240" w:lineRule="exact"/>
        <w:jc w:val="center"/>
        <w:rPr>
          <w:rFonts w:ascii="Tahoma" w:hAnsi="Tahoma" w:eastAsia="黑体" w:cs="Tahoma"/>
          <w:b/>
          <w:color w:val="000000" w:themeColor="text1"/>
          <w:sz w:val="44"/>
          <w:highlight w:val="none"/>
          <w14:textFill>
            <w14:solidFill>
              <w14:schemeClr w14:val="tx1"/>
            </w14:solidFill>
          </w14:textFill>
        </w:rPr>
      </w:pPr>
    </w:p>
    <w:p>
      <w:pPr>
        <w:pStyle w:val="2"/>
        <w:pBdr>
          <w:top w:val="single" w:color="auto" w:sz="4" w:space="0"/>
          <w:left w:val="single" w:color="auto" w:sz="4" w:space="0"/>
          <w:bottom w:val="single" w:color="auto" w:sz="4" w:space="0"/>
          <w:right w:val="single" w:color="auto" w:sz="4" w:space="0"/>
        </w:pBdr>
        <w:snapToGrid w:val="0"/>
        <w:spacing w:line="240" w:lineRule="exact"/>
        <w:jc w:val="center"/>
        <w:rPr>
          <w:rFonts w:ascii="Tahoma" w:hAnsi="Tahoma" w:eastAsia="黑体" w:cs="Tahoma"/>
          <w:b/>
          <w:color w:val="000000" w:themeColor="text1"/>
          <w:sz w:val="44"/>
          <w:highlight w:val="none"/>
          <w14:textFill>
            <w14:solidFill>
              <w14:schemeClr w14:val="tx1"/>
            </w14:solidFill>
          </w14:textFill>
        </w:rPr>
      </w:pPr>
    </w:p>
    <w:p>
      <w:pPr>
        <w:pStyle w:val="2"/>
        <w:pBdr>
          <w:top w:val="single" w:color="auto" w:sz="4" w:space="0"/>
          <w:left w:val="single" w:color="auto" w:sz="4" w:space="0"/>
          <w:bottom w:val="single" w:color="auto" w:sz="4" w:space="0"/>
          <w:right w:val="single" w:color="auto" w:sz="4" w:space="0"/>
        </w:pBdr>
        <w:snapToGrid w:val="0"/>
        <w:spacing w:line="240" w:lineRule="exact"/>
        <w:jc w:val="center"/>
        <w:rPr>
          <w:rFonts w:ascii="Tahoma" w:hAnsi="Tahoma" w:eastAsia="黑体" w:cs="Tahoma"/>
          <w:b/>
          <w:color w:val="000000" w:themeColor="text1"/>
          <w:sz w:val="44"/>
          <w:highlight w:val="none"/>
          <w14:textFill>
            <w14:solidFill>
              <w14:schemeClr w14:val="tx1"/>
            </w14:solidFill>
          </w14:textFill>
        </w:rPr>
      </w:pPr>
    </w:p>
    <w:p>
      <w:pPr>
        <w:pStyle w:val="2"/>
        <w:pBdr>
          <w:top w:val="single" w:color="auto" w:sz="4" w:space="0"/>
          <w:left w:val="single" w:color="auto" w:sz="4" w:space="0"/>
          <w:bottom w:val="single" w:color="auto" w:sz="4" w:space="0"/>
          <w:right w:val="single" w:color="auto" w:sz="4" w:space="0"/>
        </w:pBdr>
        <w:snapToGrid w:val="0"/>
        <w:spacing w:line="480" w:lineRule="atLeast"/>
        <w:jc w:val="center"/>
        <w:rPr>
          <w:rFonts w:ascii="Tahoma" w:hAnsi="Tahoma" w:eastAsia="黑体" w:cs="Tahoma"/>
          <w:b/>
          <w:color w:val="000000" w:themeColor="text1"/>
          <w:sz w:val="44"/>
          <w:highlight w:val="none"/>
          <w14:textFill>
            <w14:solidFill>
              <w14:schemeClr w14:val="tx1"/>
            </w14:solidFill>
          </w14:textFill>
        </w:rPr>
      </w:pPr>
    </w:p>
    <w:p>
      <w:pPr>
        <w:pStyle w:val="2"/>
        <w:pBdr>
          <w:top w:val="single" w:color="auto" w:sz="4" w:space="0"/>
          <w:left w:val="single" w:color="auto" w:sz="4" w:space="0"/>
          <w:bottom w:val="single" w:color="auto" w:sz="4" w:space="0"/>
          <w:right w:val="single" w:color="auto" w:sz="4" w:space="0"/>
        </w:pBdr>
        <w:snapToGrid w:val="0"/>
        <w:spacing w:line="480" w:lineRule="atLeast"/>
        <w:jc w:val="center"/>
        <w:rPr>
          <w:rFonts w:ascii="Tahoma" w:hAnsi="Tahoma" w:eastAsia="黑体" w:cs="Tahoma"/>
          <w:b/>
          <w:color w:val="000000" w:themeColor="text1"/>
          <w:sz w:val="44"/>
          <w:highlight w:val="none"/>
          <w14:textFill>
            <w14:solidFill>
              <w14:schemeClr w14:val="tx1"/>
            </w14:solidFill>
          </w14:textFill>
        </w:rPr>
      </w:pPr>
    </w:p>
    <w:p>
      <w:pPr>
        <w:pStyle w:val="2"/>
        <w:pBdr>
          <w:top w:val="single" w:color="auto" w:sz="4" w:space="0"/>
          <w:left w:val="single" w:color="auto" w:sz="4" w:space="0"/>
          <w:bottom w:val="single" w:color="auto" w:sz="4" w:space="0"/>
          <w:right w:val="single" w:color="auto" w:sz="4" w:space="0"/>
        </w:pBdr>
        <w:snapToGrid w:val="0"/>
        <w:spacing w:line="480" w:lineRule="atLeast"/>
        <w:jc w:val="center"/>
        <w:rPr>
          <w:rFonts w:ascii="Tahoma" w:hAnsi="Tahoma" w:eastAsia="黑体" w:cs="Tahoma"/>
          <w:b/>
          <w:color w:val="000000" w:themeColor="text1"/>
          <w:sz w:val="44"/>
          <w:highlight w:val="none"/>
          <w14:textFill>
            <w14:solidFill>
              <w14:schemeClr w14:val="tx1"/>
            </w14:solidFill>
          </w14:textFill>
        </w:rPr>
      </w:pPr>
    </w:p>
    <w:p>
      <w:pPr>
        <w:pStyle w:val="2"/>
        <w:pBdr>
          <w:top w:val="single" w:color="auto" w:sz="4" w:space="0"/>
          <w:left w:val="single" w:color="auto" w:sz="4" w:space="0"/>
          <w:bottom w:val="single" w:color="auto" w:sz="4" w:space="0"/>
          <w:right w:val="single" w:color="auto" w:sz="4" w:space="0"/>
        </w:pBdr>
        <w:snapToGrid w:val="0"/>
        <w:spacing w:line="480" w:lineRule="atLeast"/>
        <w:jc w:val="center"/>
        <w:rPr>
          <w:rFonts w:hint="eastAsia" w:ascii="宋体" w:hAnsi="宋体" w:eastAsia="宋体" w:cs="宋体"/>
          <w:b w:val="0"/>
          <w:bCs/>
          <w:color w:val="000000" w:themeColor="text1"/>
          <w:sz w:val="32"/>
          <w:szCs w:val="20"/>
          <w:highlight w:val="none"/>
          <w14:textFill>
            <w14:solidFill>
              <w14:schemeClr w14:val="tx1"/>
            </w14:solidFill>
          </w14:textFill>
        </w:rPr>
      </w:pPr>
    </w:p>
    <w:p>
      <w:pPr>
        <w:pStyle w:val="2"/>
        <w:pBdr>
          <w:top w:val="single" w:color="auto" w:sz="4" w:space="0"/>
          <w:left w:val="single" w:color="auto" w:sz="4" w:space="0"/>
          <w:bottom w:val="single" w:color="auto" w:sz="4" w:space="0"/>
          <w:right w:val="single" w:color="auto" w:sz="4" w:space="0"/>
        </w:pBdr>
        <w:snapToGrid w:val="0"/>
        <w:spacing w:line="480" w:lineRule="atLeast"/>
        <w:jc w:val="center"/>
        <w:rPr>
          <w:rFonts w:hint="eastAsia" w:ascii="宋体" w:hAnsi="宋体" w:eastAsia="宋体" w:cs="宋体"/>
          <w:b w:val="0"/>
          <w:bCs/>
          <w:color w:val="000000" w:themeColor="text1"/>
          <w:sz w:val="32"/>
          <w:szCs w:val="20"/>
          <w:highlight w:val="none"/>
          <w:lang w:val="en-US" w:eastAsia="zh-CN"/>
          <w14:textFill>
            <w14:solidFill>
              <w14:schemeClr w14:val="tx1"/>
            </w14:solidFill>
          </w14:textFill>
        </w:rPr>
      </w:pPr>
    </w:p>
    <w:p>
      <w:pPr>
        <w:pStyle w:val="2"/>
        <w:pBdr>
          <w:top w:val="single" w:color="auto" w:sz="4" w:space="0"/>
          <w:left w:val="single" w:color="auto" w:sz="4" w:space="0"/>
          <w:bottom w:val="single" w:color="auto" w:sz="4" w:space="0"/>
          <w:right w:val="single" w:color="auto" w:sz="4" w:space="0"/>
        </w:pBdr>
        <w:snapToGrid w:val="0"/>
        <w:spacing w:line="480" w:lineRule="atLeast"/>
        <w:jc w:val="center"/>
        <w:rPr>
          <w:rFonts w:hint="eastAsia" w:ascii="宋体" w:hAnsi="宋体" w:eastAsia="宋体" w:cs="宋体"/>
          <w:b w:val="0"/>
          <w:bCs/>
          <w:color w:val="000000" w:themeColor="text1"/>
          <w:sz w:val="32"/>
          <w:szCs w:val="20"/>
          <w:highlight w:val="none"/>
          <w:lang w:val="en-US" w:eastAsia="zh-CN"/>
          <w14:textFill>
            <w14:solidFill>
              <w14:schemeClr w14:val="tx1"/>
            </w14:solidFill>
          </w14:textFill>
        </w:rPr>
      </w:pPr>
      <w:r>
        <w:rPr>
          <w:rFonts w:hint="eastAsia" w:ascii="宋体" w:hAnsi="宋体" w:eastAsia="宋体" w:cs="宋体"/>
          <w:b w:val="0"/>
          <w:bCs/>
          <w:color w:val="000000" w:themeColor="text1"/>
          <w:sz w:val="32"/>
          <w:szCs w:val="20"/>
          <w:highlight w:val="none"/>
          <w:lang w:val="en-US" w:eastAsia="zh-CN"/>
          <w14:textFill>
            <w14:solidFill>
              <w14:schemeClr w14:val="tx1"/>
            </w14:solidFill>
          </w14:textFill>
        </w:rPr>
        <w:t>本招标文件已报备</w:t>
      </w:r>
    </w:p>
    <w:p>
      <w:pPr>
        <w:pStyle w:val="2"/>
        <w:pBdr>
          <w:top w:val="single" w:color="auto" w:sz="4" w:space="0"/>
          <w:left w:val="single" w:color="auto" w:sz="4" w:space="0"/>
          <w:bottom w:val="single" w:color="auto" w:sz="4" w:space="0"/>
          <w:right w:val="single" w:color="auto" w:sz="4" w:space="0"/>
        </w:pBdr>
        <w:snapToGrid w:val="0"/>
        <w:spacing w:line="480" w:lineRule="atLeast"/>
        <w:jc w:val="center"/>
        <w:rPr>
          <w:rFonts w:hint="eastAsia" w:ascii="宋体" w:hAnsi="宋体" w:eastAsia="宋体" w:cs="宋体"/>
          <w:b w:val="0"/>
          <w:bCs/>
          <w:color w:val="000000" w:themeColor="text1"/>
          <w:sz w:val="32"/>
          <w:szCs w:val="20"/>
          <w:highlight w:val="none"/>
          <w:lang w:val="en-US" w:eastAsia="zh-CN"/>
          <w14:textFill>
            <w14:solidFill>
              <w14:schemeClr w14:val="tx1"/>
            </w14:solidFill>
          </w14:textFill>
        </w:rPr>
      </w:pPr>
    </w:p>
    <w:p>
      <w:pPr>
        <w:pStyle w:val="2"/>
        <w:pBdr>
          <w:top w:val="single" w:color="auto" w:sz="4" w:space="0"/>
          <w:left w:val="single" w:color="auto" w:sz="4" w:space="0"/>
          <w:bottom w:val="single" w:color="auto" w:sz="4" w:space="0"/>
          <w:right w:val="single" w:color="auto" w:sz="4" w:space="0"/>
        </w:pBdr>
        <w:snapToGrid w:val="0"/>
        <w:spacing w:line="480" w:lineRule="atLeast"/>
        <w:jc w:val="center"/>
        <w:rPr>
          <w:rFonts w:hint="eastAsia" w:ascii="宋体" w:hAnsi="宋体" w:eastAsia="宋体" w:cs="宋体"/>
          <w:b w:val="0"/>
          <w:bCs/>
          <w:color w:val="000000" w:themeColor="text1"/>
          <w:sz w:val="32"/>
          <w:szCs w:val="20"/>
          <w:highlight w:val="none"/>
          <w:lang w:val="en-US" w:eastAsia="zh-CN"/>
          <w14:textFill>
            <w14:solidFill>
              <w14:schemeClr w14:val="tx1"/>
            </w14:solidFill>
          </w14:textFill>
        </w:rPr>
      </w:pPr>
    </w:p>
    <w:p>
      <w:pPr>
        <w:pStyle w:val="2"/>
        <w:pBdr>
          <w:top w:val="single" w:color="auto" w:sz="4" w:space="0"/>
          <w:left w:val="single" w:color="auto" w:sz="4" w:space="0"/>
          <w:bottom w:val="single" w:color="auto" w:sz="4" w:space="0"/>
          <w:right w:val="single" w:color="auto" w:sz="4" w:space="0"/>
        </w:pBdr>
        <w:snapToGrid w:val="0"/>
        <w:spacing w:line="480" w:lineRule="atLeast"/>
        <w:jc w:val="center"/>
        <w:rPr>
          <w:rFonts w:hint="eastAsia" w:ascii="宋体" w:hAnsi="宋体" w:eastAsia="宋体" w:cs="宋体"/>
          <w:b w:val="0"/>
          <w:bCs/>
          <w:color w:val="000000" w:themeColor="text1"/>
          <w:sz w:val="32"/>
          <w:szCs w:val="20"/>
          <w:highlight w:val="none"/>
          <w:lang w:val="en-US" w:eastAsia="zh-CN"/>
          <w14:textFill>
            <w14:solidFill>
              <w14:schemeClr w14:val="tx1"/>
            </w14:solidFill>
          </w14:textFill>
        </w:rPr>
      </w:pPr>
    </w:p>
    <w:p>
      <w:pPr>
        <w:pStyle w:val="2"/>
        <w:pBdr>
          <w:top w:val="single" w:color="auto" w:sz="4" w:space="0"/>
          <w:left w:val="single" w:color="auto" w:sz="4" w:space="0"/>
          <w:bottom w:val="single" w:color="auto" w:sz="4" w:space="0"/>
          <w:right w:val="single" w:color="auto" w:sz="4" w:space="0"/>
        </w:pBdr>
        <w:snapToGrid w:val="0"/>
        <w:spacing w:line="480" w:lineRule="atLeast"/>
        <w:jc w:val="center"/>
        <w:rPr>
          <w:rFonts w:hint="eastAsia" w:ascii="宋体" w:hAnsi="宋体" w:eastAsia="宋体" w:cs="宋体"/>
          <w:b w:val="0"/>
          <w:bCs/>
          <w:color w:val="000000" w:themeColor="text1"/>
          <w:sz w:val="32"/>
          <w:szCs w:val="20"/>
          <w:highlight w:val="none"/>
          <w:lang w:val="en-US" w:eastAsia="zh-CN"/>
          <w14:textFill>
            <w14:solidFill>
              <w14:schemeClr w14:val="tx1"/>
            </w14:solidFill>
          </w14:textFill>
        </w:rPr>
      </w:pPr>
    </w:p>
    <w:p>
      <w:pPr>
        <w:pStyle w:val="2"/>
        <w:pBdr>
          <w:top w:val="single" w:color="auto" w:sz="4" w:space="0"/>
          <w:left w:val="single" w:color="auto" w:sz="4" w:space="0"/>
          <w:bottom w:val="single" w:color="auto" w:sz="4" w:space="0"/>
          <w:right w:val="single" w:color="auto" w:sz="4" w:space="0"/>
        </w:pBdr>
        <w:snapToGrid w:val="0"/>
        <w:spacing w:line="480" w:lineRule="atLeast"/>
        <w:jc w:val="both"/>
        <w:rPr>
          <w:rFonts w:hint="eastAsia" w:ascii="宋体" w:hAnsi="宋体" w:eastAsia="宋体" w:cs="宋体"/>
          <w:b w:val="0"/>
          <w:bCs/>
          <w:color w:val="000000" w:themeColor="text1"/>
          <w:sz w:val="32"/>
          <w:szCs w:val="20"/>
          <w:highlight w:val="none"/>
          <w:lang w:val="en-US" w:eastAsia="zh-CN"/>
          <w14:textFill>
            <w14:solidFill>
              <w14:schemeClr w14:val="tx1"/>
            </w14:solidFill>
          </w14:textFill>
        </w:rPr>
      </w:pPr>
      <w:r>
        <w:rPr>
          <w:rFonts w:hint="eastAsia" w:ascii="宋体" w:hAnsi="宋体" w:eastAsia="宋体" w:cs="宋体"/>
          <w:b w:val="0"/>
          <w:bCs/>
          <w:color w:val="000000" w:themeColor="text1"/>
          <w:sz w:val="32"/>
          <w:szCs w:val="20"/>
          <w:highlight w:val="none"/>
          <w:lang w:val="en-US" w:eastAsia="zh-CN"/>
          <w14:textFill>
            <w14:solidFill>
              <w14:schemeClr w14:val="tx1"/>
            </w14:solidFill>
          </w14:textFill>
        </w:rPr>
        <w:t>项目名称：</w:t>
      </w:r>
      <w:r>
        <w:rPr>
          <w:rFonts w:hint="eastAsia" w:hAnsi="宋体" w:cs="宋体"/>
          <w:b w:val="0"/>
          <w:bCs/>
          <w:color w:val="000000" w:themeColor="text1"/>
          <w:sz w:val="32"/>
          <w:szCs w:val="20"/>
          <w:highlight w:val="none"/>
          <w:lang w:val="en-US" w:eastAsia="zh-CN"/>
          <w14:textFill>
            <w14:solidFill>
              <w14:schemeClr w14:val="tx1"/>
            </w14:solidFill>
          </w14:textFill>
        </w:rPr>
        <w:t>和田地区和田县人民医院综合能力提升及信息化建设项目</w:t>
      </w:r>
    </w:p>
    <w:p>
      <w:pPr>
        <w:pStyle w:val="2"/>
        <w:pBdr>
          <w:top w:val="single" w:color="auto" w:sz="4" w:space="0"/>
          <w:left w:val="single" w:color="auto" w:sz="4" w:space="0"/>
          <w:bottom w:val="single" w:color="auto" w:sz="4" w:space="0"/>
          <w:right w:val="single" w:color="auto" w:sz="4" w:space="0"/>
        </w:pBdr>
        <w:snapToGrid w:val="0"/>
        <w:spacing w:line="480" w:lineRule="atLeast"/>
        <w:jc w:val="both"/>
        <w:rPr>
          <w:rFonts w:hint="eastAsia" w:ascii="宋体" w:hAnsi="宋体" w:eastAsia="宋体" w:cs="宋体"/>
          <w:b w:val="0"/>
          <w:bCs/>
          <w:color w:val="000000" w:themeColor="text1"/>
          <w:sz w:val="32"/>
          <w:szCs w:val="20"/>
          <w:highlight w:val="none"/>
          <w:lang w:val="en-US" w:eastAsia="zh-CN"/>
          <w14:textFill>
            <w14:solidFill>
              <w14:schemeClr w14:val="tx1"/>
            </w14:solidFill>
          </w14:textFill>
        </w:rPr>
      </w:pPr>
    </w:p>
    <w:p>
      <w:pPr>
        <w:pStyle w:val="2"/>
        <w:pBdr>
          <w:top w:val="single" w:color="auto" w:sz="4" w:space="0"/>
          <w:left w:val="single" w:color="auto" w:sz="4" w:space="0"/>
          <w:bottom w:val="single" w:color="auto" w:sz="4" w:space="0"/>
          <w:right w:val="single" w:color="auto" w:sz="4" w:space="0"/>
        </w:pBdr>
        <w:snapToGrid w:val="0"/>
        <w:spacing w:line="480" w:lineRule="atLeast"/>
        <w:jc w:val="both"/>
        <w:rPr>
          <w:rFonts w:hint="eastAsia" w:ascii="宋体" w:hAnsi="宋体" w:eastAsia="宋体" w:cs="宋体"/>
          <w:b w:val="0"/>
          <w:bCs/>
          <w:color w:val="000000" w:themeColor="text1"/>
          <w:sz w:val="32"/>
          <w:szCs w:val="20"/>
          <w:highlight w:val="none"/>
          <w:lang w:val="en-US" w:eastAsia="zh-CN"/>
          <w14:textFill>
            <w14:solidFill>
              <w14:schemeClr w14:val="tx1"/>
            </w14:solidFill>
          </w14:textFill>
        </w:rPr>
      </w:pPr>
    </w:p>
    <w:p>
      <w:pPr>
        <w:pStyle w:val="2"/>
        <w:pBdr>
          <w:top w:val="single" w:color="auto" w:sz="4" w:space="0"/>
          <w:left w:val="single" w:color="auto" w:sz="4" w:space="0"/>
          <w:bottom w:val="single" w:color="auto" w:sz="4" w:space="0"/>
          <w:right w:val="single" w:color="auto" w:sz="4" w:space="0"/>
        </w:pBdr>
        <w:snapToGrid w:val="0"/>
        <w:spacing w:line="480" w:lineRule="atLeast"/>
        <w:jc w:val="both"/>
        <w:rPr>
          <w:rFonts w:hint="eastAsia" w:ascii="宋体" w:hAnsi="宋体" w:eastAsia="宋体" w:cs="宋体"/>
          <w:b w:val="0"/>
          <w:bCs/>
          <w:color w:val="000000" w:themeColor="text1"/>
          <w:sz w:val="32"/>
          <w:szCs w:val="20"/>
          <w:highlight w:val="none"/>
          <w:lang w:val="en-US" w:eastAsia="zh-CN"/>
          <w14:textFill>
            <w14:solidFill>
              <w14:schemeClr w14:val="tx1"/>
            </w14:solidFill>
          </w14:textFill>
        </w:rPr>
      </w:pPr>
    </w:p>
    <w:p>
      <w:pPr>
        <w:pStyle w:val="2"/>
        <w:pBdr>
          <w:top w:val="single" w:color="auto" w:sz="4" w:space="0"/>
          <w:left w:val="single" w:color="auto" w:sz="4" w:space="0"/>
          <w:bottom w:val="single" w:color="auto" w:sz="4" w:space="0"/>
          <w:right w:val="single" w:color="auto" w:sz="4" w:space="0"/>
        </w:pBdr>
        <w:snapToGrid w:val="0"/>
        <w:spacing w:line="480" w:lineRule="atLeast"/>
        <w:jc w:val="both"/>
        <w:rPr>
          <w:rFonts w:hint="eastAsia" w:ascii="宋体" w:hAnsi="宋体" w:eastAsia="宋体" w:cs="宋体"/>
          <w:b w:val="0"/>
          <w:bCs/>
          <w:color w:val="000000" w:themeColor="text1"/>
          <w:sz w:val="32"/>
          <w:szCs w:val="20"/>
          <w:highlight w:val="none"/>
          <w:lang w:val="en-US" w:eastAsia="zh-CN"/>
          <w14:textFill>
            <w14:solidFill>
              <w14:schemeClr w14:val="tx1"/>
            </w14:solidFill>
          </w14:textFill>
        </w:rPr>
      </w:pPr>
    </w:p>
    <w:p>
      <w:pPr>
        <w:pStyle w:val="2"/>
        <w:pBdr>
          <w:top w:val="single" w:color="auto" w:sz="4" w:space="0"/>
          <w:left w:val="single" w:color="auto" w:sz="4" w:space="0"/>
          <w:bottom w:val="single" w:color="auto" w:sz="4" w:space="0"/>
          <w:right w:val="single" w:color="auto" w:sz="4" w:space="0"/>
        </w:pBdr>
        <w:snapToGrid w:val="0"/>
        <w:spacing w:line="480" w:lineRule="atLeast"/>
        <w:jc w:val="both"/>
        <w:rPr>
          <w:rFonts w:hint="eastAsia" w:ascii="Tahoma" w:hAnsi="Tahoma" w:eastAsia="黑体" w:cs="Tahoma"/>
          <w:b/>
          <w:color w:val="000000" w:themeColor="text1"/>
          <w:sz w:val="44"/>
          <w:highlight w:val="none"/>
          <w:lang w:val="en-US" w:eastAsia="zh-CN"/>
          <w14:textFill>
            <w14:solidFill>
              <w14:schemeClr w14:val="tx1"/>
            </w14:solidFill>
          </w14:textFill>
        </w:rPr>
      </w:pPr>
      <w:r>
        <w:rPr>
          <w:rFonts w:hint="eastAsia" w:ascii="宋体" w:hAnsi="宋体" w:eastAsia="宋体" w:cs="宋体"/>
          <w:b w:val="0"/>
          <w:bCs/>
          <w:color w:val="000000" w:themeColor="text1"/>
          <w:sz w:val="32"/>
          <w:szCs w:val="20"/>
          <w:highlight w:val="none"/>
          <w:lang w:val="en-US" w:eastAsia="zh-CN"/>
          <w14:textFill>
            <w14:solidFill>
              <w14:schemeClr w14:val="tx1"/>
            </w14:solidFill>
          </w14:textFill>
        </w:rPr>
        <w:t>备案人：             备案日期：</w:t>
      </w:r>
    </w:p>
    <w:p>
      <w:pPr>
        <w:pStyle w:val="2"/>
        <w:pBdr>
          <w:top w:val="single" w:color="auto" w:sz="4" w:space="0"/>
          <w:left w:val="single" w:color="auto" w:sz="4" w:space="0"/>
          <w:bottom w:val="single" w:color="auto" w:sz="4" w:space="0"/>
          <w:right w:val="single" w:color="auto" w:sz="4" w:space="0"/>
        </w:pBdr>
        <w:snapToGrid w:val="0"/>
        <w:spacing w:line="480" w:lineRule="atLeast"/>
        <w:jc w:val="both"/>
        <w:rPr>
          <w:rFonts w:hint="eastAsia" w:ascii="Tahoma" w:hAnsi="Tahoma" w:eastAsia="黑体" w:cs="Tahoma"/>
          <w:b/>
          <w:color w:val="000000" w:themeColor="text1"/>
          <w:sz w:val="44"/>
          <w:highlight w:val="none"/>
          <w:lang w:val="en-US" w:eastAsia="zh-CN"/>
          <w14:textFill>
            <w14:solidFill>
              <w14:schemeClr w14:val="tx1"/>
            </w14:solidFill>
          </w14:textFill>
        </w:rPr>
      </w:pPr>
    </w:p>
    <w:p>
      <w:pPr>
        <w:pStyle w:val="2"/>
        <w:pBdr>
          <w:top w:val="single" w:color="auto" w:sz="4" w:space="0"/>
          <w:left w:val="single" w:color="auto" w:sz="4" w:space="0"/>
          <w:bottom w:val="single" w:color="auto" w:sz="4" w:space="0"/>
          <w:right w:val="single" w:color="auto" w:sz="4" w:space="0"/>
        </w:pBdr>
        <w:snapToGrid w:val="0"/>
        <w:spacing w:line="480" w:lineRule="atLeast"/>
        <w:jc w:val="both"/>
        <w:rPr>
          <w:rFonts w:hint="default" w:ascii="Tahoma" w:hAnsi="Tahoma" w:eastAsia="黑体" w:cs="Tahoma"/>
          <w:b/>
          <w:color w:val="000000" w:themeColor="text1"/>
          <w:sz w:val="44"/>
          <w:highlight w:val="none"/>
          <w:lang w:val="en-US" w:eastAsia="zh-CN"/>
          <w14:textFill>
            <w14:solidFill>
              <w14:schemeClr w14:val="tx1"/>
            </w14:solidFill>
          </w14:textFill>
        </w:rPr>
      </w:pPr>
    </w:p>
    <w:p>
      <w:pPr>
        <w:pStyle w:val="2"/>
        <w:pBdr>
          <w:top w:val="single" w:color="auto" w:sz="4" w:space="0"/>
          <w:left w:val="single" w:color="auto" w:sz="4" w:space="0"/>
          <w:bottom w:val="single" w:color="auto" w:sz="4" w:space="0"/>
          <w:right w:val="single" w:color="auto" w:sz="4" w:space="0"/>
        </w:pBdr>
        <w:snapToGrid w:val="0"/>
        <w:spacing w:line="480" w:lineRule="atLeast"/>
        <w:jc w:val="both"/>
        <w:rPr>
          <w:rFonts w:ascii="Tahoma" w:hAnsi="Tahoma" w:eastAsia="黑体" w:cs="Tahoma"/>
          <w:b/>
          <w:color w:val="000000" w:themeColor="text1"/>
          <w:sz w:val="44"/>
          <w:highlight w:val="none"/>
          <w14:textFill>
            <w14:solidFill>
              <w14:schemeClr w14:val="tx1"/>
            </w14:solidFill>
          </w14:textFill>
        </w:rPr>
      </w:pPr>
    </w:p>
    <w:p>
      <w:pPr>
        <w:pStyle w:val="2"/>
        <w:snapToGrid w:val="0"/>
        <w:spacing w:line="480" w:lineRule="atLeast"/>
        <w:jc w:val="center"/>
        <w:rPr>
          <w:rFonts w:ascii="Tahoma" w:hAnsi="Tahoma" w:eastAsia="黑体" w:cs="Tahoma"/>
          <w:b/>
          <w:color w:val="000000" w:themeColor="text1"/>
          <w:sz w:val="44"/>
          <w:highlight w:val="none"/>
          <w14:textFill>
            <w14:solidFill>
              <w14:schemeClr w14:val="tx1"/>
            </w14:solidFill>
          </w14:textFill>
        </w:rPr>
      </w:pPr>
    </w:p>
    <w:p>
      <w:pPr>
        <w:pStyle w:val="2"/>
        <w:snapToGrid w:val="0"/>
        <w:spacing w:line="480" w:lineRule="atLeast"/>
        <w:jc w:val="center"/>
        <w:rPr>
          <w:rFonts w:hint="default" w:ascii="Tahoma" w:hAnsi="Tahoma" w:eastAsia="黑体" w:cs="Tahoma"/>
          <w:b/>
          <w:color w:val="000000" w:themeColor="text1"/>
          <w:sz w:val="32"/>
          <w:szCs w:val="20"/>
          <w:highlight w:val="none"/>
          <w:lang w:val="en-US" w:eastAsia="zh-CN"/>
          <w14:textFill>
            <w14:solidFill>
              <w14:schemeClr w14:val="tx1"/>
            </w14:solidFill>
          </w14:textFill>
        </w:rPr>
      </w:pPr>
      <w:r>
        <w:rPr>
          <w:rFonts w:hint="eastAsia" w:ascii="Tahoma" w:hAnsi="Tahoma" w:eastAsia="黑体" w:cs="Tahoma"/>
          <w:b/>
          <w:color w:val="000000" w:themeColor="text1"/>
          <w:sz w:val="32"/>
          <w:szCs w:val="20"/>
          <w:highlight w:val="none"/>
          <w:lang w:val="en-US" w:eastAsia="zh-CN"/>
          <w14:textFill>
            <w14:solidFill>
              <w14:schemeClr w14:val="tx1"/>
            </w14:solidFill>
          </w14:textFill>
        </w:rPr>
        <w:t xml:space="preserve">                                 和田县政府采购管理办公室</w:t>
      </w:r>
    </w:p>
    <w:p>
      <w:pPr>
        <w:pStyle w:val="2"/>
        <w:snapToGrid w:val="0"/>
        <w:spacing w:line="480" w:lineRule="atLeast"/>
        <w:jc w:val="center"/>
        <w:outlineLvl w:val="0"/>
        <w:rPr>
          <w:rFonts w:ascii="Tahoma" w:hAnsi="黑体" w:eastAsia="黑体" w:cs="Tahoma"/>
          <w:b/>
          <w:color w:val="000000" w:themeColor="text1"/>
          <w:sz w:val="44"/>
          <w:highlight w:val="none"/>
          <w14:textFill>
            <w14:solidFill>
              <w14:schemeClr w14:val="tx1"/>
            </w14:solidFill>
          </w14:textFill>
        </w:rPr>
      </w:pPr>
      <w:bookmarkStart w:id="0" w:name="_Toc15141"/>
      <w:bookmarkStart w:id="1" w:name="_Toc1120"/>
    </w:p>
    <w:p>
      <w:pPr>
        <w:pStyle w:val="2"/>
        <w:snapToGrid w:val="0"/>
        <w:spacing w:line="480" w:lineRule="atLeast"/>
        <w:jc w:val="center"/>
        <w:outlineLvl w:val="0"/>
        <w:rPr>
          <w:rFonts w:ascii="Tahoma" w:hAnsi="黑体" w:eastAsia="黑体" w:cs="Tahoma"/>
          <w:b/>
          <w:color w:val="000000" w:themeColor="text1"/>
          <w:sz w:val="44"/>
          <w:highlight w:val="none"/>
          <w14:textFill>
            <w14:solidFill>
              <w14:schemeClr w14:val="tx1"/>
            </w14:solidFill>
          </w14:textFill>
        </w:rPr>
      </w:pPr>
    </w:p>
    <w:p>
      <w:pPr>
        <w:pStyle w:val="2"/>
        <w:snapToGrid w:val="0"/>
        <w:spacing w:line="480" w:lineRule="atLeast"/>
        <w:jc w:val="center"/>
        <w:outlineLvl w:val="0"/>
        <w:rPr>
          <w:rFonts w:ascii="Tahoma" w:hAnsi="黑体" w:eastAsia="黑体" w:cs="Tahoma"/>
          <w:b/>
          <w:color w:val="000000" w:themeColor="text1"/>
          <w:sz w:val="44"/>
          <w:highlight w:val="none"/>
          <w14:textFill>
            <w14:solidFill>
              <w14:schemeClr w14:val="tx1"/>
            </w14:solidFill>
          </w14:textFill>
        </w:rPr>
      </w:pPr>
    </w:p>
    <w:p>
      <w:pPr>
        <w:pStyle w:val="2"/>
        <w:snapToGrid w:val="0"/>
        <w:spacing w:line="480" w:lineRule="atLeast"/>
        <w:jc w:val="center"/>
        <w:outlineLvl w:val="0"/>
        <w:rPr>
          <w:rFonts w:ascii="Tahoma" w:hAnsi="黑体" w:eastAsia="黑体" w:cs="Tahoma"/>
          <w:b/>
          <w:color w:val="000000" w:themeColor="text1"/>
          <w:sz w:val="44"/>
          <w:highlight w:val="none"/>
          <w14:textFill>
            <w14:solidFill>
              <w14:schemeClr w14:val="tx1"/>
            </w14:solidFill>
          </w14:textFill>
        </w:rPr>
      </w:pPr>
    </w:p>
    <w:p>
      <w:pPr>
        <w:pStyle w:val="2"/>
        <w:snapToGrid w:val="0"/>
        <w:spacing w:line="480" w:lineRule="atLeast"/>
        <w:jc w:val="center"/>
        <w:outlineLvl w:val="0"/>
        <w:rPr>
          <w:rFonts w:ascii="Tahoma" w:hAnsi="黑体" w:eastAsia="黑体" w:cs="Tahoma"/>
          <w:b/>
          <w:color w:val="000000" w:themeColor="text1"/>
          <w:sz w:val="44"/>
          <w:highlight w:val="none"/>
          <w14:textFill>
            <w14:solidFill>
              <w14:schemeClr w14:val="tx1"/>
            </w14:solidFill>
          </w14:textFill>
        </w:rPr>
      </w:pPr>
    </w:p>
    <w:p>
      <w:pPr>
        <w:pStyle w:val="2"/>
        <w:snapToGrid w:val="0"/>
        <w:spacing w:line="480" w:lineRule="atLeast"/>
        <w:jc w:val="center"/>
        <w:outlineLvl w:val="0"/>
        <w:rPr>
          <w:rFonts w:ascii="Tahoma" w:hAnsi="黑体" w:eastAsia="黑体" w:cs="Tahoma"/>
          <w:b/>
          <w:color w:val="000000" w:themeColor="text1"/>
          <w:sz w:val="44"/>
          <w:highlight w:val="none"/>
          <w14:textFill>
            <w14:solidFill>
              <w14:schemeClr w14:val="tx1"/>
            </w14:solidFill>
          </w14:textFill>
        </w:rPr>
      </w:pPr>
    </w:p>
    <w:p>
      <w:pPr>
        <w:pStyle w:val="2"/>
        <w:snapToGrid w:val="0"/>
        <w:spacing w:line="480" w:lineRule="atLeast"/>
        <w:jc w:val="center"/>
        <w:outlineLvl w:val="0"/>
        <w:rPr>
          <w:rFonts w:ascii="Tahoma" w:hAnsi="黑体" w:eastAsia="黑体" w:cs="Tahoma"/>
          <w:b/>
          <w:color w:val="000000" w:themeColor="text1"/>
          <w:sz w:val="44"/>
          <w:highlight w:val="none"/>
          <w14:textFill>
            <w14:solidFill>
              <w14:schemeClr w14:val="tx1"/>
            </w14:solidFill>
          </w14:textFill>
        </w:rPr>
      </w:pPr>
    </w:p>
    <w:p>
      <w:pPr>
        <w:pStyle w:val="2"/>
        <w:snapToGrid w:val="0"/>
        <w:spacing w:line="480" w:lineRule="atLeast"/>
        <w:jc w:val="center"/>
        <w:outlineLvl w:val="0"/>
        <w:rPr>
          <w:rFonts w:ascii="Tahoma" w:hAnsi="黑体" w:eastAsia="黑体" w:cs="Tahoma"/>
          <w:b/>
          <w:color w:val="000000" w:themeColor="text1"/>
          <w:sz w:val="44"/>
          <w:highlight w:val="none"/>
          <w14:textFill>
            <w14:solidFill>
              <w14:schemeClr w14:val="tx1"/>
            </w14:solidFill>
          </w14:textFill>
        </w:rPr>
      </w:pPr>
    </w:p>
    <w:p>
      <w:pPr>
        <w:pStyle w:val="2"/>
        <w:snapToGrid w:val="0"/>
        <w:spacing w:line="480" w:lineRule="atLeast"/>
        <w:jc w:val="center"/>
        <w:outlineLvl w:val="0"/>
        <w:rPr>
          <w:rFonts w:ascii="Tahoma" w:hAnsi="黑体" w:eastAsia="黑体" w:cs="Tahoma"/>
          <w:b/>
          <w:color w:val="000000" w:themeColor="text1"/>
          <w:sz w:val="44"/>
          <w:highlight w:val="none"/>
          <w14:textFill>
            <w14:solidFill>
              <w14:schemeClr w14:val="tx1"/>
            </w14:solidFill>
          </w14:textFill>
        </w:rPr>
      </w:pPr>
    </w:p>
    <w:p>
      <w:pPr>
        <w:pStyle w:val="2"/>
        <w:snapToGrid w:val="0"/>
        <w:spacing w:line="480" w:lineRule="atLeast"/>
        <w:jc w:val="center"/>
        <w:outlineLvl w:val="0"/>
        <w:rPr>
          <w:rFonts w:ascii="Tahoma" w:hAnsi="黑体" w:eastAsia="黑体" w:cs="Tahoma"/>
          <w:b/>
          <w:color w:val="000000" w:themeColor="text1"/>
          <w:sz w:val="44"/>
          <w:highlight w:val="none"/>
          <w14:textFill>
            <w14:solidFill>
              <w14:schemeClr w14:val="tx1"/>
            </w14:solidFill>
          </w14:textFill>
        </w:rPr>
      </w:pPr>
    </w:p>
    <w:p>
      <w:pPr>
        <w:pStyle w:val="2"/>
        <w:snapToGrid w:val="0"/>
        <w:spacing w:line="480" w:lineRule="atLeast"/>
        <w:jc w:val="center"/>
        <w:outlineLvl w:val="0"/>
        <w:rPr>
          <w:rFonts w:ascii="Tahoma" w:hAnsi="黑体" w:eastAsia="黑体" w:cs="Tahoma"/>
          <w:b/>
          <w:color w:val="000000" w:themeColor="text1"/>
          <w:sz w:val="44"/>
          <w:highlight w:val="none"/>
          <w14:textFill>
            <w14:solidFill>
              <w14:schemeClr w14:val="tx1"/>
            </w14:solidFill>
          </w14:textFill>
        </w:rPr>
      </w:pPr>
    </w:p>
    <w:p>
      <w:pPr>
        <w:pStyle w:val="2"/>
        <w:snapToGrid w:val="0"/>
        <w:spacing w:line="480" w:lineRule="atLeast"/>
        <w:jc w:val="center"/>
        <w:outlineLvl w:val="0"/>
        <w:rPr>
          <w:rFonts w:ascii="Tahoma" w:hAnsi="黑体" w:eastAsia="黑体" w:cs="Tahoma"/>
          <w:b/>
          <w:color w:val="000000" w:themeColor="text1"/>
          <w:sz w:val="44"/>
          <w:highlight w:val="none"/>
          <w14:textFill>
            <w14:solidFill>
              <w14:schemeClr w14:val="tx1"/>
            </w14:solidFill>
          </w14:textFill>
        </w:rPr>
      </w:pPr>
    </w:p>
    <w:p>
      <w:pPr>
        <w:pStyle w:val="2"/>
        <w:snapToGrid w:val="0"/>
        <w:spacing w:line="480" w:lineRule="atLeast"/>
        <w:jc w:val="center"/>
        <w:outlineLvl w:val="0"/>
        <w:rPr>
          <w:rFonts w:ascii="Tahoma" w:hAnsi="Tahoma" w:eastAsia="黑体" w:cs="Tahoma"/>
          <w:color w:val="000000" w:themeColor="text1"/>
          <w:sz w:val="44"/>
          <w:highlight w:val="none"/>
          <w14:textFill>
            <w14:solidFill>
              <w14:schemeClr w14:val="tx1"/>
            </w14:solidFill>
          </w14:textFill>
        </w:rPr>
      </w:pPr>
      <w:r>
        <w:rPr>
          <w:rFonts w:ascii="Tahoma" w:hAnsi="黑体" w:eastAsia="黑体" w:cs="Tahoma"/>
          <w:b/>
          <w:color w:val="000000" w:themeColor="text1"/>
          <w:sz w:val="44"/>
          <w:highlight w:val="none"/>
          <w14:textFill>
            <w14:solidFill>
              <w14:schemeClr w14:val="tx1"/>
            </w14:solidFill>
          </w14:textFill>
        </w:rPr>
        <w:t>第二章</w:t>
      </w:r>
      <w:r>
        <w:rPr>
          <w:rFonts w:ascii="Tahoma" w:hAnsi="Tahoma" w:eastAsia="黑体" w:cs="Tahoma"/>
          <w:b/>
          <w:color w:val="000000" w:themeColor="text1"/>
          <w:sz w:val="44"/>
          <w:highlight w:val="none"/>
          <w14:textFill>
            <w14:solidFill>
              <w14:schemeClr w14:val="tx1"/>
            </w14:solidFill>
          </w14:textFill>
        </w:rPr>
        <w:t xml:space="preserve">  </w:t>
      </w:r>
      <w:r>
        <w:rPr>
          <w:rFonts w:ascii="Tahoma" w:hAnsi="黑体" w:eastAsia="黑体" w:cs="Tahoma"/>
          <w:b/>
          <w:color w:val="000000" w:themeColor="text1"/>
          <w:sz w:val="44"/>
          <w:highlight w:val="none"/>
          <w14:textFill>
            <w14:solidFill>
              <w14:schemeClr w14:val="tx1"/>
            </w14:solidFill>
          </w14:textFill>
        </w:rPr>
        <w:t>投标人须知</w:t>
      </w:r>
      <w:bookmarkEnd w:id="0"/>
      <w:bookmarkEnd w:id="1"/>
    </w:p>
    <w:p>
      <w:pPr>
        <w:snapToGrid w:val="0"/>
        <w:spacing w:line="480" w:lineRule="atLeast"/>
        <w:jc w:val="center"/>
        <w:rPr>
          <w:rFonts w:ascii="Tahoma" w:hAnsi="Tahoma" w:cs="Tahoma"/>
          <w:color w:val="000000" w:themeColor="text1"/>
          <w:sz w:val="24"/>
          <w:highlight w:val="none"/>
          <w14:textFill>
            <w14:solidFill>
              <w14:schemeClr w14:val="tx1"/>
            </w14:solidFill>
          </w14:textFill>
        </w:rPr>
      </w:pPr>
    </w:p>
    <w:p>
      <w:pPr>
        <w:snapToGrid w:val="0"/>
        <w:spacing w:line="480" w:lineRule="atLeast"/>
        <w:jc w:val="center"/>
        <w:rPr>
          <w:rFonts w:ascii="Tahoma" w:hAnsi="Tahoma" w:cs="Tahoma"/>
          <w:color w:val="000000" w:themeColor="text1"/>
          <w:sz w:val="24"/>
          <w:highlight w:val="none"/>
          <w14:textFill>
            <w14:solidFill>
              <w14:schemeClr w14:val="tx1"/>
            </w14:solidFill>
          </w14:textFill>
        </w:rPr>
      </w:pPr>
    </w:p>
    <w:p>
      <w:pPr>
        <w:snapToGrid w:val="0"/>
        <w:spacing w:line="480" w:lineRule="atLeast"/>
        <w:jc w:val="center"/>
        <w:rPr>
          <w:rFonts w:ascii="Tahoma" w:hAnsi="Tahoma" w:cs="Tahoma"/>
          <w:color w:val="000000" w:themeColor="text1"/>
          <w:sz w:val="24"/>
          <w:highlight w:val="none"/>
          <w14:textFill>
            <w14:solidFill>
              <w14:schemeClr w14:val="tx1"/>
            </w14:solidFill>
          </w14:textFill>
        </w:rPr>
      </w:pPr>
    </w:p>
    <w:p>
      <w:pPr>
        <w:snapToGrid w:val="0"/>
        <w:spacing w:line="480" w:lineRule="atLeast"/>
        <w:jc w:val="center"/>
        <w:rPr>
          <w:rFonts w:ascii="Tahoma" w:hAnsi="Tahoma" w:cs="Tahoma"/>
          <w:color w:val="000000" w:themeColor="text1"/>
          <w:sz w:val="24"/>
          <w:highlight w:val="none"/>
          <w14:textFill>
            <w14:solidFill>
              <w14:schemeClr w14:val="tx1"/>
            </w14:solidFill>
          </w14:textFill>
        </w:rPr>
      </w:pPr>
    </w:p>
    <w:p>
      <w:pPr>
        <w:snapToGrid w:val="0"/>
        <w:spacing w:line="480" w:lineRule="atLeast"/>
        <w:jc w:val="center"/>
        <w:rPr>
          <w:rFonts w:ascii="Tahoma" w:hAnsi="Tahoma" w:cs="Tahoma"/>
          <w:color w:val="000000" w:themeColor="text1"/>
          <w:sz w:val="24"/>
          <w:highlight w:val="none"/>
          <w14:textFill>
            <w14:solidFill>
              <w14:schemeClr w14:val="tx1"/>
            </w14:solidFill>
          </w14:textFill>
        </w:rPr>
      </w:pPr>
    </w:p>
    <w:p>
      <w:pPr>
        <w:snapToGrid w:val="0"/>
        <w:spacing w:line="480" w:lineRule="atLeast"/>
        <w:jc w:val="center"/>
        <w:rPr>
          <w:rFonts w:ascii="Tahoma" w:hAnsi="Tahoma" w:cs="Tahoma"/>
          <w:color w:val="000000" w:themeColor="text1"/>
          <w:sz w:val="24"/>
          <w:highlight w:val="none"/>
          <w14:textFill>
            <w14:solidFill>
              <w14:schemeClr w14:val="tx1"/>
            </w14:solidFill>
          </w14:textFill>
        </w:rPr>
      </w:pPr>
    </w:p>
    <w:p>
      <w:pPr>
        <w:snapToGrid w:val="0"/>
        <w:spacing w:line="480" w:lineRule="atLeast"/>
        <w:jc w:val="center"/>
        <w:rPr>
          <w:rFonts w:ascii="Tahoma" w:hAnsi="Tahoma" w:cs="Tahoma"/>
          <w:color w:val="000000" w:themeColor="text1"/>
          <w:sz w:val="24"/>
          <w:highlight w:val="none"/>
          <w14:textFill>
            <w14:solidFill>
              <w14:schemeClr w14:val="tx1"/>
            </w14:solidFill>
          </w14:textFill>
        </w:rPr>
      </w:pPr>
    </w:p>
    <w:p>
      <w:pPr>
        <w:snapToGrid w:val="0"/>
        <w:spacing w:line="480" w:lineRule="atLeast"/>
        <w:jc w:val="center"/>
        <w:rPr>
          <w:rFonts w:ascii="Tahoma" w:hAnsi="Tahoma" w:cs="Tahoma"/>
          <w:color w:val="000000" w:themeColor="text1"/>
          <w:sz w:val="24"/>
          <w:highlight w:val="none"/>
          <w14:textFill>
            <w14:solidFill>
              <w14:schemeClr w14:val="tx1"/>
            </w14:solidFill>
          </w14:textFill>
        </w:rPr>
      </w:pPr>
    </w:p>
    <w:p>
      <w:pPr>
        <w:snapToGrid w:val="0"/>
        <w:spacing w:line="480" w:lineRule="atLeast"/>
        <w:jc w:val="center"/>
        <w:rPr>
          <w:rFonts w:ascii="Tahoma" w:hAnsi="Tahoma" w:cs="Tahoma"/>
          <w:color w:val="000000" w:themeColor="text1"/>
          <w:sz w:val="24"/>
          <w:highlight w:val="none"/>
          <w14:textFill>
            <w14:solidFill>
              <w14:schemeClr w14:val="tx1"/>
            </w14:solidFill>
          </w14:textFill>
        </w:rPr>
      </w:pPr>
    </w:p>
    <w:p>
      <w:pPr>
        <w:snapToGrid w:val="0"/>
        <w:spacing w:line="480" w:lineRule="atLeast"/>
        <w:jc w:val="center"/>
        <w:rPr>
          <w:rFonts w:ascii="Tahoma" w:hAnsi="Tahoma" w:cs="Tahoma"/>
          <w:color w:val="000000" w:themeColor="text1"/>
          <w:sz w:val="24"/>
          <w:highlight w:val="none"/>
          <w14:textFill>
            <w14:solidFill>
              <w14:schemeClr w14:val="tx1"/>
            </w14:solidFill>
          </w14:textFill>
        </w:rPr>
      </w:pPr>
    </w:p>
    <w:p>
      <w:pPr>
        <w:snapToGrid w:val="0"/>
        <w:spacing w:line="480" w:lineRule="atLeast"/>
        <w:jc w:val="center"/>
        <w:rPr>
          <w:rFonts w:ascii="Tahoma" w:hAnsi="Tahoma" w:cs="Tahoma"/>
          <w:color w:val="000000" w:themeColor="text1"/>
          <w:sz w:val="24"/>
          <w:highlight w:val="none"/>
          <w14:textFill>
            <w14:solidFill>
              <w14:schemeClr w14:val="tx1"/>
            </w14:solidFill>
          </w14:textFill>
        </w:rPr>
      </w:pPr>
    </w:p>
    <w:p>
      <w:pPr>
        <w:snapToGrid w:val="0"/>
        <w:spacing w:line="480" w:lineRule="atLeast"/>
        <w:jc w:val="center"/>
        <w:rPr>
          <w:rFonts w:ascii="Tahoma" w:hAnsi="Tahoma" w:cs="Tahoma"/>
          <w:color w:val="000000" w:themeColor="text1"/>
          <w:sz w:val="24"/>
          <w:highlight w:val="none"/>
          <w14:textFill>
            <w14:solidFill>
              <w14:schemeClr w14:val="tx1"/>
            </w14:solidFill>
          </w14:textFill>
        </w:rPr>
      </w:pPr>
    </w:p>
    <w:p>
      <w:pPr>
        <w:pStyle w:val="19"/>
        <w:rPr>
          <w:color w:val="000000" w:themeColor="text1"/>
          <w:highlight w:val="none"/>
          <w14:textFill>
            <w14:solidFill>
              <w14:schemeClr w14:val="tx1"/>
            </w14:solidFill>
          </w14:textFill>
        </w:rPr>
      </w:pPr>
    </w:p>
    <w:p>
      <w:pPr>
        <w:snapToGrid w:val="0"/>
        <w:spacing w:line="300" w:lineRule="atLeast"/>
        <w:jc w:val="center"/>
        <w:rPr>
          <w:rFonts w:ascii="Tahoma" w:hAnsi="Tahoma" w:cs="Tahoma"/>
          <w:color w:val="000000" w:themeColor="text1"/>
          <w:sz w:val="24"/>
          <w:highlight w:val="none"/>
          <w14:textFill>
            <w14:solidFill>
              <w14:schemeClr w14:val="tx1"/>
            </w14:solidFill>
          </w14:textFill>
        </w:rPr>
      </w:pPr>
      <w:r>
        <w:rPr>
          <w:rFonts w:ascii="Tahoma" w:hAnsi="黑体" w:eastAsia="黑体" w:cs="Tahoma"/>
          <w:b/>
          <w:color w:val="000000" w:themeColor="text1"/>
          <w:sz w:val="30"/>
          <w:szCs w:val="30"/>
          <w:highlight w:val="none"/>
          <w14:textFill>
            <w14:solidFill>
              <w14:schemeClr w14:val="tx1"/>
            </w14:solidFill>
          </w14:textFill>
        </w:rPr>
        <w:t>投标人须知前附表（一）</w:t>
      </w:r>
    </w:p>
    <w:tbl>
      <w:tblPr>
        <w:tblStyle w:val="20"/>
        <w:tblW w:w="10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567"/>
        <w:gridCol w:w="7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blHeader/>
        </w:trPr>
        <w:tc>
          <w:tcPr>
            <w:tcW w:w="1038" w:type="dxa"/>
            <w:vAlign w:val="center"/>
          </w:tcPr>
          <w:p>
            <w:pPr>
              <w:spacing w:line="280" w:lineRule="exact"/>
              <w:jc w:val="center"/>
              <w:rPr>
                <w:rFonts w:ascii="Tahoma" w:hAnsi="Tahoma" w:cs="Tahoma"/>
                <w:b/>
                <w:bCs/>
                <w:color w:val="000000" w:themeColor="text1"/>
                <w:highlight w:val="none"/>
                <w14:textFill>
                  <w14:solidFill>
                    <w14:schemeClr w14:val="tx1"/>
                  </w14:solidFill>
                </w14:textFill>
              </w:rPr>
            </w:pPr>
            <w:r>
              <w:rPr>
                <w:rFonts w:ascii="Tahoma" w:cs="Tahoma"/>
                <w:b/>
                <w:bCs/>
                <w:color w:val="000000" w:themeColor="text1"/>
                <w:highlight w:val="none"/>
                <w14:textFill>
                  <w14:solidFill>
                    <w14:schemeClr w14:val="tx1"/>
                  </w14:solidFill>
                </w14:textFill>
              </w:rPr>
              <w:t>条款号</w:t>
            </w:r>
          </w:p>
        </w:tc>
        <w:tc>
          <w:tcPr>
            <w:tcW w:w="1567" w:type="dxa"/>
            <w:vAlign w:val="center"/>
          </w:tcPr>
          <w:p>
            <w:pPr>
              <w:spacing w:line="280" w:lineRule="exact"/>
              <w:jc w:val="center"/>
              <w:rPr>
                <w:rFonts w:ascii="Tahoma" w:hAnsi="Tahoma" w:cs="Tahoma"/>
                <w:b/>
                <w:bCs/>
                <w:color w:val="000000" w:themeColor="text1"/>
                <w:highlight w:val="none"/>
                <w14:textFill>
                  <w14:solidFill>
                    <w14:schemeClr w14:val="tx1"/>
                  </w14:solidFill>
                </w14:textFill>
              </w:rPr>
            </w:pPr>
            <w:r>
              <w:rPr>
                <w:rFonts w:ascii="Tahoma" w:cs="Tahoma"/>
                <w:b/>
                <w:bCs/>
                <w:color w:val="000000" w:themeColor="text1"/>
                <w:highlight w:val="none"/>
                <w14:textFill>
                  <w14:solidFill>
                    <w14:schemeClr w14:val="tx1"/>
                  </w14:solidFill>
                </w14:textFill>
              </w:rPr>
              <w:t>条款名称</w:t>
            </w:r>
          </w:p>
        </w:tc>
        <w:tc>
          <w:tcPr>
            <w:tcW w:w="7774" w:type="dxa"/>
            <w:vAlign w:val="center"/>
          </w:tcPr>
          <w:p>
            <w:pPr>
              <w:spacing w:line="280" w:lineRule="exact"/>
              <w:jc w:val="center"/>
              <w:rPr>
                <w:rFonts w:ascii="Tahoma" w:hAnsi="Tahoma" w:cs="Tahoma"/>
                <w:b/>
                <w:bCs/>
                <w:color w:val="000000" w:themeColor="text1"/>
                <w:highlight w:val="none"/>
                <w14:textFill>
                  <w14:solidFill>
                    <w14:schemeClr w14:val="tx1"/>
                  </w14:solidFill>
                </w14:textFill>
              </w:rPr>
            </w:pPr>
            <w:r>
              <w:rPr>
                <w:rFonts w:ascii="Tahoma" w:cs="Tahoma"/>
                <w:b/>
                <w:bCs/>
                <w:color w:val="000000" w:themeColor="text1"/>
                <w:highlight w:val="none"/>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blHeader/>
        </w:trPr>
        <w:tc>
          <w:tcPr>
            <w:tcW w:w="1038" w:type="dxa"/>
            <w:vMerge w:val="restar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ahoma" w:hAnsi="Tahoma" w:eastAsia="华文中宋" w:cs="Tahoma"/>
                <w:color w:val="000000" w:themeColor="text1"/>
                <w:highlight w:val="none"/>
                <w14:textFill>
                  <w14:solidFill>
                    <w14:schemeClr w14:val="tx1"/>
                  </w14:solidFill>
                </w14:textFill>
              </w:rPr>
            </w:pPr>
            <w:r>
              <w:rPr>
                <w:rFonts w:ascii="Tahoma" w:hAnsi="Tahoma" w:eastAsia="华文中宋" w:cs="Tahoma"/>
                <w:color w:val="000000" w:themeColor="text1"/>
                <w:highlight w:val="none"/>
                <w14:textFill>
                  <w14:solidFill>
                    <w14:schemeClr w14:val="tx1"/>
                  </w14:solidFill>
                </w14:textFill>
              </w:rPr>
              <w:t>1.1</w:t>
            </w:r>
          </w:p>
        </w:tc>
        <w:tc>
          <w:tcPr>
            <w:tcW w:w="1567"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ahoma" w:hAnsi="Tahoma" w:cs="Tahoma"/>
                <w:color w:val="000000" w:themeColor="text1"/>
                <w:highlight w:val="none"/>
                <w14:textFill>
                  <w14:solidFill>
                    <w14:schemeClr w14:val="tx1"/>
                  </w14:solidFill>
                </w14:textFill>
              </w:rPr>
            </w:pPr>
            <w:r>
              <w:rPr>
                <w:rFonts w:ascii="Tahoma" w:hAnsi="Tahoma" w:cs="Tahoma"/>
                <w:color w:val="000000" w:themeColor="text1"/>
                <w:highlight w:val="none"/>
                <w14:textFill>
                  <w14:solidFill>
                    <w14:schemeClr w14:val="tx1"/>
                  </w14:solidFill>
                </w14:textFill>
              </w:rPr>
              <w:t>项目名称</w:t>
            </w:r>
          </w:p>
        </w:tc>
        <w:tc>
          <w:tcPr>
            <w:tcW w:w="7774"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Tahoma" w:hAnsi="Tahoma" w:eastAsia="宋体" w:cs="Tahoma"/>
                <w:color w:val="000000" w:themeColor="text1"/>
                <w:highlight w:val="none"/>
                <w:lang w:eastAsia="zh-CN"/>
                <w14:textFill>
                  <w14:solidFill>
                    <w14:schemeClr w14:val="tx1"/>
                  </w14:solidFill>
                </w14:textFill>
              </w:rPr>
            </w:pPr>
            <w:r>
              <w:rPr>
                <w:rFonts w:hint="eastAsia" w:ascii="Tahoma" w:hAnsi="Tahoma" w:cs="Tahoma"/>
                <w:color w:val="000000" w:themeColor="text1"/>
                <w:szCs w:val="21"/>
                <w:highlight w:val="none"/>
                <w:lang w:eastAsia="zh-CN"/>
                <w14:textFill>
                  <w14:solidFill>
                    <w14:schemeClr w14:val="tx1"/>
                  </w14:solidFill>
                </w14:textFill>
              </w:rPr>
              <w:t>和田地区和田县人民医院综合能力提升及信息化建设项目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blHeader/>
        </w:trPr>
        <w:tc>
          <w:tcPr>
            <w:tcW w:w="1038"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ahoma" w:hAnsi="Tahoma" w:eastAsia="华文中宋" w:cs="Tahoma"/>
                <w:b/>
                <w:bCs/>
                <w:color w:val="000000" w:themeColor="text1"/>
                <w:highlight w:val="none"/>
                <w14:textFill>
                  <w14:solidFill>
                    <w14:schemeClr w14:val="tx1"/>
                  </w14:solidFill>
                </w14:textFill>
              </w:rPr>
            </w:pPr>
          </w:p>
        </w:tc>
        <w:tc>
          <w:tcPr>
            <w:tcW w:w="1567"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ahoma" w:hAnsi="Tahoma" w:cs="Tahoma"/>
                <w:color w:val="000000" w:themeColor="text1"/>
                <w:highlight w:val="none"/>
                <w14:textFill>
                  <w14:solidFill>
                    <w14:schemeClr w14:val="tx1"/>
                  </w14:solidFill>
                </w14:textFill>
              </w:rPr>
            </w:pPr>
            <w:r>
              <w:rPr>
                <w:rFonts w:ascii="Tahoma" w:hAnsi="Tahoma" w:cs="Tahoma"/>
                <w:color w:val="000000" w:themeColor="text1"/>
                <w:highlight w:val="none"/>
                <w14:textFill>
                  <w14:solidFill>
                    <w14:schemeClr w14:val="tx1"/>
                  </w14:solidFill>
                </w14:textFill>
              </w:rPr>
              <w:t>招标人</w:t>
            </w:r>
          </w:p>
        </w:tc>
        <w:tc>
          <w:tcPr>
            <w:tcW w:w="7774"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ahoma" w:hAnsi="Tahoma" w:cs="Tahoma"/>
                <w:color w:val="000000" w:themeColor="text1"/>
                <w:highlight w:val="none"/>
                <w14:textFill>
                  <w14:solidFill>
                    <w14:schemeClr w14:val="tx1"/>
                  </w14:solidFill>
                </w14:textFill>
              </w:rPr>
            </w:pPr>
            <w:r>
              <w:rPr>
                <w:rFonts w:hint="eastAsia" w:ascii="Tahoma" w:hAnsi="Tahoma" w:cs="Tahoma"/>
                <w:color w:val="000000" w:themeColor="text1"/>
                <w:highlight w:val="none"/>
                <w14:textFill>
                  <w14:solidFill>
                    <w14:schemeClr w14:val="tx1"/>
                  </w14:solidFill>
                </w14:textFill>
              </w:rPr>
              <w:t>和田县人民医院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blHeader/>
        </w:trPr>
        <w:tc>
          <w:tcPr>
            <w:tcW w:w="1038"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ahoma" w:hAnsi="Tahoma" w:eastAsia="华文中宋" w:cs="Tahoma"/>
                <w:color w:val="000000" w:themeColor="text1"/>
                <w:highlight w:val="none"/>
                <w14:textFill>
                  <w14:solidFill>
                    <w14:schemeClr w14:val="tx1"/>
                  </w14:solidFill>
                </w14:textFill>
              </w:rPr>
            </w:pPr>
          </w:p>
        </w:tc>
        <w:tc>
          <w:tcPr>
            <w:tcW w:w="1567"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ahoma" w:hAnsi="Tahoma" w:cs="Tahoma"/>
                <w:color w:val="000000" w:themeColor="text1"/>
                <w:highlight w:val="none"/>
                <w14:textFill>
                  <w14:solidFill>
                    <w14:schemeClr w14:val="tx1"/>
                  </w14:solidFill>
                </w14:textFill>
              </w:rPr>
            </w:pPr>
            <w:r>
              <w:rPr>
                <w:rFonts w:ascii="Tahoma" w:hAnsi="Tahoma" w:cs="Tahoma"/>
                <w:color w:val="000000" w:themeColor="text1"/>
                <w:highlight w:val="none"/>
                <w14:textFill>
                  <w14:solidFill>
                    <w14:schemeClr w14:val="tx1"/>
                  </w14:solidFill>
                </w14:textFill>
              </w:rPr>
              <w:t>招标代理人</w:t>
            </w:r>
          </w:p>
        </w:tc>
        <w:tc>
          <w:tcPr>
            <w:tcW w:w="7774"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ahoma" w:hAnsi="Tahoma" w:cs="Tahoma"/>
                <w:color w:val="000000" w:themeColor="text1"/>
                <w:highlight w:val="none"/>
                <w14:textFill>
                  <w14:solidFill>
                    <w14:schemeClr w14:val="tx1"/>
                  </w14:solidFill>
                </w14:textFill>
              </w:rPr>
            </w:pPr>
            <w:r>
              <w:rPr>
                <w:rFonts w:hint="eastAsia" w:ascii="Tahoma" w:hAnsi="Tahoma" w:cs="Tahoma"/>
                <w:color w:val="000000" w:themeColor="text1"/>
                <w:highlight w:val="none"/>
                <w14:textFill>
                  <w14:solidFill>
                    <w14:schemeClr w14:val="tx1"/>
                  </w14:solidFill>
                </w14:textFill>
              </w:rPr>
              <w:t>新疆浩诚致远项目管理咨询有限公司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blHeader/>
        </w:trPr>
        <w:tc>
          <w:tcPr>
            <w:tcW w:w="1038"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ahoma" w:hAnsi="Tahoma" w:eastAsia="华文中宋" w:cs="Tahoma"/>
                <w:color w:val="000000" w:themeColor="text1"/>
                <w:highlight w:val="none"/>
                <w14:textFill>
                  <w14:solidFill>
                    <w14:schemeClr w14:val="tx1"/>
                  </w14:solidFill>
                </w14:textFill>
              </w:rPr>
            </w:pPr>
          </w:p>
        </w:tc>
        <w:tc>
          <w:tcPr>
            <w:tcW w:w="1567"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ahoma" w:hAnsi="Tahoma" w:cs="Tahoma"/>
                <w:color w:val="000000" w:themeColor="text1"/>
                <w:highlight w:val="none"/>
                <w14:textFill>
                  <w14:solidFill>
                    <w14:schemeClr w14:val="tx1"/>
                  </w14:solidFill>
                </w14:textFill>
              </w:rPr>
            </w:pPr>
            <w:r>
              <w:rPr>
                <w:rFonts w:ascii="Tahoma" w:hAnsi="Tahoma" w:cs="Tahoma"/>
                <w:color w:val="000000" w:themeColor="text1"/>
                <w:highlight w:val="none"/>
                <w14:textFill>
                  <w14:solidFill>
                    <w14:schemeClr w14:val="tx1"/>
                  </w14:solidFill>
                </w14:textFill>
              </w:rPr>
              <w:t>招标范围</w:t>
            </w:r>
          </w:p>
        </w:tc>
        <w:tc>
          <w:tcPr>
            <w:tcW w:w="7774"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ahoma" w:hAnsi="Tahoma" w:cs="Tahoma"/>
                <w:color w:val="000000" w:themeColor="text1"/>
                <w:highlight w:val="none"/>
                <w14:textFill>
                  <w14:solidFill>
                    <w14:schemeClr w14:val="tx1"/>
                  </w14:solidFill>
                </w14:textFill>
              </w:rPr>
            </w:pPr>
            <w:r>
              <w:rPr>
                <w:rFonts w:ascii="Tahoma" w:hAnsi="Tahoma" w:cs="Tahoma"/>
                <w:color w:val="000000" w:themeColor="text1"/>
                <w:highlight w:val="none"/>
                <w14:textFill>
                  <w14:solidFill>
                    <w14:schemeClr w14:val="tx1"/>
                  </w14:solidFill>
                </w14:textFill>
              </w:rPr>
              <w:t>详见招标文件第五章招标内容及要求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blHeader/>
        </w:trPr>
        <w:tc>
          <w:tcPr>
            <w:tcW w:w="1038"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ahoma" w:hAnsi="Tahoma" w:eastAsia="华文中宋" w:cs="Tahoma"/>
                <w:color w:val="000000" w:themeColor="text1"/>
                <w:highlight w:val="none"/>
                <w14:textFill>
                  <w14:solidFill>
                    <w14:schemeClr w14:val="tx1"/>
                  </w14:solidFill>
                </w14:textFill>
              </w:rPr>
            </w:pPr>
          </w:p>
        </w:tc>
        <w:tc>
          <w:tcPr>
            <w:tcW w:w="1567"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ahoma" w:hAnsi="Tahoma" w:cs="Tahoma"/>
                <w:color w:val="000000" w:themeColor="text1"/>
                <w:highlight w:val="none"/>
                <w14:textFill>
                  <w14:solidFill>
                    <w14:schemeClr w14:val="tx1"/>
                  </w14:solidFill>
                </w14:textFill>
              </w:rPr>
            </w:pPr>
            <w:r>
              <w:rPr>
                <w:rFonts w:ascii="Tahoma" w:hAnsi="Tahoma" w:cs="Tahoma"/>
                <w:color w:val="000000" w:themeColor="text1"/>
                <w:highlight w:val="none"/>
                <w14:textFill>
                  <w14:solidFill>
                    <w14:schemeClr w14:val="tx1"/>
                  </w14:solidFill>
                </w14:textFill>
              </w:rPr>
              <w:t>项目编号</w:t>
            </w:r>
          </w:p>
        </w:tc>
        <w:tc>
          <w:tcPr>
            <w:tcW w:w="7774"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Tahoma" w:hAnsi="Tahoma" w:eastAsia="宋体" w:cs="Tahoma"/>
                <w:color w:val="000000" w:themeColor="text1"/>
                <w:highlight w:val="none"/>
                <w:lang w:eastAsia="zh-CN"/>
                <w14:textFill>
                  <w14:solidFill>
                    <w14:schemeClr w14:val="tx1"/>
                  </w14:solidFill>
                </w14:textFill>
              </w:rPr>
            </w:pPr>
            <w:r>
              <w:rPr>
                <w:rFonts w:hint="eastAsia" w:ascii="Tahoma" w:hAnsi="Tahoma" w:cs="Tahoma"/>
                <w:color w:val="000000" w:themeColor="text1"/>
                <w:highlight w:val="none"/>
                <w:lang w:eastAsia="zh-CN"/>
                <w14:textFill>
                  <w14:solidFill>
                    <w14:schemeClr w14:val="tx1"/>
                  </w14:solidFill>
                </w14:textFill>
              </w:rPr>
              <w:t>HTXZFCG（2022FS）039号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blHeader/>
        </w:trPr>
        <w:tc>
          <w:tcPr>
            <w:tcW w:w="1038"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ahoma" w:hAnsi="Tahoma" w:eastAsia="华文中宋" w:cs="Tahoma"/>
                <w:color w:val="000000" w:themeColor="text1"/>
                <w:highlight w:val="none"/>
                <w14:textFill>
                  <w14:solidFill>
                    <w14:schemeClr w14:val="tx1"/>
                  </w14:solidFill>
                </w14:textFill>
              </w:rPr>
            </w:pPr>
          </w:p>
        </w:tc>
        <w:tc>
          <w:tcPr>
            <w:tcW w:w="1567"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ahoma" w:hAnsi="Tahoma" w:cs="Tahoma"/>
                <w:color w:val="000000" w:themeColor="text1"/>
                <w:highlight w:val="none"/>
                <w14:textFill>
                  <w14:solidFill>
                    <w14:schemeClr w14:val="tx1"/>
                  </w14:solidFill>
                </w14:textFill>
              </w:rPr>
            </w:pPr>
            <w:r>
              <w:rPr>
                <w:rFonts w:ascii="Tahoma" w:hAnsi="Tahoma" w:cs="Tahoma"/>
                <w:color w:val="000000" w:themeColor="text1"/>
                <w:highlight w:val="none"/>
                <w14:textFill>
                  <w14:solidFill>
                    <w14:schemeClr w14:val="tx1"/>
                  </w14:solidFill>
                </w14:textFill>
              </w:rPr>
              <w:t>资金来源</w:t>
            </w:r>
          </w:p>
        </w:tc>
        <w:tc>
          <w:tcPr>
            <w:tcW w:w="7774"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Tahoma" w:hAnsi="Tahoma" w:eastAsia="宋体" w:cs="Tahoma"/>
                <w:color w:val="000000" w:themeColor="text1"/>
                <w:highlight w:val="none"/>
                <w:lang w:eastAsia="zh-CN"/>
                <w14:textFill>
                  <w14:solidFill>
                    <w14:schemeClr w14:val="tx1"/>
                  </w14:solidFill>
                </w14:textFill>
              </w:rPr>
            </w:pPr>
            <w:r>
              <w:rPr>
                <w:rFonts w:hint="eastAsia" w:ascii="Tahoma" w:hAnsi="Tahoma" w:cs="Tahoma"/>
                <w:color w:val="000000" w:themeColor="text1"/>
                <w:highlight w:val="none"/>
                <w:lang w:eastAsia="zh-CN"/>
                <w14:textFill>
                  <w14:solidFill>
                    <w14:schemeClr w14:val="tx1"/>
                  </w14:solidFill>
                </w14:textFill>
              </w:rPr>
              <w:t>债券资金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blHeader/>
        </w:trPr>
        <w:tc>
          <w:tcPr>
            <w:tcW w:w="1038"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ahoma" w:hAnsi="Tahoma" w:eastAsia="华文中宋" w:cs="Tahoma"/>
                <w:color w:val="000000" w:themeColor="text1"/>
                <w:highlight w:val="none"/>
                <w14:textFill>
                  <w14:solidFill>
                    <w14:schemeClr w14:val="tx1"/>
                  </w14:solidFill>
                </w14:textFill>
              </w:rPr>
            </w:pPr>
          </w:p>
        </w:tc>
        <w:tc>
          <w:tcPr>
            <w:tcW w:w="1567"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ahoma" w:hAnsi="Tahoma" w:cs="Tahoma"/>
                <w:color w:val="000000" w:themeColor="text1"/>
                <w:highlight w:val="none"/>
                <w14:textFill>
                  <w14:solidFill>
                    <w14:schemeClr w14:val="tx1"/>
                  </w14:solidFill>
                </w14:textFill>
              </w:rPr>
            </w:pPr>
            <w:r>
              <w:rPr>
                <w:rFonts w:ascii="Tahoma" w:hAnsi="Tahoma" w:cs="Tahoma"/>
                <w:color w:val="000000" w:themeColor="text1"/>
                <w:highlight w:val="none"/>
                <w14:textFill>
                  <w14:solidFill>
                    <w14:schemeClr w14:val="tx1"/>
                  </w14:solidFill>
                </w14:textFill>
              </w:rPr>
              <w:t>资金落实情况</w:t>
            </w:r>
          </w:p>
        </w:tc>
        <w:tc>
          <w:tcPr>
            <w:tcW w:w="7774"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ahoma" w:hAnsi="Tahoma" w:cs="Tahoma"/>
                <w:color w:val="000000" w:themeColor="text1"/>
                <w:highlight w:val="none"/>
                <w14:textFill>
                  <w14:solidFill>
                    <w14:schemeClr w14:val="tx1"/>
                  </w14:solidFill>
                </w14:textFill>
              </w:rPr>
            </w:pPr>
            <w:r>
              <w:rPr>
                <w:rFonts w:ascii="Tahoma" w:hAnsi="Tahoma" w:cs="Tahoma"/>
                <w:color w:val="000000" w:themeColor="text1"/>
                <w:highlight w:val="none"/>
                <w14:textFill>
                  <w14:solidFill>
                    <w14:schemeClr w14:val="tx1"/>
                  </w14:solidFill>
                </w14:textFill>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5" w:hRule="atLeast"/>
          <w:tblHeader/>
        </w:trPr>
        <w:tc>
          <w:tcPr>
            <w:tcW w:w="1038"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ahoma" w:hAnsi="Tahoma" w:eastAsia="华文中宋" w:cs="Tahoma"/>
                <w:color w:val="000000" w:themeColor="text1"/>
                <w:highlight w:val="none"/>
                <w14:textFill>
                  <w14:solidFill>
                    <w14:schemeClr w14:val="tx1"/>
                  </w14:solidFill>
                </w14:textFill>
              </w:rPr>
            </w:pPr>
            <w:r>
              <w:rPr>
                <w:rFonts w:ascii="Tahoma" w:hAnsi="Tahoma" w:eastAsia="华文中宋" w:cs="Tahoma"/>
                <w:color w:val="000000" w:themeColor="text1"/>
                <w:highlight w:val="none"/>
                <w14:textFill>
                  <w14:solidFill>
                    <w14:schemeClr w14:val="tx1"/>
                  </w14:solidFill>
                </w14:textFill>
              </w:rPr>
              <w:t>1.</w:t>
            </w:r>
            <w:r>
              <w:rPr>
                <w:rFonts w:hint="eastAsia" w:ascii="Tahoma" w:hAnsi="Tahoma" w:eastAsia="华文中宋" w:cs="Tahoma"/>
                <w:color w:val="000000" w:themeColor="text1"/>
                <w:highlight w:val="none"/>
                <w14:textFill>
                  <w14:solidFill>
                    <w14:schemeClr w14:val="tx1"/>
                  </w14:solidFill>
                </w14:textFill>
              </w:rPr>
              <w:t>2</w:t>
            </w:r>
          </w:p>
        </w:tc>
        <w:tc>
          <w:tcPr>
            <w:tcW w:w="1567"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ahoma" w:hAnsi="Tahoma" w:cs="Tahoma"/>
                <w:color w:val="000000" w:themeColor="text1"/>
                <w:highlight w:val="none"/>
                <w14:textFill>
                  <w14:solidFill>
                    <w14:schemeClr w14:val="tx1"/>
                  </w14:solidFill>
                </w14:textFill>
              </w:rPr>
            </w:pPr>
            <w:r>
              <w:rPr>
                <w:rFonts w:ascii="Tahoma" w:hAnsi="Tahoma" w:cs="Tahoma"/>
                <w:color w:val="000000" w:themeColor="text1"/>
                <w:highlight w:val="none"/>
                <w14:textFill>
                  <w14:solidFill>
                    <w14:schemeClr w14:val="tx1"/>
                  </w14:solidFill>
                </w14:textFill>
              </w:rPr>
              <w:t>资格要求</w:t>
            </w:r>
          </w:p>
        </w:tc>
        <w:tc>
          <w:tcPr>
            <w:tcW w:w="7774"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ahoma" w:hAnsi="Tahoma" w:cs="Tahoma"/>
                <w:color w:val="000000" w:themeColor="text1"/>
                <w:highlight w:val="none"/>
                <w14:textFill>
                  <w14:solidFill>
                    <w14:schemeClr w14:val="tx1"/>
                  </w14:solidFill>
                </w14:textFill>
              </w:rPr>
            </w:pPr>
            <w:r>
              <w:rPr>
                <w:rFonts w:ascii="Tahoma" w:hAnsi="Tahoma" w:cs="Tahoma"/>
                <w:color w:val="000000" w:themeColor="text1"/>
                <w:highlight w:val="none"/>
                <w14:textFill>
                  <w14:solidFill>
                    <w14:schemeClr w14:val="tx1"/>
                  </w14:solidFill>
                </w14:textFill>
              </w:rPr>
              <w:t>符合《中华人民共和国政府采购法》第二十</w:t>
            </w:r>
            <w:r>
              <w:rPr>
                <w:rFonts w:hint="eastAsia" w:ascii="Tahoma" w:hAnsi="Tahoma" w:cs="Tahoma"/>
                <w:color w:val="000000" w:themeColor="text1"/>
                <w:highlight w:val="none"/>
                <w14:textFill>
                  <w14:solidFill>
                    <w14:schemeClr w14:val="tx1"/>
                  </w14:solidFill>
                </w14:textFill>
              </w:rPr>
              <w:t>一、二</w:t>
            </w:r>
            <w:r>
              <w:rPr>
                <w:rFonts w:ascii="Tahoma" w:hAnsi="Tahoma" w:cs="Tahoma"/>
                <w:color w:val="000000" w:themeColor="text1"/>
                <w:highlight w:val="none"/>
                <w14:textFill>
                  <w14:solidFill>
                    <w14:schemeClr w14:val="tx1"/>
                  </w14:solidFill>
                </w14:textFill>
              </w:rPr>
              <w:t>条之规定；</w:t>
            </w:r>
            <w:r>
              <w:rPr>
                <w:rFonts w:hint="eastAsia" w:ascii="Tahoma" w:hAnsi="Tahoma" w:cs="Tahoma"/>
                <w:color w:val="000000" w:themeColor="text1"/>
                <w:highlight w:val="none"/>
                <w14:textFill>
                  <w14:solidFill>
                    <w14:schemeClr w14:val="tx1"/>
                  </w14:solidFill>
                </w14:textFill>
              </w:rPr>
              <w:t>供应商是指向采购人提供货物、工程或者服务的法人、其他组织或者自然人。</w:t>
            </w:r>
            <w:r>
              <w:rPr>
                <w:rFonts w:ascii="Tahoma" w:hAnsi="Tahoma" w:cs="Tahoma"/>
                <w:color w:val="000000" w:themeColor="text1"/>
                <w:highlight w:val="none"/>
                <w14:textFill>
                  <w14:solidFill>
                    <w14:schemeClr w14:val="tx1"/>
                  </w14:solidFill>
                </w14:textFill>
              </w:rPr>
              <w:t>需具有独立承担民事行为责任的能力；三年内无违法违规等不良记录；具有良好的社会和商业信誉及履约能力；具有健全的财务会计制度和依法纳税及社会保障资金的良好记录；还应同时具备下列资格条件：</w:t>
            </w:r>
          </w:p>
          <w:p>
            <w:pPr>
              <w:keepNext w:val="0"/>
              <w:keepLines w:val="0"/>
              <w:pageBreakBefore w:val="0"/>
              <w:kinsoku/>
              <w:wordWrap/>
              <w:overflowPunct/>
              <w:topLinePunct w:val="0"/>
              <w:autoSpaceDE/>
              <w:autoSpaceDN/>
              <w:bidi w:val="0"/>
              <w:adjustRightInd/>
              <w:snapToGrid/>
              <w:spacing w:line="240" w:lineRule="exact"/>
              <w:textAlignment w:val="auto"/>
              <w:rPr>
                <w:rFonts w:ascii="Tahoma" w:hAnsi="Tahoma" w:cs="Tahoma"/>
                <w:color w:val="000000" w:themeColor="text1"/>
                <w:highlight w:val="none"/>
                <w14:textFill>
                  <w14:solidFill>
                    <w14:schemeClr w14:val="tx1"/>
                  </w14:solidFill>
                </w14:textFill>
              </w:rPr>
            </w:pPr>
            <w:r>
              <w:rPr>
                <w:rFonts w:hint="eastAsia" w:ascii="Tahoma" w:hAnsi="Tahoma" w:cs="Tahoma"/>
                <w:color w:val="000000" w:themeColor="text1"/>
                <w:highlight w:val="none"/>
                <w14:textFill>
                  <w14:solidFill>
                    <w14:schemeClr w14:val="tx1"/>
                  </w14:solidFill>
                </w14:textFill>
              </w:rPr>
              <w:t>1、满足《中华人民共和国政府采购法》</w:t>
            </w:r>
            <w:r>
              <w:rPr>
                <w:rFonts w:ascii="Tahoma" w:hAnsi="Tahoma" w:cs="Tahoma"/>
                <w:color w:val="000000" w:themeColor="text1"/>
                <w:highlight w:val="none"/>
                <w14:textFill>
                  <w14:solidFill>
                    <w14:schemeClr w14:val="tx1"/>
                  </w14:solidFill>
                </w14:textFill>
              </w:rPr>
              <w:t>第二十</w:t>
            </w:r>
            <w:r>
              <w:rPr>
                <w:rFonts w:hint="eastAsia" w:ascii="Tahoma" w:hAnsi="Tahoma" w:cs="Tahoma"/>
                <w:color w:val="000000" w:themeColor="text1"/>
                <w:highlight w:val="none"/>
                <w14:textFill>
                  <w14:solidFill>
                    <w14:schemeClr w14:val="tx1"/>
                  </w14:solidFill>
                </w14:textFill>
              </w:rPr>
              <w:t>一、二</w:t>
            </w:r>
            <w:r>
              <w:rPr>
                <w:rFonts w:ascii="Tahoma" w:hAnsi="Tahoma" w:cs="Tahoma"/>
                <w:color w:val="000000" w:themeColor="text1"/>
                <w:highlight w:val="none"/>
                <w14:textFill>
                  <w14:solidFill>
                    <w14:schemeClr w14:val="tx1"/>
                  </w14:solidFill>
                </w14:textFill>
              </w:rPr>
              <w:t>条之规定</w:t>
            </w:r>
            <w:r>
              <w:rPr>
                <w:rFonts w:hint="eastAsia" w:ascii="Tahoma" w:hAnsi="Tahoma" w:cs="Tahoma"/>
                <w:color w:val="000000" w:themeColor="text1"/>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Tahoma" w:hAnsi="Tahoma" w:cs="Tahoma"/>
                <w:color w:val="000000" w:themeColor="text1"/>
                <w:highlight w:val="none"/>
                <w14:textFill>
                  <w14:solidFill>
                    <w14:schemeClr w14:val="tx1"/>
                  </w14:solidFill>
                </w14:textFill>
              </w:rPr>
            </w:pPr>
            <w:r>
              <w:rPr>
                <w:rFonts w:hint="eastAsia" w:ascii="Tahoma" w:hAnsi="Tahoma" w:cs="Tahoma"/>
                <w:color w:val="000000" w:themeColor="text1"/>
                <w:highlight w:val="none"/>
                <w:lang w:val="en-US" w:eastAsia="zh-CN"/>
                <w14:textFill>
                  <w14:solidFill>
                    <w14:schemeClr w14:val="tx1"/>
                  </w14:solidFill>
                </w14:textFill>
              </w:rPr>
              <w:t>2、</w:t>
            </w:r>
            <w:r>
              <w:rPr>
                <w:rFonts w:hint="eastAsia" w:ascii="Tahoma" w:hAnsi="Tahoma" w:cs="Tahoma"/>
                <w:color w:val="000000" w:themeColor="text1"/>
                <w:highlight w:val="none"/>
                <w14:textFill>
                  <w14:solidFill>
                    <w14:schemeClr w14:val="tx1"/>
                  </w14:solidFill>
                </w14:textFill>
              </w:rPr>
              <w:t>投标人具备实施医院信息化建设能力，具备经市场监督管理局核准的有效的营业执照；</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Tahoma" w:hAnsi="Tahoma" w:cs="Tahoma"/>
                <w:color w:val="000000" w:themeColor="text1"/>
                <w:highlight w:val="none"/>
                <w14:textFill>
                  <w14:solidFill>
                    <w14:schemeClr w14:val="tx1"/>
                  </w14:solidFill>
                </w14:textFill>
              </w:rPr>
            </w:pPr>
            <w:r>
              <w:rPr>
                <w:rFonts w:hint="eastAsia" w:ascii="Tahoma" w:hAnsi="Tahoma" w:cs="Tahoma"/>
                <w:color w:val="000000" w:themeColor="text1"/>
                <w:highlight w:val="none"/>
                <w:lang w:val="en-US" w:eastAsia="zh-CN"/>
                <w14:textFill>
                  <w14:solidFill>
                    <w14:schemeClr w14:val="tx1"/>
                  </w14:solidFill>
                </w14:textFill>
              </w:rPr>
              <w:t>3、</w:t>
            </w:r>
            <w:r>
              <w:rPr>
                <w:rFonts w:hint="eastAsia" w:ascii="Tahoma" w:hAnsi="Tahoma" w:cs="Tahoma"/>
                <w:color w:val="000000" w:themeColor="text1"/>
                <w:highlight w:val="none"/>
                <w14:textFill>
                  <w14:solidFill>
                    <w14:schemeClr w14:val="tx1"/>
                  </w14:solidFill>
                </w14:textFill>
              </w:rPr>
              <w:t>由法人参标的需提供法人身份证明及法人身份证原件；或由委托人参标的需提供法定代表人授权委托书、委托人身份证（授权书需附法人身份证及委托人身份证复印件）及近三个月社保缴纳凭证；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Tahoma" w:hAnsi="Tahoma" w:cs="Tahoma"/>
                <w:color w:val="000000" w:themeColor="text1"/>
                <w:highlight w:val="none"/>
                <w14:textFill>
                  <w14:solidFill>
                    <w14:schemeClr w14:val="tx1"/>
                  </w14:solidFill>
                </w14:textFill>
              </w:rPr>
            </w:pPr>
            <w:r>
              <w:rPr>
                <w:rFonts w:hint="eastAsia" w:ascii="Tahoma" w:hAnsi="Tahoma" w:cs="Tahoma"/>
                <w:color w:val="000000" w:themeColor="text1"/>
                <w:highlight w:val="none"/>
                <w:lang w:val="en-US" w:eastAsia="zh-CN"/>
                <w14:textFill>
                  <w14:solidFill>
                    <w14:schemeClr w14:val="tx1"/>
                  </w14:solidFill>
                </w14:textFill>
              </w:rPr>
              <w:t>4、</w:t>
            </w:r>
            <w:r>
              <w:rPr>
                <w:rFonts w:hint="eastAsia" w:ascii="Tahoma" w:hAnsi="Tahoma" w:cs="Tahoma"/>
                <w:color w:val="000000" w:themeColor="text1"/>
                <w:highlight w:val="none"/>
                <w14:textFill>
                  <w14:solidFill>
                    <w14:schemeClr w14:val="tx1"/>
                  </w14:solidFill>
                </w14:textFill>
              </w:rPr>
              <w:t>投标人具有良好的商业信誉和独立健全的财务会计制度及完税证明（需提供2021年度财务审计报告（2021年新成立公司提供银行出具资信证明</w:t>
            </w:r>
            <w:r>
              <w:rPr>
                <w:rFonts w:hint="eastAsia" w:ascii="Tahoma" w:hAnsi="Tahoma" w:cs="Tahoma"/>
                <w:color w:val="000000" w:themeColor="text1"/>
                <w:highlight w:val="none"/>
                <w:lang w:eastAsia="zh-CN"/>
                <w14:textFill>
                  <w14:solidFill>
                    <w14:schemeClr w14:val="tx1"/>
                  </w14:solidFill>
                </w14:textFill>
              </w:rPr>
              <w:t>）</w:t>
            </w:r>
            <w:r>
              <w:rPr>
                <w:rFonts w:hint="eastAsia" w:ascii="Tahoma" w:hAnsi="Tahoma" w:cs="Tahoma"/>
                <w:color w:val="000000" w:themeColor="text1"/>
                <w:highlight w:val="none"/>
                <w14:textFill>
                  <w14:solidFill>
                    <w14:schemeClr w14:val="tx1"/>
                  </w14:solidFill>
                </w14:textFill>
              </w:rPr>
              <w:t>及近三个月完税证明材料）；</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Tahoma" w:hAnsi="Tahoma" w:cs="Tahoma"/>
                <w:color w:val="000000" w:themeColor="text1"/>
                <w:highlight w:val="none"/>
                <w:lang w:val="en-US" w:eastAsia="zh-CN"/>
                <w14:textFill>
                  <w14:solidFill>
                    <w14:schemeClr w14:val="tx1"/>
                  </w14:solidFill>
                </w14:textFill>
              </w:rPr>
            </w:pPr>
            <w:r>
              <w:rPr>
                <w:rFonts w:hint="eastAsia" w:ascii="Tahoma" w:hAnsi="Tahoma" w:cs="Tahoma"/>
                <w:color w:val="000000" w:themeColor="text1"/>
                <w:highlight w:val="none"/>
                <w:lang w:val="en-US" w:eastAsia="zh-CN"/>
                <w14:textFill>
                  <w14:solidFill>
                    <w14:schemeClr w14:val="tx1"/>
                  </w14:solidFill>
                </w14:textFill>
              </w:rPr>
              <w:t>5、投标人需提供“信用中国”网站（WWW.creditchina.gov.cn）、中国政府采购网（www.ccgp.gov.cn）、国家企业信用信息公示系统（http://www.gsxt.gov.cn）的查询结果，如被列入失信被执行人、重大税收违法案件当事人名单、政府采购严重违法失信行为记录名单的（尚在处罚期内的），将拒绝其参加本次采购活动；</w:t>
            </w:r>
          </w:p>
          <w:p>
            <w:pPr>
              <w:keepNext w:val="0"/>
              <w:keepLines w:val="0"/>
              <w:pageBreakBefore w:val="0"/>
              <w:kinsoku/>
              <w:wordWrap/>
              <w:overflowPunct/>
              <w:topLinePunct w:val="0"/>
              <w:autoSpaceDE/>
              <w:autoSpaceDN/>
              <w:bidi w:val="0"/>
              <w:adjustRightInd/>
              <w:snapToGrid/>
              <w:spacing w:line="240" w:lineRule="exact"/>
              <w:textAlignment w:val="auto"/>
              <w:rPr>
                <w:rFonts w:hint="default" w:ascii="Tahoma" w:hAnsi="Tahoma" w:cs="Tahoma"/>
                <w:color w:val="000000" w:themeColor="text1"/>
                <w:highlight w:val="none"/>
                <w:lang w:val="en-US" w:eastAsia="zh-CN"/>
                <w14:textFill>
                  <w14:solidFill>
                    <w14:schemeClr w14:val="tx1"/>
                  </w14:solidFill>
                </w14:textFill>
              </w:rPr>
            </w:pPr>
            <w:r>
              <w:rPr>
                <w:rFonts w:hint="eastAsia" w:ascii="Tahoma" w:hAnsi="Tahoma" w:cs="Tahoma"/>
                <w:color w:val="000000" w:themeColor="text1"/>
                <w:highlight w:val="none"/>
                <w:lang w:val="en-US" w:eastAsia="zh-CN"/>
                <w14:textFill>
                  <w14:solidFill>
                    <w14:schemeClr w14:val="tx1"/>
                  </w14:solidFill>
                </w14:textFill>
              </w:rPr>
              <w:t>6、一个制造商对同一品牌的货物及产品，仅能委托一个代理商参加投标；</w:t>
            </w:r>
          </w:p>
          <w:p>
            <w:pPr>
              <w:keepNext w:val="0"/>
              <w:keepLines w:val="0"/>
              <w:pageBreakBefore w:val="0"/>
              <w:kinsoku/>
              <w:wordWrap/>
              <w:overflowPunct/>
              <w:topLinePunct w:val="0"/>
              <w:autoSpaceDE/>
              <w:autoSpaceDN/>
              <w:bidi w:val="0"/>
              <w:adjustRightInd/>
              <w:snapToGrid/>
              <w:spacing w:line="240" w:lineRule="exact"/>
              <w:textAlignment w:val="auto"/>
              <w:rPr>
                <w:rFonts w:ascii="Tahoma" w:hAnsi="Tahoma" w:cs="Tahoma"/>
                <w:color w:val="000000" w:themeColor="text1"/>
                <w:highlight w:val="none"/>
                <w14:textFill>
                  <w14:solidFill>
                    <w14:schemeClr w14:val="tx1"/>
                  </w14:solidFill>
                </w14:textFill>
              </w:rPr>
            </w:pPr>
            <w:r>
              <w:rPr>
                <w:rFonts w:hint="eastAsia" w:ascii="Tahoma" w:hAnsi="Tahoma" w:cs="Tahoma"/>
                <w:color w:val="000000" w:themeColor="text1"/>
                <w:highlight w:val="none"/>
                <w:lang w:val="en-US" w:eastAsia="zh-CN"/>
                <w14:textFill>
                  <w14:solidFill>
                    <w14:schemeClr w14:val="tx1"/>
                  </w14:solidFill>
                </w14:textFill>
              </w:rPr>
              <w:t>7、与采购人存在利害关系可能影响公正性的单位，不得参加投标。单位负责人为同一</w:t>
            </w:r>
            <w:r>
              <w:rPr>
                <w:rFonts w:hint="eastAsia" w:ascii="Tahoma" w:hAnsi="Tahoma" w:cs="Tahoma"/>
                <w:color w:val="000000" w:themeColor="text1"/>
                <w:highlight w:val="none"/>
                <w14:textFill>
                  <w14:solidFill>
                    <w14:schemeClr w14:val="tx1"/>
                  </w14:solidFill>
                </w14:textFill>
              </w:rPr>
              <w:t>人或存在控股、管理关系的</w:t>
            </w:r>
            <w:bookmarkStart w:id="260" w:name="_GoBack"/>
            <w:bookmarkEnd w:id="260"/>
            <w:r>
              <w:rPr>
                <w:rFonts w:hint="eastAsia" w:ascii="Tahoma" w:hAnsi="Tahoma" w:cs="Tahoma"/>
                <w:color w:val="000000" w:themeColor="text1"/>
                <w:highlight w:val="none"/>
                <w14:textFill>
                  <w14:solidFill>
                    <w14:schemeClr w14:val="tx1"/>
                  </w14:solidFill>
                </w14:textFill>
              </w:rPr>
              <w:t>不同单位，不得参加同一标段投标，否则，相关投标均无效。</w:t>
            </w:r>
          </w:p>
          <w:p>
            <w:pPr>
              <w:keepNext w:val="0"/>
              <w:keepLines w:val="0"/>
              <w:pageBreakBefore w:val="0"/>
              <w:kinsoku/>
              <w:wordWrap/>
              <w:overflowPunct/>
              <w:topLinePunct w:val="0"/>
              <w:autoSpaceDE/>
              <w:autoSpaceDN/>
              <w:bidi w:val="0"/>
              <w:adjustRightInd/>
              <w:snapToGrid/>
              <w:spacing w:line="240" w:lineRule="exact"/>
              <w:textAlignment w:val="auto"/>
              <w:rPr>
                <w:rFonts w:ascii="Tahoma" w:hAnsi="Tahoma" w:cs="Tahoma"/>
                <w:color w:val="000000" w:themeColor="text1"/>
                <w:highlight w:val="none"/>
                <w14:textFill>
                  <w14:solidFill>
                    <w14:schemeClr w14:val="tx1"/>
                  </w14:solidFill>
                </w14:textFill>
              </w:rPr>
            </w:pPr>
            <w:r>
              <w:rPr>
                <w:rFonts w:hint="eastAsia" w:ascii="Tahoma" w:hAnsi="Tahoma" w:cs="Tahoma"/>
                <w:color w:val="000000" w:themeColor="text1"/>
                <w:highlight w:val="none"/>
                <w14:textFill>
                  <w14:solidFill>
                    <w14:schemeClr w14:val="tx1"/>
                  </w14:solidFill>
                </w14:textFill>
              </w:rPr>
              <w:t>供应商所提供的所有资格文件的复印件必须与原件相一致，并加盖供应商公章。否则将被视为无效投标，敬请供应商注意！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8" w:hRule="atLeast"/>
          <w:tblHeader/>
        </w:trPr>
        <w:tc>
          <w:tcPr>
            <w:tcW w:w="1038"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ahoma" w:hAnsi="Tahoma" w:eastAsia="华文中宋" w:cs="Tahoma"/>
                <w:color w:val="000000" w:themeColor="text1"/>
                <w:highlight w:val="none"/>
                <w14:textFill>
                  <w14:solidFill>
                    <w14:schemeClr w14:val="tx1"/>
                  </w14:solidFill>
                </w14:textFill>
              </w:rPr>
            </w:pPr>
            <w:r>
              <w:rPr>
                <w:rFonts w:ascii="Tahoma" w:hAnsi="Tahoma" w:eastAsia="华文中宋" w:cs="Tahoma"/>
                <w:color w:val="000000" w:themeColor="text1"/>
                <w:highlight w:val="none"/>
                <w14:textFill>
                  <w14:solidFill>
                    <w14:schemeClr w14:val="tx1"/>
                  </w14:solidFill>
                </w14:textFill>
              </w:rPr>
              <w:t>2</w:t>
            </w:r>
          </w:p>
        </w:tc>
        <w:tc>
          <w:tcPr>
            <w:tcW w:w="1567"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ahoma" w:hAnsi="Tahoma" w:cs="Tahoma"/>
                <w:color w:val="000000" w:themeColor="text1"/>
                <w:highlight w:val="none"/>
                <w14:textFill>
                  <w14:solidFill>
                    <w14:schemeClr w14:val="tx1"/>
                  </w14:solidFill>
                </w14:textFill>
              </w:rPr>
            </w:pPr>
            <w:r>
              <w:rPr>
                <w:rFonts w:ascii="Tahoma" w:cs="Tahoma"/>
                <w:color w:val="000000" w:themeColor="text1"/>
                <w:highlight w:val="none"/>
                <w14:textFill>
                  <w14:solidFill>
                    <w14:schemeClr w14:val="tx1"/>
                  </w14:solidFill>
                </w14:textFill>
              </w:rPr>
              <w:t>答疑与澄清</w:t>
            </w:r>
          </w:p>
        </w:tc>
        <w:tc>
          <w:tcPr>
            <w:tcW w:w="7774"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ahoma" w:hAnsi="Tahoma" w:cs="Tahoma"/>
                <w:color w:val="000000" w:themeColor="text1"/>
                <w:highlight w:val="none"/>
                <w14:textFill>
                  <w14:solidFill>
                    <w14:schemeClr w14:val="tx1"/>
                  </w14:solidFill>
                </w14:textFill>
              </w:rPr>
            </w:pPr>
            <w:r>
              <w:rPr>
                <w:rFonts w:ascii="Tahoma" w:cs="Tahoma"/>
                <w:color w:val="000000" w:themeColor="text1"/>
                <w:highlight w:val="none"/>
                <w14:textFill>
                  <w14:solidFill>
                    <w14:schemeClr w14:val="tx1"/>
                  </w14:solidFill>
                </w14:textFill>
              </w:rPr>
              <w:t>获取招标文件的供应商如认为招标文件如有表述不清晰、缺页、漏页、损页等，应当以书面形式要求采购方做出书面解释、澄清或补齐；采购人（采购代理机构）将在收到书面函的</w:t>
            </w:r>
            <w:r>
              <w:rPr>
                <w:rFonts w:ascii="Tahoma" w:hAnsi="Tahoma" w:cs="Tahoma"/>
                <w:color w:val="000000" w:themeColor="text1"/>
                <w:highlight w:val="none"/>
                <w14:textFill>
                  <w14:solidFill>
                    <w14:schemeClr w14:val="tx1"/>
                  </w14:solidFill>
                </w14:textFill>
              </w:rPr>
              <w:t>3</w:t>
            </w:r>
            <w:r>
              <w:rPr>
                <w:rFonts w:ascii="Tahoma" w:cs="Tahoma"/>
                <w:color w:val="000000" w:themeColor="text1"/>
                <w:highlight w:val="none"/>
                <w14:textFill>
                  <w14:solidFill>
                    <w14:schemeClr w14:val="tx1"/>
                  </w14:solidFill>
                </w14:textFill>
              </w:rPr>
              <w:t>个工作日内组织澄清或补齐；澄清或补齐内容是招标文件的组成部份，并将以招标文件的补充文件形式书面发布通知所有已获取招标文件的供应商。供应商应自行留意采购人（采购代理机构）发出的澄清、修改或补充文件，并及时在发布的渠道自行获取相应的文本文件获取即可，无须回签确认收到的函。供应商未按规定时间在发布渠道的网站下载的，视同已收到。因其他紧急情况影响本项目正常招标活动的，采购方将按规定的发布渠道书面通知所有已参加投标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blHeader/>
        </w:trPr>
        <w:tc>
          <w:tcPr>
            <w:tcW w:w="1038"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ahoma" w:hAnsi="Tahoma" w:eastAsia="华文中宋" w:cs="Tahoma"/>
                <w:color w:val="000000" w:themeColor="text1"/>
                <w:highlight w:val="none"/>
                <w14:textFill>
                  <w14:solidFill>
                    <w14:schemeClr w14:val="tx1"/>
                  </w14:solidFill>
                </w14:textFill>
              </w:rPr>
            </w:pPr>
            <w:r>
              <w:rPr>
                <w:rFonts w:ascii="Tahoma" w:hAnsi="Tahoma" w:eastAsia="华文中宋" w:cs="Tahoma"/>
                <w:color w:val="000000" w:themeColor="text1"/>
                <w:highlight w:val="none"/>
                <w14:textFill>
                  <w14:solidFill>
                    <w14:schemeClr w14:val="tx1"/>
                  </w14:solidFill>
                </w14:textFill>
              </w:rPr>
              <w:t>3.1</w:t>
            </w:r>
          </w:p>
        </w:tc>
        <w:tc>
          <w:tcPr>
            <w:tcW w:w="1567"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ahoma" w:hAnsi="Tahoma" w:cs="Tahoma"/>
                <w:color w:val="000000" w:themeColor="text1"/>
                <w:highlight w:val="none"/>
                <w14:textFill>
                  <w14:solidFill>
                    <w14:schemeClr w14:val="tx1"/>
                  </w14:solidFill>
                </w14:textFill>
              </w:rPr>
            </w:pPr>
            <w:r>
              <w:rPr>
                <w:rFonts w:ascii="Tahoma" w:cs="Tahoma"/>
                <w:color w:val="000000" w:themeColor="text1"/>
                <w:highlight w:val="none"/>
                <w14:textFill>
                  <w14:solidFill>
                    <w14:schemeClr w14:val="tx1"/>
                  </w14:solidFill>
                </w14:textFill>
              </w:rPr>
              <w:t>投标文件</w:t>
            </w:r>
          </w:p>
        </w:tc>
        <w:tc>
          <w:tcPr>
            <w:tcW w:w="7774"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ahoma" w:hAnsi="Tahoma" w:cs="Tahoma"/>
                <w:color w:val="000000" w:themeColor="text1"/>
                <w:highlight w:val="none"/>
                <w14:textFill>
                  <w14:solidFill>
                    <w14:schemeClr w14:val="tx1"/>
                  </w14:solidFill>
                </w14:textFill>
              </w:rPr>
            </w:pPr>
            <w:r>
              <w:rPr>
                <w:rFonts w:ascii="Tahoma" w:hAnsi="Tahoma" w:cs="Tahoma"/>
                <w:color w:val="000000" w:themeColor="text1"/>
                <w:highlight w:val="none"/>
                <w14:textFill>
                  <w14:solidFill>
                    <w14:schemeClr w14:val="tx1"/>
                  </w14:solidFill>
                </w14:textFill>
              </w:rPr>
              <w:t>一套（包括</w:t>
            </w:r>
            <w:r>
              <w:rPr>
                <w:rFonts w:ascii="Tahoma" w:hAnsi="Tahoma" w:cs="Tahoma"/>
                <w:color w:val="000000" w:themeColor="text1"/>
                <w:szCs w:val="21"/>
                <w:highlight w:val="none"/>
                <w14:textFill>
                  <w14:solidFill>
                    <w14:schemeClr w14:val="tx1"/>
                  </w14:solidFill>
                </w14:textFill>
              </w:rPr>
              <w:t>资格类文件和投标主要文件</w:t>
            </w:r>
            <w:r>
              <w:rPr>
                <w:rFonts w:ascii="Tahoma" w:hAnsi="Tahoma" w:cs="Tahoma"/>
                <w:color w:val="000000" w:themeColor="text1"/>
                <w:highlight w:val="none"/>
                <w14:textFill>
                  <w14:solidFill>
                    <w14:schemeClr w14:val="tx1"/>
                  </w14:solidFill>
                </w14:textFill>
              </w:rPr>
              <w:t>）：一式伍份（正本1份、副本4份）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blHeader/>
        </w:trPr>
        <w:tc>
          <w:tcPr>
            <w:tcW w:w="1038"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ahoma" w:hAnsi="Tahoma" w:eastAsia="华文中宋" w:cs="Tahoma"/>
                <w:color w:val="000000" w:themeColor="text1"/>
                <w:highlight w:val="none"/>
                <w14:textFill>
                  <w14:solidFill>
                    <w14:schemeClr w14:val="tx1"/>
                  </w14:solidFill>
                </w14:textFill>
              </w:rPr>
            </w:pPr>
            <w:r>
              <w:rPr>
                <w:rFonts w:ascii="Tahoma" w:hAnsi="Tahoma" w:eastAsia="华文中宋" w:cs="Tahoma"/>
                <w:color w:val="000000" w:themeColor="text1"/>
                <w:highlight w:val="none"/>
                <w14:textFill>
                  <w14:solidFill>
                    <w14:schemeClr w14:val="tx1"/>
                  </w14:solidFill>
                </w14:textFill>
              </w:rPr>
              <w:t>3.2</w:t>
            </w:r>
          </w:p>
        </w:tc>
        <w:tc>
          <w:tcPr>
            <w:tcW w:w="1567"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ahoma" w:hAnsi="Tahoma" w:cs="Tahoma"/>
                <w:color w:val="000000" w:themeColor="text1"/>
                <w:highlight w:val="none"/>
                <w14:textFill>
                  <w14:solidFill>
                    <w14:schemeClr w14:val="tx1"/>
                  </w14:solidFill>
                </w14:textFill>
              </w:rPr>
            </w:pPr>
            <w:r>
              <w:rPr>
                <w:rFonts w:ascii="Tahoma" w:hAnsi="Tahoma" w:cs="Tahoma"/>
                <w:color w:val="000000" w:themeColor="text1"/>
                <w:highlight w:val="none"/>
                <w14:textFill>
                  <w14:solidFill>
                    <w14:schemeClr w14:val="tx1"/>
                  </w14:solidFill>
                </w14:textFill>
              </w:rPr>
              <w:t>最高投标限价</w:t>
            </w:r>
          </w:p>
        </w:tc>
        <w:tc>
          <w:tcPr>
            <w:tcW w:w="7774"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ahoma" w:hAnsi="Tahoma" w:cs="Tahoma"/>
                <w:color w:val="000000" w:themeColor="text1"/>
                <w:highlight w:val="none"/>
                <w14:textFill>
                  <w14:solidFill>
                    <w14:schemeClr w14:val="tx1"/>
                  </w14:solidFill>
                </w14:textFill>
              </w:rPr>
            </w:pPr>
            <w:r>
              <w:rPr>
                <w:rFonts w:ascii="Tahoma" w:hAnsi="Tahoma" w:cs="Tahoma"/>
                <w:color w:val="000000" w:themeColor="text1"/>
                <w:highlight w:val="none"/>
                <w14:textFill>
                  <w14:solidFill>
                    <w14:schemeClr w14:val="tx1"/>
                  </w14:solidFill>
                </w14:textFill>
              </w:rPr>
              <w:t>本项目的预算价：</w:t>
            </w:r>
            <w:r>
              <w:rPr>
                <w:rFonts w:hint="eastAsia" w:ascii="Tahoma" w:hAnsi="Tahoma" w:cs="Tahoma"/>
                <w:color w:val="000000" w:themeColor="text1"/>
                <w:highlight w:val="none"/>
                <w:lang w:val="en-US" w:eastAsia="zh-CN"/>
                <w14:textFill>
                  <w14:solidFill>
                    <w14:schemeClr w14:val="tx1"/>
                  </w14:solidFill>
                </w14:textFill>
              </w:rPr>
              <w:t>2197.6917</w:t>
            </w:r>
            <w:r>
              <w:rPr>
                <w:rFonts w:hint="eastAsia" w:ascii="Tahoma" w:hAnsi="Tahoma" w:cs="Tahoma"/>
                <w:bCs/>
                <w:color w:val="000000" w:themeColor="text1"/>
                <w:kern w:val="0"/>
                <w:szCs w:val="21"/>
                <w:highlight w:val="none"/>
                <w14:textFill>
                  <w14:solidFill>
                    <w14:schemeClr w14:val="tx1"/>
                  </w14:solidFill>
                </w14:textFill>
              </w:rPr>
              <w:t>万</w:t>
            </w:r>
            <w:r>
              <w:rPr>
                <w:rFonts w:ascii="Tahoma" w:hAnsi="Tahoma" w:cs="Tahoma"/>
                <w:color w:val="000000" w:themeColor="text1"/>
                <w:kern w:val="0"/>
                <w:sz w:val="22"/>
                <w:szCs w:val="22"/>
                <w:highlight w:val="none"/>
                <w14:textFill>
                  <w14:solidFill>
                    <w14:schemeClr w14:val="tx1"/>
                  </w14:solidFill>
                </w14:textFill>
              </w:rPr>
              <w:t>元</w:t>
            </w:r>
            <w:r>
              <w:rPr>
                <w:rFonts w:ascii="Tahoma" w:hAnsi="Tahoma" w:cs="Tahoma"/>
                <w:color w:val="000000" w:themeColor="text1"/>
                <w:highlight w:val="none"/>
                <w14:textFill>
                  <w14:solidFill>
                    <w14:schemeClr w14:val="tx1"/>
                  </w14:solidFill>
                </w14:textFill>
              </w:rPr>
              <w:t>，</w:t>
            </w:r>
            <w:r>
              <w:rPr>
                <w:rFonts w:ascii="Tahoma" w:cs="Tahoma"/>
                <w:b/>
                <w:bCs/>
                <w:color w:val="000000" w:themeColor="text1"/>
                <w:highlight w:val="none"/>
                <w14:textFill>
                  <w14:solidFill>
                    <w14:schemeClr w14:val="tx1"/>
                  </w14:solidFill>
                </w14:textFill>
              </w:rPr>
              <w:t>报价超过上限价</w:t>
            </w:r>
            <w:r>
              <w:rPr>
                <w:rFonts w:ascii="Tahoma" w:hAnsi="Tahoma" w:cs="Tahoma"/>
                <w:b/>
                <w:bCs/>
                <w:color w:val="000000" w:themeColor="text1"/>
                <w:highlight w:val="none"/>
                <w14:textFill>
                  <w14:solidFill>
                    <w14:schemeClr w14:val="tx1"/>
                  </w14:solidFill>
                </w14:textFill>
              </w:rPr>
              <w:t>（预算价）的</w:t>
            </w:r>
            <w:r>
              <w:rPr>
                <w:rFonts w:hint="eastAsia" w:ascii="Tahoma" w:hAnsi="Tahoma" w:cs="Tahoma"/>
                <w:b/>
                <w:bCs/>
                <w:color w:val="000000" w:themeColor="text1"/>
                <w:highlight w:val="none"/>
                <w14:textFill>
                  <w14:solidFill>
                    <w14:schemeClr w14:val="tx1"/>
                  </w14:solidFill>
                </w14:textFill>
              </w:rPr>
              <w:t>其</w:t>
            </w:r>
            <w:r>
              <w:rPr>
                <w:rFonts w:ascii="Tahoma" w:cs="Tahoma"/>
                <w:b/>
                <w:bCs/>
                <w:color w:val="000000" w:themeColor="text1"/>
                <w:highlight w:val="none"/>
                <w14:textFill>
                  <w14:solidFill>
                    <w14:schemeClr w14:val="tx1"/>
                  </w14:solidFill>
                </w14:textFill>
              </w:rPr>
              <w:t>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blHeader/>
        </w:trPr>
        <w:tc>
          <w:tcPr>
            <w:tcW w:w="1038"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ahoma" w:hAnsi="Tahoma" w:eastAsia="华文中宋" w:cs="Tahoma"/>
                <w:color w:val="000000" w:themeColor="text1"/>
                <w:highlight w:val="none"/>
                <w14:textFill>
                  <w14:solidFill>
                    <w14:schemeClr w14:val="tx1"/>
                  </w14:solidFill>
                </w14:textFill>
              </w:rPr>
            </w:pPr>
            <w:r>
              <w:rPr>
                <w:rFonts w:ascii="Tahoma" w:hAnsi="Tahoma" w:eastAsia="华文中宋" w:cs="Tahoma"/>
                <w:color w:val="000000" w:themeColor="text1"/>
                <w:highlight w:val="none"/>
                <w14:textFill>
                  <w14:solidFill>
                    <w14:schemeClr w14:val="tx1"/>
                  </w14:solidFill>
                </w14:textFill>
              </w:rPr>
              <w:t>3.</w:t>
            </w:r>
            <w:r>
              <w:rPr>
                <w:rFonts w:hint="eastAsia" w:ascii="Tahoma" w:hAnsi="Tahoma" w:eastAsia="华文中宋" w:cs="Tahoma"/>
                <w:color w:val="000000" w:themeColor="text1"/>
                <w:highlight w:val="none"/>
                <w14:textFill>
                  <w14:solidFill>
                    <w14:schemeClr w14:val="tx1"/>
                  </w14:solidFill>
                </w14:textFill>
              </w:rPr>
              <w:t>3</w:t>
            </w:r>
          </w:p>
        </w:tc>
        <w:tc>
          <w:tcPr>
            <w:tcW w:w="1567"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ahoma" w:hAnsi="Tahoma" w:cs="Tahoma"/>
                <w:color w:val="000000" w:themeColor="text1"/>
                <w:highlight w:val="none"/>
                <w14:textFill>
                  <w14:solidFill>
                    <w14:schemeClr w14:val="tx1"/>
                  </w14:solidFill>
                </w14:textFill>
              </w:rPr>
            </w:pPr>
            <w:r>
              <w:rPr>
                <w:rFonts w:ascii="Tahoma" w:hAnsi="Tahoma" w:cs="Tahoma"/>
                <w:color w:val="000000" w:themeColor="text1"/>
                <w:highlight w:val="none"/>
                <w14:textFill>
                  <w14:solidFill>
                    <w14:schemeClr w14:val="tx1"/>
                  </w14:solidFill>
                </w14:textFill>
              </w:rPr>
              <w:t>投标有效期</w:t>
            </w:r>
          </w:p>
        </w:tc>
        <w:tc>
          <w:tcPr>
            <w:tcW w:w="7774"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ahoma" w:hAnsi="Tahoma" w:cs="Tahoma"/>
                <w:color w:val="000000" w:themeColor="text1"/>
                <w:highlight w:val="none"/>
                <w14:textFill>
                  <w14:solidFill>
                    <w14:schemeClr w14:val="tx1"/>
                  </w14:solidFill>
                </w14:textFill>
              </w:rPr>
            </w:pPr>
            <w:r>
              <w:rPr>
                <w:rFonts w:ascii="Tahoma" w:hAnsi="Tahoma" w:cs="Tahoma"/>
                <w:color w:val="000000" w:themeColor="text1"/>
                <w:highlight w:val="none"/>
                <w14:textFill>
                  <w14:solidFill>
                    <w14:schemeClr w14:val="tx1"/>
                  </w14:solidFill>
                </w14:textFill>
              </w:rPr>
              <w:t>投标截止期结束后</w:t>
            </w:r>
            <w:r>
              <w:rPr>
                <w:rFonts w:hint="eastAsia" w:ascii="Tahoma" w:hAnsi="Tahoma" w:cs="Tahoma"/>
                <w:color w:val="000000" w:themeColor="text1"/>
                <w:highlight w:val="none"/>
                <w14:textFill>
                  <w14:solidFill>
                    <w14:schemeClr w14:val="tx1"/>
                  </w14:solidFill>
                </w14:textFill>
              </w:rPr>
              <w:t>30工作</w:t>
            </w:r>
            <w:r>
              <w:rPr>
                <w:rFonts w:ascii="Tahoma" w:hAnsi="Tahoma" w:cs="Tahoma"/>
                <w:color w:val="000000" w:themeColor="text1"/>
                <w:highlight w:val="none"/>
                <w14:textFill>
                  <w14:solidFill>
                    <w14:schemeClr w14:val="tx1"/>
                  </w14:solidFill>
                </w14:textFill>
              </w:rPr>
              <w:t>日，有效期不足将导致其投标文件被拒绝。</w:t>
            </w:r>
          </w:p>
        </w:tc>
      </w:tr>
    </w:tbl>
    <w:p>
      <w:pPr>
        <w:rPr>
          <w:color w:val="000000" w:themeColor="text1"/>
          <w:highlight w:val="none"/>
          <w14:textFill>
            <w14:solidFill>
              <w14:schemeClr w14:val="tx1"/>
            </w14:solidFill>
          </w14:textFill>
        </w:rPr>
      </w:pPr>
    </w:p>
    <w:tbl>
      <w:tblPr>
        <w:tblStyle w:val="20"/>
        <w:tblW w:w="10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1561"/>
        <w:gridCol w:w="7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tblHeader/>
        </w:trPr>
        <w:tc>
          <w:tcPr>
            <w:tcW w:w="10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ahoma" w:hAnsi="Tahoma" w:eastAsia="华文中宋" w:cs="Tahoma"/>
                <w:color w:val="000000" w:themeColor="text1"/>
                <w:highlight w:val="none"/>
                <w14:textFill>
                  <w14:solidFill>
                    <w14:schemeClr w14:val="tx1"/>
                  </w14:solidFill>
                </w14:textFill>
              </w:rPr>
            </w:pPr>
            <w:r>
              <w:rPr>
                <w:rFonts w:ascii="Tahoma" w:hAnsi="Tahoma" w:eastAsia="华文中宋" w:cs="Tahoma"/>
                <w:color w:val="000000" w:themeColor="text1"/>
                <w:highlight w:val="none"/>
                <w14:textFill>
                  <w14:solidFill>
                    <w14:schemeClr w14:val="tx1"/>
                  </w14:solidFill>
                </w14:textFill>
              </w:rPr>
              <w:t>3.</w:t>
            </w:r>
            <w:r>
              <w:rPr>
                <w:rFonts w:hint="eastAsia" w:ascii="Tahoma" w:hAnsi="Tahoma" w:eastAsia="华文中宋" w:cs="Tahoma"/>
                <w:color w:val="000000" w:themeColor="text1"/>
                <w:highlight w:val="none"/>
                <w14:textFill>
                  <w14:solidFill>
                    <w14:schemeClr w14:val="tx1"/>
                  </w14:solidFill>
                </w14:textFill>
              </w:rPr>
              <w:t>4</w:t>
            </w:r>
          </w:p>
        </w:tc>
        <w:tc>
          <w:tcPr>
            <w:tcW w:w="156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ahoma" w:hAnsi="Tahoma" w:cs="Tahoma"/>
                <w:color w:val="000000" w:themeColor="text1"/>
                <w:highlight w:val="none"/>
                <w14:textFill>
                  <w14:solidFill>
                    <w14:schemeClr w14:val="tx1"/>
                  </w14:solidFill>
                </w14:textFill>
              </w:rPr>
            </w:pPr>
            <w:r>
              <w:rPr>
                <w:rFonts w:ascii="Tahoma" w:cs="Tahoma"/>
                <w:color w:val="000000" w:themeColor="text1"/>
                <w:highlight w:val="none"/>
                <w14:textFill>
                  <w14:solidFill>
                    <w14:schemeClr w14:val="tx1"/>
                  </w14:solidFill>
                </w14:textFill>
              </w:rPr>
              <w:t>投标保证金</w:t>
            </w:r>
          </w:p>
        </w:tc>
        <w:tc>
          <w:tcPr>
            <w:tcW w:w="7743"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投标保证金：</w:t>
            </w:r>
            <w:r>
              <w:rPr>
                <w:rFonts w:hint="eastAsia" w:ascii="Tahoma" w:hAnsi="Tahoma" w:cs="Tahoma"/>
                <w:color w:val="000000" w:themeColor="text1"/>
                <w:szCs w:val="21"/>
                <w:highlight w:val="none"/>
                <w:lang w:val="en-US" w:eastAsia="zh-CN"/>
                <w14:textFill>
                  <w14:solidFill>
                    <w14:schemeClr w14:val="tx1"/>
                  </w14:solidFill>
                </w14:textFill>
              </w:rPr>
              <w:t>¥200000.00元（贰拾万元整）</w:t>
            </w:r>
            <w:r>
              <w:rPr>
                <w:rFonts w:ascii="Tahoma" w:hAnsi="Tahoma" w:cs="Tahoma"/>
                <w:color w:val="000000" w:themeColor="text1"/>
                <w:szCs w:val="21"/>
                <w:highlight w:val="none"/>
                <w14:textFill>
                  <w14:solidFill>
                    <w14:schemeClr w14:val="tx1"/>
                  </w14:solidFill>
                </w14:textFill>
              </w:rPr>
              <w:t>，从投标人的基本账户汇出</w:t>
            </w:r>
          </w:p>
          <w:p>
            <w:pPr>
              <w:keepNext w:val="0"/>
              <w:keepLines w:val="0"/>
              <w:pageBreakBefore w:val="0"/>
              <w:kinsoku/>
              <w:wordWrap/>
              <w:overflowPunct/>
              <w:topLinePunct w:val="0"/>
              <w:autoSpaceDE/>
              <w:autoSpaceDN/>
              <w:bidi w:val="0"/>
              <w:adjustRightInd/>
              <w:snapToGrid/>
              <w:spacing w:line="240" w:lineRule="exact"/>
              <w:textAlignment w:val="auto"/>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开户名称：</w:t>
            </w:r>
            <w:r>
              <w:rPr>
                <w:rFonts w:hint="eastAsia" w:ascii="Tahoma" w:hAnsi="Tahoma" w:cs="Tahoma"/>
                <w:color w:val="000000" w:themeColor="text1"/>
                <w:szCs w:val="21"/>
                <w:highlight w:val="none"/>
                <w:lang w:val="en-US" w:eastAsia="zh-CN"/>
                <w14:textFill>
                  <w14:solidFill>
                    <w14:schemeClr w14:val="tx1"/>
                  </w14:solidFill>
                </w14:textFill>
              </w:rPr>
              <w:t>和田县行政服务和公共资源交易中心</w:t>
            </w:r>
            <w:r>
              <w:rPr>
                <w:rFonts w:ascii="Tahoma" w:hAnsi="Tahoma" w:cs="Tahoma"/>
                <w:color w:val="000000" w:themeColor="text1"/>
                <w:szCs w:val="21"/>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exact"/>
              <w:textAlignment w:val="auto"/>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开户银行：</w:t>
            </w:r>
            <w:r>
              <w:rPr>
                <w:rFonts w:hint="eastAsia" w:ascii="Tahoma" w:hAnsi="Tahoma" w:cs="Tahoma"/>
                <w:color w:val="000000" w:themeColor="text1"/>
                <w:szCs w:val="21"/>
                <w:highlight w:val="none"/>
                <w:lang w:val="en-US" w:eastAsia="zh-CN"/>
                <w14:textFill>
                  <w14:solidFill>
                    <w14:schemeClr w14:val="tx1"/>
                  </w14:solidFill>
                </w14:textFill>
              </w:rPr>
              <w:t>中国农业银行股份有限公司和田市支行</w:t>
            </w:r>
            <w:r>
              <w:rPr>
                <w:rFonts w:ascii="Tahoma" w:hAnsi="Tahoma" w:cs="Tahoma"/>
                <w:color w:val="000000" w:themeColor="text1"/>
                <w:szCs w:val="21"/>
                <w:highlight w:val="none"/>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240" w:lineRule="exact"/>
              <w:textAlignment w:val="auto"/>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帐号：</w:t>
            </w:r>
            <w:r>
              <w:rPr>
                <w:rFonts w:hint="eastAsia" w:ascii="Tahoma" w:hAnsi="Tahoma" w:cs="Tahoma"/>
                <w:color w:val="000000" w:themeColor="text1"/>
                <w:szCs w:val="21"/>
                <w:highlight w:val="none"/>
                <w:lang w:val="en-US" w:eastAsia="zh-CN"/>
                <w14:textFill>
                  <w14:solidFill>
                    <w14:schemeClr w14:val="tx1"/>
                  </w14:solidFill>
                </w14:textFill>
              </w:rPr>
              <w:t>30580801040005315</w:t>
            </w:r>
            <w:r>
              <w:rPr>
                <w:rFonts w:ascii="Tahoma" w:hAnsi="Tahoma" w:cs="Tahoma"/>
                <w:color w:val="000000" w:themeColor="text1"/>
                <w:szCs w:val="21"/>
                <w:highlight w:val="none"/>
                <w14:textFill>
                  <w14:solidFill>
                    <w14:schemeClr w14:val="tx1"/>
                  </w14:solidFill>
                </w14:textFill>
              </w:rPr>
              <w:t>（行号：</w:t>
            </w:r>
            <w:r>
              <w:rPr>
                <w:rFonts w:hint="eastAsia" w:ascii="Tahoma" w:hAnsi="Tahoma" w:cs="Tahoma"/>
                <w:color w:val="000000" w:themeColor="text1"/>
                <w:szCs w:val="21"/>
                <w:highlight w:val="none"/>
                <w14:textFill>
                  <w14:solidFill>
                    <w14:schemeClr w14:val="tx1"/>
                  </w14:solidFill>
                </w14:textFill>
              </w:rPr>
              <w:t>103896058086</w:t>
            </w:r>
            <w:r>
              <w:rPr>
                <w:rFonts w:ascii="Tahoma" w:hAnsi="Tahoma" w:cs="Tahoma"/>
                <w:color w:val="000000" w:themeColor="text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ahoma" w:hAnsi="Tahoma" w:eastAsia="宋体" w:cs="Tahoma"/>
                <w:color w:val="000000" w:themeColor="text1"/>
                <w:szCs w:val="21"/>
                <w:highlight w:val="none"/>
                <w:lang w:val="en-US" w:eastAsia="zh-CN"/>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注意：</w:t>
            </w:r>
            <w:r>
              <w:rPr>
                <w:rFonts w:hint="eastAsia" w:ascii="Tahoma" w:hAnsi="Tahoma" w:cs="Tahoma"/>
                <w:color w:val="000000" w:themeColor="text1"/>
                <w:szCs w:val="21"/>
                <w:highlight w:val="none"/>
                <w14:textFill>
                  <w14:solidFill>
                    <w14:schemeClr w14:val="tx1"/>
                  </w14:solidFill>
                </w14:textFill>
              </w:rPr>
              <w:t>投标人应在投标截止日期前，从其基本账户提交至下述指定专用账户（并注明项目名称及标段、用途），金额以到帐为准，并</w:t>
            </w:r>
            <w:r>
              <w:rPr>
                <w:rFonts w:ascii="Tahoma" w:hAnsi="Tahoma" w:cs="Tahoma"/>
                <w:color w:val="000000" w:themeColor="text1"/>
                <w:szCs w:val="21"/>
                <w:highlight w:val="none"/>
                <w14:textFill>
                  <w14:solidFill>
                    <w14:schemeClr w14:val="tx1"/>
                  </w14:solidFill>
                </w14:textFill>
              </w:rPr>
              <w:t>持基本账户开户许可证、能够证明其</w:t>
            </w:r>
            <w:r>
              <w:rPr>
                <w:rFonts w:hint="eastAsia" w:ascii="Tahoma" w:hAnsi="Tahoma" w:cs="Tahoma"/>
                <w:color w:val="000000" w:themeColor="text1"/>
                <w:szCs w:val="21"/>
                <w:highlight w:val="none"/>
                <w14:textFill>
                  <w14:solidFill>
                    <w14:schemeClr w14:val="tx1"/>
                  </w14:solidFill>
                </w14:textFill>
              </w:rPr>
              <w:t>投标</w:t>
            </w:r>
            <w:r>
              <w:rPr>
                <w:rFonts w:ascii="Tahoma" w:hAnsi="Tahoma" w:cs="Tahoma"/>
                <w:color w:val="000000" w:themeColor="text1"/>
                <w:szCs w:val="21"/>
                <w:highlight w:val="none"/>
                <w14:textFill>
                  <w14:solidFill>
                    <w14:schemeClr w14:val="tx1"/>
                  </w14:solidFill>
                </w14:textFill>
              </w:rPr>
              <w:t>保证金从其基本帐户转出且已交存的有效凭证在202</w:t>
            </w:r>
            <w:r>
              <w:rPr>
                <w:rFonts w:hint="eastAsia" w:ascii="Tahoma" w:hAnsi="Tahoma" w:cs="Tahoma"/>
                <w:color w:val="000000" w:themeColor="text1"/>
                <w:szCs w:val="21"/>
                <w:highlight w:val="none"/>
                <w:lang w:val="en-US" w:eastAsia="zh-CN"/>
                <w14:textFill>
                  <w14:solidFill>
                    <w14:schemeClr w14:val="tx1"/>
                  </w14:solidFill>
                </w14:textFill>
              </w:rPr>
              <w:t>2</w:t>
            </w:r>
            <w:r>
              <w:rPr>
                <w:rFonts w:ascii="Tahoma" w:hAnsi="Tahoma" w:cs="Tahoma"/>
                <w:color w:val="000000" w:themeColor="text1"/>
                <w:szCs w:val="21"/>
                <w:highlight w:val="none"/>
                <w14:textFill>
                  <w14:solidFill>
                    <w14:schemeClr w14:val="tx1"/>
                  </w14:solidFill>
                </w14:textFill>
              </w:rPr>
              <w:t>年</w:t>
            </w:r>
            <w:r>
              <w:rPr>
                <w:rFonts w:hint="eastAsia" w:ascii="Tahoma" w:hAnsi="Tahoma" w:cs="Tahoma"/>
                <w:color w:val="000000" w:themeColor="text1"/>
                <w:szCs w:val="21"/>
                <w:highlight w:val="none"/>
                <w:lang w:val="en-US" w:eastAsia="zh-CN"/>
                <w14:textFill>
                  <w14:solidFill>
                    <w14:schemeClr w14:val="tx1"/>
                  </w14:solidFill>
                </w14:textFill>
              </w:rPr>
              <w:t>6</w:t>
            </w:r>
            <w:r>
              <w:rPr>
                <w:rFonts w:ascii="Tahoma" w:hAnsi="Tahoma" w:cs="Tahoma"/>
                <w:color w:val="000000" w:themeColor="text1"/>
                <w:szCs w:val="21"/>
                <w:highlight w:val="none"/>
                <w14:textFill>
                  <w14:solidFill>
                    <w14:schemeClr w14:val="tx1"/>
                  </w14:solidFill>
                </w14:textFill>
              </w:rPr>
              <w:t>月</w:t>
            </w:r>
            <w:r>
              <w:rPr>
                <w:rFonts w:hint="eastAsia" w:ascii="Tahoma" w:hAnsi="Tahoma" w:cs="Tahoma"/>
                <w:color w:val="000000" w:themeColor="text1"/>
                <w:szCs w:val="21"/>
                <w:highlight w:val="none"/>
                <w:lang w:val="en-US" w:eastAsia="zh-CN"/>
                <w14:textFill>
                  <w14:solidFill>
                    <w14:schemeClr w14:val="tx1"/>
                  </w14:solidFill>
                </w14:textFill>
              </w:rPr>
              <w:t>14</w:t>
            </w:r>
            <w:r>
              <w:rPr>
                <w:rFonts w:ascii="Tahoma" w:hAnsi="Tahoma" w:cs="Tahoma"/>
                <w:color w:val="000000" w:themeColor="text1"/>
                <w:szCs w:val="21"/>
                <w:highlight w:val="none"/>
                <w14:textFill>
                  <w14:solidFill>
                    <w14:schemeClr w14:val="tx1"/>
                  </w14:solidFill>
                </w14:textFill>
              </w:rPr>
              <w:t>日</w:t>
            </w:r>
            <w:r>
              <w:rPr>
                <w:rFonts w:hint="eastAsia" w:ascii="Tahoma" w:hAnsi="Tahoma" w:cs="Tahoma"/>
                <w:color w:val="000000" w:themeColor="text1"/>
                <w:szCs w:val="21"/>
                <w:highlight w:val="none"/>
                <w14:textFill>
                  <w14:solidFill>
                    <w14:schemeClr w14:val="tx1"/>
                  </w14:solidFill>
                </w14:textFill>
              </w:rPr>
              <w:t>1</w:t>
            </w:r>
            <w:r>
              <w:rPr>
                <w:rFonts w:hint="eastAsia" w:ascii="Tahoma" w:hAnsi="Tahoma" w:cs="Tahoma"/>
                <w:color w:val="000000" w:themeColor="text1"/>
                <w:szCs w:val="21"/>
                <w:highlight w:val="none"/>
                <w:lang w:val="en-US" w:eastAsia="zh-CN"/>
                <w14:textFill>
                  <w14:solidFill>
                    <w14:schemeClr w14:val="tx1"/>
                  </w14:solidFill>
                </w14:textFill>
              </w:rPr>
              <w:t>1</w:t>
            </w:r>
            <w:r>
              <w:rPr>
                <w:rFonts w:ascii="Tahoma" w:hAnsi="Tahoma" w:cs="Tahoma"/>
                <w:color w:val="000000" w:themeColor="text1"/>
                <w:szCs w:val="21"/>
                <w:highlight w:val="none"/>
                <w14:textFill>
                  <w14:solidFill>
                    <w14:schemeClr w14:val="tx1"/>
                  </w14:solidFill>
                </w14:textFill>
              </w:rPr>
              <w:t>：</w:t>
            </w:r>
            <w:r>
              <w:rPr>
                <w:rFonts w:hint="eastAsia" w:ascii="Tahoma" w:hAnsi="Tahoma" w:cs="Tahoma"/>
                <w:color w:val="000000" w:themeColor="text1"/>
                <w:szCs w:val="21"/>
                <w:highlight w:val="none"/>
                <w14:textFill>
                  <w14:solidFill>
                    <w14:schemeClr w14:val="tx1"/>
                  </w14:solidFill>
                </w14:textFill>
              </w:rPr>
              <w:t>0</w:t>
            </w:r>
            <w:r>
              <w:rPr>
                <w:rFonts w:ascii="Tahoma" w:hAnsi="Tahoma" w:cs="Tahoma"/>
                <w:color w:val="000000" w:themeColor="text1"/>
                <w:szCs w:val="21"/>
                <w:highlight w:val="none"/>
                <w14:textFill>
                  <w14:solidFill>
                    <w14:schemeClr w14:val="tx1"/>
                  </w14:solidFill>
                </w14:textFill>
              </w:rPr>
              <w:t>0时之前至</w:t>
            </w:r>
            <w:r>
              <w:rPr>
                <w:rFonts w:hint="eastAsia" w:ascii="Tahoma" w:hAnsi="Tahoma" w:cs="Tahoma"/>
                <w:color w:val="000000" w:themeColor="text1"/>
                <w:szCs w:val="21"/>
                <w:highlight w:val="none"/>
                <w14:textFill>
                  <w14:solidFill>
                    <w14:schemeClr w14:val="tx1"/>
                  </w14:solidFill>
                </w14:textFill>
              </w:rPr>
              <w:t>和田县政务服务中心</w:t>
            </w:r>
            <w:r>
              <w:rPr>
                <w:rFonts w:ascii="Tahoma" w:hAnsi="Tahoma" w:cs="Tahoma"/>
                <w:color w:val="000000" w:themeColor="text1"/>
                <w:szCs w:val="21"/>
                <w:highlight w:val="none"/>
                <w14:textFill>
                  <w14:solidFill>
                    <w14:schemeClr w14:val="tx1"/>
                  </w14:solidFill>
                </w14:textFill>
              </w:rPr>
              <w:t>换取</w:t>
            </w:r>
            <w:r>
              <w:rPr>
                <w:rFonts w:hint="eastAsia" w:ascii="Tahoma" w:hAnsi="Tahoma" w:cs="Tahoma"/>
                <w:color w:val="000000" w:themeColor="text1"/>
                <w:szCs w:val="21"/>
                <w:highlight w:val="none"/>
                <w14:textFill>
                  <w14:solidFill>
                    <w14:schemeClr w14:val="tx1"/>
                  </w14:solidFill>
                </w14:textFill>
              </w:rPr>
              <w:t>投标</w:t>
            </w:r>
            <w:r>
              <w:rPr>
                <w:rFonts w:ascii="Tahoma" w:hAnsi="Tahoma" w:cs="Tahoma"/>
                <w:color w:val="000000" w:themeColor="text1"/>
                <w:szCs w:val="21"/>
                <w:highlight w:val="none"/>
                <w14:textFill>
                  <w14:solidFill>
                    <w14:schemeClr w14:val="tx1"/>
                  </w14:solidFill>
                </w14:textFill>
              </w:rPr>
              <w:t>保证金收据，逾期不予办理，造成的后果由供应商自行承担！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1034"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ahoma" w:hAnsi="Tahoma" w:eastAsia="华文中宋" w:cs="Tahoma"/>
                <w:color w:val="000000" w:themeColor="text1"/>
                <w:highlight w:val="none"/>
                <w14:textFill>
                  <w14:solidFill>
                    <w14:schemeClr w14:val="tx1"/>
                  </w14:solidFill>
                </w14:textFill>
              </w:rPr>
            </w:pPr>
            <w:r>
              <w:rPr>
                <w:rFonts w:ascii="Tahoma" w:hAnsi="Tahoma" w:eastAsia="华文中宋" w:cs="Tahoma"/>
                <w:color w:val="000000" w:themeColor="text1"/>
                <w:highlight w:val="none"/>
                <w14:textFill>
                  <w14:solidFill>
                    <w14:schemeClr w14:val="tx1"/>
                  </w14:solidFill>
                </w14:textFill>
              </w:rPr>
              <w:t>4.1</w:t>
            </w:r>
          </w:p>
        </w:tc>
        <w:tc>
          <w:tcPr>
            <w:tcW w:w="1561"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ahoma" w:hAnsi="Tahoma" w:cs="Tahoma"/>
                <w:color w:val="000000" w:themeColor="text1"/>
                <w:highlight w:val="none"/>
                <w14:textFill>
                  <w14:solidFill>
                    <w14:schemeClr w14:val="tx1"/>
                  </w14:solidFill>
                </w14:textFill>
              </w:rPr>
            </w:pPr>
            <w:r>
              <w:rPr>
                <w:rFonts w:ascii="Tahoma" w:hAnsi="Tahoma" w:cs="Tahoma"/>
                <w:color w:val="000000" w:themeColor="text1"/>
                <w:kern w:val="0"/>
                <w:szCs w:val="21"/>
                <w:highlight w:val="none"/>
                <w14:textFill>
                  <w14:solidFill>
                    <w14:schemeClr w14:val="tx1"/>
                  </w14:solidFill>
                </w14:textFill>
              </w:rPr>
              <w:t>封套上写明</w:t>
            </w:r>
          </w:p>
        </w:tc>
        <w:tc>
          <w:tcPr>
            <w:tcW w:w="7743"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ahoma" w:hAnsi="Tahoma" w:cs="Tahoma"/>
                <w:color w:val="000000" w:themeColor="text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项目名称：</w:t>
            </w:r>
            <w:r>
              <w:rPr>
                <w:rFonts w:ascii="Tahoma" w:hAnsi="Tahoma" w:cs="Tahoma"/>
                <w:color w:val="000000" w:themeColor="text1"/>
                <w:highlight w:val="none"/>
                <w:u w:val="single"/>
                <w14:textFill>
                  <w14:solidFill>
                    <w14:schemeClr w14:val="tx1"/>
                  </w14:solidFill>
                </w14:textFill>
              </w:rPr>
              <w:t xml:space="preserve">                   本采购项目、包段全称                         </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项目编号：</w:t>
            </w:r>
            <w:r>
              <w:rPr>
                <w:rFonts w:ascii="Tahoma" w:hAnsi="Tahoma" w:cs="Tahoma"/>
                <w:color w:val="000000" w:themeColor="text1"/>
                <w:highlight w:val="none"/>
                <w:u w:val="single"/>
                <w14:textFill>
                  <w14:solidFill>
                    <w14:schemeClr w14:val="tx1"/>
                  </w14:solidFill>
                </w14:textFill>
              </w:rPr>
              <w:t xml:space="preserve">                      本采购项目编号                            </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投标文件：在</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年</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月</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日</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时</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分前不得开启</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ahoma" w:hAnsi="Tahoma" w:cs="Tahoma"/>
                <w:color w:val="000000" w:themeColor="text1"/>
                <w:highlight w:val="none"/>
                <w:u w:val="single"/>
                <w14:textFill>
                  <w14:solidFill>
                    <w14:schemeClr w14:val="tx1"/>
                  </w14:solidFill>
                </w14:textFill>
              </w:rPr>
            </w:pPr>
            <w:r>
              <w:rPr>
                <w:rFonts w:ascii="Tahoma" w:hAnsi="Tahoma" w:cs="Tahoma"/>
                <w:color w:val="000000" w:themeColor="text1"/>
                <w:highlight w:val="none"/>
                <w14:textFill>
                  <w14:solidFill>
                    <w14:schemeClr w14:val="tx1"/>
                  </w14:solidFill>
                </w14:textFill>
              </w:rPr>
              <w:t>投标人名称：</w:t>
            </w:r>
            <w:r>
              <w:rPr>
                <w:rFonts w:ascii="Tahoma" w:hAnsi="Tahoma" w:cs="Tahoma"/>
                <w:color w:val="000000" w:themeColor="text1"/>
                <w:highlight w:val="none"/>
                <w:u w:val="single"/>
                <w14:textFill>
                  <w14:solidFill>
                    <w14:schemeClr w14:val="tx1"/>
                  </w14:solidFill>
                </w14:textFill>
              </w:rPr>
              <w:t xml:space="preserve">                 供应商全称（加盖公章）                       </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ahoma" w:hAnsi="Tahoma" w:cs="Tahoma"/>
                <w:b/>
                <w:color w:val="000000" w:themeColor="text1"/>
                <w:highlight w:val="none"/>
                <w14:textFill>
                  <w14:solidFill>
                    <w14:schemeClr w14:val="tx1"/>
                  </w14:solidFill>
                </w14:textFill>
              </w:rPr>
            </w:pPr>
            <w:r>
              <w:rPr>
                <w:rFonts w:ascii="Tahoma" w:hAnsi="Tahoma" w:cs="Tahoma"/>
                <w:color w:val="000000" w:themeColor="text1"/>
                <w:highlight w:val="none"/>
                <w14:textFill>
                  <w14:solidFill>
                    <w14:schemeClr w14:val="tx1"/>
                  </w14:solidFill>
                </w14:textFill>
              </w:rPr>
              <w:t>日期：</w:t>
            </w:r>
            <w:r>
              <w:rPr>
                <w:rFonts w:hint="eastAsia" w:ascii="Tahoma" w:hAnsi="Tahoma" w:cs="Tahoma"/>
                <w:color w:val="000000" w:themeColor="text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ahoma" w:hAnsi="Tahoma" w:eastAsia="华文中宋" w:cs="Tahoma"/>
                <w:color w:val="000000" w:themeColor="text1"/>
                <w:highlight w:val="none"/>
                <w14:textFill>
                  <w14:solidFill>
                    <w14:schemeClr w14:val="tx1"/>
                  </w14:solidFill>
                </w14:textFill>
              </w:rPr>
            </w:pPr>
            <w:r>
              <w:rPr>
                <w:rFonts w:ascii="Tahoma" w:hAnsi="Tahoma" w:eastAsia="华文中宋" w:cs="Tahoma"/>
                <w:color w:val="000000" w:themeColor="text1"/>
                <w:kern w:val="0"/>
                <w:szCs w:val="21"/>
                <w:highlight w:val="none"/>
                <w14:textFill>
                  <w14:solidFill>
                    <w14:schemeClr w14:val="tx1"/>
                  </w14:solidFill>
                </w14:textFill>
              </w:rPr>
              <w:t>4.2</w:t>
            </w:r>
          </w:p>
        </w:tc>
        <w:tc>
          <w:tcPr>
            <w:tcW w:w="1561" w:type="dxa"/>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ascii="Tahoma" w:hAnsi="Tahoma" w:cs="Tahoma"/>
                <w:color w:val="000000" w:themeColor="text1"/>
                <w:highlight w:val="none"/>
                <w14:textFill>
                  <w14:solidFill>
                    <w14:schemeClr w14:val="tx1"/>
                  </w14:solidFill>
                </w14:textFill>
              </w:rPr>
            </w:pPr>
            <w:r>
              <w:rPr>
                <w:rFonts w:ascii="Tahoma" w:cs="Tahoma"/>
                <w:color w:val="000000" w:themeColor="text1"/>
                <w:highlight w:val="none"/>
                <w14:textFill>
                  <w14:solidFill>
                    <w14:schemeClr w14:val="tx1"/>
                  </w14:solidFill>
                </w14:textFill>
              </w:rPr>
              <w:t>投标文件递交</w:t>
            </w:r>
          </w:p>
        </w:tc>
        <w:tc>
          <w:tcPr>
            <w:tcW w:w="7743" w:type="dxa"/>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Tahoma" w:hAnsi="Tahoma" w:eastAsia="宋体" w:cs="Tahoma"/>
                <w:color w:val="000000" w:themeColor="text1"/>
                <w:highlight w:val="none"/>
                <w:lang w:eastAsia="zh-CN"/>
                <w14:textFill>
                  <w14:solidFill>
                    <w14:schemeClr w14:val="tx1"/>
                  </w14:solidFill>
                </w14:textFill>
              </w:rPr>
            </w:pPr>
            <w:r>
              <w:rPr>
                <w:rFonts w:hint="eastAsia" w:ascii="Tahoma" w:hAnsi="Tahoma" w:cs="Tahoma"/>
                <w:color w:val="000000" w:themeColor="text1"/>
                <w:highlight w:val="none"/>
                <w:lang w:eastAsia="zh-CN"/>
                <w14:textFill>
                  <w14:solidFill>
                    <w14:schemeClr w14:val="tx1"/>
                  </w14:solidFill>
                </w14:textFill>
              </w:rPr>
              <w:t>和田县行政服务和公共资源交易中心（和田县经济新区昌盛路）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ahoma" w:hAnsi="Tahoma" w:eastAsia="华文中宋" w:cs="Tahoma"/>
                <w:color w:val="000000" w:themeColor="text1"/>
                <w:kern w:val="0"/>
                <w:szCs w:val="21"/>
                <w:highlight w:val="none"/>
                <w14:textFill>
                  <w14:solidFill>
                    <w14:schemeClr w14:val="tx1"/>
                  </w14:solidFill>
                </w14:textFill>
              </w:rPr>
            </w:pPr>
            <w:r>
              <w:rPr>
                <w:rFonts w:ascii="Tahoma" w:hAnsi="Tahoma" w:eastAsia="华文中宋" w:cs="Tahoma"/>
                <w:color w:val="000000" w:themeColor="text1"/>
                <w:kern w:val="0"/>
                <w:szCs w:val="21"/>
                <w:highlight w:val="none"/>
                <w14:textFill>
                  <w14:solidFill>
                    <w14:schemeClr w14:val="tx1"/>
                  </w14:solidFill>
                </w14:textFill>
              </w:rPr>
              <w:t>5.1</w:t>
            </w:r>
          </w:p>
        </w:tc>
        <w:tc>
          <w:tcPr>
            <w:tcW w:w="1561" w:type="dxa"/>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ascii="Tahoma" w:hAnsi="Tahoma" w:cs="Tahoma"/>
                <w:b/>
                <w:bCs/>
                <w:color w:val="000000" w:themeColor="text1"/>
                <w:highlight w:val="none"/>
                <w14:textFill>
                  <w14:solidFill>
                    <w14:schemeClr w14:val="tx1"/>
                  </w14:solidFill>
                </w14:textFill>
              </w:rPr>
            </w:pPr>
            <w:r>
              <w:rPr>
                <w:rFonts w:ascii="Tahoma" w:hAnsi="Tahoma" w:cs="Tahoma"/>
                <w:color w:val="000000" w:themeColor="text1"/>
                <w:kern w:val="0"/>
                <w:szCs w:val="21"/>
                <w:highlight w:val="none"/>
                <w14:textFill>
                  <w14:solidFill>
                    <w14:schemeClr w14:val="tx1"/>
                  </w14:solidFill>
                </w14:textFill>
              </w:rPr>
              <w:t>开标时间和地点</w:t>
            </w:r>
          </w:p>
        </w:tc>
        <w:tc>
          <w:tcPr>
            <w:tcW w:w="7743" w:type="dxa"/>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ascii="Tahoma" w:hAnsi="Tahoma" w:cs="Tahoma"/>
                <w:color w:val="000000" w:themeColor="text1"/>
                <w:highlight w:val="none"/>
                <w14:textFill>
                  <w14:solidFill>
                    <w14:schemeClr w14:val="tx1"/>
                  </w14:solidFill>
                </w14:textFill>
              </w:rPr>
            </w:pPr>
            <w:r>
              <w:rPr>
                <w:rFonts w:ascii="Tahoma" w:hAnsi="Tahoma" w:cs="Tahoma"/>
                <w:color w:val="000000" w:themeColor="text1"/>
                <w:highlight w:val="none"/>
                <w14:textFill>
                  <w14:solidFill>
                    <w14:schemeClr w14:val="tx1"/>
                  </w14:solidFill>
                </w14:textFill>
              </w:rPr>
              <w:t>时间：</w:t>
            </w:r>
            <w:r>
              <w:rPr>
                <w:rFonts w:ascii="Tahoma" w:hAnsi="Tahoma" w:cs="Tahoma"/>
                <w:color w:val="000000" w:themeColor="text1"/>
                <w:highlight w:val="none"/>
                <w:u w:val="single"/>
                <w14:textFill>
                  <w14:solidFill>
                    <w14:schemeClr w14:val="tx1"/>
                  </w14:solidFill>
                </w14:textFill>
              </w:rPr>
              <w:t>20</w:t>
            </w:r>
            <w:r>
              <w:rPr>
                <w:rFonts w:hint="eastAsia" w:ascii="Tahoma" w:hAnsi="Tahoma" w:cs="Tahoma"/>
                <w:color w:val="000000" w:themeColor="text1"/>
                <w:highlight w:val="none"/>
                <w:u w:val="single"/>
                <w:lang w:val="en-US" w:eastAsia="zh-CN"/>
                <w14:textFill>
                  <w14:solidFill>
                    <w14:schemeClr w14:val="tx1"/>
                  </w14:solidFill>
                </w14:textFill>
              </w:rPr>
              <w:t>22</w:t>
            </w:r>
            <w:r>
              <w:rPr>
                <w:rFonts w:ascii="Tahoma" w:hAnsi="Tahoma" w:cs="Tahoma"/>
                <w:color w:val="000000" w:themeColor="text1"/>
                <w:highlight w:val="none"/>
                <w:u w:val="single"/>
                <w14:textFill>
                  <w14:solidFill>
                    <w14:schemeClr w14:val="tx1"/>
                  </w14:solidFill>
                </w14:textFill>
              </w:rPr>
              <w:t xml:space="preserve"> </w:t>
            </w:r>
            <w:r>
              <w:rPr>
                <w:rFonts w:ascii="Tahoma" w:hAnsi="Tahoma" w:cs="Tahoma"/>
                <w:color w:val="000000" w:themeColor="text1"/>
                <w:highlight w:val="none"/>
                <w14:textFill>
                  <w14:solidFill>
                    <w14:schemeClr w14:val="tx1"/>
                  </w14:solidFill>
                </w14:textFill>
              </w:rPr>
              <w:t>年</w:t>
            </w:r>
            <w:r>
              <w:rPr>
                <w:rFonts w:hint="eastAsia" w:ascii="Tahoma" w:hAnsi="Tahoma" w:cs="Tahoma"/>
                <w:color w:val="000000" w:themeColor="text1"/>
                <w:highlight w:val="none"/>
                <w:u w:val="single"/>
                <w:lang w:val="en-US" w:eastAsia="zh-CN"/>
                <w14:textFill>
                  <w14:solidFill>
                    <w14:schemeClr w14:val="tx1"/>
                  </w14:solidFill>
                </w14:textFill>
              </w:rPr>
              <w:t>6</w:t>
            </w:r>
            <w:r>
              <w:rPr>
                <w:rFonts w:ascii="Tahoma" w:hAnsi="Tahoma" w:cs="Tahoma"/>
                <w:color w:val="000000" w:themeColor="text1"/>
                <w:highlight w:val="none"/>
                <w14:textFill>
                  <w14:solidFill>
                    <w14:schemeClr w14:val="tx1"/>
                  </w14:solidFill>
                </w14:textFill>
              </w:rPr>
              <w:t>月</w:t>
            </w:r>
            <w:r>
              <w:rPr>
                <w:rFonts w:hint="eastAsia" w:ascii="Tahoma" w:hAnsi="Tahoma" w:cs="Tahoma"/>
                <w:color w:val="000000" w:themeColor="text1"/>
                <w:highlight w:val="none"/>
                <w:u w:val="single"/>
                <w:lang w:val="en-US" w:eastAsia="zh-CN"/>
                <w14:textFill>
                  <w14:solidFill>
                    <w14:schemeClr w14:val="tx1"/>
                  </w14:solidFill>
                </w14:textFill>
              </w:rPr>
              <w:t>14</w:t>
            </w:r>
            <w:r>
              <w:rPr>
                <w:rFonts w:ascii="Tahoma" w:hAnsi="Tahoma" w:cs="Tahoma"/>
                <w:color w:val="000000" w:themeColor="text1"/>
                <w:highlight w:val="none"/>
                <w14:textFill>
                  <w14:solidFill>
                    <w14:schemeClr w14:val="tx1"/>
                  </w14:solidFill>
                </w14:textFill>
              </w:rPr>
              <w:t>日</w:t>
            </w:r>
            <w:r>
              <w:rPr>
                <w:rFonts w:ascii="Tahoma" w:hAnsi="Tahoma" w:cs="Tahoma"/>
                <w:color w:val="000000" w:themeColor="text1"/>
                <w:highlight w:val="none"/>
                <w:u w:val="single"/>
                <w14:textFill>
                  <w14:solidFill>
                    <w14:schemeClr w14:val="tx1"/>
                  </w14:solidFill>
                </w14:textFill>
              </w:rPr>
              <w:t xml:space="preserve"> </w:t>
            </w:r>
            <w:r>
              <w:rPr>
                <w:rFonts w:hint="eastAsia" w:ascii="Tahoma" w:hAnsi="Tahoma" w:cs="Tahoma"/>
                <w:color w:val="000000" w:themeColor="text1"/>
                <w:highlight w:val="none"/>
                <w:u w:val="single"/>
                <w14:textFill>
                  <w14:solidFill>
                    <w14:schemeClr w14:val="tx1"/>
                  </w14:solidFill>
                </w14:textFill>
              </w:rPr>
              <w:t>11</w:t>
            </w:r>
            <w:r>
              <w:rPr>
                <w:rFonts w:ascii="Tahoma" w:hAnsi="Tahoma" w:cs="Tahoma"/>
                <w:color w:val="000000" w:themeColor="text1"/>
                <w:highlight w:val="none"/>
                <w:u w:val="single"/>
                <w14:textFill>
                  <w14:solidFill>
                    <w14:schemeClr w14:val="tx1"/>
                  </w14:solidFill>
                </w14:textFill>
              </w:rPr>
              <w:t xml:space="preserve"> </w:t>
            </w:r>
            <w:r>
              <w:rPr>
                <w:rFonts w:ascii="Tahoma" w:hAnsi="Tahoma" w:cs="Tahoma"/>
                <w:color w:val="000000" w:themeColor="text1"/>
                <w:highlight w:val="none"/>
                <w14:textFill>
                  <w14:solidFill>
                    <w14:schemeClr w14:val="tx1"/>
                  </w14:solidFill>
                </w14:textFill>
              </w:rPr>
              <w:t>时</w:t>
            </w:r>
            <w:r>
              <w:rPr>
                <w:rFonts w:ascii="Tahoma" w:hAnsi="Tahoma" w:cs="Tahoma"/>
                <w:color w:val="000000" w:themeColor="text1"/>
                <w:highlight w:val="none"/>
                <w:u w:val="single"/>
                <w14:textFill>
                  <w14:solidFill>
                    <w14:schemeClr w14:val="tx1"/>
                  </w14:solidFill>
                </w14:textFill>
              </w:rPr>
              <w:t xml:space="preserve"> </w:t>
            </w:r>
            <w:r>
              <w:rPr>
                <w:rFonts w:hint="eastAsia" w:ascii="Tahoma" w:hAnsi="Tahoma" w:cs="Tahoma"/>
                <w:color w:val="000000" w:themeColor="text1"/>
                <w:highlight w:val="none"/>
                <w:u w:val="single"/>
                <w14:textFill>
                  <w14:solidFill>
                    <w14:schemeClr w14:val="tx1"/>
                  </w14:solidFill>
                </w14:textFill>
              </w:rPr>
              <w:t>0</w:t>
            </w:r>
            <w:r>
              <w:rPr>
                <w:rFonts w:ascii="Tahoma" w:hAnsi="Tahoma" w:cs="Tahoma"/>
                <w:color w:val="000000" w:themeColor="text1"/>
                <w:highlight w:val="none"/>
                <w:u w:val="single"/>
                <w14:textFill>
                  <w14:solidFill>
                    <w14:schemeClr w14:val="tx1"/>
                  </w14:solidFill>
                </w14:textFill>
              </w:rPr>
              <w:t>0</w:t>
            </w:r>
            <w:r>
              <w:rPr>
                <w:rFonts w:ascii="Tahoma" w:hAnsi="Tahoma" w:cs="Tahoma"/>
                <w:color w:val="000000" w:themeColor="text1"/>
                <w:highlight w:val="none"/>
                <w14:textFill>
                  <w14:solidFill>
                    <w14:schemeClr w14:val="tx1"/>
                  </w14:solidFill>
                </w14:textFill>
              </w:rPr>
              <w:t>分（北京时间）；地点：同投标文件递交地点。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ahoma" w:hAnsi="Tahoma" w:eastAsia="华文中宋" w:cs="Tahoma"/>
                <w:b/>
                <w:bCs/>
                <w:color w:val="000000" w:themeColor="text1"/>
                <w:highlight w:val="none"/>
                <w14:textFill>
                  <w14:solidFill>
                    <w14:schemeClr w14:val="tx1"/>
                  </w14:solidFill>
                </w14:textFill>
              </w:rPr>
            </w:pPr>
            <w:r>
              <w:rPr>
                <w:rFonts w:ascii="Tahoma" w:hAnsi="Tahoma" w:eastAsia="华文中宋" w:cs="Tahoma"/>
                <w:color w:val="000000" w:themeColor="text1"/>
                <w:kern w:val="0"/>
                <w:szCs w:val="21"/>
                <w:highlight w:val="none"/>
                <w14:textFill>
                  <w14:solidFill>
                    <w14:schemeClr w14:val="tx1"/>
                  </w14:solidFill>
                </w14:textFill>
              </w:rPr>
              <w:t>5.</w:t>
            </w:r>
            <w:r>
              <w:rPr>
                <w:rFonts w:hint="eastAsia" w:ascii="Tahoma" w:hAnsi="Tahoma" w:eastAsia="华文中宋" w:cs="Tahoma"/>
                <w:color w:val="000000" w:themeColor="text1"/>
                <w:kern w:val="0"/>
                <w:szCs w:val="21"/>
                <w:highlight w:val="none"/>
                <w14:textFill>
                  <w14:solidFill>
                    <w14:schemeClr w14:val="tx1"/>
                  </w14:solidFill>
                </w14:textFill>
              </w:rPr>
              <w:t>2</w:t>
            </w:r>
          </w:p>
        </w:tc>
        <w:tc>
          <w:tcPr>
            <w:tcW w:w="1561" w:type="dxa"/>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ascii="Tahoma" w:hAnsi="Tahoma" w:cs="Tahoma"/>
                <w:b/>
                <w:bCs/>
                <w:color w:val="000000" w:themeColor="text1"/>
                <w:highlight w:val="none"/>
                <w14:textFill>
                  <w14:solidFill>
                    <w14:schemeClr w14:val="tx1"/>
                  </w14:solidFill>
                </w14:textFill>
              </w:rPr>
            </w:pPr>
            <w:r>
              <w:rPr>
                <w:rFonts w:ascii="Tahoma" w:hAnsi="Tahoma" w:cs="Tahoma"/>
                <w:color w:val="000000" w:themeColor="text1"/>
                <w:kern w:val="0"/>
                <w:szCs w:val="21"/>
                <w:highlight w:val="none"/>
                <w14:textFill>
                  <w14:solidFill>
                    <w14:schemeClr w14:val="tx1"/>
                  </w14:solidFill>
                </w14:textFill>
              </w:rPr>
              <w:t>开标程序</w:t>
            </w:r>
          </w:p>
        </w:tc>
        <w:tc>
          <w:tcPr>
            <w:tcW w:w="7743" w:type="dxa"/>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ascii="Tahoma" w:hAnsi="Tahoma" w:cs="Tahoma"/>
                <w:b/>
                <w:bCs/>
                <w:color w:val="000000" w:themeColor="text1"/>
                <w:highlight w:val="none"/>
                <w14:textFill>
                  <w14:solidFill>
                    <w14:schemeClr w14:val="tx1"/>
                  </w14:solidFill>
                </w14:textFill>
              </w:rPr>
            </w:pPr>
            <w:r>
              <w:rPr>
                <w:rFonts w:ascii="Tahoma" w:hAnsi="Tahoma" w:cs="Tahoma"/>
                <w:color w:val="000000" w:themeColor="text1"/>
                <w:highlight w:val="none"/>
                <w14:textFill>
                  <w14:solidFill>
                    <w14:schemeClr w14:val="tx1"/>
                  </w14:solidFill>
                </w14:textFill>
              </w:rPr>
              <w:t>（1）密封情况检查：密封性完好</w:t>
            </w:r>
            <w:r>
              <w:rPr>
                <w:rFonts w:hint="eastAsia" w:ascii="Tahoma" w:hAnsi="Tahoma" w:cs="Tahoma"/>
                <w:color w:val="000000" w:themeColor="text1"/>
                <w:highlight w:val="none"/>
                <w14:textFill>
                  <w14:solidFill>
                    <w14:schemeClr w14:val="tx1"/>
                  </w14:solidFill>
                </w14:textFill>
              </w:rPr>
              <w:t>；</w:t>
            </w:r>
            <w:r>
              <w:rPr>
                <w:rFonts w:ascii="Tahoma" w:hAnsi="Tahoma" w:cs="Tahoma"/>
                <w:color w:val="000000" w:themeColor="text1"/>
                <w:highlight w:val="none"/>
                <w14:textFill>
                  <w14:solidFill>
                    <w14:schemeClr w14:val="tx1"/>
                  </w14:solidFill>
                </w14:textFill>
              </w:rPr>
              <w:t>（2）开标顺序：按递交投标文件的逆顺序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ahoma" w:hAnsi="Tahoma" w:eastAsia="华文中宋" w:cs="Tahoma"/>
                <w:color w:val="000000" w:themeColor="text1"/>
                <w:kern w:val="0"/>
                <w:szCs w:val="21"/>
                <w:highlight w:val="none"/>
                <w14:textFill>
                  <w14:solidFill>
                    <w14:schemeClr w14:val="tx1"/>
                  </w14:solidFill>
                </w14:textFill>
              </w:rPr>
            </w:pPr>
            <w:r>
              <w:rPr>
                <w:rFonts w:ascii="Tahoma" w:hAnsi="Tahoma" w:eastAsia="华文中宋" w:cs="Tahoma"/>
                <w:color w:val="000000" w:themeColor="text1"/>
                <w:kern w:val="0"/>
                <w:szCs w:val="21"/>
                <w:highlight w:val="none"/>
                <w14:textFill>
                  <w14:solidFill>
                    <w14:schemeClr w14:val="tx1"/>
                  </w14:solidFill>
                </w14:textFill>
              </w:rPr>
              <w:t>6.1</w:t>
            </w:r>
          </w:p>
        </w:tc>
        <w:tc>
          <w:tcPr>
            <w:tcW w:w="1561" w:type="dxa"/>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ascii="Tahoma" w:hAnsi="Tahoma" w:cs="Tahoma"/>
                <w:color w:val="000000" w:themeColor="text1"/>
                <w:kern w:val="0"/>
                <w:szCs w:val="21"/>
                <w:highlight w:val="none"/>
                <w14:textFill>
                  <w14:solidFill>
                    <w14:schemeClr w14:val="tx1"/>
                  </w14:solidFill>
                </w14:textFill>
              </w:rPr>
            </w:pPr>
            <w:r>
              <w:rPr>
                <w:rFonts w:ascii="Tahoma" w:hAnsi="Tahoma" w:cs="Tahoma"/>
                <w:color w:val="000000" w:themeColor="text1"/>
                <w:highlight w:val="none"/>
                <w14:textFill>
                  <w14:solidFill>
                    <w14:schemeClr w14:val="tx1"/>
                  </w14:solidFill>
                </w14:textFill>
              </w:rPr>
              <w:t>评</w:t>
            </w:r>
            <w:r>
              <w:rPr>
                <w:rFonts w:ascii="Tahoma" w:hAnsi="Trebuchet MS" w:cs="Tahoma"/>
                <w:color w:val="000000" w:themeColor="text1"/>
                <w:highlight w:val="none"/>
                <w14:textFill>
                  <w14:solidFill>
                    <w14:schemeClr w14:val="tx1"/>
                  </w14:solidFill>
                </w14:textFill>
              </w:rPr>
              <w:t>评标委员会</w:t>
            </w:r>
          </w:p>
        </w:tc>
        <w:tc>
          <w:tcPr>
            <w:tcW w:w="7743" w:type="dxa"/>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ascii="Tahoma" w:hAnsi="Tahoma" w:cs="Tahoma"/>
                <w:color w:val="000000" w:themeColor="text1"/>
                <w:highlight w:val="none"/>
                <w14:textFill>
                  <w14:solidFill>
                    <w14:schemeClr w14:val="tx1"/>
                  </w14:solidFill>
                </w14:textFill>
              </w:rPr>
            </w:pPr>
            <w:r>
              <w:rPr>
                <w:rFonts w:ascii="Tahoma" w:hAnsi="Tahoma" w:cs="Tahoma"/>
                <w:color w:val="000000" w:themeColor="text1"/>
                <w:highlight w:val="none"/>
                <w14:textFill>
                  <w14:solidFill>
                    <w14:schemeClr w14:val="tx1"/>
                  </w14:solidFill>
                </w14:textFill>
              </w:rPr>
              <w:t>（1）构成：</w:t>
            </w:r>
            <w:r>
              <w:rPr>
                <w:rFonts w:hint="eastAsia" w:ascii="Tahoma" w:hAnsi="Tahoma" w:cs="Tahoma"/>
                <w:color w:val="000000" w:themeColor="text1"/>
                <w:highlight w:val="none"/>
                <w:lang w:val="en-US" w:eastAsia="zh-CN"/>
                <w14:textFill>
                  <w14:solidFill>
                    <w14:schemeClr w14:val="tx1"/>
                  </w14:solidFill>
                </w14:textFill>
              </w:rPr>
              <w:t>7</w:t>
            </w:r>
            <w:r>
              <w:rPr>
                <w:rFonts w:ascii="Tahoma" w:hAnsi="Tahoma" w:cs="Tahoma"/>
                <w:color w:val="000000" w:themeColor="text1"/>
                <w:highlight w:val="none"/>
                <w14:textFill>
                  <w14:solidFill>
                    <w14:schemeClr w14:val="tx1"/>
                  </w14:solidFill>
                </w14:textFill>
              </w:rPr>
              <w:t>人，其中招标人代表</w:t>
            </w:r>
            <w:r>
              <w:rPr>
                <w:rFonts w:hint="eastAsia" w:ascii="Tahoma" w:hAnsi="Tahoma" w:cs="Tahoma"/>
                <w:color w:val="000000" w:themeColor="text1"/>
                <w:highlight w:val="none"/>
                <w:lang w:val="en-US" w:eastAsia="zh-CN"/>
                <w14:textFill>
                  <w14:solidFill>
                    <w14:schemeClr w14:val="tx1"/>
                  </w14:solidFill>
                </w14:textFill>
              </w:rPr>
              <w:t>2</w:t>
            </w:r>
            <w:r>
              <w:rPr>
                <w:rFonts w:ascii="Tahoma" w:hAnsi="Tahoma" w:cs="Tahoma"/>
                <w:color w:val="000000" w:themeColor="text1"/>
                <w:highlight w:val="none"/>
                <w14:textFill>
                  <w14:solidFill>
                    <w14:schemeClr w14:val="tx1"/>
                  </w14:solidFill>
                </w14:textFill>
              </w:rPr>
              <w:t>人，专家</w:t>
            </w:r>
            <w:r>
              <w:rPr>
                <w:rFonts w:hint="eastAsia" w:ascii="Tahoma" w:hAnsi="Tahoma" w:cs="Tahoma"/>
                <w:color w:val="000000" w:themeColor="text1"/>
                <w:highlight w:val="none"/>
                <w:lang w:val="en-US" w:eastAsia="zh-CN"/>
                <w14:textFill>
                  <w14:solidFill>
                    <w14:schemeClr w14:val="tx1"/>
                  </w14:solidFill>
                </w14:textFill>
              </w:rPr>
              <w:t>5</w:t>
            </w:r>
            <w:r>
              <w:rPr>
                <w:rFonts w:ascii="Tahoma" w:hAnsi="Tahoma" w:cs="Tahoma"/>
                <w:color w:val="000000" w:themeColor="text1"/>
                <w:highlight w:val="none"/>
                <w14:textFill>
                  <w14:solidFill>
                    <w14:schemeClr w14:val="tx1"/>
                  </w14:solidFill>
                </w14:textFill>
              </w:rPr>
              <w:t>人；（2）方式：评标专家名册中抽取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ahoma" w:hAnsi="Tahoma" w:eastAsia="华文中宋" w:cs="Tahoma"/>
                <w:color w:val="000000" w:themeColor="text1"/>
                <w:kern w:val="0"/>
                <w:szCs w:val="21"/>
                <w:highlight w:val="none"/>
                <w14:textFill>
                  <w14:solidFill>
                    <w14:schemeClr w14:val="tx1"/>
                  </w14:solidFill>
                </w14:textFill>
              </w:rPr>
            </w:pPr>
            <w:r>
              <w:rPr>
                <w:rFonts w:ascii="Tahoma" w:hAnsi="Tahoma" w:eastAsia="华文中宋" w:cs="Tahoma"/>
                <w:color w:val="000000" w:themeColor="text1"/>
                <w:kern w:val="0"/>
                <w:szCs w:val="21"/>
                <w:highlight w:val="none"/>
                <w14:textFill>
                  <w14:solidFill>
                    <w14:schemeClr w14:val="tx1"/>
                  </w14:solidFill>
                </w14:textFill>
              </w:rPr>
              <w:t>6.2.1</w:t>
            </w:r>
          </w:p>
        </w:tc>
        <w:tc>
          <w:tcPr>
            <w:tcW w:w="1561" w:type="dxa"/>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ascii="Tahoma" w:hAnsi="Tahoma" w:cs="Tahoma"/>
                <w:color w:val="000000" w:themeColor="text1"/>
                <w:highlight w:val="none"/>
                <w14:textFill>
                  <w14:solidFill>
                    <w14:schemeClr w14:val="tx1"/>
                  </w14:solidFill>
                </w14:textFill>
              </w:rPr>
            </w:pPr>
            <w:r>
              <w:rPr>
                <w:rFonts w:ascii="Tahoma" w:hAnsi="Tahoma" w:cs="Tahoma"/>
                <w:color w:val="000000" w:themeColor="text1"/>
                <w:highlight w:val="none"/>
                <w14:textFill>
                  <w14:solidFill>
                    <w14:schemeClr w14:val="tx1"/>
                  </w14:solidFill>
                </w14:textFill>
              </w:rPr>
              <w:t>评标办法</w:t>
            </w:r>
          </w:p>
        </w:tc>
        <w:tc>
          <w:tcPr>
            <w:tcW w:w="7743" w:type="dxa"/>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ascii="Tahoma" w:hAnsi="Tahoma" w:cs="Tahoma"/>
                <w:color w:val="000000" w:themeColor="text1"/>
                <w:highlight w:val="none"/>
                <w14:textFill>
                  <w14:solidFill>
                    <w14:schemeClr w14:val="tx1"/>
                  </w14:solidFill>
                </w14:textFill>
              </w:rPr>
            </w:pPr>
            <w:r>
              <w:rPr>
                <w:rFonts w:ascii="Tahoma" w:hAnsi="Tahoma" w:cs="Tahoma"/>
                <w:color w:val="000000" w:themeColor="text1"/>
                <w:highlight w:val="none"/>
                <w14:textFill>
                  <w14:solidFill>
                    <w14:schemeClr w14:val="tx1"/>
                  </w14:solidFill>
                </w14:textFill>
              </w:rPr>
              <w:t>根据</w:t>
            </w:r>
            <w:r>
              <w:rPr>
                <w:rFonts w:hint="eastAsia" w:ascii="Tahoma" w:hAnsi="Tahoma" w:cs="Tahoma"/>
                <w:color w:val="000000" w:themeColor="text1"/>
                <w:kern w:val="0"/>
                <w:szCs w:val="21"/>
                <w:highlight w:val="none"/>
                <w14:textFill>
                  <w14:solidFill>
                    <w14:schemeClr w14:val="tx1"/>
                  </w14:solidFill>
                </w14:textFill>
              </w:rPr>
              <w:t>《政府采购货物和服务招标投标管理办法》</w:t>
            </w:r>
            <w:r>
              <w:rPr>
                <w:rFonts w:ascii="Tahoma" w:hAnsi="Tahoma" w:cs="Tahoma"/>
                <w:color w:val="000000" w:themeColor="text1"/>
                <w:kern w:val="0"/>
                <w:szCs w:val="21"/>
                <w:highlight w:val="none"/>
                <w14:textFill>
                  <w14:solidFill>
                    <w14:schemeClr w14:val="tx1"/>
                  </w14:solidFill>
                </w14:textFill>
              </w:rPr>
              <w:t>（中华人民共和国财政部令第</w:t>
            </w:r>
            <w:r>
              <w:rPr>
                <w:rFonts w:hint="eastAsia" w:ascii="Tahoma" w:hAnsi="Tahoma" w:cs="Tahoma"/>
                <w:color w:val="000000" w:themeColor="text1"/>
                <w:kern w:val="0"/>
                <w:szCs w:val="21"/>
                <w:highlight w:val="none"/>
                <w14:textFill>
                  <w14:solidFill>
                    <w14:schemeClr w14:val="tx1"/>
                  </w14:solidFill>
                </w14:textFill>
              </w:rPr>
              <w:t>87</w:t>
            </w:r>
            <w:r>
              <w:rPr>
                <w:rFonts w:ascii="Tahoma" w:hAnsi="Tahoma" w:cs="Tahoma"/>
                <w:color w:val="000000" w:themeColor="text1"/>
                <w:kern w:val="0"/>
                <w:szCs w:val="21"/>
                <w:highlight w:val="none"/>
                <w14:textFill>
                  <w14:solidFill>
                    <w14:schemeClr w14:val="tx1"/>
                  </w14:solidFill>
                </w14:textFill>
              </w:rPr>
              <w:t>号）</w:t>
            </w:r>
            <w:r>
              <w:rPr>
                <w:rFonts w:ascii="Tahoma" w:hAnsi="Tahoma" w:cs="Tahoma"/>
                <w:color w:val="000000" w:themeColor="text1"/>
                <w:highlight w:val="none"/>
                <w14:textFill>
                  <w14:solidFill>
                    <w14:schemeClr w14:val="tx1"/>
                  </w14:solidFill>
                </w14:textFill>
              </w:rPr>
              <w:t>规定的评审标准，采用</w:t>
            </w:r>
            <w:r>
              <w:rPr>
                <w:rFonts w:hint="eastAsia" w:ascii="Tahoma" w:hAnsi="Tahoma" w:cs="Tahoma"/>
                <w:b/>
                <w:color w:val="000000" w:themeColor="text1"/>
                <w:kern w:val="0"/>
                <w:szCs w:val="21"/>
                <w:highlight w:val="none"/>
                <w14:textFill>
                  <w14:solidFill>
                    <w14:schemeClr w14:val="tx1"/>
                  </w14:solidFill>
                </w14:textFill>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0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ahoma" w:hAnsi="Tahoma" w:eastAsia="华文中宋" w:cs="Tahoma"/>
                <w:color w:val="000000" w:themeColor="text1"/>
                <w:kern w:val="0"/>
                <w:szCs w:val="21"/>
                <w:highlight w:val="none"/>
                <w14:textFill>
                  <w14:solidFill>
                    <w14:schemeClr w14:val="tx1"/>
                  </w14:solidFill>
                </w14:textFill>
              </w:rPr>
            </w:pPr>
            <w:r>
              <w:rPr>
                <w:rFonts w:ascii="Tahoma" w:hAnsi="Tahoma" w:eastAsia="华文中宋" w:cs="Tahoma"/>
                <w:color w:val="000000" w:themeColor="text1"/>
                <w:kern w:val="0"/>
                <w:szCs w:val="21"/>
                <w:highlight w:val="none"/>
                <w14:textFill>
                  <w14:solidFill>
                    <w14:schemeClr w14:val="tx1"/>
                  </w14:solidFill>
                </w14:textFill>
              </w:rPr>
              <w:t>6.2.2</w:t>
            </w:r>
          </w:p>
        </w:tc>
        <w:tc>
          <w:tcPr>
            <w:tcW w:w="1561" w:type="dxa"/>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ascii="Tahoma" w:hAnsi="Tahoma" w:cs="Tahoma"/>
                <w:color w:val="000000" w:themeColor="text1"/>
                <w:highlight w:val="none"/>
                <w14:textFill>
                  <w14:solidFill>
                    <w14:schemeClr w14:val="tx1"/>
                  </w14:solidFill>
                </w14:textFill>
              </w:rPr>
            </w:pPr>
            <w:r>
              <w:rPr>
                <w:rFonts w:ascii="Tahoma" w:hAnsi="Tahoma" w:cs="Tahoma"/>
                <w:color w:val="000000" w:themeColor="text1"/>
                <w:highlight w:val="none"/>
                <w14:textFill>
                  <w14:solidFill>
                    <w14:schemeClr w14:val="tx1"/>
                  </w14:solidFill>
                </w14:textFill>
              </w:rPr>
              <w:t>评标</w:t>
            </w:r>
          </w:p>
        </w:tc>
        <w:tc>
          <w:tcPr>
            <w:tcW w:w="7743" w:type="dxa"/>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ascii="Tahoma" w:hAnsi="Tahoma" w:cs="Tahoma"/>
                <w:color w:val="000000" w:themeColor="text1"/>
                <w:highlight w:val="none"/>
                <w14:textFill>
                  <w14:solidFill>
                    <w14:schemeClr w14:val="tx1"/>
                  </w14:solidFill>
                </w14:textFill>
              </w:rPr>
            </w:pPr>
            <w:r>
              <w:rPr>
                <w:rFonts w:ascii="Tahoma" w:hAnsi="Tahoma" w:cs="Tahoma"/>
                <w:color w:val="000000" w:themeColor="text1"/>
                <w:highlight w:val="none"/>
                <w14:textFill>
                  <w14:solidFill>
                    <w14:schemeClr w14:val="tx1"/>
                  </w14:solidFill>
                </w14:textFill>
              </w:rPr>
              <w:t>各投标人的投标文件将提交评标委员会审核；即使投标人所提交的投标文件通过了审核，在评标过程中乃至确定中标人后，如发现投标人所提供的资格类文件不合法或不真实、或投标文件中存在虚假资料的，招标人仍可废除中标人其中标资格并追究</w:t>
            </w:r>
            <w:r>
              <w:rPr>
                <w:rFonts w:hint="eastAsia" w:ascii="Tahoma" w:hAnsi="Tahoma" w:cs="Tahoma"/>
                <w:color w:val="000000" w:themeColor="text1"/>
                <w:highlight w:val="none"/>
                <w14:textFill>
                  <w14:solidFill>
                    <w14:schemeClr w14:val="tx1"/>
                  </w14:solidFill>
                </w14:textFill>
              </w:rPr>
              <w:t>其</w:t>
            </w:r>
            <w:r>
              <w:rPr>
                <w:rFonts w:ascii="Tahoma" w:hAnsi="Tahoma" w:cs="Tahoma"/>
                <w:color w:val="000000" w:themeColor="text1"/>
                <w:highlight w:val="none"/>
                <w14:textFill>
                  <w14:solidFill>
                    <w14:schemeClr w14:val="tx1"/>
                  </w14:solidFill>
                </w14:textFill>
              </w:rPr>
              <w:t>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8" w:hRule="atLeast"/>
          <w:jc w:val="center"/>
        </w:trPr>
        <w:tc>
          <w:tcPr>
            <w:tcW w:w="10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ahoma" w:hAnsi="Tahoma" w:eastAsia="华文中宋" w:cs="Tahoma"/>
                <w:color w:val="000000" w:themeColor="text1"/>
                <w:highlight w:val="none"/>
                <w14:textFill>
                  <w14:solidFill>
                    <w14:schemeClr w14:val="tx1"/>
                  </w14:solidFill>
                </w14:textFill>
              </w:rPr>
            </w:pPr>
            <w:r>
              <w:rPr>
                <w:rFonts w:ascii="Tahoma" w:hAnsi="Tahoma" w:eastAsia="华文中宋" w:cs="Tahoma"/>
                <w:color w:val="000000" w:themeColor="text1"/>
                <w:highlight w:val="none"/>
                <w14:textFill>
                  <w14:solidFill>
                    <w14:schemeClr w14:val="tx1"/>
                  </w14:solidFill>
                </w14:textFill>
              </w:rPr>
              <w:t>6.</w:t>
            </w:r>
            <w:r>
              <w:rPr>
                <w:rFonts w:hint="eastAsia" w:ascii="Tahoma" w:hAnsi="Tahoma" w:eastAsia="华文中宋" w:cs="Tahoma"/>
                <w:color w:val="000000" w:themeColor="text1"/>
                <w:highlight w:val="none"/>
                <w14:textFill>
                  <w14:solidFill>
                    <w14:schemeClr w14:val="tx1"/>
                  </w14:solidFill>
                </w14:textFill>
              </w:rPr>
              <w:t>3</w:t>
            </w:r>
          </w:p>
        </w:tc>
        <w:tc>
          <w:tcPr>
            <w:tcW w:w="1561" w:type="dxa"/>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ascii="Tahoma" w:hAnsi="Tahoma" w:cs="Tahoma"/>
                <w:bCs/>
                <w:color w:val="000000" w:themeColor="text1"/>
                <w:highlight w:val="none"/>
                <w14:textFill>
                  <w14:solidFill>
                    <w14:schemeClr w14:val="tx1"/>
                  </w14:solidFill>
                </w14:textFill>
              </w:rPr>
            </w:pPr>
            <w:r>
              <w:rPr>
                <w:rFonts w:ascii="Tahoma" w:hAnsi="Tahoma" w:cs="Tahoma"/>
                <w:bCs/>
                <w:color w:val="000000" w:themeColor="text1"/>
                <w:highlight w:val="none"/>
                <w14:textFill>
                  <w14:solidFill>
                    <w14:schemeClr w14:val="tx1"/>
                  </w14:solidFill>
                </w14:textFill>
              </w:rPr>
              <w:t>符合性要求</w:t>
            </w:r>
          </w:p>
        </w:tc>
        <w:tc>
          <w:tcPr>
            <w:tcW w:w="7743" w:type="dxa"/>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ascii="Tahoma" w:hAnsi="Tahoma" w:cs="Tahoma"/>
                <w:b/>
                <w:color w:val="000000" w:themeColor="text1"/>
                <w:highlight w:val="none"/>
                <w14:textFill>
                  <w14:solidFill>
                    <w14:schemeClr w14:val="tx1"/>
                  </w14:solidFill>
                </w14:textFill>
              </w:rPr>
            </w:pPr>
            <w:r>
              <w:rPr>
                <w:rFonts w:ascii="Tahoma" w:hAnsi="Tahoma" w:cs="Tahoma"/>
                <w:b/>
                <w:color w:val="000000" w:themeColor="text1"/>
                <w:highlight w:val="none"/>
                <w14:textFill>
                  <w14:solidFill>
                    <w14:schemeClr w14:val="tx1"/>
                  </w14:solidFill>
                </w14:textFill>
              </w:rPr>
              <w:t>投标人存在下列情况之一的，投标文件将被视为未实质性响应招标文件要求，其投标无效：</w:t>
            </w:r>
          </w:p>
          <w:p>
            <w:pPr>
              <w:keepNext w:val="0"/>
              <w:keepLines w:val="0"/>
              <w:pageBreakBefore w:val="0"/>
              <w:widowControl/>
              <w:numPr>
                <w:ilvl w:val="0"/>
                <w:numId w:val="1"/>
              </w:numPr>
              <w:kinsoku/>
              <w:wordWrap/>
              <w:overflowPunct/>
              <w:topLinePunct w:val="0"/>
              <w:autoSpaceDE/>
              <w:autoSpaceDN/>
              <w:bidi w:val="0"/>
              <w:adjustRightInd/>
              <w:snapToGrid/>
              <w:spacing w:line="260" w:lineRule="exact"/>
              <w:textAlignment w:val="auto"/>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highlight w:val="none"/>
                <w14:textFill>
                  <w14:solidFill>
                    <w14:schemeClr w14:val="tx1"/>
                  </w14:solidFill>
                </w14:textFill>
              </w:rPr>
              <w:t>不具备招标文件中规定的资格要求的</w:t>
            </w:r>
            <w:r>
              <w:rPr>
                <w:rFonts w:ascii="Tahoma" w:hAnsi="Tahoma" w:cs="Tahoma"/>
                <w:color w:val="000000" w:themeColor="text1"/>
                <w:szCs w:val="21"/>
                <w:highlight w:val="none"/>
                <w14:textFill>
                  <w14:solidFill>
                    <w14:schemeClr w14:val="tx1"/>
                  </w14:solidFill>
                </w14:textFill>
              </w:rPr>
              <w:t>，或投标文件中提供的资格证明文件与原件不一致的；</w:t>
            </w:r>
          </w:p>
          <w:p>
            <w:pPr>
              <w:keepNext w:val="0"/>
              <w:keepLines w:val="0"/>
              <w:pageBreakBefore w:val="0"/>
              <w:widowControl/>
              <w:kinsoku/>
              <w:wordWrap/>
              <w:overflowPunct/>
              <w:topLinePunct w:val="0"/>
              <w:autoSpaceDE/>
              <w:autoSpaceDN/>
              <w:bidi w:val="0"/>
              <w:adjustRightInd/>
              <w:snapToGrid/>
              <w:spacing w:line="260" w:lineRule="exact"/>
              <w:textAlignment w:val="auto"/>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（2）投标文件未按招标文件规定进行装订、密封、标记的；</w:t>
            </w:r>
          </w:p>
          <w:p>
            <w:pPr>
              <w:keepNext w:val="0"/>
              <w:keepLines w:val="0"/>
              <w:pageBreakBefore w:val="0"/>
              <w:widowControl/>
              <w:kinsoku/>
              <w:wordWrap/>
              <w:overflowPunct/>
              <w:topLinePunct w:val="0"/>
              <w:autoSpaceDE/>
              <w:autoSpaceDN/>
              <w:bidi w:val="0"/>
              <w:adjustRightInd/>
              <w:snapToGrid/>
              <w:spacing w:line="260" w:lineRule="exact"/>
              <w:textAlignment w:val="auto"/>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（3）</w:t>
            </w:r>
            <w:r>
              <w:rPr>
                <w:rFonts w:ascii="Tahoma" w:hAnsi="Tahoma" w:cs="Tahoma"/>
                <w:color w:val="000000" w:themeColor="text1"/>
                <w:highlight w:val="none"/>
                <w14:textFill>
                  <w14:solidFill>
                    <w14:schemeClr w14:val="tx1"/>
                  </w14:solidFill>
                </w14:textFill>
              </w:rPr>
              <w:t>投标文件未按招标文件要求签署、盖章的；</w:t>
            </w:r>
          </w:p>
          <w:p>
            <w:pPr>
              <w:keepNext w:val="0"/>
              <w:keepLines w:val="0"/>
              <w:pageBreakBefore w:val="0"/>
              <w:widowControl/>
              <w:kinsoku/>
              <w:wordWrap/>
              <w:overflowPunct/>
              <w:topLinePunct w:val="0"/>
              <w:autoSpaceDE/>
              <w:autoSpaceDN/>
              <w:bidi w:val="0"/>
              <w:adjustRightInd/>
              <w:snapToGrid/>
              <w:spacing w:line="260" w:lineRule="exact"/>
              <w:textAlignment w:val="auto"/>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（4）</w:t>
            </w:r>
            <w:r>
              <w:rPr>
                <w:rFonts w:ascii="Tahoma" w:hAnsi="Tahoma" w:cs="Tahoma"/>
                <w:color w:val="000000" w:themeColor="text1"/>
                <w:highlight w:val="none"/>
                <w14:textFill>
                  <w14:solidFill>
                    <w14:schemeClr w14:val="tx1"/>
                  </w14:solidFill>
                </w14:textFill>
              </w:rPr>
              <w:t>未按照招标文件的规定提交投标保证金的</w:t>
            </w:r>
            <w:r>
              <w:rPr>
                <w:rFonts w:ascii="Tahoma" w:hAnsi="Tahoma" w:cs="Tahoma"/>
                <w:color w:val="000000" w:themeColor="text1"/>
                <w:szCs w:val="21"/>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260" w:lineRule="exact"/>
              <w:textAlignment w:val="auto"/>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（5）</w:t>
            </w:r>
            <w:r>
              <w:rPr>
                <w:rFonts w:ascii="Tahoma" w:hAnsi="Tahoma" w:cs="Tahoma"/>
                <w:color w:val="000000" w:themeColor="text1"/>
                <w:highlight w:val="none"/>
                <w14:textFill>
                  <w14:solidFill>
                    <w14:schemeClr w14:val="tx1"/>
                  </w14:solidFill>
                </w14:textFill>
              </w:rPr>
              <w:t>投标文件含有采购人不能接受的附加条件的；</w:t>
            </w:r>
          </w:p>
          <w:p>
            <w:pPr>
              <w:keepNext w:val="0"/>
              <w:keepLines w:val="0"/>
              <w:pageBreakBefore w:val="0"/>
              <w:widowControl/>
              <w:kinsoku/>
              <w:wordWrap/>
              <w:overflowPunct/>
              <w:topLinePunct w:val="0"/>
              <w:autoSpaceDE/>
              <w:autoSpaceDN/>
              <w:bidi w:val="0"/>
              <w:adjustRightInd/>
              <w:snapToGrid/>
              <w:spacing w:line="260" w:lineRule="exact"/>
              <w:textAlignment w:val="auto"/>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（6）投标有效期不满足招标文件要求的；</w:t>
            </w:r>
          </w:p>
          <w:p>
            <w:pPr>
              <w:keepNext w:val="0"/>
              <w:keepLines w:val="0"/>
              <w:pageBreakBefore w:val="0"/>
              <w:widowControl/>
              <w:kinsoku/>
              <w:wordWrap/>
              <w:overflowPunct/>
              <w:topLinePunct w:val="0"/>
              <w:autoSpaceDE/>
              <w:autoSpaceDN/>
              <w:bidi w:val="0"/>
              <w:adjustRightInd/>
              <w:snapToGrid/>
              <w:spacing w:line="260" w:lineRule="exact"/>
              <w:textAlignment w:val="auto"/>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（7）</w:t>
            </w:r>
            <w:r>
              <w:rPr>
                <w:rFonts w:ascii="Tahoma" w:hAnsi="Tahoma" w:cs="Tahoma"/>
                <w:color w:val="000000" w:themeColor="text1"/>
                <w:highlight w:val="none"/>
                <w14:textFill>
                  <w14:solidFill>
                    <w14:schemeClr w14:val="tx1"/>
                  </w14:solidFill>
                </w14:textFill>
              </w:rPr>
              <w:t>报价超过招标文件中规定的预算金额或者最高限价的；或</w:t>
            </w:r>
            <w:r>
              <w:rPr>
                <w:rFonts w:ascii="Tahoma" w:hAnsi="Tahoma" w:cs="Tahoma"/>
                <w:color w:val="000000" w:themeColor="text1"/>
                <w:szCs w:val="21"/>
                <w:highlight w:val="none"/>
                <w14:textFill>
                  <w14:solidFill>
                    <w14:schemeClr w14:val="tx1"/>
                  </w14:solidFill>
                </w14:textFill>
              </w:rPr>
              <w:t>提供的报价是可供选择的（不是唯一报价）；</w:t>
            </w:r>
          </w:p>
          <w:p>
            <w:pPr>
              <w:keepNext w:val="0"/>
              <w:keepLines w:val="0"/>
              <w:pageBreakBefore w:val="0"/>
              <w:widowControl/>
              <w:kinsoku/>
              <w:wordWrap/>
              <w:overflowPunct/>
              <w:topLinePunct w:val="0"/>
              <w:autoSpaceDE/>
              <w:autoSpaceDN/>
              <w:bidi w:val="0"/>
              <w:adjustRightInd/>
              <w:snapToGrid/>
              <w:spacing w:line="260" w:lineRule="exact"/>
              <w:textAlignment w:val="auto"/>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（8）供应商未进行分项报价或分项报价的构成未能准确全部反映产品价格组成或有所隐含，有可能致使在合同履行过程中引起纠纷（非正常的追加或索赔等）或不能诚信履约的；</w:t>
            </w:r>
          </w:p>
          <w:p>
            <w:pPr>
              <w:keepNext w:val="0"/>
              <w:keepLines w:val="0"/>
              <w:pageBreakBefore w:val="0"/>
              <w:widowControl/>
              <w:kinsoku/>
              <w:wordWrap/>
              <w:overflowPunct/>
              <w:topLinePunct w:val="0"/>
              <w:autoSpaceDE/>
              <w:autoSpaceDN/>
              <w:bidi w:val="0"/>
              <w:adjustRightInd/>
              <w:snapToGrid/>
              <w:spacing w:line="260" w:lineRule="exact"/>
              <w:textAlignment w:val="auto"/>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（9）投标文件的内容与采购内容及要求有重大偏离或保留的；</w:t>
            </w:r>
          </w:p>
          <w:p>
            <w:pPr>
              <w:keepNext w:val="0"/>
              <w:keepLines w:val="0"/>
              <w:pageBreakBefore w:val="0"/>
              <w:widowControl/>
              <w:kinsoku/>
              <w:wordWrap/>
              <w:overflowPunct/>
              <w:topLinePunct w:val="0"/>
              <w:autoSpaceDE/>
              <w:autoSpaceDN/>
              <w:bidi w:val="0"/>
              <w:adjustRightInd/>
              <w:snapToGrid/>
              <w:spacing w:line="260" w:lineRule="exact"/>
              <w:textAlignment w:val="auto"/>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（10）投标文件互相混装的，或其他窜通的；</w:t>
            </w:r>
          </w:p>
          <w:p>
            <w:pPr>
              <w:keepNext w:val="0"/>
              <w:keepLines w:val="0"/>
              <w:pageBreakBefore w:val="0"/>
              <w:widowControl/>
              <w:kinsoku/>
              <w:wordWrap/>
              <w:overflowPunct/>
              <w:topLinePunct w:val="0"/>
              <w:autoSpaceDE/>
              <w:autoSpaceDN/>
              <w:bidi w:val="0"/>
              <w:adjustRightInd/>
              <w:snapToGrid/>
              <w:spacing w:line="260" w:lineRule="exact"/>
              <w:textAlignment w:val="auto"/>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（11）投标文件的内容组成不符合招标文件要求的；</w:t>
            </w:r>
          </w:p>
          <w:p>
            <w:pPr>
              <w:keepNext w:val="0"/>
              <w:keepLines w:val="0"/>
              <w:pageBreakBefore w:val="0"/>
              <w:widowControl/>
              <w:kinsoku/>
              <w:wordWrap/>
              <w:overflowPunct/>
              <w:topLinePunct w:val="0"/>
              <w:autoSpaceDE/>
              <w:autoSpaceDN/>
              <w:bidi w:val="0"/>
              <w:adjustRightInd/>
              <w:snapToGrid/>
              <w:spacing w:line="260" w:lineRule="exact"/>
              <w:textAlignment w:val="auto"/>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（12）投标文件中提供虚假或失实资料的；</w:t>
            </w:r>
          </w:p>
          <w:p>
            <w:pPr>
              <w:keepNext w:val="0"/>
              <w:keepLines w:val="0"/>
              <w:pageBreakBefore w:val="0"/>
              <w:widowControl/>
              <w:kinsoku/>
              <w:wordWrap/>
              <w:overflowPunct/>
              <w:topLinePunct w:val="0"/>
              <w:autoSpaceDE/>
              <w:autoSpaceDN/>
              <w:bidi w:val="0"/>
              <w:adjustRightInd/>
              <w:snapToGrid/>
              <w:spacing w:line="260" w:lineRule="exact"/>
              <w:textAlignment w:val="auto"/>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（13）不同供应商所提交的投标文件的内容（或其单价等）存在异常一致或其报价呈规律性差异的；</w:t>
            </w:r>
          </w:p>
          <w:p>
            <w:pPr>
              <w:keepNext w:val="0"/>
              <w:keepLines w:val="0"/>
              <w:pageBreakBefore w:val="0"/>
              <w:widowControl/>
              <w:kinsoku/>
              <w:wordWrap/>
              <w:overflowPunct/>
              <w:topLinePunct w:val="0"/>
              <w:autoSpaceDE/>
              <w:autoSpaceDN/>
              <w:bidi w:val="0"/>
              <w:adjustRightInd/>
              <w:snapToGrid/>
              <w:spacing w:line="260" w:lineRule="exact"/>
              <w:textAlignment w:val="auto"/>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（14）</w:t>
            </w:r>
            <w:r>
              <w:rPr>
                <w:rFonts w:ascii="Tahoma" w:hAnsi="Tahoma" w:cs="Tahoma"/>
                <w:color w:val="000000" w:themeColor="text1"/>
                <w:highlight w:val="none"/>
                <w14:textFill>
                  <w14:solidFill>
                    <w14:schemeClr w14:val="tx1"/>
                  </w14:solidFill>
                </w14:textFill>
              </w:rPr>
              <w:t>法律、法规和招标文件规定的其他无效情形</w:t>
            </w:r>
            <w:r>
              <w:rPr>
                <w:rFonts w:ascii="Tahoma" w:hAnsi="Tahoma" w:cs="Tahoma"/>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ahoma" w:hAnsi="Tahoma" w:eastAsia="华文中宋" w:cs="Tahoma"/>
                <w:color w:val="000000" w:themeColor="text1"/>
                <w:highlight w:val="none"/>
                <w14:textFill>
                  <w14:solidFill>
                    <w14:schemeClr w14:val="tx1"/>
                  </w14:solidFill>
                </w14:textFill>
              </w:rPr>
            </w:pPr>
            <w:r>
              <w:rPr>
                <w:rFonts w:ascii="Tahoma" w:hAnsi="Tahoma" w:eastAsia="华文中宋" w:cs="Tahoma"/>
                <w:color w:val="000000" w:themeColor="text1"/>
                <w:highlight w:val="none"/>
                <w14:textFill>
                  <w14:solidFill>
                    <w14:schemeClr w14:val="tx1"/>
                  </w14:solidFill>
                </w14:textFill>
              </w:rPr>
              <w:t>7.1</w:t>
            </w:r>
          </w:p>
        </w:tc>
        <w:tc>
          <w:tcPr>
            <w:tcW w:w="1561" w:type="dxa"/>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ascii="Tahoma" w:hAnsi="Tahoma" w:cs="Tahoma"/>
                <w:color w:val="000000" w:themeColor="text1"/>
                <w:highlight w:val="none"/>
                <w14:textFill>
                  <w14:solidFill>
                    <w14:schemeClr w14:val="tx1"/>
                  </w14:solidFill>
                </w14:textFill>
              </w:rPr>
            </w:pPr>
            <w:r>
              <w:rPr>
                <w:rFonts w:hint="eastAsia" w:ascii="Tahoma" w:hAnsi="Tahoma" w:cs="Tahoma"/>
                <w:color w:val="000000" w:themeColor="text1"/>
                <w:highlight w:val="none"/>
                <w14:textFill>
                  <w14:solidFill>
                    <w14:schemeClr w14:val="tx1"/>
                  </w14:solidFill>
                </w14:textFill>
              </w:rPr>
              <w:t>中标结果公告</w:t>
            </w:r>
          </w:p>
        </w:tc>
        <w:tc>
          <w:tcPr>
            <w:tcW w:w="7743" w:type="dxa"/>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ascii="Tahoma" w:hAnsi="Tahoma" w:cs="Tahoma"/>
                <w:color w:val="000000" w:themeColor="text1"/>
                <w:highlight w:val="none"/>
                <w14:textFill>
                  <w14:solidFill>
                    <w14:schemeClr w14:val="tx1"/>
                  </w14:solidFill>
                </w14:textFill>
              </w:rPr>
            </w:pPr>
            <w:r>
              <w:rPr>
                <w:rFonts w:hint="eastAsia" w:ascii="Tahoma" w:cs="Tahoma"/>
                <w:color w:val="000000" w:themeColor="text1"/>
                <w:highlight w:val="none"/>
                <w14:textFill>
                  <w14:solidFill>
                    <w14:schemeClr w14:val="tx1"/>
                  </w14:solidFill>
                </w14:textFill>
              </w:rPr>
              <w:t>对中标结果在规定的媒介上进行公告</w:t>
            </w:r>
          </w:p>
        </w:tc>
      </w:tr>
    </w:tbl>
    <w:p>
      <w:pPr>
        <w:rPr>
          <w:color w:val="000000" w:themeColor="text1"/>
          <w:highlight w:val="none"/>
          <w14:textFill>
            <w14:solidFill>
              <w14:schemeClr w14:val="tx1"/>
            </w14:solidFill>
          </w14:textFill>
        </w:rPr>
      </w:pPr>
    </w:p>
    <w:tbl>
      <w:tblPr>
        <w:tblStyle w:val="20"/>
        <w:tblW w:w="10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1634"/>
        <w:gridCol w:w="8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jc w:val="center"/>
        </w:trPr>
        <w:tc>
          <w:tcPr>
            <w:tcW w:w="1082"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ahoma" w:hAnsi="Tahoma" w:eastAsia="华文中宋" w:cs="Tahoma"/>
                <w:color w:val="000000" w:themeColor="text1"/>
                <w:szCs w:val="21"/>
                <w:highlight w:val="none"/>
                <w14:textFill>
                  <w14:solidFill>
                    <w14:schemeClr w14:val="tx1"/>
                  </w14:solidFill>
                </w14:textFill>
              </w:rPr>
            </w:pPr>
            <w:r>
              <w:rPr>
                <w:rFonts w:ascii="Tahoma" w:hAnsi="Tahoma" w:eastAsia="华文中宋" w:cs="Tahoma"/>
                <w:color w:val="000000" w:themeColor="text1"/>
                <w:szCs w:val="21"/>
                <w:highlight w:val="none"/>
                <w14:textFill>
                  <w14:solidFill>
                    <w14:schemeClr w14:val="tx1"/>
                  </w14:solidFill>
                </w14:textFill>
              </w:rPr>
              <w:t>8.</w:t>
            </w:r>
            <w:r>
              <w:rPr>
                <w:rFonts w:hint="eastAsia" w:ascii="Tahoma" w:hAnsi="Tahoma" w:eastAsia="华文中宋" w:cs="Tahoma"/>
                <w:color w:val="000000" w:themeColor="text1"/>
                <w:szCs w:val="21"/>
                <w:highlight w:val="none"/>
                <w14:textFill>
                  <w14:solidFill>
                    <w14:schemeClr w14:val="tx1"/>
                  </w14:solidFill>
                </w14:textFill>
              </w:rPr>
              <w:t>1</w:t>
            </w:r>
          </w:p>
        </w:tc>
        <w:tc>
          <w:tcPr>
            <w:tcW w:w="1634" w:type="dxa"/>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其他方式采购</w:t>
            </w:r>
          </w:p>
        </w:tc>
        <w:tc>
          <w:tcPr>
            <w:tcW w:w="8203" w:type="dxa"/>
            <w:vAlign w:val="center"/>
          </w:tcPr>
          <w:p>
            <w:pPr>
              <w:keepNext w:val="0"/>
              <w:keepLines w:val="0"/>
              <w:pageBreakBefore w:val="0"/>
              <w:widowControl/>
              <w:kinsoku/>
              <w:wordWrap/>
              <w:overflowPunct/>
              <w:topLinePunct w:val="0"/>
              <w:autoSpaceDE/>
              <w:autoSpaceDN/>
              <w:bidi w:val="0"/>
              <w:adjustRightInd/>
              <w:snapToGrid/>
              <w:spacing w:line="300" w:lineRule="atLeast"/>
              <w:textAlignment w:val="auto"/>
              <w:rPr>
                <w:rFonts w:ascii="Tahoma" w:hAnsi="Tahoma" w:cs="Tahoma"/>
                <w:color w:val="000000" w:themeColor="text1"/>
                <w:highlight w:val="none"/>
                <w14:textFill>
                  <w14:solidFill>
                    <w14:schemeClr w14:val="tx1"/>
                  </w14:solidFill>
                </w14:textFill>
              </w:rPr>
            </w:pPr>
            <w:r>
              <w:rPr>
                <w:rFonts w:hint="eastAsia" w:ascii="Tahoma" w:cs="Tahoma"/>
                <w:color w:val="000000" w:themeColor="text1"/>
                <w:highlight w:val="none"/>
                <w14:textFill>
                  <w14:solidFill>
                    <w14:schemeClr w14:val="tx1"/>
                  </w14:solidFill>
                </w14:textFill>
              </w:rPr>
              <w:t>公开招标数额标准以上的采购项目，投标截止后投标人不足</w:t>
            </w:r>
            <w:r>
              <w:rPr>
                <w:rFonts w:ascii="Tahoma" w:hAnsi="Tahoma" w:cs="Tahoma"/>
                <w:color w:val="000000" w:themeColor="text1"/>
                <w:highlight w:val="none"/>
                <w14:textFill>
                  <w14:solidFill>
                    <w14:schemeClr w14:val="tx1"/>
                  </w14:solidFill>
                </w14:textFill>
              </w:rPr>
              <w:t>3</w:t>
            </w:r>
            <w:r>
              <w:rPr>
                <w:rFonts w:hint="eastAsia" w:ascii="Tahoma" w:cs="Tahoma"/>
                <w:color w:val="000000" w:themeColor="text1"/>
                <w:highlight w:val="none"/>
                <w14:textFill>
                  <w14:solidFill>
                    <w14:schemeClr w14:val="tx1"/>
                  </w14:solidFill>
                </w14:textFill>
              </w:rPr>
              <w:t>家</w:t>
            </w:r>
            <w:r>
              <w:rPr>
                <w:rFonts w:hint="eastAsia"/>
                <w:color w:val="000000" w:themeColor="text1"/>
                <w:highlight w:val="none"/>
                <w14:textFill>
                  <w14:solidFill>
                    <w14:schemeClr w14:val="tx1"/>
                  </w14:solidFill>
                </w14:textFill>
              </w:rPr>
              <w:t>或者通过资格审查或符合性审查的投标人不足</w:t>
            </w:r>
            <w:r>
              <w:rPr>
                <w:rFonts w:ascii="Tahoma" w:hAnsi="Tahoma" w:cs="Tahoma"/>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家的，除采购任务取消情形外，</w:t>
            </w:r>
            <w:r>
              <w:rPr>
                <w:rFonts w:hint="eastAsia" w:ascii="Tahoma" w:cs="Tahoma"/>
                <w:color w:val="000000" w:themeColor="text1"/>
                <w:highlight w:val="none"/>
                <w14:textFill>
                  <w14:solidFill>
                    <w14:schemeClr w14:val="tx1"/>
                  </w14:solidFill>
                </w14:textFill>
              </w:rPr>
              <w:t>根据</w:t>
            </w:r>
            <w:r>
              <w:rPr>
                <w:rFonts w:hint="eastAsia" w:ascii="Tahoma" w:hAnsi="Tahoma" w:cs="Tahoma"/>
                <w:color w:val="000000" w:themeColor="text1"/>
                <w:kern w:val="0"/>
                <w:szCs w:val="21"/>
                <w:highlight w:val="none"/>
                <w14:textFill>
                  <w14:solidFill>
                    <w14:schemeClr w14:val="tx1"/>
                  </w14:solidFill>
                </w14:textFill>
              </w:rPr>
              <w:t>《政府采购货物和服务招标投标管理办法》（中华人民共和国财政部令第</w:t>
            </w:r>
            <w:r>
              <w:rPr>
                <w:rFonts w:ascii="Tahoma" w:hAnsi="Tahoma" w:cs="Tahoma"/>
                <w:color w:val="000000" w:themeColor="text1"/>
                <w:kern w:val="0"/>
                <w:szCs w:val="21"/>
                <w:highlight w:val="none"/>
                <w14:textFill>
                  <w14:solidFill>
                    <w14:schemeClr w14:val="tx1"/>
                  </w14:solidFill>
                </w14:textFill>
              </w:rPr>
              <w:t>87</w:t>
            </w:r>
            <w:r>
              <w:rPr>
                <w:rFonts w:hint="eastAsia" w:ascii="Tahoma" w:hAnsi="Tahoma" w:cs="Tahoma"/>
                <w:color w:val="000000" w:themeColor="text1"/>
                <w:kern w:val="0"/>
                <w:szCs w:val="21"/>
                <w:highlight w:val="none"/>
                <w14:textFill>
                  <w14:solidFill>
                    <w14:schemeClr w14:val="tx1"/>
                  </w14:solidFill>
                </w14:textFill>
              </w:rPr>
              <w:t>号）</w:t>
            </w:r>
            <w:r>
              <w:rPr>
                <w:rFonts w:hint="eastAsia" w:ascii="Tahoma" w:cs="Tahoma"/>
                <w:color w:val="000000" w:themeColor="text1"/>
                <w:highlight w:val="none"/>
                <w14:textFill>
                  <w14:solidFill>
                    <w14:schemeClr w14:val="tx1"/>
                  </w14:solidFill>
                </w14:textFill>
              </w:rPr>
              <w:t>第四十三条规定，</w:t>
            </w:r>
            <w:r>
              <w:rPr>
                <w:rFonts w:hint="eastAsia"/>
                <w:color w:val="000000" w:themeColor="text1"/>
                <w:highlight w:val="none"/>
                <w14:textFill>
                  <w14:solidFill>
                    <w14:schemeClr w14:val="tx1"/>
                  </w14:solidFill>
                </w14:textFill>
              </w:rPr>
              <w:t>按照以下方式处理：</w:t>
            </w:r>
          </w:p>
          <w:p>
            <w:pPr>
              <w:keepNext w:val="0"/>
              <w:keepLines w:val="0"/>
              <w:pageBreakBefore w:val="0"/>
              <w:widowControl/>
              <w:kinsoku/>
              <w:wordWrap/>
              <w:overflowPunct/>
              <w:topLinePunct w:val="0"/>
              <w:autoSpaceDE/>
              <w:autoSpaceDN/>
              <w:bidi w:val="0"/>
              <w:adjustRightInd/>
              <w:snapToGrid/>
              <w:spacing w:line="300" w:lineRule="atLeast"/>
              <w:textAlignment w:val="auto"/>
              <w:rPr>
                <w:rFonts w:ascii="Tahoma" w:cs="Tahoma"/>
                <w:color w:val="000000" w:themeColor="text1"/>
                <w:highlight w:val="none"/>
                <w14:textFill>
                  <w14:solidFill>
                    <w14:schemeClr w14:val="tx1"/>
                  </w14:solidFill>
                </w14:textFill>
              </w:rPr>
            </w:pPr>
            <w:r>
              <w:rPr>
                <w:rFonts w:hint="eastAsia" w:ascii="Tahoma" w:cs="Tahoma"/>
                <w:color w:val="000000" w:themeColor="text1"/>
                <w:highlight w:val="none"/>
                <w14:textFill>
                  <w14:solidFill>
                    <w14:schemeClr w14:val="tx1"/>
                  </w14:solidFill>
                </w14:textFill>
              </w:rPr>
              <w:t>（</w:t>
            </w:r>
            <w:r>
              <w:rPr>
                <w:rFonts w:ascii="Tahoma" w:cs="Tahoma"/>
                <w:color w:val="000000" w:themeColor="text1"/>
                <w:highlight w:val="none"/>
                <w14:textFill>
                  <w14:solidFill>
                    <w14:schemeClr w14:val="tx1"/>
                  </w14:solidFill>
                </w14:textFill>
              </w:rPr>
              <w:t>1</w:t>
            </w:r>
            <w:r>
              <w:rPr>
                <w:rFonts w:hint="eastAsia" w:ascii="Tahoma" w:cs="Tahoma"/>
                <w:color w:val="000000" w:themeColor="text1"/>
                <w:highlight w:val="none"/>
                <w14:textFill>
                  <w14:solidFill>
                    <w14:schemeClr w14:val="tx1"/>
                  </w14:solidFill>
                </w14:textFill>
              </w:rPr>
              <w:t>）招标文件存在不合理条款或者招标程序不符合规定的，采购人、采购代理机构改正后依法重新招标；</w:t>
            </w:r>
          </w:p>
          <w:p>
            <w:pPr>
              <w:keepNext w:val="0"/>
              <w:keepLines w:val="0"/>
              <w:pageBreakBefore w:val="0"/>
              <w:widowControl/>
              <w:kinsoku/>
              <w:wordWrap/>
              <w:overflowPunct/>
              <w:topLinePunct w:val="0"/>
              <w:autoSpaceDE/>
              <w:autoSpaceDN/>
              <w:bidi w:val="0"/>
              <w:adjustRightInd/>
              <w:snapToGrid/>
              <w:spacing w:line="300" w:lineRule="atLeast"/>
              <w:textAlignment w:val="auto"/>
              <w:rPr>
                <w:rFonts w:ascii="Tahoma" w:hAnsi="Tahoma" w:cs="Tahoma"/>
                <w:color w:val="000000" w:themeColor="text1"/>
                <w:highlight w:val="none"/>
                <w14:textFill>
                  <w14:solidFill>
                    <w14:schemeClr w14:val="tx1"/>
                  </w14:solidFill>
                </w14:textFill>
              </w:rPr>
            </w:pPr>
            <w:r>
              <w:rPr>
                <w:rFonts w:hint="eastAsia" w:ascii="Tahoma" w:cs="Tahoma"/>
                <w:color w:val="000000" w:themeColor="text1"/>
                <w:highlight w:val="none"/>
                <w14:textFill>
                  <w14:solidFill>
                    <w14:schemeClr w14:val="tx1"/>
                  </w14:solidFill>
                </w14:textFill>
              </w:rPr>
              <w:t>（</w:t>
            </w:r>
            <w:r>
              <w:rPr>
                <w:rFonts w:ascii="Tahoma" w:cs="Tahoma"/>
                <w:color w:val="000000" w:themeColor="text1"/>
                <w:highlight w:val="none"/>
                <w14:textFill>
                  <w14:solidFill>
                    <w14:schemeClr w14:val="tx1"/>
                  </w14:solidFill>
                </w14:textFill>
              </w:rPr>
              <w:t>2</w:t>
            </w:r>
            <w:r>
              <w:rPr>
                <w:rFonts w:hint="eastAsia" w:ascii="Tahoma" w:cs="Tahoma"/>
                <w:color w:val="000000" w:themeColor="text1"/>
                <w:highlight w:val="none"/>
                <w14:textFill>
                  <w14:solidFill>
                    <w14:schemeClr w14:val="tx1"/>
                  </w14:solidFill>
                </w14:textFill>
              </w:rPr>
              <w:t>）招标文件没有不合理条款、招标程序符合规定，需要采用其他采购方式采购的，采购人应当依法报财政部门批准。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1082" w:type="dxa"/>
            <w:vAlign w:val="center"/>
          </w:tcPr>
          <w:p>
            <w:pPr>
              <w:snapToGrid w:val="0"/>
              <w:spacing w:line="240" w:lineRule="exact"/>
              <w:jc w:val="center"/>
              <w:rPr>
                <w:rFonts w:ascii="Tahoma" w:hAnsi="Tahoma" w:eastAsia="华文中宋" w:cs="Tahoma"/>
                <w:color w:val="000000" w:themeColor="text1"/>
                <w:highlight w:val="none"/>
                <w14:textFill>
                  <w14:solidFill>
                    <w14:schemeClr w14:val="tx1"/>
                  </w14:solidFill>
                </w14:textFill>
              </w:rPr>
            </w:pPr>
            <w:r>
              <w:rPr>
                <w:rFonts w:hint="eastAsia" w:ascii="Tahoma" w:hAnsi="Tahoma" w:eastAsia="华文中宋" w:cs="Tahoma"/>
                <w:color w:val="000000" w:themeColor="text1"/>
                <w:highlight w:val="none"/>
                <w14:textFill>
                  <w14:solidFill>
                    <w14:schemeClr w14:val="tx1"/>
                  </w14:solidFill>
                </w14:textFill>
              </w:rPr>
              <w:t>9</w:t>
            </w:r>
            <w:r>
              <w:rPr>
                <w:rFonts w:ascii="Tahoma" w:hAnsi="Tahoma" w:eastAsia="华文中宋" w:cs="Tahoma"/>
                <w:color w:val="000000" w:themeColor="text1"/>
                <w:highlight w:val="none"/>
                <w14:textFill>
                  <w14:solidFill>
                    <w14:schemeClr w14:val="tx1"/>
                  </w14:solidFill>
                </w14:textFill>
              </w:rPr>
              <w:t>.1</w:t>
            </w:r>
          </w:p>
        </w:tc>
        <w:tc>
          <w:tcPr>
            <w:tcW w:w="1634" w:type="dxa"/>
            <w:vAlign w:val="center"/>
          </w:tcPr>
          <w:p>
            <w:pPr>
              <w:snapToGrid w:val="0"/>
              <w:spacing w:line="240" w:lineRule="exact"/>
              <w:rPr>
                <w:rFonts w:ascii="Tahoma" w:hAnsi="Tahoma" w:cs="Tahoma"/>
                <w:color w:val="000000" w:themeColor="text1"/>
                <w:highlight w:val="none"/>
                <w14:textFill>
                  <w14:solidFill>
                    <w14:schemeClr w14:val="tx1"/>
                  </w14:solidFill>
                </w14:textFill>
              </w:rPr>
            </w:pPr>
            <w:r>
              <w:rPr>
                <w:rFonts w:ascii="Tahoma" w:hAnsi="Tahoma" w:cs="Tahoma"/>
                <w:color w:val="000000" w:themeColor="text1"/>
                <w:highlight w:val="none"/>
                <w14:textFill>
                  <w14:solidFill>
                    <w14:schemeClr w14:val="tx1"/>
                  </w14:solidFill>
                </w14:textFill>
              </w:rPr>
              <w:t>质疑</w:t>
            </w:r>
          </w:p>
        </w:tc>
        <w:tc>
          <w:tcPr>
            <w:tcW w:w="8203" w:type="dxa"/>
            <w:vAlign w:val="center"/>
          </w:tcPr>
          <w:p>
            <w:pPr>
              <w:keepNext w:val="0"/>
              <w:keepLines w:val="0"/>
              <w:pageBreakBefore w:val="0"/>
              <w:widowControl/>
              <w:kinsoku/>
              <w:wordWrap/>
              <w:overflowPunct/>
              <w:topLinePunct w:val="0"/>
              <w:autoSpaceDE/>
              <w:autoSpaceDN/>
              <w:bidi w:val="0"/>
              <w:adjustRightInd/>
              <w:snapToGrid/>
              <w:spacing w:line="300" w:lineRule="atLeast"/>
              <w:textAlignment w:val="auto"/>
              <w:rPr>
                <w:color w:val="000000" w:themeColor="text1"/>
                <w:highlight w:val="none"/>
                <w14:textFill>
                  <w14:solidFill>
                    <w14:schemeClr w14:val="tx1"/>
                  </w14:solidFill>
                </w14:textFill>
              </w:rPr>
            </w:pPr>
            <w:r>
              <w:rPr>
                <w:rFonts w:ascii="Tahoma" w:hAnsi="Tahoma" w:cs="Tahoma"/>
                <w:color w:val="000000" w:themeColor="text1"/>
                <w:highlight w:val="none"/>
                <w14:textFill>
                  <w14:solidFill>
                    <w14:schemeClr w14:val="tx1"/>
                  </w14:solidFill>
                </w14:textFill>
              </w:rPr>
              <w:t>投标人认为招标文件、招标过程或中标结果使自己的合法权益受到损害的，应当在知道或者应知其权益受到损害之日起</w:t>
            </w:r>
            <w:r>
              <w:rPr>
                <w:rFonts w:hint="eastAsia" w:ascii="Tahoma" w:hAnsi="Tahoma" w:cs="Tahoma"/>
                <w:color w:val="000000" w:themeColor="text1"/>
                <w:highlight w:val="none"/>
                <w14:textFill>
                  <w14:solidFill>
                    <w14:schemeClr w14:val="tx1"/>
                  </w14:solidFill>
                </w14:textFill>
              </w:rPr>
              <w:t>在规定的期限</w:t>
            </w:r>
            <w:r>
              <w:rPr>
                <w:rFonts w:ascii="Tahoma" w:hAnsi="Tahoma" w:cs="Tahoma"/>
                <w:color w:val="000000" w:themeColor="text1"/>
                <w:highlight w:val="none"/>
                <w14:textFill>
                  <w14:solidFill>
                    <w14:schemeClr w14:val="tx1"/>
                  </w14:solidFill>
                </w14:textFill>
              </w:rPr>
              <w:t>内，以书面形式向招标人（招标代理机构）提出质疑或投标人对招标人（招标代理机构）的质疑答复不满意或者招标人（招标代理机构）未在规定时间内做出答复的，可以在答复期满后</w:t>
            </w:r>
            <w:r>
              <w:rPr>
                <w:rFonts w:hint="eastAsia" w:ascii="Tahoma" w:hAnsi="Tahoma" w:cs="Tahoma"/>
                <w:color w:val="000000" w:themeColor="text1"/>
                <w:highlight w:val="none"/>
                <w:lang w:val="en-US" w:eastAsia="zh-CN"/>
                <w14:textFill>
                  <w14:solidFill>
                    <w14:schemeClr w14:val="tx1"/>
                  </w14:solidFill>
                </w14:textFill>
              </w:rPr>
              <w:t>七</w:t>
            </w:r>
            <w:r>
              <w:rPr>
                <w:rFonts w:ascii="Tahoma" w:hAnsi="Tahoma" w:cs="Tahoma"/>
                <w:color w:val="000000" w:themeColor="text1"/>
                <w:highlight w:val="none"/>
                <w14:textFill>
                  <w14:solidFill>
                    <w14:schemeClr w14:val="tx1"/>
                  </w14:solidFill>
                </w14:textFill>
              </w:rPr>
              <w:t>个工作日内向有关监管部门投诉。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jc w:val="center"/>
        </w:trPr>
        <w:tc>
          <w:tcPr>
            <w:tcW w:w="1082" w:type="dxa"/>
            <w:vAlign w:val="center"/>
          </w:tcPr>
          <w:p>
            <w:pPr>
              <w:snapToGrid w:val="0"/>
              <w:spacing w:line="240" w:lineRule="exact"/>
              <w:jc w:val="center"/>
              <w:rPr>
                <w:rFonts w:ascii="Tahoma" w:hAnsi="Tahoma" w:eastAsia="华文中宋" w:cs="Tahoma"/>
                <w:color w:val="000000" w:themeColor="text1"/>
                <w:highlight w:val="none"/>
                <w14:textFill>
                  <w14:solidFill>
                    <w14:schemeClr w14:val="tx1"/>
                  </w14:solidFill>
                </w14:textFill>
              </w:rPr>
            </w:pPr>
            <w:r>
              <w:rPr>
                <w:rFonts w:hint="eastAsia" w:ascii="Tahoma" w:hAnsi="Tahoma" w:eastAsia="华文中宋" w:cs="Tahoma"/>
                <w:color w:val="000000" w:themeColor="text1"/>
                <w:highlight w:val="none"/>
                <w14:textFill>
                  <w14:solidFill>
                    <w14:schemeClr w14:val="tx1"/>
                  </w14:solidFill>
                </w14:textFill>
              </w:rPr>
              <w:t>10</w:t>
            </w:r>
            <w:r>
              <w:rPr>
                <w:rFonts w:ascii="Tahoma" w:hAnsi="Tahoma" w:eastAsia="华文中宋" w:cs="Tahoma"/>
                <w:color w:val="000000" w:themeColor="text1"/>
                <w:highlight w:val="none"/>
                <w14:textFill>
                  <w14:solidFill>
                    <w14:schemeClr w14:val="tx1"/>
                  </w14:solidFill>
                </w14:textFill>
              </w:rPr>
              <w:t>.</w:t>
            </w:r>
            <w:r>
              <w:rPr>
                <w:rFonts w:hint="eastAsia" w:ascii="Tahoma" w:hAnsi="Tahoma" w:eastAsia="华文中宋" w:cs="Tahoma"/>
                <w:color w:val="000000" w:themeColor="text1"/>
                <w:highlight w:val="none"/>
                <w14:textFill>
                  <w14:solidFill>
                    <w14:schemeClr w14:val="tx1"/>
                  </w14:solidFill>
                </w14:textFill>
              </w:rPr>
              <w:t>1</w:t>
            </w:r>
          </w:p>
        </w:tc>
        <w:tc>
          <w:tcPr>
            <w:tcW w:w="1634" w:type="dxa"/>
            <w:vAlign w:val="center"/>
          </w:tcPr>
          <w:p>
            <w:pPr>
              <w:snapToGrid w:val="0"/>
              <w:spacing w:line="240" w:lineRule="exact"/>
              <w:rPr>
                <w:rFonts w:ascii="Tahoma" w:hAnsi="Tahoma" w:cs="Tahoma"/>
                <w:color w:val="000000" w:themeColor="text1"/>
                <w:highlight w:val="none"/>
                <w14:textFill>
                  <w14:solidFill>
                    <w14:schemeClr w14:val="tx1"/>
                  </w14:solidFill>
                </w14:textFill>
              </w:rPr>
            </w:pPr>
            <w:r>
              <w:rPr>
                <w:rFonts w:ascii="Tahoma" w:hAnsi="Tahoma" w:cs="Tahoma"/>
                <w:color w:val="000000" w:themeColor="text1"/>
                <w:highlight w:val="none"/>
                <w14:textFill>
                  <w14:solidFill>
                    <w14:schemeClr w14:val="tx1"/>
                  </w14:solidFill>
                </w14:textFill>
              </w:rPr>
              <w:t>投诉</w:t>
            </w:r>
          </w:p>
        </w:tc>
        <w:tc>
          <w:tcPr>
            <w:tcW w:w="8203" w:type="dxa"/>
            <w:vAlign w:val="center"/>
          </w:tcPr>
          <w:p>
            <w:pPr>
              <w:keepNext w:val="0"/>
              <w:keepLines w:val="0"/>
              <w:pageBreakBefore w:val="0"/>
              <w:widowControl/>
              <w:kinsoku/>
              <w:wordWrap/>
              <w:overflowPunct/>
              <w:topLinePunct w:val="0"/>
              <w:autoSpaceDE/>
              <w:autoSpaceDN/>
              <w:bidi w:val="0"/>
              <w:adjustRightInd/>
              <w:snapToGrid/>
              <w:spacing w:line="300" w:lineRule="atLeast"/>
              <w:textAlignment w:val="auto"/>
              <w:rPr>
                <w:color w:val="000000" w:themeColor="text1"/>
                <w:highlight w:val="none"/>
                <w14:textFill>
                  <w14:solidFill>
                    <w14:schemeClr w14:val="tx1"/>
                  </w14:solidFill>
                </w14:textFill>
              </w:rPr>
            </w:pPr>
            <w:r>
              <w:rPr>
                <w:rFonts w:hint="eastAsia" w:ascii="Tahoma" w:cs="Tahoma"/>
                <w:color w:val="000000" w:themeColor="text1"/>
                <w:highlight w:val="none"/>
                <w14:textFill>
                  <w14:solidFill>
                    <w14:schemeClr w14:val="tx1"/>
                  </w14:solidFill>
                </w14:textFill>
              </w:rPr>
              <w:t>（</w:t>
            </w:r>
            <w:r>
              <w:rPr>
                <w:rFonts w:ascii="Tahoma" w:hAnsi="Tahoma" w:cs="Tahoma"/>
                <w:color w:val="000000" w:themeColor="text1"/>
                <w:highlight w:val="none"/>
                <w14:textFill>
                  <w14:solidFill>
                    <w14:schemeClr w14:val="tx1"/>
                  </w14:solidFill>
                </w14:textFill>
              </w:rPr>
              <w:t>1</w:t>
            </w:r>
            <w:r>
              <w:rPr>
                <w:rFonts w:hint="eastAsia" w:ascii="Tahoma" w:cs="Tahoma"/>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质疑供应商对采购人、采购代理机构的答复不满意或者采购人、采购代理机构未在规定的时间内作出答复的，可以在答复期满后十五个工作日内向同级政府采购监督管理部门投诉。</w:t>
            </w:r>
          </w:p>
          <w:p>
            <w:pPr>
              <w:keepNext w:val="0"/>
              <w:keepLines w:val="0"/>
              <w:pageBreakBefore w:val="0"/>
              <w:widowControl/>
              <w:kinsoku/>
              <w:wordWrap/>
              <w:overflowPunct/>
              <w:topLinePunct w:val="0"/>
              <w:autoSpaceDE/>
              <w:autoSpaceDN/>
              <w:bidi w:val="0"/>
              <w:adjustRightInd/>
              <w:snapToGrid/>
              <w:spacing w:line="300" w:lineRule="atLeast"/>
              <w:textAlignment w:val="auto"/>
              <w:rPr>
                <w:rFonts w:ascii="Tahoma" w:hAnsi="Tahoma" w:cs="Tahom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ascii="Tahoma" w:hAnsi="Tahoma" w:cs="Tahoma"/>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质疑、投诉应当采用书面形式，质疑书、投诉书均应明确阐述招标文件、招标过程或中标结果中使自己合法权益受到损害的实质性内容，提供相关事实、依据和证据及其来源或线索，便于有关单位调查、答复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2" w:hRule="atLeast"/>
          <w:jc w:val="center"/>
        </w:trPr>
        <w:tc>
          <w:tcPr>
            <w:tcW w:w="1082" w:type="dxa"/>
            <w:vAlign w:val="center"/>
          </w:tcPr>
          <w:p>
            <w:pPr>
              <w:snapToGrid w:val="0"/>
              <w:spacing w:line="240" w:lineRule="exact"/>
              <w:jc w:val="center"/>
              <w:rPr>
                <w:rFonts w:ascii="Tahoma" w:hAnsi="Tahoma" w:eastAsia="华文中宋" w:cs="Tahoma"/>
                <w:color w:val="000000" w:themeColor="text1"/>
                <w:highlight w:val="none"/>
                <w14:textFill>
                  <w14:solidFill>
                    <w14:schemeClr w14:val="tx1"/>
                  </w14:solidFill>
                </w14:textFill>
              </w:rPr>
            </w:pPr>
            <w:r>
              <w:rPr>
                <w:rFonts w:ascii="Tahoma" w:hAnsi="Tahoma" w:eastAsia="华文中宋" w:cs="Tahoma"/>
                <w:color w:val="000000" w:themeColor="text1"/>
                <w:highlight w:val="none"/>
                <w14:textFill>
                  <w14:solidFill>
                    <w14:schemeClr w14:val="tx1"/>
                  </w14:solidFill>
                </w14:textFill>
              </w:rPr>
              <w:t>10.</w:t>
            </w:r>
            <w:r>
              <w:rPr>
                <w:rFonts w:hint="eastAsia" w:ascii="Tahoma" w:hAnsi="Tahoma" w:eastAsia="华文中宋" w:cs="Tahoma"/>
                <w:color w:val="000000" w:themeColor="text1"/>
                <w:highlight w:val="none"/>
                <w14:textFill>
                  <w14:solidFill>
                    <w14:schemeClr w14:val="tx1"/>
                  </w14:solidFill>
                </w14:textFill>
              </w:rPr>
              <w:t>2</w:t>
            </w:r>
          </w:p>
        </w:tc>
        <w:tc>
          <w:tcPr>
            <w:tcW w:w="1634" w:type="dxa"/>
            <w:vAlign w:val="center"/>
          </w:tcPr>
          <w:p>
            <w:pPr>
              <w:spacing w:line="24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出席开标会</w:t>
            </w:r>
          </w:p>
        </w:tc>
        <w:tc>
          <w:tcPr>
            <w:tcW w:w="8203" w:type="dxa"/>
            <w:vAlign w:val="center"/>
          </w:tcPr>
          <w:p>
            <w:pPr>
              <w:keepNext w:val="0"/>
              <w:keepLines w:val="0"/>
              <w:pageBreakBefore w:val="0"/>
              <w:widowControl/>
              <w:kinsoku/>
              <w:wordWrap/>
              <w:overflowPunct/>
              <w:topLinePunct w:val="0"/>
              <w:autoSpaceDE/>
              <w:autoSpaceDN/>
              <w:bidi w:val="0"/>
              <w:adjustRightInd/>
              <w:snapToGrid/>
              <w:spacing w:line="300" w:lineRule="atLeast"/>
              <w:ind w:firstLine="105" w:firstLineChars="50"/>
              <w:textAlignment w:val="auto"/>
              <w:rPr>
                <w:rFonts w:ascii="Tahoma" w:hAnsi="Tahoma" w:cs="Tahoma"/>
                <w:color w:val="000000" w:themeColor="text1"/>
                <w:highlight w:val="none"/>
                <w14:textFill>
                  <w14:solidFill>
                    <w14:schemeClr w14:val="tx1"/>
                  </w14:solidFill>
                </w14:textFill>
              </w:rPr>
            </w:pPr>
            <w:r>
              <w:rPr>
                <w:rFonts w:ascii="Tahoma" w:hAnsi="Tahoma" w:eastAsia="黑体" w:cs="Tahoma"/>
                <w:b/>
                <w:color w:val="000000" w:themeColor="text1"/>
                <w:highlight w:val="none"/>
                <w14:textFill>
                  <w14:solidFill>
                    <w14:schemeClr w14:val="tx1"/>
                  </w14:solidFill>
                </w14:textFill>
              </w:rPr>
              <w:t>（一）关于资格审查：</w:t>
            </w:r>
            <w:r>
              <w:rPr>
                <w:rFonts w:ascii="Tahoma" w:hAnsi="Tahoma" w:cs="Tahoma"/>
                <w:color w:val="000000" w:themeColor="text1"/>
                <w:highlight w:val="none"/>
                <w14:textFill>
                  <w14:solidFill>
                    <w14:schemeClr w14:val="tx1"/>
                  </w14:solidFill>
                </w14:textFill>
              </w:rPr>
              <w:t>投标人在报名获取招标文件时的资格审查，仅代表其在获取招标文件时的资格审查获得通过，并不能代表投标人在出席开标会时要求其提供的全部资格证件的合格。</w:t>
            </w:r>
            <w:r>
              <w:rPr>
                <w:rFonts w:ascii="Tahoma" w:hAnsi="Tahoma" w:cs="Tahoma"/>
                <w:b/>
                <w:color w:val="000000" w:themeColor="text1"/>
                <w:szCs w:val="21"/>
                <w:highlight w:val="none"/>
                <w14:textFill>
                  <w14:solidFill>
                    <w14:schemeClr w14:val="tx1"/>
                  </w14:solidFill>
                </w14:textFill>
              </w:rPr>
              <w:t>投标人出席开标</w:t>
            </w:r>
            <w:r>
              <w:rPr>
                <w:rFonts w:ascii="Tahoma" w:hAnsi="Tahoma" w:eastAsia="F4,Bold" w:cs="Tahoma"/>
                <w:b/>
                <w:bCs/>
                <w:color w:val="000000" w:themeColor="text1"/>
                <w:highlight w:val="none"/>
                <w14:textFill>
                  <w14:solidFill>
                    <w14:schemeClr w14:val="tx1"/>
                  </w14:solidFill>
                </w14:textFill>
              </w:rPr>
              <w:t>会时，</w:t>
            </w:r>
            <w:r>
              <w:rPr>
                <w:rFonts w:hint="eastAsia" w:ascii="Tahoma" w:hAnsi="Tahoma" w:eastAsia="F4,Bold" w:cs="Tahoma"/>
                <w:b/>
                <w:bCs/>
                <w:color w:val="000000" w:themeColor="text1"/>
                <w:highlight w:val="none"/>
                <w:lang w:val="en-US" w:eastAsia="zh-CN"/>
                <w14:textFill>
                  <w14:solidFill>
                    <w14:schemeClr w14:val="tx1"/>
                  </w14:solidFill>
                </w14:textFill>
              </w:rPr>
              <w:t>需</w:t>
            </w:r>
            <w:r>
              <w:rPr>
                <w:rFonts w:ascii="Tahoma" w:hAnsi="Tahoma" w:eastAsia="F4,Bold" w:cs="Tahoma"/>
                <w:b/>
                <w:bCs/>
                <w:color w:val="000000" w:themeColor="text1"/>
                <w:highlight w:val="none"/>
                <w14:textFill>
                  <w14:solidFill>
                    <w14:schemeClr w14:val="tx1"/>
                  </w14:solidFill>
                </w14:textFill>
              </w:rPr>
              <w:t>携带以下全部资格证明文件的原件交</w:t>
            </w:r>
            <w:r>
              <w:rPr>
                <w:rFonts w:ascii="Tahoma" w:hAnsi="Tahoma" w:cs="Tahoma"/>
                <w:b/>
                <w:color w:val="000000" w:themeColor="text1"/>
                <w:highlight w:val="none"/>
                <w14:textFill>
                  <w14:solidFill>
                    <w14:schemeClr w14:val="tx1"/>
                  </w14:solidFill>
                </w14:textFill>
              </w:rPr>
              <w:t>由监督组成员进行初步审查（初步审查不合格的，不得进入下一阶段的评审），初步审查合格的由评标委员会进一步进行详细审查后</w:t>
            </w:r>
            <w:r>
              <w:rPr>
                <w:rFonts w:ascii="Tahoma" w:hAnsi="Tahoma" w:eastAsia="F4,Bold" w:cs="Tahoma"/>
                <w:b/>
                <w:bCs/>
                <w:color w:val="000000" w:themeColor="text1"/>
                <w:highlight w:val="none"/>
                <w14:textFill>
                  <w14:solidFill>
                    <w14:schemeClr w14:val="tx1"/>
                  </w14:solidFill>
                </w14:textFill>
              </w:rPr>
              <w:t>归还投标人（</w:t>
            </w:r>
            <w:r>
              <w:rPr>
                <w:rFonts w:ascii="Tahoma" w:hAnsi="Tahoma" w:cs="Tahoma"/>
                <w:b/>
                <w:color w:val="000000" w:themeColor="text1"/>
                <w:highlight w:val="none"/>
                <w14:textFill>
                  <w14:solidFill>
                    <w14:schemeClr w14:val="tx1"/>
                  </w14:solidFill>
                </w14:textFill>
              </w:rPr>
              <w:t>经评标委员会评审，所提交的资格证件不符合要求或不具备投标资格的其投标无效！</w:t>
            </w:r>
            <w:r>
              <w:rPr>
                <w:rFonts w:ascii="Tahoma" w:hAnsi="Tahoma" w:eastAsia="F4,Bold" w:cs="Tahoma"/>
                <w:b/>
                <w:bCs/>
                <w:color w:val="000000" w:themeColor="text1"/>
                <w:highlight w:val="none"/>
                <w14:textFill>
                  <w14:solidFill>
                    <w14:schemeClr w14:val="tx1"/>
                  </w14:solidFill>
                </w14:textFill>
              </w:rPr>
              <w:t>）</w:t>
            </w:r>
            <w:r>
              <w:rPr>
                <w:rFonts w:ascii="Tahoma" w:hAnsi="Tahoma" w:cs="Tahoma"/>
                <w:color w:val="000000" w:themeColor="text1"/>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00" w:lineRule="atLeast"/>
              <w:ind w:firstLine="105" w:firstLineChars="50"/>
              <w:textAlignment w:val="auto"/>
              <w:rPr>
                <w:rFonts w:ascii="Tahoma" w:hAnsi="Tahoma" w:eastAsia="F4,Bold" w:cs="Tahoma"/>
                <w:bCs/>
                <w:color w:val="000000" w:themeColor="text1"/>
                <w:highlight w:val="none"/>
                <w14:textFill>
                  <w14:solidFill>
                    <w14:schemeClr w14:val="tx1"/>
                  </w14:solidFill>
                </w14:textFill>
              </w:rPr>
            </w:pPr>
            <w:r>
              <w:rPr>
                <w:rFonts w:ascii="Tahoma" w:hAnsi="Tahoma" w:eastAsia="黑体" w:cs="Tahoma"/>
                <w:b/>
                <w:color w:val="000000" w:themeColor="text1"/>
                <w:highlight w:val="none"/>
                <w14:textFill>
                  <w14:solidFill>
                    <w14:schemeClr w14:val="tx1"/>
                  </w14:solidFill>
                </w14:textFill>
              </w:rPr>
              <w:t>（二）开标会：</w:t>
            </w:r>
            <w:r>
              <w:rPr>
                <w:rFonts w:ascii="Tahoma" w:hAnsi="Tahoma" w:cs="Tahoma"/>
                <w:color w:val="000000" w:themeColor="text1"/>
                <w:highlight w:val="none"/>
                <w14:textFill>
                  <w14:solidFill>
                    <w14:schemeClr w14:val="tx1"/>
                  </w14:solidFill>
                </w14:textFill>
              </w:rPr>
              <w:t>投标人出席开标会时，应提交下列有效的资格证件：</w:t>
            </w:r>
          </w:p>
          <w:p>
            <w:pPr>
              <w:keepNext w:val="0"/>
              <w:keepLines w:val="0"/>
              <w:pageBreakBefore w:val="0"/>
              <w:widowControl/>
              <w:kinsoku/>
              <w:wordWrap/>
              <w:overflowPunct/>
              <w:topLinePunct w:val="0"/>
              <w:autoSpaceDE/>
              <w:autoSpaceDN/>
              <w:bidi w:val="0"/>
              <w:adjustRightInd/>
              <w:snapToGrid/>
              <w:spacing w:line="300" w:lineRule="atLeast"/>
              <w:textAlignment w:val="auto"/>
              <w:rPr>
                <w:rFonts w:ascii="Tahoma" w:hAnsi="Tahoma" w:cs="Tahoma"/>
                <w:color w:val="000000" w:themeColor="text1"/>
                <w:highlight w:val="none"/>
                <w14:textFill>
                  <w14:solidFill>
                    <w14:schemeClr w14:val="tx1"/>
                  </w14:solidFill>
                </w14:textFill>
              </w:rPr>
            </w:pPr>
            <w:r>
              <w:rPr>
                <w:rFonts w:ascii="Tahoma" w:hAnsi="Tahoma" w:cs="Tahoma"/>
                <w:color w:val="000000" w:themeColor="text1"/>
                <w:highlight w:val="none"/>
                <w14:textFill>
                  <w14:solidFill>
                    <w14:schemeClr w14:val="tx1"/>
                  </w14:solidFill>
                </w14:textFill>
              </w:rPr>
              <w:t>1、投标企业</w:t>
            </w:r>
            <w:r>
              <w:rPr>
                <w:rFonts w:hint="eastAsia" w:ascii="Tahoma" w:hAnsi="Tahoma" w:cs="Tahoma"/>
                <w:color w:val="000000" w:themeColor="text1"/>
                <w:highlight w:val="none"/>
                <w:lang w:val="en-US" w:eastAsia="zh-CN"/>
                <w14:textFill>
                  <w14:solidFill>
                    <w14:schemeClr w14:val="tx1"/>
                  </w14:solidFill>
                </w14:textFill>
              </w:rPr>
              <w:t>需</w:t>
            </w:r>
            <w:r>
              <w:rPr>
                <w:rFonts w:ascii="Tahoma" w:hAnsi="Tahoma" w:cs="Tahoma"/>
                <w:color w:val="000000" w:themeColor="text1"/>
                <w:highlight w:val="none"/>
                <w14:textFill>
                  <w14:solidFill>
                    <w14:schemeClr w14:val="tx1"/>
                  </w14:solidFill>
                </w14:textFill>
              </w:rPr>
              <w:t>携带有效的的营业执照原件、税务登记证原件、组织机构代码证原件（或三证合一营业执照）；</w:t>
            </w:r>
          </w:p>
          <w:p>
            <w:pPr>
              <w:keepNext w:val="0"/>
              <w:keepLines w:val="0"/>
              <w:pageBreakBefore w:val="0"/>
              <w:widowControl/>
              <w:kinsoku/>
              <w:wordWrap/>
              <w:overflowPunct/>
              <w:topLinePunct w:val="0"/>
              <w:autoSpaceDE/>
              <w:autoSpaceDN/>
              <w:bidi w:val="0"/>
              <w:adjustRightInd/>
              <w:snapToGrid/>
              <w:spacing w:line="300" w:lineRule="atLeast"/>
              <w:textAlignment w:val="auto"/>
              <w:rPr>
                <w:rFonts w:ascii="Tahoma" w:hAnsi="Tahoma" w:cs="Tahoma"/>
                <w:color w:val="000000" w:themeColor="text1"/>
                <w:highlight w:val="none"/>
                <w14:textFill>
                  <w14:solidFill>
                    <w14:schemeClr w14:val="tx1"/>
                  </w14:solidFill>
                </w14:textFill>
              </w:rPr>
            </w:pPr>
            <w:r>
              <w:rPr>
                <w:rFonts w:hint="eastAsia" w:ascii="Tahoma" w:hAnsi="Tahoma" w:cs="Tahoma"/>
                <w:color w:val="000000" w:themeColor="text1"/>
                <w:highlight w:val="none"/>
                <w14:textFill>
                  <w14:solidFill>
                    <w14:schemeClr w14:val="tx1"/>
                  </w14:solidFill>
                </w14:textFill>
              </w:rPr>
              <w:t>2</w:t>
            </w:r>
            <w:r>
              <w:rPr>
                <w:rFonts w:ascii="Tahoma" w:hAnsi="Tahoma" w:cs="Tahoma"/>
                <w:color w:val="000000" w:themeColor="text1"/>
                <w:highlight w:val="none"/>
                <w14:textFill>
                  <w14:solidFill>
                    <w14:schemeClr w14:val="tx1"/>
                  </w14:solidFill>
                </w14:textFill>
              </w:rPr>
              <w:t>、法人</w:t>
            </w:r>
            <w:r>
              <w:rPr>
                <w:rFonts w:hint="eastAsia" w:ascii="Tahoma" w:hAnsi="Tahoma" w:cs="Tahoma"/>
                <w:color w:val="000000" w:themeColor="text1"/>
                <w:highlight w:val="none"/>
                <w:lang w:val="en-US" w:eastAsia="zh-CN"/>
                <w14:textFill>
                  <w14:solidFill>
                    <w14:schemeClr w14:val="tx1"/>
                  </w14:solidFill>
                </w14:textFill>
              </w:rPr>
              <w:t>需</w:t>
            </w:r>
            <w:r>
              <w:rPr>
                <w:rFonts w:ascii="Tahoma" w:hAnsi="Tahoma" w:cs="Tahoma"/>
                <w:color w:val="000000" w:themeColor="text1"/>
                <w:highlight w:val="none"/>
                <w14:textFill>
                  <w14:solidFill>
                    <w14:schemeClr w14:val="tx1"/>
                  </w14:solidFill>
                </w14:textFill>
              </w:rPr>
              <w:t>携带</w:t>
            </w:r>
            <w:r>
              <w:rPr>
                <w:rFonts w:hint="eastAsia" w:ascii="Tahoma" w:hAnsi="Tahoma" w:cs="Tahoma"/>
                <w:color w:val="000000" w:themeColor="text1"/>
                <w:highlight w:val="none"/>
                <w14:textFill>
                  <w14:solidFill>
                    <w14:schemeClr w14:val="tx1"/>
                  </w14:solidFill>
                </w14:textFill>
              </w:rPr>
              <w:t>法人身份证明及身份证</w:t>
            </w:r>
            <w:r>
              <w:rPr>
                <w:rFonts w:ascii="Tahoma" w:hAnsi="Tahoma" w:cs="Tahoma"/>
                <w:color w:val="000000" w:themeColor="text1"/>
                <w:highlight w:val="none"/>
                <w14:textFill>
                  <w14:solidFill>
                    <w14:schemeClr w14:val="tx1"/>
                  </w14:solidFill>
                </w14:textFill>
              </w:rPr>
              <w:t>，</w:t>
            </w:r>
            <w:r>
              <w:rPr>
                <w:rFonts w:hint="eastAsia" w:ascii="Tahoma" w:hAnsi="Tahoma" w:cs="Tahoma"/>
                <w:color w:val="000000" w:themeColor="text1"/>
                <w:highlight w:val="none"/>
                <w14:textFill>
                  <w14:solidFill>
                    <w14:schemeClr w14:val="tx1"/>
                  </w14:solidFill>
                </w14:textFill>
              </w:rPr>
              <w:t>或</w:t>
            </w:r>
            <w:r>
              <w:rPr>
                <w:rFonts w:ascii="Tahoma" w:hAnsi="Tahoma" w:cs="Tahoma"/>
                <w:color w:val="000000" w:themeColor="text1"/>
                <w:highlight w:val="none"/>
                <w14:textFill>
                  <w14:solidFill>
                    <w14:schemeClr w14:val="tx1"/>
                  </w14:solidFill>
                </w14:textFill>
              </w:rPr>
              <w:t>法人委托人</w:t>
            </w:r>
            <w:r>
              <w:rPr>
                <w:rFonts w:hint="eastAsia" w:ascii="Tahoma" w:hAnsi="Tahoma" w:cs="Tahoma"/>
                <w:color w:val="000000" w:themeColor="text1"/>
                <w:highlight w:val="none"/>
                <w:lang w:val="en-US" w:eastAsia="zh-CN"/>
                <w14:textFill>
                  <w14:solidFill>
                    <w14:schemeClr w14:val="tx1"/>
                  </w14:solidFill>
                </w14:textFill>
              </w:rPr>
              <w:t>需</w:t>
            </w:r>
            <w:r>
              <w:rPr>
                <w:rFonts w:ascii="Tahoma" w:hAnsi="Tahoma" w:cs="Tahoma"/>
                <w:color w:val="000000" w:themeColor="text1"/>
                <w:highlight w:val="none"/>
                <w14:textFill>
                  <w14:solidFill>
                    <w14:schemeClr w14:val="tx1"/>
                  </w14:solidFill>
                </w14:textFill>
              </w:rPr>
              <w:t>携带法人代表授权书</w:t>
            </w:r>
            <w:r>
              <w:rPr>
                <w:rFonts w:hint="eastAsia" w:ascii="Tahoma" w:hAnsi="Tahoma" w:cs="Tahoma"/>
                <w:color w:val="000000" w:themeColor="text1"/>
                <w:highlight w:val="none"/>
                <w:lang w:eastAsia="zh-CN"/>
                <w14:textFill>
                  <w14:solidFill>
                    <w14:schemeClr w14:val="tx1"/>
                  </w14:solidFill>
                </w14:textFill>
              </w:rPr>
              <w:t>、</w:t>
            </w:r>
            <w:r>
              <w:rPr>
                <w:rFonts w:ascii="Tahoma" w:hAnsi="Tahoma" w:cs="Tahoma"/>
                <w:color w:val="000000" w:themeColor="text1"/>
                <w:highlight w:val="none"/>
                <w14:textFill>
                  <w14:solidFill>
                    <w14:schemeClr w14:val="tx1"/>
                  </w14:solidFill>
                </w14:textFill>
              </w:rPr>
              <w:t>委托人身份证（授权书需附法人身份证及委托人身份证复印件）</w:t>
            </w:r>
            <w:r>
              <w:rPr>
                <w:rFonts w:hint="eastAsia" w:ascii="Tahoma" w:hAnsi="Tahoma" w:cs="Tahoma"/>
                <w:color w:val="000000" w:themeColor="text1"/>
                <w:highlight w:val="none"/>
                <w:lang w:val="en-US" w:eastAsia="zh-CN"/>
                <w14:textFill>
                  <w14:solidFill>
                    <w14:schemeClr w14:val="tx1"/>
                  </w14:solidFill>
                </w14:textFill>
              </w:rPr>
              <w:t>及委托人2022年3月至5月社保缴纳凭证</w:t>
            </w:r>
            <w:r>
              <w:rPr>
                <w:rFonts w:ascii="Tahoma" w:hAnsi="Tahoma" w:cs="Tahoma"/>
                <w:color w:val="000000" w:themeColor="text1"/>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00" w:lineRule="atLeast"/>
              <w:textAlignment w:val="auto"/>
              <w:rPr>
                <w:rFonts w:hint="eastAsia" w:ascii="Tahoma" w:hAnsi="Tahoma" w:cs="Tahoma"/>
                <w:color w:val="000000" w:themeColor="text1"/>
                <w:highlight w:val="none"/>
                <w14:textFill>
                  <w14:solidFill>
                    <w14:schemeClr w14:val="tx1"/>
                  </w14:solidFill>
                </w14:textFill>
              </w:rPr>
            </w:pPr>
            <w:r>
              <w:rPr>
                <w:rFonts w:hint="eastAsia" w:ascii="Tahoma" w:hAnsi="Tahoma" w:cs="Tahoma"/>
                <w:color w:val="000000" w:themeColor="text1"/>
                <w:highlight w:val="none"/>
                <w14:textFill>
                  <w14:solidFill>
                    <w14:schemeClr w14:val="tx1"/>
                  </w14:solidFill>
                </w14:textFill>
              </w:rPr>
              <w:t>3、供应商</w:t>
            </w:r>
            <w:r>
              <w:rPr>
                <w:rFonts w:hint="eastAsia" w:ascii="Tahoma" w:hAnsi="Tahoma" w:cs="Tahoma"/>
                <w:color w:val="000000" w:themeColor="text1"/>
                <w:highlight w:val="none"/>
                <w:lang w:val="en-US" w:eastAsia="zh-CN"/>
                <w14:textFill>
                  <w14:solidFill>
                    <w14:schemeClr w14:val="tx1"/>
                  </w14:solidFill>
                </w14:textFill>
              </w:rPr>
              <w:t>需提供2021年度财务审计报告（2021年新成立公司提供银行出具资信证明）</w:t>
            </w:r>
            <w:r>
              <w:rPr>
                <w:rFonts w:hint="eastAsia" w:ascii="Tahoma" w:hAnsi="Tahoma" w:cs="Tahoma"/>
                <w:color w:val="000000" w:themeColor="text1"/>
                <w:highlight w:val="none"/>
                <w14:textFill>
                  <w14:solidFill>
                    <w14:schemeClr w14:val="tx1"/>
                  </w14:solidFill>
                </w14:textFill>
              </w:rPr>
              <w:t>及</w:t>
            </w:r>
            <w:r>
              <w:rPr>
                <w:rFonts w:hint="eastAsia" w:ascii="Tahoma" w:hAnsi="Tahoma" w:cs="Tahoma"/>
                <w:color w:val="000000" w:themeColor="text1"/>
                <w:highlight w:val="none"/>
                <w:lang w:val="en-US" w:eastAsia="zh-CN"/>
                <w14:textFill>
                  <w14:solidFill>
                    <w14:schemeClr w14:val="tx1"/>
                  </w14:solidFill>
                </w14:textFill>
              </w:rPr>
              <w:t>近三个月</w:t>
            </w:r>
            <w:r>
              <w:rPr>
                <w:rFonts w:hint="eastAsia" w:ascii="Tahoma" w:hAnsi="Tahoma" w:cs="Tahoma"/>
                <w:color w:val="000000" w:themeColor="text1"/>
                <w:highlight w:val="none"/>
                <w14:textFill>
                  <w14:solidFill>
                    <w14:schemeClr w14:val="tx1"/>
                  </w14:solidFill>
                </w14:textFill>
              </w:rPr>
              <w:t>完税证明；</w:t>
            </w:r>
          </w:p>
          <w:p>
            <w:pPr>
              <w:keepNext w:val="0"/>
              <w:keepLines w:val="0"/>
              <w:pageBreakBefore w:val="0"/>
              <w:widowControl/>
              <w:kinsoku/>
              <w:wordWrap/>
              <w:overflowPunct/>
              <w:topLinePunct w:val="0"/>
              <w:autoSpaceDE/>
              <w:autoSpaceDN/>
              <w:bidi w:val="0"/>
              <w:adjustRightInd/>
              <w:snapToGrid/>
              <w:spacing w:line="300" w:lineRule="atLeast"/>
              <w:textAlignment w:val="auto"/>
              <w:rPr>
                <w:rFonts w:hint="eastAsia" w:ascii="Tahoma" w:hAnsi="Tahoma" w:cs="Tahoma"/>
                <w:color w:val="000000" w:themeColor="text1"/>
                <w:highlight w:val="none"/>
                <w:lang w:val="en-US" w:eastAsia="zh-CN"/>
                <w14:textFill>
                  <w14:solidFill>
                    <w14:schemeClr w14:val="tx1"/>
                  </w14:solidFill>
                </w14:textFill>
              </w:rPr>
            </w:pPr>
            <w:r>
              <w:rPr>
                <w:rFonts w:hint="eastAsia" w:ascii="Tahoma" w:hAnsi="Tahoma" w:cs="Tahoma"/>
                <w:color w:val="000000" w:themeColor="text1"/>
                <w:highlight w:val="none"/>
                <w:lang w:val="en-US" w:eastAsia="zh-CN"/>
                <w14:textFill>
                  <w14:solidFill>
                    <w14:schemeClr w14:val="tx1"/>
                  </w14:solidFill>
                </w14:textFill>
              </w:rPr>
              <w:t>4、提供数字化医院信息平台软件、医院信息集成平台软件、电子病历管理软件原始著作权登记证书（著作权必须在本招标文件发布之前取得，所登记注册的软件名称可以与上述名称略有不同，但必须是功能相同的产品）；</w:t>
            </w:r>
          </w:p>
          <w:p>
            <w:pPr>
              <w:pStyle w:val="2"/>
              <w:rPr>
                <w:rFonts w:hint="default" w:ascii="Tahoma" w:hAnsi="Tahoma" w:eastAsia="宋体" w:cs="Tahoma"/>
                <w:color w:val="000000" w:themeColor="text1"/>
                <w:kern w:val="2"/>
                <w:sz w:val="21"/>
                <w:szCs w:val="24"/>
                <w:highlight w:val="none"/>
                <w:lang w:val="en-US" w:eastAsia="zh-CN" w:bidi="ar-SA"/>
                <w14:textFill>
                  <w14:solidFill>
                    <w14:schemeClr w14:val="tx1"/>
                  </w14:solidFill>
                </w14:textFill>
              </w:rPr>
            </w:pPr>
            <w:r>
              <w:rPr>
                <w:rFonts w:hint="eastAsia" w:ascii="Tahoma" w:hAnsi="Tahoma" w:eastAsia="宋体" w:cs="Tahoma"/>
                <w:color w:val="000000" w:themeColor="text1"/>
                <w:kern w:val="2"/>
                <w:sz w:val="21"/>
                <w:szCs w:val="24"/>
                <w:highlight w:val="none"/>
                <w:lang w:val="en-US" w:eastAsia="zh-CN" w:bidi="ar-SA"/>
                <w14:textFill>
                  <w14:solidFill>
                    <w14:schemeClr w14:val="tx1"/>
                  </w14:solidFill>
                </w14:textFill>
              </w:rPr>
              <w:t>5</w:t>
            </w:r>
            <w:r>
              <w:rPr>
                <w:rFonts w:hint="eastAsia" w:ascii="Tahoma" w:hAnsi="Tahoma" w:cs="Tahoma"/>
                <w:color w:val="000000" w:themeColor="text1"/>
                <w:kern w:val="2"/>
                <w:sz w:val="21"/>
                <w:szCs w:val="24"/>
                <w:highlight w:val="none"/>
                <w:lang w:val="en-US" w:eastAsia="zh-CN" w:bidi="ar-SA"/>
                <w14:textFill>
                  <w14:solidFill>
                    <w14:schemeClr w14:val="tx1"/>
                  </w14:solidFill>
                </w14:textFill>
              </w:rPr>
              <w:t>、提供医院桌面云系统及超融合部分原厂家售后服务承诺书；</w:t>
            </w:r>
          </w:p>
          <w:p>
            <w:pPr>
              <w:pStyle w:val="16"/>
              <w:keepNext w:val="0"/>
              <w:keepLines w:val="0"/>
              <w:pageBreakBefore w:val="0"/>
              <w:widowControl/>
              <w:kinsoku/>
              <w:wordWrap/>
              <w:overflowPunct/>
              <w:topLinePunct w:val="0"/>
              <w:autoSpaceDE/>
              <w:autoSpaceDN/>
              <w:bidi w:val="0"/>
              <w:adjustRightInd/>
              <w:snapToGrid/>
              <w:spacing w:line="300" w:lineRule="atLeast"/>
              <w:textAlignment w:val="auto"/>
              <w:rPr>
                <w:rFonts w:hint="eastAsia" w:ascii="Tahoma" w:hAnsi="Tahoma" w:eastAsia="宋体" w:cs="Tahoma"/>
                <w:color w:val="000000" w:themeColor="text1"/>
                <w:kern w:val="2"/>
                <w:sz w:val="21"/>
                <w:szCs w:val="24"/>
                <w:highlight w:val="none"/>
                <w:lang w:val="en-US" w:eastAsia="zh-CN" w:bidi="ar-SA"/>
                <w14:textFill>
                  <w14:solidFill>
                    <w14:schemeClr w14:val="tx1"/>
                  </w14:solidFill>
                </w14:textFill>
              </w:rPr>
            </w:pPr>
            <w:r>
              <w:rPr>
                <w:rFonts w:hint="eastAsia" w:ascii="Tahoma" w:hAnsi="Tahoma" w:cs="Tahoma"/>
                <w:color w:val="000000" w:themeColor="text1"/>
                <w:kern w:val="2"/>
                <w:sz w:val="21"/>
                <w:szCs w:val="24"/>
                <w:highlight w:val="none"/>
                <w:lang w:val="en-US" w:eastAsia="zh-CN" w:bidi="ar-SA"/>
                <w14:textFill>
                  <w14:solidFill>
                    <w14:schemeClr w14:val="tx1"/>
                  </w14:solidFill>
                </w14:textFill>
              </w:rPr>
              <w:t>6</w:t>
            </w:r>
            <w:r>
              <w:rPr>
                <w:rFonts w:hint="eastAsia" w:ascii="Tahoma" w:hAnsi="Tahoma" w:eastAsia="宋体" w:cs="Tahoma"/>
                <w:color w:val="000000" w:themeColor="text1"/>
                <w:kern w:val="2"/>
                <w:sz w:val="21"/>
                <w:szCs w:val="24"/>
                <w:highlight w:val="none"/>
                <w:lang w:val="en-US" w:eastAsia="zh-CN" w:bidi="ar-SA"/>
                <w14:textFill>
                  <w14:solidFill>
                    <w14:schemeClr w14:val="tx1"/>
                  </w14:solidFill>
                </w14:textFill>
              </w:rPr>
              <w:t>、投标保证金</w:t>
            </w:r>
            <w:r>
              <w:rPr>
                <w:rFonts w:hint="eastAsia" w:ascii="Tahoma" w:hAnsi="Tahoma" w:cs="Tahoma"/>
                <w:color w:val="000000" w:themeColor="text1"/>
                <w:kern w:val="2"/>
                <w:sz w:val="21"/>
                <w:szCs w:val="24"/>
                <w:highlight w:val="none"/>
                <w:lang w:val="en-US" w:eastAsia="zh-CN" w:bidi="ar-SA"/>
                <w14:textFill>
                  <w14:solidFill>
                    <w14:schemeClr w14:val="tx1"/>
                  </w14:solidFill>
                </w14:textFill>
              </w:rPr>
              <w:t>收据。</w:t>
            </w:r>
          </w:p>
          <w:p>
            <w:pPr>
              <w:keepNext w:val="0"/>
              <w:keepLines w:val="0"/>
              <w:pageBreakBefore w:val="0"/>
              <w:widowControl/>
              <w:kinsoku/>
              <w:wordWrap/>
              <w:overflowPunct/>
              <w:topLinePunct w:val="0"/>
              <w:autoSpaceDE/>
              <w:autoSpaceDN/>
              <w:bidi w:val="0"/>
              <w:adjustRightInd/>
              <w:snapToGrid/>
              <w:spacing w:line="300" w:lineRule="atLeast"/>
              <w:textAlignment w:val="auto"/>
              <w:rPr>
                <w:rFonts w:ascii="Tahoma" w:hAnsi="Tahoma" w:eastAsia="黑体" w:cs="Tahoma"/>
                <w:color w:val="000000" w:themeColor="text1"/>
                <w:highlight w:val="none"/>
                <w14:textFill>
                  <w14:solidFill>
                    <w14:schemeClr w14:val="tx1"/>
                  </w14:solidFill>
                </w14:textFill>
              </w:rPr>
            </w:pPr>
            <w:r>
              <w:rPr>
                <w:rFonts w:ascii="Tahoma" w:hAnsi="Tahoma" w:eastAsia="黑体" w:cs="Tahoma"/>
                <w:b/>
                <w:color w:val="000000" w:themeColor="text1"/>
                <w:highlight w:val="none"/>
                <w14:textFill>
                  <w14:solidFill>
                    <w14:schemeClr w14:val="tx1"/>
                  </w14:solidFill>
                </w14:textFill>
              </w:rPr>
              <w:t>（三）特别提示</w:t>
            </w:r>
            <w:r>
              <w:rPr>
                <w:rFonts w:ascii="Tahoma" w:hAnsi="Tahoma" w:cs="Tahoma"/>
                <w:color w:val="000000" w:themeColor="text1"/>
                <w:highlight w:val="none"/>
                <w14:textFill>
                  <w14:solidFill>
                    <w14:schemeClr w14:val="tx1"/>
                  </w14:solidFill>
                </w14:textFill>
              </w:rPr>
              <w:t>：</w:t>
            </w:r>
            <w:r>
              <w:rPr>
                <w:rFonts w:ascii="Tahoma" w:hAnsi="Tahoma" w:cs="Tahoma"/>
                <w:b/>
                <w:color w:val="000000" w:themeColor="text1"/>
                <w:szCs w:val="21"/>
                <w:highlight w:val="none"/>
                <w14:textFill>
                  <w14:solidFill>
                    <w14:schemeClr w14:val="tx1"/>
                  </w14:solidFill>
                </w14:textFill>
              </w:rPr>
              <w:t>以上证件均需提供</w:t>
            </w:r>
            <w:r>
              <w:rPr>
                <w:rFonts w:hint="eastAsia" w:ascii="Tahoma" w:hAnsi="Tahoma" w:cs="Tahoma"/>
                <w:b/>
                <w:color w:val="000000" w:themeColor="text1"/>
                <w:szCs w:val="21"/>
                <w:highlight w:val="none"/>
                <w14:textFill>
                  <w14:solidFill>
                    <w14:schemeClr w14:val="tx1"/>
                  </w14:solidFill>
                </w14:textFill>
              </w:rPr>
              <w:t>原件</w:t>
            </w:r>
            <w:r>
              <w:rPr>
                <w:rFonts w:ascii="Tahoma" w:hAnsi="Tahoma" w:cs="Tahoma"/>
                <w:b/>
                <w:color w:val="000000" w:themeColor="text1"/>
                <w:szCs w:val="21"/>
                <w:highlight w:val="none"/>
                <w14:textFill>
                  <w14:solidFill>
                    <w14:schemeClr w14:val="tx1"/>
                  </w14:solidFill>
                </w14:textFill>
              </w:rPr>
              <w:t>，上述证件的公证件及其他形式，本次招标不予认可。上述证件有效、齐全、满足要求的投标人为有效投标人，</w:t>
            </w:r>
            <w:r>
              <w:rPr>
                <w:rFonts w:ascii="Tahoma" w:hAnsi="Tahoma" w:eastAsia="F4,Bold" w:cs="Tahoma"/>
                <w:b/>
                <w:color w:val="000000" w:themeColor="text1"/>
                <w:highlight w:val="none"/>
                <w14:textFill>
                  <w14:solidFill>
                    <w14:schemeClr w14:val="tx1"/>
                  </w14:solidFill>
                </w14:textFill>
              </w:rPr>
              <w:t>否则其投标将被否决。敬请各供应商注意！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082" w:type="dxa"/>
            <w:vAlign w:val="center"/>
          </w:tcPr>
          <w:p>
            <w:pPr>
              <w:snapToGrid w:val="0"/>
              <w:spacing w:line="240" w:lineRule="exact"/>
              <w:jc w:val="center"/>
              <w:rPr>
                <w:rFonts w:ascii="Tahoma" w:hAnsi="Tahoma" w:eastAsia="华文中宋" w:cs="Tahoma"/>
                <w:color w:val="000000" w:themeColor="text1"/>
                <w:highlight w:val="none"/>
                <w14:textFill>
                  <w14:solidFill>
                    <w14:schemeClr w14:val="tx1"/>
                  </w14:solidFill>
                </w14:textFill>
              </w:rPr>
            </w:pPr>
            <w:r>
              <w:rPr>
                <w:rFonts w:ascii="Tahoma" w:hAnsi="Tahoma" w:eastAsia="华文中宋" w:cs="Tahoma"/>
                <w:color w:val="000000" w:themeColor="text1"/>
                <w:highlight w:val="none"/>
                <w14:textFill>
                  <w14:solidFill>
                    <w14:schemeClr w14:val="tx1"/>
                  </w14:solidFill>
                </w14:textFill>
              </w:rPr>
              <w:t>10.3.</w:t>
            </w:r>
            <w:r>
              <w:rPr>
                <w:rFonts w:hint="eastAsia" w:ascii="Tahoma" w:hAnsi="Tahoma" w:eastAsia="华文中宋" w:cs="Tahoma"/>
                <w:color w:val="000000" w:themeColor="text1"/>
                <w:highlight w:val="none"/>
                <w14:textFill>
                  <w14:solidFill>
                    <w14:schemeClr w14:val="tx1"/>
                  </w14:solidFill>
                </w14:textFill>
              </w:rPr>
              <w:t>1</w:t>
            </w:r>
          </w:p>
        </w:tc>
        <w:tc>
          <w:tcPr>
            <w:tcW w:w="1634" w:type="dxa"/>
            <w:vAlign w:val="center"/>
          </w:tcPr>
          <w:p>
            <w:pPr>
              <w:spacing w:line="240" w:lineRule="exact"/>
              <w:rPr>
                <w:rFonts w:ascii="Tahoma" w:hAnsi="Tahoma" w:cs="Tahoma"/>
                <w:color w:val="000000" w:themeColor="text1"/>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小、微型企业产品价格扣除</w:t>
            </w:r>
          </w:p>
        </w:tc>
        <w:tc>
          <w:tcPr>
            <w:tcW w:w="8203" w:type="dxa"/>
            <w:vAlign w:val="center"/>
          </w:tcPr>
          <w:p>
            <w:pPr>
              <w:keepNext w:val="0"/>
              <w:keepLines w:val="0"/>
              <w:pageBreakBefore w:val="0"/>
              <w:widowControl/>
              <w:kinsoku/>
              <w:wordWrap/>
              <w:overflowPunct/>
              <w:topLinePunct w:val="0"/>
              <w:autoSpaceDE/>
              <w:autoSpaceDN/>
              <w:bidi w:val="0"/>
              <w:adjustRightInd/>
              <w:snapToGrid/>
              <w:spacing w:line="300" w:lineRule="atLeast"/>
              <w:textAlignment w:val="auto"/>
              <w:rPr>
                <w:rFonts w:ascii="Tahoma" w:hAnsi="Tahoma" w:cs="Tahoma"/>
                <w:color w:val="000000" w:themeColor="text1"/>
                <w:highlight w:val="none"/>
                <w14:textFill>
                  <w14:solidFill>
                    <w14:schemeClr w14:val="tx1"/>
                  </w14:solidFill>
                </w14:textFill>
              </w:rPr>
            </w:pPr>
            <w:r>
              <w:rPr>
                <w:rFonts w:hint="eastAsia" w:ascii="Tahoma" w:hAnsi="Tahoma" w:cs="Tahoma"/>
                <w:color w:val="000000" w:themeColor="text1"/>
                <w:highlight w:val="none"/>
                <w14:textFill>
                  <w14:solidFill>
                    <w14:schemeClr w14:val="tx1"/>
                  </w14:solidFill>
                </w14:textFill>
              </w:rPr>
              <w:t>根据《政府采购促进中小企业发展暂行办法》（财库〔2011〕181号）文的有关规定，投标人属于符合本办法第二条之规定的中小企业者，应在投标文件中按财库〔2011〕181号文规定的《中小企业声明函》格式提供《中小企业声明函》（详见：第七章投标文件格式）。根据本办法第五条：“对于非专门面向中小企业的项目，对小型和微型企业产品的价格给予6%～10%的扣除，用扣除后的价格参与评审，具体扣除比例由采购人或者采购代理机构确定”的规定，在评审过程中，将根据采购项目的特性，在6%～10%之间确定给予价格扣除的具体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082" w:type="dxa"/>
            <w:vAlign w:val="center"/>
          </w:tcPr>
          <w:p>
            <w:pPr>
              <w:snapToGrid w:val="0"/>
              <w:spacing w:line="240" w:lineRule="exact"/>
              <w:jc w:val="center"/>
              <w:rPr>
                <w:rFonts w:ascii="Tahoma" w:hAnsi="Tahoma" w:eastAsia="华文中宋" w:cs="Tahoma"/>
                <w:color w:val="000000" w:themeColor="text1"/>
                <w:highlight w:val="none"/>
                <w14:textFill>
                  <w14:solidFill>
                    <w14:schemeClr w14:val="tx1"/>
                  </w14:solidFill>
                </w14:textFill>
              </w:rPr>
            </w:pPr>
            <w:r>
              <w:rPr>
                <w:rFonts w:ascii="Tahoma" w:hAnsi="Tahoma" w:eastAsia="华文中宋" w:cs="Tahoma"/>
                <w:color w:val="000000" w:themeColor="text1"/>
                <w:highlight w:val="none"/>
                <w14:textFill>
                  <w14:solidFill>
                    <w14:schemeClr w14:val="tx1"/>
                  </w14:solidFill>
                </w14:textFill>
              </w:rPr>
              <w:t>10.3.</w:t>
            </w:r>
            <w:r>
              <w:rPr>
                <w:rFonts w:hint="eastAsia" w:ascii="Tahoma" w:hAnsi="Tahoma" w:eastAsia="华文中宋" w:cs="Tahoma"/>
                <w:color w:val="000000" w:themeColor="text1"/>
                <w:highlight w:val="none"/>
                <w14:textFill>
                  <w14:solidFill>
                    <w14:schemeClr w14:val="tx1"/>
                  </w14:solidFill>
                </w14:textFill>
              </w:rPr>
              <w:t>2</w:t>
            </w:r>
          </w:p>
        </w:tc>
        <w:tc>
          <w:tcPr>
            <w:tcW w:w="1634" w:type="dxa"/>
            <w:vAlign w:val="center"/>
          </w:tcPr>
          <w:p>
            <w:pPr>
              <w:spacing w:line="24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通讯联系</w:t>
            </w:r>
          </w:p>
        </w:tc>
        <w:tc>
          <w:tcPr>
            <w:tcW w:w="8203" w:type="dxa"/>
            <w:vAlign w:val="center"/>
          </w:tcPr>
          <w:p>
            <w:pPr>
              <w:keepNext w:val="0"/>
              <w:keepLines w:val="0"/>
              <w:pageBreakBefore w:val="0"/>
              <w:widowControl/>
              <w:kinsoku/>
              <w:wordWrap/>
              <w:overflowPunct/>
              <w:topLinePunct w:val="0"/>
              <w:autoSpaceDE/>
              <w:autoSpaceDN/>
              <w:bidi w:val="0"/>
              <w:adjustRightInd/>
              <w:snapToGrid/>
              <w:spacing w:line="300" w:lineRule="atLeast"/>
              <w:textAlignment w:val="auto"/>
              <w:rPr>
                <w:rFonts w:ascii="Tahoma" w:hAnsi="Tahoma" w:cs="Tahoma"/>
                <w:color w:val="000000" w:themeColor="text1"/>
                <w:highlight w:val="none"/>
                <w14:textFill>
                  <w14:solidFill>
                    <w14:schemeClr w14:val="tx1"/>
                  </w14:solidFill>
                </w14:textFill>
              </w:rPr>
            </w:pPr>
            <w:r>
              <w:rPr>
                <w:rFonts w:ascii="Tahoma" w:hAnsi="Tahoma" w:cs="Tahoma"/>
                <w:color w:val="000000" w:themeColor="text1"/>
                <w:highlight w:val="none"/>
                <w14:textFill>
                  <w14:solidFill>
                    <w14:schemeClr w14:val="tx1"/>
                  </w14:solidFill>
                </w14:textFill>
              </w:rPr>
              <w:t>自获取（购买）招标文件之日起，投标人应确保其提供的联系方式（电话、传真、电子邮件</w:t>
            </w:r>
            <w:r>
              <w:rPr>
                <w:rFonts w:hint="eastAsia" w:ascii="Tahoma" w:hAnsi="Tahoma" w:cs="Tahoma"/>
                <w:color w:val="000000" w:themeColor="text1"/>
                <w:highlight w:val="none"/>
                <w14:textFill>
                  <w14:solidFill>
                    <w14:schemeClr w14:val="tx1"/>
                  </w14:solidFill>
                </w14:textFill>
              </w:rPr>
              <w:t>等</w:t>
            </w:r>
            <w:r>
              <w:rPr>
                <w:rFonts w:ascii="Tahoma" w:hAnsi="Tahoma" w:cs="Tahoma"/>
                <w:color w:val="000000" w:themeColor="text1"/>
                <w:highlight w:val="none"/>
                <w14:textFill>
                  <w14:solidFill>
                    <w14:schemeClr w14:val="tx1"/>
                  </w14:solidFill>
                </w14:textFill>
              </w:rPr>
              <w:t>）一直</w:t>
            </w:r>
            <w:r>
              <w:rPr>
                <w:rFonts w:hint="eastAsia" w:ascii="Tahoma" w:hAnsi="Tahoma" w:cs="Tahoma"/>
                <w:color w:val="000000" w:themeColor="text1"/>
                <w:highlight w:val="none"/>
                <w14:textFill>
                  <w14:solidFill>
                    <w14:schemeClr w14:val="tx1"/>
                  </w14:solidFill>
                </w14:textFill>
              </w:rPr>
              <w:t>保持</w:t>
            </w:r>
            <w:r>
              <w:rPr>
                <w:rFonts w:ascii="Tahoma" w:hAnsi="Tahoma" w:cs="Tahoma"/>
                <w:color w:val="000000" w:themeColor="text1"/>
                <w:highlight w:val="none"/>
                <w14:textFill>
                  <w14:solidFill>
                    <w14:schemeClr w14:val="tx1"/>
                  </w14:solidFill>
                </w14:textFill>
              </w:rPr>
              <w:t>有效和畅通，以保证往来函件（招标文件的澄清、修改等）能及时通知投标人，并能及时反馈信息，否则招标人（或招标代理机构）不承担由此（因投标人提供的联系方式无效或通讯不畅、无法联系等因素）引起的一切后果！</w:t>
            </w:r>
          </w:p>
        </w:tc>
      </w:tr>
    </w:tbl>
    <w:p>
      <w:pPr>
        <w:snapToGrid w:val="0"/>
        <w:spacing w:line="320" w:lineRule="exact"/>
        <w:rPr>
          <w:rFonts w:ascii="Tahoma" w:hAnsi="Tahoma" w:cs="Tahoma"/>
          <w:b/>
          <w:bCs/>
          <w:color w:val="000000" w:themeColor="text1"/>
          <w:sz w:val="24"/>
          <w:highlight w:val="none"/>
          <w14:textFill>
            <w14:solidFill>
              <w14:schemeClr w14:val="tx1"/>
            </w14:solidFill>
          </w14:textFill>
        </w:rPr>
      </w:pPr>
      <w:r>
        <w:rPr>
          <w:rFonts w:ascii="Tahoma" w:hAnsi="Tahoma" w:cs="Tahoma"/>
          <w:b/>
          <w:bCs/>
          <w:color w:val="000000" w:themeColor="text1"/>
          <w:highlight w:val="none"/>
          <w14:textFill>
            <w14:solidFill>
              <w14:schemeClr w14:val="tx1"/>
            </w14:solidFill>
          </w14:textFill>
        </w:rPr>
        <w:t>注：</w:t>
      </w:r>
      <w:r>
        <w:rPr>
          <w:rFonts w:ascii="Tahoma" w:hAnsi="Tahoma" w:cs="Tahoma"/>
          <w:color w:val="000000" w:themeColor="text1"/>
          <w:highlight w:val="none"/>
          <w14:textFill>
            <w14:solidFill>
              <w14:schemeClr w14:val="tx1"/>
            </w14:solidFill>
          </w14:textFill>
        </w:rPr>
        <w:t>本须知前附表的条款号是与《投标人须知》</w:t>
      </w:r>
      <w:r>
        <w:rPr>
          <w:rFonts w:hint="eastAsia" w:ascii="Tahoma" w:hAnsi="Tahoma" w:cs="Tahoma"/>
          <w:color w:val="000000" w:themeColor="text1"/>
          <w:highlight w:val="none"/>
          <w14:textFill>
            <w14:solidFill>
              <w14:schemeClr w14:val="tx1"/>
            </w14:solidFill>
          </w14:textFill>
        </w:rPr>
        <w:t>正文</w:t>
      </w:r>
      <w:r>
        <w:rPr>
          <w:rFonts w:ascii="Tahoma" w:hAnsi="Tahoma" w:cs="Tahoma"/>
          <w:color w:val="000000" w:themeColor="text1"/>
          <w:highlight w:val="none"/>
          <w14:textFill>
            <w14:solidFill>
              <w14:schemeClr w14:val="tx1"/>
            </w14:solidFill>
          </w14:textFill>
        </w:rPr>
        <w:t>中条款的项号相对应的。</w:t>
      </w:r>
      <w:r>
        <w:rPr>
          <w:rFonts w:hint="eastAsia" w:ascii="Tahoma" w:hAnsi="Tahoma" w:cs="Tahoma"/>
          <w:color w:val="000000" w:themeColor="text1"/>
          <w:highlight w:val="none"/>
          <w14:textFill>
            <w14:solidFill>
              <w14:schemeClr w14:val="tx1"/>
            </w14:solidFill>
          </w14:textFill>
        </w:rPr>
        <w:t>“投标人须知前附表”用于进一步明确“投标人须知”正文中的未尽事宜，但须知前附表中的内容与“投标人须知”正文内容相抵触的，抵触内容无效</w:t>
      </w:r>
      <w:r>
        <w:rPr>
          <w:rFonts w:ascii="Tahoma" w:hAnsi="Tahoma" w:cs="Tahoma"/>
          <w:color w:val="000000" w:themeColor="text1"/>
          <w:highlight w:val="none"/>
          <w14:textFill>
            <w14:solidFill>
              <w14:schemeClr w14:val="tx1"/>
            </w14:solidFill>
          </w14:textFill>
        </w:rPr>
        <w:t>。投标人对本招标文件有不明之处，欢迎进行必要的咨询或书面提出澄清。</w:t>
      </w:r>
    </w:p>
    <w:p>
      <w:pPr>
        <w:rPr>
          <w:rFonts w:ascii="Tahoma" w:hAnsi="Tahoma" w:cs="Tahoma"/>
          <w:b/>
          <w:color w:val="000000" w:themeColor="text1"/>
          <w:sz w:val="36"/>
          <w:highlight w:val="none"/>
          <w14:textFill>
            <w14:solidFill>
              <w14:schemeClr w14:val="tx1"/>
            </w14:solidFill>
          </w14:textFill>
        </w:rPr>
        <w:sectPr>
          <w:footerReference r:id="rId5" w:type="default"/>
          <w:pgSz w:w="12240" w:h="15840"/>
          <w:pgMar w:top="1440" w:right="1080" w:bottom="1440" w:left="1080" w:header="720" w:footer="720" w:gutter="0"/>
          <w:pgBorders>
            <w:top w:val="none" w:sz="0" w:space="0"/>
            <w:left w:val="none" w:sz="0" w:space="0"/>
            <w:bottom w:val="none" w:sz="0" w:space="0"/>
            <w:right w:val="none" w:sz="0" w:space="0"/>
          </w:pgBorders>
          <w:pgNumType w:fmt="decimal"/>
          <w:cols w:space="720" w:num="1"/>
          <w:docGrid w:linePitch="323" w:charSpace="0"/>
        </w:sectPr>
      </w:pPr>
    </w:p>
    <w:p>
      <w:pPr>
        <w:spacing w:line="400" w:lineRule="exact"/>
        <w:jc w:val="center"/>
        <w:rPr>
          <w:rFonts w:ascii="Tahoma" w:hAnsi="Tahoma" w:cs="Tahoma"/>
          <w:color w:val="000000" w:themeColor="text1"/>
          <w:sz w:val="24"/>
          <w:highlight w:val="none"/>
          <w14:textFill>
            <w14:solidFill>
              <w14:schemeClr w14:val="tx1"/>
            </w14:solidFill>
          </w14:textFill>
        </w:rPr>
      </w:pPr>
      <w:r>
        <w:rPr>
          <w:rFonts w:ascii="Tahoma" w:hAnsi="Tahoma" w:cs="Tahoma"/>
          <w:b/>
          <w:bCs/>
          <w:color w:val="000000" w:themeColor="text1"/>
          <w:sz w:val="24"/>
          <w:highlight w:val="none"/>
          <w14:textFill>
            <w14:solidFill>
              <w14:schemeClr w14:val="tx1"/>
            </w14:solidFill>
          </w14:textFill>
        </w:rPr>
        <w:t>1</w:t>
      </w:r>
      <w:r>
        <w:rPr>
          <w:rFonts w:ascii="Tahoma" w:hAnsi="Tahoma" w:eastAsia="黑体" w:cs="Tahoma"/>
          <w:b/>
          <w:bCs/>
          <w:color w:val="000000" w:themeColor="text1"/>
          <w:sz w:val="24"/>
          <w:highlight w:val="none"/>
          <w14:textFill>
            <w14:solidFill>
              <w14:schemeClr w14:val="tx1"/>
            </w14:solidFill>
          </w14:textFill>
        </w:rPr>
        <w:t>、总则</w:t>
      </w:r>
    </w:p>
    <w:p>
      <w:pPr>
        <w:spacing w:line="320" w:lineRule="exact"/>
        <w:rPr>
          <w:rFonts w:ascii="Tahoma" w:hAnsi="Tahoma" w:cs="Tahoma"/>
          <w:b/>
          <w:bCs/>
          <w:color w:val="000000" w:themeColor="text1"/>
          <w:szCs w:val="21"/>
          <w:highlight w:val="none"/>
          <w14:textFill>
            <w14:solidFill>
              <w14:schemeClr w14:val="tx1"/>
            </w14:solidFill>
          </w14:textFill>
        </w:rPr>
      </w:pPr>
      <w:r>
        <w:rPr>
          <w:rFonts w:ascii="Tahoma" w:hAnsi="Tahoma" w:cs="Tahoma"/>
          <w:b/>
          <w:bCs/>
          <w:color w:val="000000" w:themeColor="text1"/>
          <w:szCs w:val="21"/>
          <w:highlight w:val="none"/>
          <w14:textFill>
            <w14:solidFill>
              <w14:schemeClr w14:val="tx1"/>
            </w14:solidFill>
          </w14:textFill>
        </w:rPr>
        <w:t>1.1 项目概况</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1.1.1 根据《 中华人民共和国招标投标法》、《中华人民共和国政府采购法》等有关法律、法规和规章的规定，本招标项目已具备招标条件，现对本项目进行招标。</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1.1.2 本招标项目招标人：见投标人须知前附表。</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1.1.3 本标段招标代理机构：见投标人须知前附表。</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1.1.4 本招标项目名称：见投标人须知前附表。</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1.1.5 适用范围：本招标文件仅适用于招标文件中所叙述项目的招标。</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1.1.6 本招标项目的资金来源：见投标人须知前附表。</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1.1.7 本招标项目的资金落实情况：见投标人须知前附表。</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bCs/>
          <w:color w:val="000000" w:themeColor="text1"/>
          <w:szCs w:val="21"/>
          <w:highlight w:val="none"/>
          <w14:textFill>
            <w14:solidFill>
              <w14:schemeClr w14:val="tx1"/>
            </w14:solidFill>
          </w14:textFill>
        </w:rPr>
        <w:t>1.2. 定义</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1.2.1 </w:t>
      </w:r>
      <w:r>
        <w:rPr>
          <w:rFonts w:ascii="宋体" w:hAnsi="宋体" w:cs="Tahoma"/>
          <w:color w:val="000000" w:themeColor="text1"/>
          <w:szCs w:val="21"/>
          <w:highlight w:val="none"/>
          <w14:textFill>
            <w14:solidFill>
              <w14:schemeClr w14:val="tx1"/>
            </w14:solidFill>
          </w14:textFill>
        </w:rPr>
        <w:t>“招标代理人”系指组织本次</w:t>
      </w:r>
      <w:r>
        <w:rPr>
          <w:rFonts w:ascii="Tahoma" w:hAnsi="Tahoma" w:cs="Tahoma"/>
          <w:color w:val="000000" w:themeColor="text1"/>
          <w:szCs w:val="21"/>
          <w:highlight w:val="none"/>
          <w14:textFill>
            <w14:solidFill>
              <w14:schemeClr w14:val="tx1"/>
            </w14:solidFill>
          </w14:textFill>
        </w:rPr>
        <w:t>招标活动的招标代理机构。</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1.2.2</w:t>
      </w:r>
      <w:r>
        <w:rPr>
          <w:rFonts w:ascii="宋体" w:hAnsi="宋体" w:cs="Tahoma"/>
          <w:color w:val="000000" w:themeColor="text1"/>
          <w:szCs w:val="21"/>
          <w:highlight w:val="none"/>
          <w14:textFill>
            <w14:solidFill>
              <w14:schemeClr w14:val="tx1"/>
            </w14:solidFill>
          </w14:textFill>
        </w:rPr>
        <w:t xml:space="preserve"> “招标人”系</w:t>
      </w:r>
      <w:r>
        <w:rPr>
          <w:rFonts w:ascii="Tahoma" w:hAnsi="Tahoma" w:cs="Tahoma"/>
          <w:color w:val="000000" w:themeColor="text1"/>
          <w:szCs w:val="21"/>
          <w:highlight w:val="none"/>
          <w14:textFill>
            <w14:solidFill>
              <w14:schemeClr w14:val="tx1"/>
            </w14:solidFill>
          </w14:textFill>
        </w:rPr>
        <w:t>指</w:t>
      </w:r>
      <w:r>
        <w:rPr>
          <w:rFonts w:hint="eastAsia" w:ascii="Tahoma" w:hAnsi="Tahoma" w:cs="Tahoma"/>
          <w:color w:val="000000" w:themeColor="text1"/>
          <w:szCs w:val="21"/>
          <w:highlight w:val="none"/>
          <w14:textFill>
            <w14:solidFill>
              <w14:schemeClr w14:val="tx1"/>
            </w14:solidFill>
          </w14:textFill>
        </w:rPr>
        <w:t>：</w:t>
      </w:r>
      <w:r>
        <w:rPr>
          <w:rFonts w:hint="eastAsia" w:ascii="Tahoma" w:hAnsi="Tahoma" w:cs="Tahoma"/>
          <w:b/>
          <w:color w:val="000000" w:themeColor="text1"/>
          <w:szCs w:val="21"/>
          <w:highlight w:val="none"/>
          <w14:textFill>
            <w14:solidFill>
              <w14:schemeClr w14:val="tx1"/>
            </w14:solidFill>
          </w14:textFill>
        </w:rPr>
        <w:t>和田县人民医院</w:t>
      </w:r>
      <w:r>
        <w:rPr>
          <w:rFonts w:ascii="Tahoma" w:hAnsi="Tahoma" w:cs="Tahoma"/>
          <w:color w:val="000000" w:themeColor="text1"/>
          <w:szCs w:val="21"/>
          <w:highlight w:val="none"/>
          <w14:textFill>
            <w14:solidFill>
              <w14:schemeClr w14:val="tx1"/>
            </w14:solidFill>
          </w14:textFill>
        </w:rPr>
        <w:t>。</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1.2.3 </w:t>
      </w:r>
      <w:r>
        <w:rPr>
          <w:rFonts w:ascii="宋体" w:hAnsi="宋体" w:cs="Tahoma"/>
          <w:color w:val="000000" w:themeColor="text1"/>
          <w:szCs w:val="21"/>
          <w:highlight w:val="none"/>
          <w14:textFill>
            <w14:solidFill>
              <w14:schemeClr w14:val="tx1"/>
            </w14:solidFill>
          </w14:textFill>
        </w:rPr>
        <w:t>“潜在投标人”系</w:t>
      </w:r>
      <w:r>
        <w:rPr>
          <w:rFonts w:ascii="Tahoma" w:hAnsi="Tahoma" w:cs="Tahoma"/>
          <w:color w:val="000000" w:themeColor="text1"/>
          <w:szCs w:val="21"/>
          <w:highlight w:val="none"/>
          <w14:textFill>
            <w14:solidFill>
              <w14:schemeClr w14:val="tx1"/>
            </w14:solidFill>
          </w14:textFill>
        </w:rPr>
        <w:t>指购买了本招标文件的投标人。</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1.2.4</w:t>
      </w:r>
      <w:r>
        <w:rPr>
          <w:rFonts w:ascii="宋体" w:hAnsi="宋体" w:cs="Tahoma"/>
          <w:color w:val="000000" w:themeColor="text1"/>
          <w:szCs w:val="21"/>
          <w:highlight w:val="none"/>
          <w14:textFill>
            <w14:solidFill>
              <w14:schemeClr w14:val="tx1"/>
            </w14:solidFill>
          </w14:textFill>
        </w:rPr>
        <w:t xml:space="preserve"> “投标人”系指</w:t>
      </w:r>
      <w:r>
        <w:rPr>
          <w:rFonts w:ascii="Tahoma" w:hAnsi="Tahoma" w:cs="Tahoma"/>
          <w:color w:val="000000" w:themeColor="text1"/>
          <w:szCs w:val="21"/>
          <w:highlight w:val="none"/>
          <w14:textFill>
            <w14:solidFill>
              <w14:schemeClr w14:val="tx1"/>
            </w14:solidFill>
          </w14:textFill>
        </w:rPr>
        <w:t>购买了本招标文件，且已经提交本次投标文件的投标人。</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1.2.5 </w:t>
      </w:r>
      <w:r>
        <w:rPr>
          <w:rFonts w:ascii="宋体" w:hAnsi="宋体" w:cs="Tahoma"/>
          <w:color w:val="000000" w:themeColor="text1"/>
          <w:szCs w:val="21"/>
          <w:highlight w:val="none"/>
          <w14:textFill>
            <w14:solidFill>
              <w14:schemeClr w14:val="tx1"/>
            </w14:solidFill>
          </w14:textFill>
        </w:rPr>
        <w:t>“</w:t>
      </w:r>
      <w:r>
        <w:rPr>
          <w:rFonts w:hint="eastAsia" w:ascii="宋体" w:hAnsi="宋体" w:cs="Tahoma"/>
          <w:color w:val="000000" w:themeColor="text1"/>
          <w:szCs w:val="21"/>
          <w:highlight w:val="none"/>
          <w14:textFill>
            <w14:solidFill>
              <w14:schemeClr w14:val="tx1"/>
            </w14:solidFill>
          </w14:textFill>
        </w:rPr>
        <w:t>货物或</w:t>
      </w:r>
      <w:r>
        <w:rPr>
          <w:rFonts w:ascii="宋体" w:hAnsi="宋体" w:cs="Tahoma"/>
          <w:color w:val="000000" w:themeColor="text1"/>
          <w:szCs w:val="21"/>
          <w:highlight w:val="none"/>
          <w14:textFill>
            <w14:solidFill>
              <w14:schemeClr w14:val="tx1"/>
            </w14:solidFill>
          </w14:textFill>
        </w:rPr>
        <w:t>产品”系</w:t>
      </w:r>
      <w:r>
        <w:rPr>
          <w:rFonts w:ascii="Tahoma" w:hAnsi="Tahoma" w:cs="Tahoma"/>
          <w:color w:val="000000" w:themeColor="text1"/>
          <w:szCs w:val="21"/>
          <w:highlight w:val="none"/>
          <w14:textFill>
            <w14:solidFill>
              <w14:schemeClr w14:val="tx1"/>
            </w14:solidFill>
          </w14:textFill>
        </w:rPr>
        <w:t>指供方按招标文件规定，须向采购人提供的一切货物、保险、税金、备品备件、工具、手册及其它有关技术资料和材料。</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1.2.6 </w:t>
      </w:r>
      <w:r>
        <w:rPr>
          <w:rFonts w:ascii="宋体" w:hAnsi="宋体" w:cs="Tahoma"/>
          <w:color w:val="000000" w:themeColor="text1"/>
          <w:szCs w:val="21"/>
          <w:highlight w:val="none"/>
          <w14:textFill>
            <w14:solidFill>
              <w14:schemeClr w14:val="tx1"/>
            </w14:solidFill>
          </w14:textFill>
        </w:rPr>
        <w:t>“服务”系</w:t>
      </w:r>
      <w:r>
        <w:rPr>
          <w:rFonts w:ascii="Tahoma" w:hAnsi="Tahoma" w:cs="Tahoma"/>
          <w:color w:val="000000" w:themeColor="text1"/>
          <w:szCs w:val="21"/>
          <w:highlight w:val="none"/>
          <w14:textFill>
            <w14:solidFill>
              <w14:schemeClr w14:val="tx1"/>
            </w14:solidFill>
          </w14:textFill>
        </w:rPr>
        <w:t>指招标文件规定投标人须承担的</w:t>
      </w:r>
      <w:r>
        <w:rPr>
          <w:rFonts w:hint="eastAsia" w:ascii="Tahoma" w:hAnsi="Tahoma" w:cs="Tahoma"/>
          <w:color w:val="000000" w:themeColor="text1"/>
          <w:szCs w:val="21"/>
          <w:highlight w:val="none"/>
          <w14:textFill>
            <w14:solidFill>
              <w14:schemeClr w14:val="tx1"/>
            </w14:solidFill>
          </w14:textFill>
        </w:rPr>
        <w:t>供应、运输、装卸、配送、保修、</w:t>
      </w:r>
      <w:r>
        <w:rPr>
          <w:rFonts w:ascii="Tahoma" w:hAnsi="Tahoma" w:cs="Tahoma"/>
          <w:color w:val="000000" w:themeColor="text1"/>
          <w:szCs w:val="21"/>
          <w:highlight w:val="none"/>
          <w14:textFill>
            <w14:solidFill>
              <w14:schemeClr w14:val="tx1"/>
            </w14:solidFill>
          </w14:textFill>
        </w:rPr>
        <w:t>提供售后服务以及其他类似的义务。</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bCs/>
          <w:color w:val="000000" w:themeColor="text1"/>
          <w:szCs w:val="21"/>
          <w:highlight w:val="none"/>
          <w14:textFill>
            <w14:solidFill>
              <w14:schemeClr w14:val="tx1"/>
            </w14:solidFill>
          </w14:textFill>
        </w:rPr>
        <w:t>1.3. 合格的投标人</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1.3.1符合第二章投标人须知前附表中资格要求中的各条要求。</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1.3.2 投标人应依法纳税及缴纳社会保障金。</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1.3.3投标人应遵守中国的有关法律、法规和规章的规定。</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1.3.4一个投标人只能提交一个投标文件。但如果投标人之间存在下列互为关联关系的情形之一的，不得同时参加本项目投标：</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 法定代表人为同一人的两个及两个以上法人；</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（2） 母公司、直接或间接持股50％及以上的被投资公司;</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（3） 均为同一家母公司直接或间接持股50％及以上的被投资公司。</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1.3.5 投标人不得与本次招标项下设计、编制技术规格和其它文件的公司或提供咨询服务的公司包括其附属机构有任何关联。 </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1.3.6 </w:t>
      </w:r>
      <w:r>
        <w:rPr>
          <w:rFonts w:ascii="Tahoma" w:hAnsi="Tahoma" w:cs="Tahoma"/>
          <w:color w:val="000000" w:themeColor="text1"/>
          <w:kern w:val="0"/>
          <w:szCs w:val="21"/>
          <w:highlight w:val="none"/>
          <w14:textFill>
            <w14:solidFill>
              <w14:schemeClr w14:val="tx1"/>
            </w14:solidFill>
          </w14:textFill>
        </w:rPr>
        <w:t>本次开标允许联合体投标</w:t>
      </w:r>
      <w:r>
        <w:rPr>
          <w:rFonts w:ascii="Tahoma" w:hAnsi="Tahoma" w:cs="Tahoma"/>
          <w:color w:val="000000" w:themeColor="text1"/>
          <w:szCs w:val="21"/>
          <w:highlight w:val="none"/>
          <w14:textFill>
            <w14:solidFill>
              <w14:schemeClr w14:val="tx1"/>
            </w14:solidFill>
          </w14:textFill>
        </w:rPr>
        <w:t>。</w:t>
      </w:r>
    </w:p>
    <w:p>
      <w:pPr>
        <w:spacing w:line="320" w:lineRule="exact"/>
        <w:rPr>
          <w:rFonts w:ascii="Tahoma" w:hAnsi="Tahoma" w:cs="Tahoma"/>
          <w:b/>
          <w:bCs/>
          <w:color w:val="000000" w:themeColor="text1"/>
          <w:szCs w:val="21"/>
          <w:highlight w:val="none"/>
          <w14:textFill>
            <w14:solidFill>
              <w14:schemeClr w14:val="tx1"/>
            </w14:solidFill>
          </w14:textFill>
        </w:rPr>
      </w:pPr>
      <w:r>
        <w:rPr>
          <w:rFonts w:ascii="Tahoma" w:hAnsi="Tahoma" w:cs="Tahoma"/>
          <w:b/>
          <w:bCs/>
          <w:color w:val="000000" w:themeColor="text1"/>
          <w:szCs w:val="21"/>
          <w:highlight w:val="none"/>
          <w14:textFill>
            <w14:solidFill>
              <w14:schemeClr w14:val="tx1"/>
            </w14:solidFill>
          </w14:textFill>
        </w:rPr>
        <w:t>1.4联合体</w:t>
      </w:r>
    </w:p>
    <w:p>
      <w:pPr>
        <w:spacing w:line="320" w:lineRule="exact"/>
        <w:rPr>
          <w:rFonts w:ascii="Tahoma" w:hAnsi="Tahoma" w:cs="Tahoma"/>
          <w:bCs/>
          <w:color w:val="000000" w:themeColor="text1"/>
          <w:szCs w:val="21"/>
          <w:highlight w:val="none"/>
          <w14:textFill>
            <w14:solidFill>
              <w14:schemeClr w14:val="tx1"/>
            </w14:solidFill>
          </w14:textFill>
        </w:rPr>
      </w:pPr>
      <w:r>
        <w:rPr>
          <w:rFonts w:ascii="Tahoma" w:hAnsi="Tahoma" w:cs="Tahoma"/>
          <w:bCs/>
          <w:color w:val="000000" w:themeColor="text1"/>
          <w:szCs w:val="21"/>
          <w:highlight w:val="none"/>
          <w14:textFill>
            <w14:solidFill>
              <w14:schemeClr w14:val="tx1"/>
            </w14:solidFill>
          </w14:textFill>
        </w:rPr>
        <w:t>1.4.1投标人须知前附表规定接受联合体的，除应符合本章第1.</w:t>
      </w:r>
      <w:r>
        <w:rPr>
          <w:rFonts w:hint="eastAsia" w:ascii="Tahoma" w:hAnsi="Tahoma" w:cs="Tahoma"/>
          <w:bCs/>
          <w:color w:val="000000" w:themeColor="text1"/>
          <w:szCs w:val="21"/>
          <w:highlight w:val="none"/>
          <w14:textFill>
            <w14:solidFill>
              <w14:schemeClr w14:val="tx1"/>
            </w14:solidFill>
          </w14:textFill>
        </w:rPr>
        <w:t>2</w:t>
      </w:r>
      <w:r>
        <w:rPr>
          <w:rFonts w:ascii="Tahoma" w:hAnsi="Tahoma" w:cs="Tahoma"/>
          <w:bCs/>
          <w:color w:val="000000" w:themeColor="text1"/>
          <w:szCs w:val="21"/>
          <w:highlight w:val="none"/>
          <w14:textFill>
            <w14:solidFill>
              <w14:schemeClr w14:val="tx1"/>
            </w14:solidFill>
          </w14:textFill>
        </w:rPr>
        <w:t xml:space="preserve">项和投标人须知前附表的要求外，还应遵守以下规定： </w:t>
      </w:r>
    </w:p>
    <w:p>
      <w:pPr>
        <w:spacing w:line="320" w:lineRule="exact"/>
        <w:ind w:firstLine="105" w:firstLineChars="50"/>
        <w:rPr>
          <w:rFonts w:ascii="Tahoma" w:hAnsi="Tahoma" w:cs="Tahoma"/>
          <w:bCs/>
          <w:color w:val="000000" w:themeColor="text1"/>
          <w:szCs w:val="21"/>
          <w:highlight w:val="none"/>
          <w14:textFill>
            <w14:solidFill>
              <w14:schemeClr w14:val="tx1"/>
            </w14:solidFill>
          </w14:textFill>
        </w:rPr>
      </w:pPr>
      <w:r>
        <w:rPr>
          <w:rFonts w:ascii="Tahoma" w:hAnsi="Tahoma" w:cs="Tahoma"/>
          <w:bCs/>
          <w:color w:val="000000" w:themeColor="text1"/>
          <w:szCs w:val="21"/>
          <w:highlight w:val="none"/>
          <w14:textFill>
            <w14:solidFill>
              <w14:schemeClr w14:val="tx1"/>
            </w14:solidFill>
          </w14:textFill>
        </w:rPr>
        <w:t>（1）两个以上的自然人、法人或者其他组织可以组成一个联合体，以一个投标人的身份共同参加政府采购。</w:t>
      </w:r>
    </w:p>
    <w:p>
      <w:pPr>
        <w:spacing w:line="320" w:lineRule="exact"/>
        <w:ind w:firstLine="105" w:firstLineChars="50"/>
        <w:rPr>
          <w:rFonts w:ascii="Tahoma" w:hAnsi="Tahoma" w:cs="Tahoma"/>
          <w:bCs/>
          <w:color w:val="000000" w:themeColor="text1"/>
          <w:szCs w:val="21"/>
          <w:highlight w:val="none"/>
          <w14:textFill>
            <w14:solidFill>
              <w14:schemeClr w14:val="tx1"/>
            </w14:solidFill>
          </w14:textFill>
        </w:rPr>
      </w:pPr>
      <w:r>
        <w:rPr>
          <w:rFonts w:hint="eastAsia" w:ascii="Tahoma" w:hAnsi="Tahoma" w:cs="Tahoma"/>
          <w:bCs/>
          <w:color w:val="000000" w:themeColor="text1"/>
          <w:szCs w:val="21"/>
          <w:highlight w:val="none"/>
          <w14:textFill>
            <w14:solidFill>
              <w14:schemeClr w14:val="tx1"/>
            </w14:solidFill>
          </w14:textFill>
        </w:rPr>
        <w:t>（2）以联合体形式参加政府采购的，参加联合体的投标人均应当具备《政府采购法》第二十二条规定</w:t>
      </w:r>
    </w:p>
    <w:p>
      <w:pPr>
        <w:spacing w:line="320" w:lineRule="exact"/>
        <w:rPr>
          <w:rFonts w:ascii="Tahoma" w:hAnsi="Tahoma" w:cs="Tahoma"/>
          <w:bCs/>
          <w:color w:val="000000" w:themeColor="text1"/>
          <w:szCs w:val="21"/>
          <w:highlight w:val="none"/>
          <w14:textFill>
            <w14:solidFill>
              <w14:schemeClr w14:val="tx1"/>
            </w14:solidFill>
          </w14:textFill>
        </w:rPr>
      </w:pPr>
      <w:r>
        <w:rPr>
          <w:rFonts w:ascii="Tahoma" w:hAnsi="Tahoma" w:cs="Tahoma"/>
          <w:bCs/>
          <w:color w:val="000000" w:themeColor="text1"/>
          <w:szCs w:val="21"/>
          <w:highlight w:val="none"/>
          <w14:textFill>
            <w14:solidFill>
              <w14:schemeClr w14:val="tx1"/>
            </w14:solidFill>
          </w14:textFill>
        </w:rPr>
        <w:t>的条件，并应当向采购人提交联合协议，载明联合体各方承担的工作和义务。联合体各方应当共同与采购人签订采购合同，就采购合同约定的事项对采购人承担连带责任。</w:t>
      </w:r>
    </w:p>
    <w:p>
      <w:pPr>
        <w:spacing w:line="320" w:lineRule="exact"/>
        <w:rPr>
          <w:rFonts w:ascii="Tahoma" w:hAnsi="Tahoma" w:cs="Tahoma"/>
          <w:bCs/>
          <w:color w:val="000000" w:themeColor="text1"/>
          <w:szCs w:val="21"/>
          <w:highlight w:val="none"/>
          <w14:textFill>
            <w14:solidFill>
              <w14:schemeClr w14:val="tx1"/>
            </w14:solidFill>
          </w14:textFill>
        </w:rPr>
      </w:pPr>
      <w:r>
        <w:rPr>
          <w:rFonts w:ascii="Tahoma" w:hAnsi="Tahoma" w:cs="Tahoma"/>
          <w:bCs/>
          <w:color w:val="000000" w:themeColor="text1"/>
          <w:szCs w:val="21"/>
          <w:highlight w:val="none"/>
          <w14:textFill>
            <w14:solidFill>
              <w14:schemeClr w14:val="tx1"/>
            </w14:solidFill>
          </w14:textFill>
        </w:rPr>
        <w:t>1.4.2联合体中有同类资质的投标人按照联合体分工承担相同工作的，应当按照资质等级较低的供应商确定资质等级。</w:t>
      </w:r>
    </w:p>
    <w:p>
      <w:pPr>
        <w:spacing w:line="320" w:lineRule="exact"/>
        <w:rPr>
          <w:rFonts w:ascii="Tahoma" w:hAnsi="Tahoma" w:cs="Tahoma"/>
          <w:bCs/>
          <w:color w:val="000000" w:themeColor="text1"/>
          <w:szCs w:val="21"/>
          <w:highlight w:val="none"/>
          <w14:textFill>
            <w14:solidFill>
              <w14:schemeClr w14:val="tx1"/>
            </w14:solidFill>
          </w14:textFill>
        </w:rPr>
      </w:pPr>
      <w:r>
        <w:rPr>
          <w:rFonts w:ascii="Tahoma" w:hAnsi="Tahoma" w:cs="Tahoma"/>
          <w:bCs/>
          <w:color w:val="000000" w:themeColor="text1"/>
          <w:szCs w:val="21"/>
          <w:highlight w:val="none"/>
          <w14:textFill>
            <w14:solidFill>
              <w14:schemeClr w14:val="tx1"/>
            </w14:solidFill>
          </w14:textFill>
        </w:rPr>
        <w:t>1.4.3以联合体形式参加政府采购活动的，联合体各方不得再单独参加或者与其他供应商另外组成联合体参加同一合同项下的政府采购活动。</w:t>
      </w:r>
    </w:p>
    <w:p>
      <w:pPr>
        <w:spacing w:line="320" w:lineRule="exact"/>
        <w:rPr>
          <w:rFonts w:ascii="Tahoma" w:hAnsi="Tahoma" w:cs="Tahoma"/>
          <w:bCs/>
          <w:color w:val="000000" w:themeColor="text1"/>
          <w:szCs w:val="21"/>
          <w:highlight w:val="none"/>
          <w14:textFill>
            <w14:solidFill>
              <w14:schemeClr w14:val="tx1"/>
            </w14:solidFill>
          </w14:textFill>
        </w:rPr>
      </w:pPr>
      <w:r>
        <w:rPr>
          <w:rFonts w:hint="eastAsia" w:ascii="Tahoma" w:hAnsi="Tahoma" w:cs="Tahoma"/>
          <w:bCs/>
          <w:color w:val="000000" w:themeColor="text1"/>
          <w:szCs w:val="21"/>
          <w:highlight w:val="none"/>
          <w14:textFill>
            <w14:solidFill>
              <w14:schemeClr w14:val="tx1"/>
            </w14:solidFill>
          </w14:textFill>
        </w:rPr>
        <w:t>1</w:t>
      </w:r>
      <w:r>
        <w:rPr>
          <w:rFonts w:ascii="Tahoma" w:hAnsi="Tahoma" w:cs="Tahoma"/>
          <w:bCs/>
          <w:color w:val="000000" w:themeColor="text1"/>
          <w:szCs w:val="21"/>
          <w:highlight w:val="none"/>
          <w14:textFill>
            <w14:solidFill>
              <w14:schemeClr w14:val="tx1"/>
            </w14:solidFill>
          </w14:textFill>
        </w:rPr>
        <w:t>.4.4</w:t>
      </w:r>
      <w:r>
        <w:rPr>
          <w:rFonts w:hint="eastAsia" w:ascii="Tahoma" w:hAnsi="Tahoma" w:cs="Tahoma"/>
          <w:bCs/>
          <w:color w:val="000000" w:themeColor="text1"/>
          <w:szCs w:val="21"/>
          <w:highlight w:val="none"/>
          <w14:textFill>
            <w14:solidFill>
              <w14:schemeClr w14:val="tx1"/>
            </w14:solidFill>
          </w14:textFill>
        </w:rPr>
        <w:t>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w:t>
      </w:r>
    </w:p>
    <w:p>
      <w:pPr>
        <w:spacing w:line="320" w:lineRule="exact"/>
        <w:rPr>
          <w:rFonts w:ascii="Tahoma" w:hAnsi="Tahoma" w:cs="Tahoma"/>
          <w:bCs/>
          <w:color w:val="000000" w:themeColor="text1"/>
          <w:szCs w:val="21"/>
          <w:highlight w:val="none"/>
          <w14:textFill>
            <w14:solidFill>
              <w14:schemeClr w14:val="tx1"/>
            </w14:solidFill>
          </w14:textFill>
        </w:rPr>
      </w:pPr>
      <w:r>
        <w:rPr>
          <w:rFonts w:hint="eastAsia" w:ascii="Tahoma" w:hAnsi="Tahoma" w:cs="Tahoma"/>
          <w:bCs/>
          <w:color w:val="000000" w:themeColor="text1"/>
          <w:szCs w:val="21"/>
          <w:highlight w:val="none"/>
          <w14:textFill>
            <w14:solidFill>
              <w14:schemeClr w14:val="tx1"/>
            </w14:solidFill>
          </w14:textFill>
        </w:rPr>
        <w:t>　　联合体各方均为小型、微型企业的，联合体视同为小型、微型企业。对小型和微型企业产品的价格给予6%～10%的扣除，用扣除后的价格参与评审，具体扣除比例由采购人或者采购代理机构确定，在评审过程中，将根据采购项目的特性，在6%～10%之间确定给予价格扣除的具体百分值。但组成联合体的大中型企业和其他自然人、法人或者其他组织，与小型、微型企业之间不得存在投资关系。</w:t>
      </w:r>
    </w:p>
    <w:p>
      <w:pPr>
        <w:spacing w:line="320" w:lineRule="exact"/>
        <w:rPr>
          <w:rFonts w:ascii="Tahoma" w:hAnsi="Tahoma" w:cs="Tahoma"/>
          <w:b/>
          <w:bCs/>
          <w:color w:val="000000" w:themeColor="text1"/>
          <w:szCs w:val="21"/>
          <w:highlight w:val="none"/>
          <w14:textFill>
            <w14:solidFill>
              <w14:schemeClr w14:val="tx1"/>
            </w14:solidFill>
          </w14:textFill>
        </w:rPr>
      </w:pPr>
      <w:r>
        <w:rPr>
          <w:rFonts w:ascii="Tahoma" w:hAnsi="Tahoma" w:cs="Tahoma"/>
          <w:b/>
          <w:bCs/>
          <w:color w:val="000000" w:themeColor="text1"/>
          <w:szCs w:val="21"/>
          <w:highlight w:val="none"/>
          <w14:textFill>
            <w14:solidFill>
              <w14:schemeClr w14:val="tx1"/>
            </w14:solidFill>
          </w14:textFill>
        </w:rPr>
        <w:t>1.5. 投标费用</w:t>
      </w:r>
    </w:p>
    <w:p>
      <w:pPr>
        <w:spacing w:line="320" w:lineRule="exact"/>
        <w:rPr>
          <w:rFonts w:ascii="Tahoma" w:hAnsi="Tahoma" w:cs="Tahoma"/>
          <w:color w:val="000000" w:themeColor="text1"/>
          <w:kern w:val="0"/>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1.5.1 </w:t>
      </w:r>
      <w:r>
        <w:rPr>
          <w:rFonts w:ascii="Tahoma" w:hAnsi="Tahoma" w:cs="Tahoma"/>
          <w:color w:val="000000" w:themeColor="text1"/>
          <w:kern w:val="0"/>
          <w:szCs w:val="21"/>
          <w:highlight w:val="none"/>
          <w14:textFill>
            <w14:solidFill>
              <w14:schemeClr w14:val="tx1"/>
            </w14:solidFill>
          </w14:textFill>
        </w:rPr>
        <w:t>投标人准备和参加投标活动所发生的一切费用（包括招标文件购买、代理服务费等）均由投标人自理。</w:t>
      </w:r>
    </w:p>
    <w:p>
      <w:pPr>
        <w:spacing w:line="320" w:lineRule="exact"/>
        <w:rPr>
          <w:rFonts w:ascii="Tahoma" w:hAnsi="Tahoma" w:cs="Tahoma"/>
          <w:b/>
          <w:bCs/>
          <w:color w:val="000000" w:themeColor="text1"/>
          <w:szCs w:val="21"/>
          <w:highlight w:val="none"/>
          <w14:textFill>
            <w14:solidFill>
              <w14:schemeClr w14:val="tx1"/>
            </w14:solidFill>
          </w14:textFill>
        </w:rPr>
      </w:pPr>
      <w:bookmarkStart w:id="2" w:name="_Toc152045539"/>
      <w:bookmarkStart w:id="3" w:name="_Toc144974507"/>
      <w:bookmarkStart w:id="4" w:name="_Toc179632556"/>
      <w:bookmarkStart w:id="5" w:name="_Toc152042315"/>
      <w:r>
        <w:rPr>
          <w:rFonts w:ascii="Tahoma" w:hAnsi="Tahoma" w:cs="Tahoma"/>
          <w:b/>
          <w:bCs/>
          <w:color w:val="000000" w:themeColor="text1"/>
          <w:szCs w:val="21"/>
          <w:highlight w:val="none"/>
          <w14:textFill>
            <w14:solidFill>
              <w14:schemeClr w14:val="tx1"/>
            </w14:solidFill>
          </w14:textFill>
        </w:rPr>
        <w:t>1.6 踏勘现场</w:t>
      </w:r>
      <w:bookmarkEnd w:id="2"/>
      <w:bookmarkEnd w:id="3"/>
      <w:bookmarkEnd w:id="4"/>
      <w:bookmarkEnd w:id="5"/>
      <w:r>
        <w:rPr>
          <w:rFonts w:ascii="Tahoma" w:hAnsi="Tahoma" w:cs="Tahoma"/>
          <w:b/>
          <w:bCs/>
          <w:color w:val="000000" w:themeColor="text1"/>
          <w:szCs w:val="21"/>
          <w:highlight w:val="none"/>
          <w14:textFill>
            <w14:solidFill>
              <w14:schemeClr w14:val="tx1"/>
            </w14:solidFill>
          </w14:textFill>
        </w:rPr>
        <w:t>投标前答疑会</w:t>
      </w:r>
    </w:p>
    <w:p>
      <w:pPr>
        <w:spacing w:line="320" w:lineRule="exact"/>
        <w:rPr>
          <w:rFonts w:ascii="Tahoma" w:hAnsi="Tahoma" w:cs="Tahoma"/>
          <w:bCs/>
          <w:color w:val="000000" w:themeColor="text1"/>
          <w:szCs w:val="21"/>
          <w:highlight w:val="none"/>
          <w14:textFill>
            <w14:solidFill>
              <w14:schemeClr w14:val="tx1"/>
            </w14:solidFill>
          </w14:textFill>
        </w:rPr>
      </w:pPr>
      <w:r>
        <w:rPr>
          <w:rFonts w:ascii="Tahoma" w:hAnsi="Tahoma" w:cs="Tahoma"/>
          <w:bCs/>
          <w:color w:val="000000" w:themeColor="text1"/>
          <w:szCs w:val="21"/>
          <w:highlight w:val="none"/>
          <w14:textFill>
            <w14:solidFill>
              <w14:schemeClr w14:val="tx1"/>
            </w14:solidFill>
          </w14:textFill>
        </w:rPr>
        <w:t>1.6.1采购人、采购代理机构可以视采购项目的具体情况，组织供应商进行现场考察或召开投标前答疑会，但不得单独或分别组织只有一个供应商参加的现场考察和答疑会。</w:t>
      </w:r>
    </w:p>
    <w:p>
      <w:pPr>
        <w:spacing w:line="320" w:lineRule="exact"/>
        <w:rPr>
          <w:rFonts w:ascii="Tahoma" w:hAnsi="Tahoma" w:cs="Tahoma"/>
          <w:bCs/>
          <w:color w:val="000000" w:themeColor="text1"/>
          <w:szCs w:val="21"/>
          <w:highlight w:val="none"/>
          <w14:textFill>
            <w14:solidFill>
              <w14:schemeClr w14:val="tx1"/>
            </w14:solidFill>
          </w14:textFill>
        </w:rPr>
      </w:pPr>
      <w:r>
        <w:rPr>
          <w:rFonts w:ascii="Tahoma" w:hAnsi="Tahoma" w:cs="Tahoma"/>
          <w:bCs/>
          <w:color w:val="000000" w:themeColor="text1"/>
          <w:szCs w:val="21"/>
          <w:highlight w:val="none"/>
          <w14:textFill>
            <w14:solidFill>
              <w14:schemeClr w14:val="tx1"/>
            </w14:solidFill>
          </w14:textFill>
        </w:rPr>
        <w:t>1.6.2投标人须知前附表规定组织踏勘现场的，采购人应按投标人须知前附表规定的时间、地点组织供应商踏勘项目现场。</w:t>
      </w:r>
    </w:p>
    <w:p>
      <w:pPr>
        <w:spacing w:line="320" w:lineRule="exact"/>
        <w:rPr>
          <w:rFonts w:ascii="Tahoma" w:hAnsi="Tahoma" w:cs="Tahoma"/>
          <w:bCs/>
          <w:color w:val="000000" w:themeColor="text1"/>
          <w:szCs w:val="21"/>
          <w:highlight w:val="none"/>
          <w14:textFill>
            <w14:solidFill>
              <w14:schemeClr w14:val="tx1"/>
            </w14:solidFill>
          </w14:textFill>
        </w:rPr>
      </w:pPr>
      <w:r>
        <w:rPr>
          <w:rFonts w:ascii="Tahoma" w:hAnsi="Tahoma" w:cs="Tahoma"/>
          <w:bCs/>
          <w:color w:val="000000" w:themeColor="text1"/>
          <w:szCs w:val="21"/>
          <w:highlight w:val="none"/>
          <w14:textFill>
            <w14:solidFill>
              <w14:schemeClr w14:val="tx1"/>
            </w14:solidFill>
          </w14:textFill>
        </w:rPr>
        <w:t>1.6.3 供应商踏勘现场所发生的一切费用自理。</w:t>
      </w:r>
    </w:p>
    <w:p>
      <w:pPr>
        <w:spacing w:line="320" w:lineRule="exact"/>
        <w:rPr>
          <w:rFonts w:ascii="Tahoma" w:hAnsi="Tahoma" w:cs="Tahoma"/>
          <w:bCs/>
          <w:color w:val="000000" w:themeColor="text1"/>
          <w:szCs w:val="21"/>
          <w:highlight w:val="none"/>
          <w14:textFill>
            <w14:solidFill>
              <w14:schemeClr w14:val="tx1"/>
            </w14:solidFill>
          </w14:textFill>
        </w:rPr>
      </w:pPr>
      <w:r>
        <w:rPr>
          <w:rFonts w:ascii="Tahoma" w:hAnsi="Tahoma" w:cs="Tahoma"/>
          <w:bCs/>
          <w:color w:val="000000" w:themeColor="text1"/>
          <w:szCs w:val="21"/>
          <w:highlight w:val="none"/>
          <w14:textFill>
            <w14:solidFill>
              <w14:schemeClr w14:val="tx1"/>
            </w14:solidFill>
          </w14:textFill>
        </w:rPr>
        <w:t>1.6.4 除采购人的原因外，供应商自行负责在踏勘现场中所发生的人员伤亡和财产损失。</w:t>
      </w:r>
    </w:p>
    <w:p>
      <w:pPr>
        <w:spacing w:line="320" w:lineRule="exact"/>
        <w:rPr>
          <w:rFonts w:ascii="Tahoma" w:hAnsi="Tahoma" w:cs="Tahoma"/>
          <w:bCs/>
          <w:color w:val="000000" w:themeColor="text1"/>
          <w:szCs w:val="21"/>
          <w:highlight w:val="none"/>
          <w14:textFill>
            <w14:solidFill>
              <w14:schemeClr w14:val="tx1"/>
            </w14:solidFill>
          </w14:textFill>
        </w:rPr>
      </w:pPr>
      <w:r>
        <w:rPr>
          <w:rFonts w:ascii="Tahoma" w:hAnsi="Tahoma" w:cs="Tahoma"/>
          <w:bCs/>
          <w:color w:val="000000" w:themeColor="text1"/>
          <w:szCs w:val="21"/>
          <w:highlight w:val="none"/>
          <w14:textFill>
            <w14:solidFill>
              <w14:schemeClr w14:val="tx1"/>
            </w14:solidFill>
          </w14:textFill>
        </w:rPr>
        <w:t>1.6.5采购人在踏勘现场中介绍的项目情况，仅供供应商在编制投标文件时参考，采购人不对供应商据此作出的判断和决策负责。</w:t>
      </w:r>
    </w:p>
    <w:p>
      <w:pPr>
        <w:spacing w:line="320" w:lineRule="exact"/>
        <w:rPr>
          <w:rFonts w:ascii="Tahoma" w:hAnsi="Tahoma" w:cs="Tahoma"/>
          <w:bCs/>
          <w:color w:val="000000" w:themeColor="text1"/>
          <w:szCs w:val="21"/>
          <w:highlight w:val="none"/>
          <w14:textFill>
            <w14:solidFill>
              <w14:schemeClr w14:val="tx1"/>
            </w14:solidFill>
          </w14:textFill>
        </w:rPr>
      </w:pPr>
      <w:r>
        <w:rPr>
          <w:rFonts w:ascii="Tahoma" w:hAnsi="Tahoma" w:cs="Tahoma"/>
          <w:bCs/>
          <w:color w:val="000000" w:themeColor="text1"/>
          <w:szCs w:val="21"/>
          <w:highlight w:val="none"/>
          <w14:textFill>
            <w14:solidFill>
              <w14:schemeClr w14:val="tx1"/>
            </w14:solidFill>
          </w14:textFill>
        </w:rPr>
        <w:t>1.6.6 投标人须知前附表规定召开投标前答疑会的，采购人按投标人须知前附表规定的时间和地点召开投标前答疑会，澄清供应商提出的问题。</w:t>
      </w:r>
    </w:p>
    <w:p>
      <w:pPr>
        <w:spacing w:line="320" w:lineRule="exact"/>
        <w:rPr>
          <w:rFonts w:ascii="Tahoma" w:hAnsi="Tahoma" w:cs="Tahoma"/>
          <w:color w:val="000000" w:themeColor="text1"/>
          <w:sz w:val="24"/>
          <w:highlight w:val="none"/>
          <w14:textFill>
            <w14:solidFill>
              <w14:schemeClr w14:val="tx1"/>
            </w14:solidFill>
          </w14:textFill>
        </w:rPr>
      </w:pPr>
      <w:r>
        <w:rPr>
          <w:rFonts w:ascii="Tahoma" w:hAnsi="Tahoma" w:cs="Tahoma"/>
          <w:bCs/>
          <w:color w:val="000000" w:themeColor="text1"/>
          <w:szCs w:val="21"/>
          <w:highlight w:val="none"/>
          <w14:textFill>
            <w14:solidFill>
              <w14:schemeClr w14:val="tx1"/>
            </w14:solidFill>
          </w14:textFill>
        </w:rPr>
        <w:t>1.6.7本采购项目采购人（采购代理机构）不组织供应商进行现场考察或召开投标前答疑会。供应商应在投标须知前附表规定的时间前，以书面形式将提出的问题送达采购人，采购人或采购代理机构在投标人须知前附表规定的时间内，将对供应商所提问题的进行澄清，以书面方式在规定的发布渠道通知所有获取投标文件的供应商。该澄清内容为招标文件的组成部分。</w:t>
      </w:r>
    </w:p>
    <w:p>
      <w:pPr>
        <w:spacing w:line="320" w:lineRule="exact"/>
        <w:jc w:val="center"/>
        <w:rPr>
          <w:rFonts w:ascii="Tahoma" w:hAnsi="Tahoma" w:cs="Tahoma"/>
          <w:b/>
          <w:bCs/>
          <w:color w:val="000000" w:themeColor="text1"/>
          <w:sz w:val="24"/>
          <w:highlight w:val="none"/>
          <w14:textFill>
            <w14:solidFill>
              <w14:schemeClr w14:val="tx1"/>
            </w14:solidFill>
          </w14:textFill>
        </w:rPr>
      </w:pPr>
      <w:r>
        <w:rPr>
          <w:rFonts w:ascii="Tahoma" w:hAnsi="Tahoma" w:cs="Tahoma"/>
          <w:b/>
          <w:bCs/>
          <w:color w:val="000000" w:themeColor="text1"/>
          <w:sz w:val="24"/>
          <w:highlight w:val="none"/>
          <w14:textFill>
            <w14:solidFill>
              <w14:schemeClr w14:val="tx1"/>
            </w14:solidFill>
          </w14:textFill>
        </w:rPr>
        <w:t>2</w:t>
      </w:r>
      <w:r>
        <w:rPr>
          <w:rFonts w:ascii="Tahoma" w:hAnsi="Tahoma" w:eastAsia="黑体" w:cs="Tahoma"/>
          <w:b/>
          <w:bCs/>
          <w:color w:val="000000" w:themeColor="text1"/>
          <w:sz w:val="24"/>
          <w:highlight w:val="none"/>
          <w14:textFill>
            <w14:solidFill>
              <w14:schemeClr w14:val="tx1"/>
            </w14:solidFill>
          </w14:textFill>
        </w:rPr>
        <w:t>、招标文件</w:t>
      </w:r>
    </w:p>
    <w:p>
      <w:pPr>
        <w:spacing w:line="320" w:lineRule="exact"/>
        <w:rPr>
          <w:rFonts w:ascii="Tahoma" w:hAnsi="Tahoma" w:cs="Tahoma"/>
          <w:color w:val="000000" w:themeColor="text1"/>
          <w:szCs w:val="21"/>
          <w:highlight w:val="none"/>
          <w14:textFill>
            <w14:solidFill>
              <w14:schemeClr w14:val="tx1"/>
            </w14:solidFill>
          </w14:textFill>
        </w:rPr>
      </w:pPr>
      <w:bookmarkStart w:id="6" w:name="_Toc430490612"/>
      <w:bookmarkStart w:id="7" w:name="_Toc430488851"/>
      <w:bookmarkStart w:id="8" w:name="_Toc430489119"/>
      <w:bookmarkStart w:id="9" w:name="_Toc430488644"/>
      <w:bookmarkStart w:id="10" w:name="_Toc430422413"/>
      <w:bookmarkStart w:id="11" w:name="_Toc415567497"/>
      <w:bookmarkStart w:id="12" w:name="_Toc430492126"/>
      <w:r>
        <w:rPr>
          <w:rFonts w:ascii="Tahoma" w:hAnsi="Tahoma" w:cs="Tahoma"/>
          <w:b/>
          <w:bCs/>
          <w:color w:val="000000" w:themeColor="text1"/>
          <w:szCs w:val="21"/>
          <w:highlight w:val="none"/>
          <w14:textFill>
            <w14:solidFill>
              <w14:schemeClr w14:val="tx1"/>
            </w14:solidFill>
          </w14:textFill>
        </w:rPr>
        <w:t>2.1. 招标文件的组成</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2.1.1招标文件用以阐明所需货物及服务招标程序和合同主要条款。招标文件由下述部分组成：</w:t>
      </w:r>
    </w:p>
    <w:p>
      <w:pPr>
        <w:spacing w:line="320" w:lineRule="exact"/>
        <w:ind w:left="160" w:leftChars="76" w:firstLine="210" w:firstLineChars="1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w:t>
      </w:r>
      <w:r>
        <w:rPr>
          <w:rFonts w:hint="eastAsia"/>
          <w:color w:val="000000" w:themeColor="text1"/>
          <w:highlight w:val="none"/>
          <w:lang w:val="en-US" w:eastAsia="zh-CN"/>
          <w14:textFill>
            <w14:solidFill>
              <w14:schemeClr w14:val="tx1"/>
            </w14:solidFill>
          </w14:textFill>
        </w:rPr>
        <w:t>招标公告</w:t>
      </w:r>
      <w:r>
        <w:rPr>
          <w:rFonts w:hint="eastAsia"/>
          <w:color w:val="000000" w:themeColor="text1"/>
          <w:highlight w:val="none"/>
          <w14:textFill>
            <w14:solidFill>
              <w14:schemeClr w14:val="tx1"/>
            </w14:solidFill>
          </w14:textFill>
        </w:rPr>
        <w:t>；</w:t>
      </w:r>
    </w:p>
    <w:p>
      <w:pPr>
        <w:spacing w:line="320" w:lineRule="exact"/>
        <w:ind w:left="16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（二）投标人须知（包括投标文件的密封、签署、盖章要求等）；</w:t>
      </w:r>
    </w:p>
    <w:p>
      <w:pPr>
        <w:spacing w:line="320" w:lineRule="exact"/>
        <w:ind w:left="16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（三）投标人应当提交的资格、资信证明文件；</w:t>
      </w:r>
    </w:p>
    <w:p>
      <w:pPr>
        <w:spacing w:line="320" w:lineRule="exact"/>
        <w:ind w:left="16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（四）为落实政府采购政策，采购标的需满足的要求，以及投标人须提供的证明材料；</w:t>
      </w:r>
    </w:p>
    <w:p>
      <w:pPr>
        <w:spacing w:line="320" w:lineRule="exact"/>
        <w:ind w:left="16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（五）投标文件编制要求、投标报价要求和投标保证金交纳、退还方式以及不予退还投标保证金的情形；</w:t>
      </w:r>
    </w:p>
    <w:p>
      <w:pPr>
        <w:spacing w:line="320" w:lineRule="exact"/>
        <w:ind w:left="16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（六）采购项目预算金额，设定最高限价的，还应当公开最高限价；</w:t>
      </w:r>
    </w:p>
    <w:p>
      <w:pPr>
        <w:spacing w:line="320" w:lineRule="exact"/>
        <w:ind w:left="16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（七）采购项目的技术规格、数量、服务标准、验收等要求，包括附件、图纸等；</w:t>
      </w:r>
    </w:p>
    <w:p>
      <w:pPr>
        <w:spacing w:line="320" w:lineRule="exact"/>
        <w:ind w:left="16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（八）拟签订的合同文本；</w:t>
      </w:r>
    </w:p>
    <w:p>
      <w:pPr>
        <w:spacing w:line="320" w:lineRule="exact"/>
        <w:ind w:left="16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（九）货物、服务提供的时间、地点、方式；</w:t>
      </w:r>
    </w:p>
    <w:p>
      <w:pPr>
        <w:spacing w:line="320" w:lineRule="exact"/>
        <w:ind w:left="16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（十）采购资金的支付方式、时间、条件；</w:t>
      </w:r>
    </w:p>
    <w:p>
      <w:pPr>
        <w:spacing w:line="320" w:lineRule="exact"/>
        <w:ind w:left="16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（十一）评标方法、评标标准和投标无效情形；</w:t>
      </w:r>
    </w:p>
    <w:p>
      <w:pPr>
        <w:spacing w:line="320" w:lineRule="exact"/>
        <w:ind w:left="16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（十二）投标有效期；</w:t>
      </w:r>
    </w:p>
    <w:p>
      <w:pPr>
        <w:spacing w:line="320" w:lineRule="exact"/>
        <w:ind w:left="16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（十三）投标截止时间、开标时间及地点；</w:t>
      </w:r>
    </w:p>
    <w:p>
      <w:pPr>
        <w:spacing w:line="320" w:lineRule="exact"/>
        <w:ind w:left="16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（十四）采购代理机构代理费用的收取标准和方式；</w:t>
      </w:r>
    </w:p>
    <w:p>
      <w:pPr>
        <w:spacing w:line="320" w:lineRule="exact"/>
        <w:ind w:firstLine="315" w:firstLineChars="15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（十五）投标人信用信息查询渠道及截止时点、信用信息查询记录和证据留存的具体方式、信用信息的使用规则等；</w:t>
      </w:r>
    </w:p>
    <w:p>
      <w:pPr>
        <w:spacing w:line="320" w:lineRule="exact"/>
        <w:ind w:firstLine="315" w:firstLineChars="150"/>
        <w:rPr>
          <w:rFonts w:ascii="Tahoma" w:hAnsi="Tahoma" w:cs="Tahoma"/>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（十六）省级以上财政部门规定的其他事项；</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2.1.2除非有特殊要求，招标文件不单独提供招标货物使用地的自然环境、气候条件、公用设施等情况，投标人被视为熟悉上述与履行合同有关的一切情况。</w:t>
      </w:r>
    </w:p>
    <w:p>
      <w:pPr>
        <w:spacing w:line="320" w:lineRule="exact"/>
        <w:rPr>
          <w:rFonts w:ascii="Tahoma" w:hAnsi="Tahoma" w:cs="Tahoma"/>
          <w:b/>
          <w:color w:val="000000" w:themeColor="text1"/>
          <w:szCs w:val="21"/>
          <w:highlight w:val="none"/>
          <w14:textFill>
            <w14:solidFill>
              <w14:schemeClr w14:val="tx1"/>
            </w14:solidFill>
          </w14:textFill>
        </w:rPr>
      </w:pPr>
      <w:bookmarkStart w:id="13" w:name="_Toc144974512"/>
      <w:bookmarkStart w:id="14" w:name="_Toc152042320"/>
      <w:bookmarkStart w:id="15" w:name="_Toc179632562"/>
      <w:bookmarkStart w:id="16" w:name="_Toc152045544"/>
      <w:r>
        <w:rPr>
          <w:rFonts w:ascii="Tahoma" w:hAnsi="Tahoma" w:cs="Tahoma"/>
          <w:b/>
          <w:color w:val="000000" w:themeColor="text1"/>
          <w:szCs w:val="21"/>
          <w:highlight w:val="none"/>
          <w14:textFill>
            <w14:solidFill>
              <w14:schemeClr w14:val="tx1"/>
            </w14:solidFill>
          </w14:textFill>
        </w:rPr>
        <w:t>2.2 招标文件的澄清</w:t>
      </w:r>
      <w:bookmarkEnd w:id="13"/>
      <w:bookmarkEnd w:id="14"/>
      <w:bookmarkEnd w:id="15"/>
      <w:bookmarkEnd w:id="16"/>
      <w:r>
        <w:rPr>
          <w:rFonts w:hint="eastAsia" w:ascii="Tahoma" w:hAnsi="Tahoma" w:cs="Tahoma"/>
          <w:b/>
          <w:color w:val="000000" w:themeColor="text1"/>
          <w:szCs w:val="21"/>
          <w:highlight w:val="none"/>
          <w14:textFill>
            <w14:solidFill>
              <w14:schemeClr w14:val="tx1"/>
            </w14:solidFill>
          </w14:textFill>
        </w:rPr>
        <w:t>或修改</w:t>
      </w:r>
    </w:p>
    <w:p>
      <w:pPr>
        <w:spacing w:line="320" w:lineRule="exact"/>
        <w:rPr>
          <w:rFonts w:ascii="Tahoma" w:hAnsi="Tahoma" w:cs="Tahoma"/>
          <w:color w:val="000000" w:themeColor="text1"/>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2.2.1采购人或者采购代理机构可以对已发出的招标文件、投标邀请书进行必要的澄清或者修改，但不得改变采购标的和资格条件。澄清或者修改应当在原公告发布媒体上发布澄清公告。</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2.2.</w:t>
      </w:r>
      <w:r>
        <w:rPr>
          <w:rFonts w:hint="eastAsia" w:ascii="Tahoma" w:hAnsi="Tahoma" w:cs="Tahoma"/>
          <w:color w:val="000000" w:themeColor="text1"/>
          <w:szCs w:val="21"/>
          <w:highlight w:val="none"/>
          <w14:textFill>
            <w14:solidFill>
              <w14:schemeClr w14:val="tx1"/>
            </w14:solidFill>
          </w14:textFill>
        </w:rPr>
        <w:t>2</w:t>
      </w:r>
      <w:r>
        <w:rPr>
          <w:rFonts w:ascii="Tahoma" w:hAnsi="Tahoma" w:cs="Tahoma"/>
          <w:color w:val="000000" w:themeColor="text1"/>
          <w:szCs w:val="21"/>
          <w:highlight w:val="none"/>
          <w14:textFill>
            <w14:solidFill>
              <w14:schemeClr w14:val="tx1"/>
            </w14:solidFill>
          </w14:textFill>
        </w:rPr>
        <w:t>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招标人将视情况将不标明澄清问题查询来源的书面答复发给所有投标人，该澄清内容为招标文件的组成部分。</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2.2.3招标文件的澄清将在投标人须知前附表规定的投标截止时间15天前以书面形式发给所有购买招标文件的投标人，招标人只对投标须知前附表中规定的截止时间以前收到的要求澄清的问题予以答复。如果澄清发出的时间因距投标截止时间不足15天，投标人认为该澄清影响到对投标文件的修编，造成在原投标截止时间前修编投标文件的时间不足，投标人应以书面形式通知招标人要求酌情延长投标截止时间，以保证投标人有合理的时间修编投标文件，招标人应按规定酌情延长投标截止时间。否则，招标人仍将按原投标截止时间执行。</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2.2.4 投标人在收到澄清后，应在投标人须知前附表规定的时间内以书面形式通知招标人，确认已收到该澄清。</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2.2.5 在投标截止时间15天前，招标人可以书面形式修改招标文件，并通知所有已购买招标文件的投标人，该修改内容为招标文件的组成部分。如果修改招标文件的时间距投标截止时间不足15天，投标人认为因招标文件的修改影响到对投标文件的修编，造成在原投标截止时间前修编投标文件的时间不足，投标人应以书面形式通知招标人要求酌情延长投标截止时间和开标时间（但应当至少在投标截止时间三个日历日前将变更时间以书面形式通知所有投标人），以保证投标人有合理的时间修编投标文件，招标人应按规定酌情延长投标截止时间。否则，招标人仍将按原投标截止时间执行。在此情况下，招标人和投标人受投标截止期制约的所有权利和义务均应延长至新的截止日期。</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2.2.6 投标人收到修改内容后，应在投标人须知前附表规定的时间内以书面形式通知招标人，确认已收到该修改。</w:t>
      </w:r>
      <w:r>
        <w:rPr>
          <w:rFonts w:hint="eastAsia" w:ascii="Tahoma" w:hAnsi="Tahoma" w:cs="Tahoma"/>
          <w:color w:val="000000" w:themeColor="text1"/>
          <w:szCs w:val="21"/>
          <w:highlight w:val="none"/>
          <w14:textFill>
            <w14:solidFill>
              <w14:schemeClr w14:val="tx1"/>
            </w14:solidFill>
          </w14:textFill>
        </w:rPr>
        <w:t>该修改内容为招标文件的组成部分。</w:t>
      </w:r>
    </w:p>
    <w:p>
      <w:pPr>
        <w:spacing w:line="320" w:lineRule="exact"/>
        <w:rPr>
          <w:rFonts w:ascii="Tahoma" w:hAnsi="Tahoma" w:cs="Tahoma"/>
          <w:color w:val="000000" w:themeColor="text1"/>
          <w:sz w:val="24"/>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2.2.7采购人在投标须知前附表中标明了澄清、补充或修改招标文件发布的渠道，供应商应自行留意采购人发出的澄清、修改或补充以及与之有关的文本文件，并及时按采购人在投标须知前附表中标明澄清、补充或修改通知发布的渠道获取相应的文本文件，无须回签确认收到的函。供应商未按规定时间在发布渠道的网站下载澄清、补充或修改招标文件（包括开标时间、地点的变更等）通知的，视同已收到。</w:t>
      </w:r>
    </w:p>
    <w:bookmarkEnd w:id="6"/>
    <w:bookmarkEnd w:id="7"/>
    <w:bookmarkEnd w:id="8"/>
    <w:bookmarkEnd w:id="9"/>
    <w:bookmarkEnd w:id="10"/>
    <w:bookmarkEnd w:id="11"/>
    <w:bookmarkEnd w:id="12"/>
    <w:p>
      <w:pPr>
        <w:spacing w:line="320" w:lineRule="exact"/>
        <w:jc w:val="center"/>
        <w:rPr>
          <w:rFonts w:ascii="Tahoma" w:hAnsi="Tahoma" w:cs="Tahoma"/>
          <w:color w:val="000000" w:themeColor="text1"/>
          <w:szCs w:val="21"/>
          <w:highlight w:val="none"/>
          <w14:textFill>
            <w14:solidFill>
              <w14:schemeClr w14:val="tx1"/>
            </w14:solidFill>
          </w14:textFill>
        </w:rPr>
      </w:pPr>
      <w:r>
        <w:rPr>
          <w:rFonts w:ascii="Tahoma" w:hAnsi="Tahoma" w:cs="Tahoma"/>
          <w:b/>
          <w:bCs/>
          <w:color w:val="000000" w:themeColor="text1"/>
          <w:szCs w:val="21"/>
          <w:highlight w:val="none"/>
          <w14:textFill>
            <w14:solidFill>
              <w14:schemeClr w14:val="tx1"/>
            </w14:solidFill>
          </w14:textFill>
        </w:rPr>
        <w:t>3、投标文件</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bCs/>
          <w:color w:val="000000" w:themeColor="text1"/>
          <w:szCs w:val="21"/>
          <w:highlight w:val="none"/>
          <w14:textFill>
            <w14:solidFill>
              <w14:schemeClr w14:val="tx1"/>
            </w14:solidFill>
          </w14:textFill>
        </w:rPr>
        <w:t xml:space="preserve">3.1. </w:t>
      </w:r>
      <w:r>
        <w:rPr>
          <w:rFonts w:ascii="Tahoma" w:hAnsi="Tahoma" w:cs="Tahoma"/>
          <w:b/>
          <w:bCs/>
          <w:color w:val="000000" w:themeColor="text1"/>
          <w:kern w:val="0"/>
          <w:szCs w:val="21"/>
          <w:highlight w:val="none"/>
          <w14:textFill>
            <w14:solidFill>
              <w14:schemeClr w14:val="tx1"/>
            </w14:solidFill>
          </w14:textFill>
        </w:rPr>
        <w:t>投标文件的组成</w:t>
      </w:r>
    </w:p>
    <w:p>
      <w:pPr>
        <w:shd w:val="clear" w:color="auto" w:fill="FFFFFF"/>
        <w:snapToGrid w:val="0"/>
        <w:spacing w:line="320" w:lineRule="exact"/>
        <w:rPr>
          <w:rFonts w:ascii="Tahoma" w:hAnsi="Tahoma" w:cs="Tahoma"/>
          <w:color w:val="000000" w:themeColor="text1"/>
          <w:kern w:val="0"/>
          <w:szCs w:val="21"/>
          <w:highlight w:val="none"/>
          <w14:textFill>
            <w14:solidFill>
              <w14:schemeClr w14:val="tx1"/>
            </w14:solidFill>
          </w14:textFill>
        </w:rPr>
      </w:pPr>
      <w:r>
        <w:rPr>
          <w:rFonts w:ascii="Tahoma" w:hAnsi="Tahoma" w:cs="Tahoma"/>
          <w:color w:val="000000" w:themeColor="text1"/>
          <w:kern w:val="0"/>
          <w:szCs w:val="21"/>
          <w:highlight w:val="none"/>
          <w14:textFill>
            <w14:solidFill>
              <w14:schemeClr w14:val="tx1"/>
            </w14:solidFill>
          </w14:textFill>
        </w:rPr>
        <w:t>3.1.1</w:t>
      </w:r>
      <w:r>
        <w:rPr>
          <w:rFonts w:hint="eastAsia" w:ascii="Tahoma" w:hAnsi="Tahoma" w:cs="Tahoma"/>
          <w:color w:val="000000" w:themeColor="text1"/>
          <w:kern w:val="0"/>
          <w:szCs w:val="21"/>
          <w:highlight w:val="none"/>
          <w14:textFill>
            <w14:solidFill>
              <w14:schemeClr w14:val="tx1"/>
            </w14:solidFill>
          </w14:textFill>
        </w:rPr>
        <w:t>投标人应当按照招标文件的要求编制投标文件。投标文件应当对招标文件提出的要求和条件作出明确响应。</w:t>
      </w:r>
      <w:r>
        <w:rPr>
          <w:rFonts w:ascii="Tahoma" w:hAnsi="Tahoma" w:cs="Tahoma"/>
          <w:b/>
          <w:color w:val="000000" w:themeColor="text1"/>
          <w:szCs w:val="21"/>
          <w:highlight w:val="none"/>
          <w14:textFill>
            <w14:solidFill>
              <w14:schemeClr w14:val="tx1"/>
            </w14:solidFill>
          </w14:textFill>
        </w:rPr>
        <w:t>并保证所提供的全部资料的真实性，否则其投标将</w:t>
      </w:r>
      <w:r>
        <w:rPr>
          <w:rFonts w:hint="eastAsia" w:ascii="Tahoma" w:hAnsi="Tahoma" w:cs="Tahoma"/>
          <w:b/>
          <w:color w:val="000000" w:themeColor="text1"/>
          <w:szCs w:val="21"/>
          <w:highlight w:val="none"/>
          <w14:textFill>
            <w14:solidFill>
              <w14:schemeClr w14:val="tx1"/>
            </w14:solidFill>
          </w14:textFill>
        </w:rPr>
        <w:t>按无效投标处理</w:t>
      </w:r>
      <w:r>
        <w:rPr>
          <w:rFonts w:ascii="Tahoma" w:hAnsi="Tahoma" w:cs="Tahoma"/>
          <w:b/>
          <w:color w:val="000000" w:themeColor="text1"/>
          <w:szCs w:val="21"/>
          <w:highlight w:val="none"/>
          <w14:textFill>
            <w14:solidFill>
              <w14:schemeClr w14:val="tx1"/>
            </w14:solidFill>
          </w14:textFill>
        </w:rPr>
        <w:t>。</w:t>
      </w:r>
    </w:p>
    <w:p>
      <w:pPr>
        <w:shd w:val="clear" w:color="auto" w:fill="FFFFFF"/>
        <w:snapToGrid w:val="0"/>
        <w:spacing w:line="320" w:lineRule="exact"/>
        <w:rPr>
          <w:rFonts w:ascii="Tahoma" w:hAnsi="Tahoma" w:cs="Tahoma"/>
          <w:color w:val="000000" w:themeColor="text1"/>
          <w:kern w:val="0"/>
          <w:szCs w:val="21"/>
          <w:highlight w:val="none"/>
          <w14:textFill>
            <w14:solidFill>
              <w14:schemeClr w14:val="tx1"/>
            </w14:solidFill>
          </w14:textFill>
        </w:rPr>
      </w:pPr>
      <w:r>
        <w:rPr>
          <w:rFonts w:ascii="Tahoma" w:hAnsi="Tahoma" w:cs="Tahoma"/>
          <w:color w:val="000000" w:themeColor="text1"/>
          <w:kern w:val="0"/>
          <w:szCs w:val="21"/>
          <w:highlight w:val="none"/>
          <w14:textFill>
            <w14:solidFill>
              <w14:schemeClr w14:val="tx1"/>
            </w14:solidFill>
          </w14:textFill>
        </w:rPr>
        <w:t>3.1.2投标人须知前附表规定接受联合体投标的，或投标人组成联合体的，投标文件应包括本须知第1.3.6目所指的联合体协议书。</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3.1.3投标文件一套（份数：包括正本一份、副本肆份），包括资格类文件和投标主要文件。</w:t>
      </w:r>
    </w:p>
    <w:p>
      <w:pPr>
        <w:spacing w:line="320" w:lineRule="exact"/>
        <w:rPr>
          <w:rFonts w:ascii="Tahoma" w:hAnsi="Tahoma" w:cs="Tahoma"/>
          <w:b/>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（一）、资格类文件</w:t>
      </w:r>
    </w:p>
    <w:p>
      <w:pPr>
        <w:spacing w:line="320" w:lineRule="exact"/>
        <w:ind w:firstLine="210" w:firstLineChars="1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制造或生产采购货物或服务的资格得到有关行政主管部门许可或批准的有关证件，包括：投标供应商有效的法人营业执照副本复印件、有效的税务登记证、组织机构代码证或三证合一证复印件；资质证书复印件；采购货物或设备（产品）</w:t>
      </w:r>
      <w:r>
        <w:rPr>
          <w:rFonts w:hint="eastAsia" w:ascii="Tahoma" w:hAnsi="Tahoma" w:cs="Tahoma"/>
          <w:color w:val="000000" w:themeColor="text1"/>
          <w:szCs w:val="21"/>
          <w:highlight w:val="none"/>
          <w14:textFill>
            <w14:solidFill>
              <w14:schemeClr w14:val="tx1"/>
            </w14:solidFill>
          </w14:textFill>
        </w:rPr>
        <w:t>中的进口设备（产品）</w:t>
      </w:r>
      <w:r>
        <w:rPr>
          <w:rFonts w:ascii="Tahoma" w:hAnsi="Tahoma" w:cs="Tahoma"/>
          <w:color w:val="000000" w:themeColor="text1"/>
          <w:szCs w:val="21"/>
          <w:highlight w:val="none"/>
          <w14:textFill>
            <w14:solidFill>
              <w14:schemeClr w14:val="tx1"/>
            </w14:solidFill>
          </w14:textFill>
        </w:rPr>
        <w:t>的生产或</w:t>
      </w:r>
      <w:r>
        <w:rPr>
          <w:rFonts w:hint="eastAsia" w:ascii="Tahoma" w:hAnsi="Tahoma" w:cs="Tahoma"/>
          <w:color w:val="000000" w:themeColor="text1"/>
          <w:szCs w:val="21"/>
          <w:highlight w:val="none"/>
          <w14:textFill>
            <w14:solidFill>
              <w14:schemeClr w14:val="tx1"/>
            </w14:solidFill>
          </w14:textFill>
        </w:rPr>
        <w:t>授权</w:t>
      </w:r>
      <w:r>
        <w:rPr>
          <w:rFonts w:ascii="Tahoma" w:hAnsi="Tahoma" w:cs="Tahoma"/>
          <w:color w:val="000000" w:themeColor="text1"/>
          <w:szCs w:val="21"/>
          <w:highlight w:val="none"/>
          <w14:textFill>
            <w14:solidFill>
              <w14:schemeClr w14:val="tx1"/>
            </w14:solidFill>
          </w14:textFill>
        </w:rPr>
        <w:t>经销许可证明：如供应商为</w:t>
      </w:r>
      <w:r>
        <w:rPr>
          <w:rFonts w:hint="eastAsia" w:ascii="Tahoma" w:hAnsi="Tahoma" w:cs="Tahoma"/>
          <w:color w:val="000000" w:themeColor="text1"/>
          <w:szCs w:val="21"/>
          <w:highlight w:val="none"/>
          <w14:textFill>
            <w14:solidFill>
              <w14:schemeClr w14:val="tx1"/>
            </w14:solidFill>
          </w14:textFill>
        </w:rPr>
        <w:t>授权</w:t>
      </w:r>
      <w:r>
        <w:rPr>
          <w:rFonts w:ascii="Tahoma" w:hAnsi="Tahoma" w:cs="Tahoma"/>
          <w:color w:val="000000" w:themeColor="text1"/>
          <w:szCs w:val="21"/>
          <w:highlight w:val="none"/>
          <w14:textFill>
            <w14:solidFill>
              <w14:schemeClr w14:val="tx1"/>
            </w14:solidFill>
          </w14:textFill>
        </w:rPr>
        <w:t>经销商的，须提供有关行政主管部门许可的货物或设备（产品）在经销许可证范围内的有关证明，以及依照招标文件规定应予提供的其他证件复印件（采购的货物名称规格型号应符合其生产或经销许可范围，复印件必须与原件一致）。</w:t>
      </w:r>
    </w:p>
    <w:p>
      <w:pPr>
        <w:spacing w:line="320" w:lineRule="exact"/>
        <w:ind w:firstLine="105" w:firstLineChars="5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（2）法人代表授权书原件（法人代表无此项要求）。</w:t>
      </w:r>
    </w:p>
    <w:p>
      <w:pPr>
        <w:spacing w:line="320" w:lineRule="exact"/>
        <w:ind w:firstLine="105" w:firstLineChars="5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（3）投标代表身份证复印件。</w:t>
      </w:r>
    </w:p>
    <w:p>
      <w:pPr>
        <w:spacing w:line="320" w:lineRule="exact"/>
        <w:ind w:firstLine="105" w:firstLineChars="5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（4）投标人的资格声明。</w:t>
      </w:r>
    </w:p>
    <w:p>
      <w:pPr>
        <w:spacing w:line="320" w:lineRule="exact"/>
        <w:ind w:firstLine="105" w:firstLineChars="5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（5）关于资格的声明函。</w:t>
      </w:r>
    </w:p>
    <w:p>
      <w:pPr>
        <w:spacing w:line="320" w:lineRule="exact"/>
        <w:rPr>
          <w:rFonts w:ascii="Tahoma" w:hAnsi="Tahoma" w:cs="Tahoma"/>
          <w:b/>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（二）、投标主要文件</w:t>
      </w:r>
    </w:p>
    <w:p>
      <w:pPr>
        <w:spacing w:line="320" w:lineRule="exact"/>
        <w:ind w:firstLine="105" w:firstLineChars="5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 投标函；</w:t>
      </w:r>
    </w:p>
    <w:p>
      <w:pPr>
        <w:spacing w:line="320" w:lineRule="exact"/>
        <w:ind w:firstLine="105" w:firstLineChars="5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（2） 开标一览表；</w:t>
      </w:r>
    </w:p>
    <w:p>
      <w:pPr>
        <w:spacing w:line="320" w:lineRule="exact"/>
        <w:ind w:firstLine="105" w:firstLineChars="5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（3） 投标分项报价表；</w:t>
      </w:r>
    </w:p>
    <w:p>
      <w:pPr>
        <w:spacing w:line="320" w:lineRule="exact"/>
        <w:ind w:firstLine="105" w:firstLineChars="5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（4） 货物说明一览表；</w:t>
      </w:r>
    </w:p>
    <w:p>
      <w:pPr>
        <w:spacing w:line="320" w:lineRule="exact"/>
        <w:ind w:firstLine="105" w:firstLineChars="5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（5） 供货范围清单；</w:t>
      </w:r>
    </w:p>
    <w:p>
      <w:pPr>
        <w:spacing w:line="320" w:lineRule="exact"/>
        <w:ind w:firstLine="105" w:firstLineChars="5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（6） 技术规格和商务偏离表；</w:t>
      </w:r>
    </w:p>
    <w:p>
      <w:pPr>
        <w:spacing w:line="320" w:lineRule="exact"/>
        <w:ind w:firstLine="105" w:firstLineChars="5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（7） 服务组织措施；</w:t>
      </w:r>
    </w:p>
    <w:p>
      <w:pPr>
        <w:spacing w:line="320" w:lineRule="exact"/>
        <w:ind w:firstLine="105" w:firstLineChars="5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（8） 产品出厂标准、质量检测报告</w:t>
      </w:r>
    </w:p>
    <w:p>
      <w:pPr>
        <w:spacing w:line="320" w:lineRule="exact"/>
        <w:ind w:firstLine="105" w:firstLineChars="5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（9） 能说明投标产品规格型号、性能参数的彩页资料（或能充分证明投标产品质量、技术参数、功能说明、性能指标及产品选型说明等方面其他宣传资料）。</w:t>
      </w:r>
    </w:p>
    <w:p>
      <w:pPr>
        <w:spacing w:line="320" w:lineRule="exact"/>
        <w:ind w:firstLine="105" w:firstLineChars="5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（10）技术服务、技术培训、售后服务的内容和措施；</w:t>
      </w:r>
    </w:p>
    <w:p>
      <w:pPr>
        <w:spacing w:line="320" w:lineRule="exact"/>
        <w:ind w:firstLine="105" w:firstLineChars="5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（11）优惠条件：投标人承诺给予招标人的各种优惠条件，包括</w:t>
      </w:r>
      <w:r>
        <w:rPr>
          <w:rFonts w:hint="eastAsia" w:ascii="Tahoma" w:hAnsi="Tahoma" w:cs="Tahoma"/>
          <w:color w:val="000000" w:themeColor="text1"/>
          <w:szCs w:val="21"/>
          <w:highlight w:val="none"/>
          <w14:textFill>
            <w14:solidFill>
              <w14:schemeClr w14:val="tx1"/>
            </w14:solidFill>
          </w14:textFill>
        </w:rPr>
        <w:t>技术及</w:t>
      </w:r>
      <w:r>
        <w:rPr>
          <w:rFonts w:ascii="Tahoma" w:hAnsi="Tahoma" w:cs="Tahoma"/>
          <w:color w:val="000000" w:themeColor="text1"/>
          <w:szCs w:val="21"/>
          <w:highlight w:val="none"/>
          <w14:textFill>
            <w14:solidFill>
              <w14:schemeClr w14:val="tx1"/>
            </w14:solidFill>
          </w14:textFill>
        </w:rPr>
        <w:t xml:space="preserve">售后服务、备品备件、专用耗材等方面的优惠； </w:t>
      </w:r>
    </w:p>
    <w:p>
      <w:pPr>
        <w:spacing w:line="320" w:lineRule="exact"/>
        <w:ind w:firstLine="105" w:firstLineChars="5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（12）投标人需要说明的其他文件和说明。</w:t>
      </w:r>
    </w:p>
    <w:p>
      <w:pPr>
        <w:spacing w:line="320" w:lineRule="exact"/>
        <w:rPr>
          <w:rFonts w:ascii="Tahoma" w:hAnsi="Tahoma" w:cs="Tahoma"/>
          <w:b/>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（三）、承诺书</w:t>
      </w:r>
    </w:p>
    <w:p>
      <w:pPr>
        <w:spacing w:line="320" w:lineRule="exact"/>
        <w:ind w:firstLine="210" w:firstLineChars="1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（1）招标代理服务费承诺书。</w:t>
      </w:r>
    </w:p>
    <w:p>
      <w:pPr>
        <w:spacing w:line="320" w:lineRule="exact"/>
        <w:rPr>
          <w:rFonts w:ascii="Tahoma" w:hAnsi="Tahoma" w:cs="Tahoma"/>
          <w:color w:val="000000" w:themeColor="text1"/>
          <w:kern w:val="0"/>
          <w:szCs w:val="21"/>
          <w:highlight w:val="none"/>
          <w14:textFill>
            <w14:solidFill>
              <w14:schemeClr w14:val="tx1"/>
            </w14:solidFill>
          </w14:textFill>
        </w:rPr>
      </w:pPr>
      <w:r>
        <w:rPr>
          <w:rFonts w:ascii="Tahoma" w:hAnsi="Tahoma" w:cs="Tahoma"/>
          <w:b/>
          <w:bCs/>
          <w:color w:val="000000" w:themeColor="text1"/>
          <w:szCs w:val="21"/>
          <w:highlight w:val="none"/>
          <w14:textFill>
            <w14:solidFill>
              <w14:schemeClr w14:val="tx1"/>
            </w14:solidFill>
          </w14:textFill>
        </w:rPr>
        <w:t>3.2. 投标报价</w:t>
      </w:r>
      <w:r>
        <w:rPr>
          <w:rFonts w:ascii="Tahoma" w:hAnsi="Tahoma" w:cs="Tahoma"/>
          <w:color w:val="000000" w:themeColor="text1"/>
          <w:kern w:val="0"/>
          <w:szCs w:val="21"/>
          <w:highlight w:val="none"/>
          <w14:textFill>
            <w14:solidFill>
              <w14:schemeClr w14:val="tx1"/>
            </w14:solidFill>
          </w14:textFill>
        </w:rPr>
        <w:t xml:space="preserve"> </w:t>
      </w:r>
    </w:p>
    <w:p>
      <w:pPr>
        <w:shd w:val="clear" w:color="auto" w:fill="FFFFFF"/>
        <w:snapToGrid w:val="0"/>
        <w:spacing w:line="320" w:lineRule="exact"/>
        <w:rPr>
          <w:rFonts w:ascii="Tahoma" w:hAnsi="Tahoma" w:cs="Tahoma"/>
          <w:color w:val="000000" w:themeColor="text1"/>
          <w:kern w:val="0"/>
          <w:szCs w:val="21"/>
          <w:highlight w:val="none"/>
          <w14:textFill>
            <w14:solidFill>
              <w14:schemeClr w14:val="tx1"/>
            </w14:solidFill>
          </w14:textFill>
        </w:rPr>
      </w:pPr>
      <w:r>
        <w:rPr>
          <w:rFonts w:ascii="Tahoma" w:hAnsi="Tahoma" w:cs="Tahoma"/>
          <w:color w:val="000000" w:themeColor="text1"/>
          <w:kern w:val="0"/>
          <w:szCs w:val="21"/>
          <w:highlight w:val="none"/>
          <w14:textFill>
            <w14:solidFill>
              <w14:schemeClr w14:val="tx1"/>
            </w14:solidFill>
          </w14:textFill>
        </w:rPr>
        <w:t>3.2.1 投标人应按招标文件的要求填写相应投标报价表格。</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3.2.2 除非有另外的规定，投标人可对招标项目一览表所列的全部合同包或部分合同包进行投标。招标代理机构不接受有任何可选择性的报价，每一种货物只能有一个报价。且每一合同包的投标总报价</w:t>
      </w:r>
      <w:r>
        <w:rPr>
          <w:rFonts w:ascii="Tahoma" w:hAnsi="Tahoma" w:cs="Tahoma"/>
          <w:color w:val="000000" w:themeColor="text1"/>
          <w:kern w:val="0"/>
          <w:szCs w:val="21"/>
          <w:highlight w:val="none"/>
          <w14:textFill>
            <w14:solidFill>
              <w14:schemeClr w14:val="tx1"/>
            </w14:solidFill>
          </w14:textFill>
        </w:rPr>
        <w:t>不得超过规定的最高投标限价。</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bCs/>
          <w:color w:val="000000" w:themeColor="text1"/>
          <w:szCs w:val="21"/>
          <w:highlight w:val="none"/>
          <w14:textFill>
            <w14:solidFill>
              <w14:schemeClr w14:val="tx1"/>
            </w14:solidFill>
          </w14:textFill>
        </w:rPr>
        <w:t>3.3. 投标文件语言</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3.2.1投标文件应用中文书写。投标文件中所附或所引用的原件不是中文时，应附中文译本。各种计量单位及符号应采用国际上统一使用的公制计量单位和符号。</w:t>
      </w:r>
    </w:p>
    <w:p>
      <w:pPr>
        <w:spacing w:line="320" w:lineRule="exact"/>
        <w:rPr>
          <w:rFonts w:ascii="Tahoma" w:hAnsi="Tahoma" w:cs="Tahoma"/>
          <w:b/>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3.4. 投标文件的编制</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3.4.1投标文件应按招标文件</w:t>
      </w:r>
      <w:r>
        <w:rPr>
          <w:rFonts w:ascii="宋体" w:hAnsi="宋体" w:cs="Tahoma"/>
          <w:color w:val="000000" w:themeColor="text1"/>
          <w:szCs w:val="21"/>
          <w:highlight w:val="none"/>
          <w14:textFill>
            <w14:solidFill>
              <w14:schemeClr w14:val="tx1"/>
            </w14:solidFill>
          </w14:textFill>
        </w:rPr>
        <w:t>“投标文件格式”进</w:t>
      </w:r>
      <w:r>
        <w:rPr>
          <w:rFonts w:ascii="Tahoma" w:hAnsi="Tahoma" w:cs="Tahoma"/>
          <w:color w:val="000000" w:themeColor="text1"/>
          <w:szCs w:val="21"/>
          <w:highlight w:val="none"/>
          <w14:textFill>
            <w14:solidFill>
              <w14:schemeClr w14:val="tx1"/>
            </w14:solidFill>
          </w14:textFill>
        </w:rPr>
        <w:t>行编写，如有必要，可以增加附页，作为投标文件的组成部分。其中，投标函附录在满足招标文件实质性要求的基础上，可以提出比招标文件要求更有利于招标人的承诺。</w:t>
      </w:r>
    </w:p>
    <w:p>
      <w:pPr>
        <w:spacing w:line="320" w:lineRule="exact"/>
        <w:rPr>
          <w:rFonts w:ascii="Tahoma" w:hAnsi="Tahoma" w:cs="Tahoma"/>
          <w:color w:val="000000" w:themeColor="text1"/>
          <w:kern w:val="0"/>
          <w:szCs w:val="21"/>
          <w:highlight w:val="none"/>
          <w14:textFill>
            <w14:solidFill>
              <w14:schemeClr w14:val="tx1"/>
            </w14:solidFill>
          </w14:textFill>
        </w:rPr>
      </w:pPr>
      <w:r>
        <w:rPr>
          <w:rFonts w:ascii="Tahoma" w:hAnsi="Tahoma" w:cs="Tahoma"/>
          <w:color w:val="000000" w:themeColor="text1"/>
          <w:kern w:val="0"/>
          <w:szCs w:val="21"/>
          <w:highlight w:val="none"/>
          <w14:textFill>
            <w14:solidFill>
              <w14:schemeClr w14:val="tx1"/>
            </w14:solidFill>
          </w14:textFill>
        </w:rPr>
        <w:t>3.4.2 投标文件应当对招标文件有关供货计划、投标有效期、质量要求、技术标准和要求、招标范围等实质性内容做出响应。</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3.4.3</w:t>
      </w:r>
      <w:r>
        <w:rPr>
          <w:rFonts w:hint="eastAsia" w:ascii="Tahoma" w:hAnsi="Tahoma" w:cs="Tahoma"/>
          <w:color w:val="000000" w:themeColor="text1"/>
          <w:szCs w:val="21"/>
          <w:highlight w:val="none"/>
          <w14:textFill>
            <w14:solidFill>
              <w14:schemeClr w14:val="tx1"/>
            </w14:solidFill>
          </w14:textFill>
        </w:rPr>
        <w:t>投标人须编制由本须知第</w:t>
      </w:r>
      <w:r>
        <w:rPr>
          <w:rFonts w:ascii="Tahoma" w:hAnsi="Tahoma" w:cs="Tahoma"/>
          <w:color w:val="000000" w:themeColor="text1"/>
          <w:szCs w:val="21"/>
          <w:highlight w:val="none"/>
          <w14:textFill>
            <w14:solidFill>
              <w14:schemeClr w14:val="tx1"/>
            </w14:solidFill>
          </w14:textFill>
        </w:rPr>
        <w:t>3.1</w:t>
      </w:r>
      <w:r>
        <w:rPr>
          <w:rFonts w:hint="eastAsia" w:ascii="Tahoma" w:hAnsi="Tahoma" w:cs="Tahoma"/>
          <w:color w:val="000000" w:themeColor="text1"/>
          <w:szCs w:val="21"/>
          <w:highlight w:val="none"/>
          <w14:textFill>
            <w14:solidFill>
              <w14:schemeClr w14:val="tx1"/>
            </w14:solidFill>
          </w14:textFill>
        </w:rPr>
        <w:t>条规定投标文件组成内容的投标文件一套：包括正本一份、副本肆份，投标文件的正本应使用不能擦去的墨料或墨水打印、书写，必须采用</w:t>
      </w:r>
      <w:r>
        <w:rPr>
          <w:rFonts w:ascii="Tahoma" w:hAnsi="Tahoma" w:cs="Tahoma"/>
          <w:color w:val="000000" w:themeColor="text1"/>
          <w:szCs w:val="21"/>
          <w:highlight w:val="none"/>
          <w14:textFill>
            <w14:solidFill>
              <w14:schemeClr w14:val="tx1"/>
            </w14:solidFill>
          </w14:textFill>
        </w:rPr>
        <w:t>A4</w:t>
      </w:r>
      <w:r>
        <w:rPr>
          <w:rFonts w:hint="eastAsia" w:ascii="Tahoma" w:hAnsi="Tahoma" w:cs="Tahoma"/>
          <w:color w:val="000000" w:themeColor="text1"/>
          <w:szCs w:val="21"/>
          <w:highlight w:val="none"/>
          <w14:textFill>
            <w14:solidFill>
              <w14:schemeClr w14:val="tx1"/>
            </w14:solidFill>
          </w14:textFill>
        </w:rPr>
        <w:t>幅面纸张（图页除外）进行胶装。并在封面右上角标明</w:t>
      </w:r>
      <w:r>
        <w:rPr>
          <w:rFonts w:hint="eastAsia" w:ascii="宋体" w:hAnsi="宋体" w:cs="Tahoma"/>
          <w:color w:val="000000" w:themeColor="text1"/>
          <w:szCs w:val="21"/>
          <w:highlight w:val="none"/>
          <w14:textFill>
            <w14:solidFill>
              <w14:schemeClr w14:val="tx1"/>
            </w14:solidFill>
          </w14:textFill>
        </w:rPr>
        <w:t>“正本”、“副本”</w:t>
      </w:r>
      <w:r>
        <w:rPr>
          <w:rFonts w:hint="eastAsia" w:ascii="Tahoma" w:hAnsi="Tahoma" w:cs="Tahoma"/>
          <w:color w:val="000000" w:themeColor="text1"/>
          <w:szCs w:val="21"/>
          <w:highlight w:val="none"/>
          <w14:textFill>
            <w14:solidFill>
              <w14:schemeClr w14:val="tx1"/>
            </w14:solidFill>
          </w14:textFill>
        </w:rPr>
        <w:t>字样，副本与正本如有不一致的，则以正本为准，</w:t>
      </w:r>
    </w:p>
    <w:p>
      <w:pPr>
        <w:spacing w:line="320" w:lineRule="exact"/>
        <w:rPr>
          <w:rFonts w:ascii="Tahoma" w:hAnsi="Tahoma" w:cs="Tahoma"/>
          <w:b/>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3.4.4</w:t>
      </w:r>
      <w:r>
        <w:rPr>
          <w:rFonts w:ascii="Tahoma" w:hAnsi="Tahoma" w:cs="Tahoma"/>
          <w:b/>
          <w:color w:val="000000" w:themeColor="text1"/>
          <w:szCs w:val="21"/>
          <w:highlight w:val="none"/>
          <w14:textFill>
            <w14:solidFill>
              <w14:schemeClr w14:val="tx1"/>
            </w14:solidFill>
          </w14:textFill>
        </w:rPr>
        <w:t>投标文件的“正本”应由投标人的法定代表人或者其授权代表逐页加盖公章并</w:t>
      </w:r>
      <w:r>
        <w:rPr>
          <w:rFonts w:hint="eastAsia" w:ascii="Tahoma" w:hAnsi="Tahoma" w:cs="Tahoma"/>
          <w:b/>
          <w:color w:val="000000" w:themeColor="text1"/>
          <w:szCs w:val="21"/>
          <w:highlight w:val="none"/>
          <w14:textFill>
            <w14:solidFill>
              <w14:schemeClr w14:val="tx1"/>
            </w14:solidFill>
          </w14:textFill>
        </w:rPr>
        <w:t>在规定</w:t>
      </w:r>
      <w:r>
        <w:rPr>
          <w:rFonts w:ascii="Tahoma" w:hAnsi="Tahoma" w:cs="Tahoma"/>
          <w:b/>
          <w:color w:val="000000" w:themeColor="text1"/>
          <w:szCs w:val="21"/>
          <w:highlight w:val="none"/>
          <w14:textFill>
            <w14:solidFill>
              <w14:schemeClr w14:val="tx1"/>
            </w14:solidFill>
          </w14:textFill>
        </w:rPr>
        <w:t>签字</w:t>
      </w:r>
      <w:r>
        <w:rPr>
          <w:rFonts w:hint="eastAsia" w:ascii="Tahoma" w:hAnsi="Tahoma" w:cs="Tahoma"/>
          <w:b/>
          <w:color w:val="000000" w:themeColor="text1"/>
          <w:szCs w:val="21"/>
          <w:highlight w:val="none"/>
          <w14:textFill>
            <w14:solidFill>
              <w14:schemeClr w14:val="tx1"/>
            </w14:solidFill>
          </w14:textFill>
        </w:rPr>
        <w:t>的位置签字</w:t>
      </w:r>
      <w:r>
        <w:rPr>
          <w:rFonts w:ascii="Tahoma" w:hAnsi="Tahoma" w:cs="Tahoma"/>
          <w:b/>
          <w:color w:val="000000" w:themeColor="text1"/>
          <w:szCs w:val="21"/>
          <w:highlight w:val="none"/>
          <w14:textFill>
            <w14:solidFill>
              <w14:schemeClr w14:val="tx1"/>
            </w14:solidFill>
          </w14:textFill>
        </w:rPr>
        <w:t>，授权代表</w:t>
      </w:r>
      <w:r>
        <w:rPr>
          <w:rFonts w:ascii="Tahoma" w:hAnsi="Tahoma" w:cs="Tahoma"/>
          <w:b/>
          <w:color w:val="000000" w:themeColor="text1"/>
          <w:kern w:val="0"/>
          <w:szCs w:val="21"/>
          <w:highlight w:val="none"/>
          <w14:textFill>
            <w14:solidFill>
              <w14:schemeClr w14:val="tx1"/>
            </w14:solidFill>
          </w14:textFill>
        </w:rPr>
        <w:t>签字的，投标文件应附法定代表人签署的授权委托书（应与开标时的一致）</w:t>
      </w:r>
      <w:r>
        <w:rPr>
          <w:rFonts w:ascii="Tahoma" w:hAnsi="Tahoma" w:cs="Tahoma"/>
          <w:b/>
          <w:color w:val="000000" w:themeColor="text1"/>
          <w:szCs w:val="21"/>
          <w:highlight w:val="none"/>
          <w14:textFill>
            <w14:solidFill>
              <w14:schemeClr w14:val="tx1"/>
            </w14:solidFill>
          </w14:textFill>
        </w:rPr>
        <w:t>。否则，其投标无效！</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3.4.5</w:t>
      </w:r>
      <w:r>
        <w:rPr>
          <w:rFonts w:hint="eastAsia" w:ascii="Tahoma" w:hAnsi="Tahoma" w:cs="Tahoma"/>
          <w:color w:val="000000" w:themeColor="text1"/>
          <w:szCs w:val="21"/>
          <w:highlight w:val="none"/>
          <w14:textFill>
            <w14:solidFill>
              <w14:schemeClr w14:val="tx1"/>
            </w14:solidFill>
          </w14:textFill>
        </w:rPr>
        <w:t>投标文件的全部副本应使用不能擦去的墨料或墨水打印、书写，也可以用正本的全套完整复印件（</w:t>
      </w:r>
      <w:r>
        <w:rPr>
          <w:rFonts w:ascii="Tahoma" w:hAnsi="Tahoma" w:cs="Tahoma"/>
          <w:color w:val="000000" w:themeColor="text1"/>
          <w:szCs w:val="21"/>
          <w:highlight w:val="none"/>
          <w14:textFill>
            <w14:solidFill>
              <w14:schemeClr w14:val="tx1"/>
            </w14:solidFill>
          </w14:textFill>
        </w:rPr>
        <w:t>A4</w:t>
      </w:r>
      <w:r>
        <w:rPr>
          <w:rFonts w:hint="eastAsia" w:ascii="Tahoma" w:hAnsi="Tahoma" w:cs="Tahoma"/>
          <w:color w:val="000000" w:themeColor="text1"/>
          <w:szCs w:val="21"/>
          <w:highlight w:val="none"/>
          <w14:textFill>
            <w14:solidFill>
              <w14:schemeClr w14:val="tx1"/>
            </w14:solidFill>
          </w14:textFill>
        </w:rPr>
        <w:t>幅面，图页除外）并胶装，</w:t>
      </w:r>
      <w:r>
        <w:rPr>
          <w:rFonts w:hint="eastAsia" w:ascii="Tahoma" w:hAnsi="Tahoma" w:cs="Tahoma"/>
          <w:b/>
          <w:color w:val="000000" w:themeColor="text1"/>
          <w:szCs w:val="21"/>
          <w:highlight w:val="none"/>
          <w14:textFill>
            <w14:solidFill>
              <w14:schemeClr w14:val="tx1"/>
            </w14:solidFill>
          </w14:textFill>
        </w:rPr>
        <w:t>但副本封面的签字、盖章应与正本一致，不得采用正本的复印件，否则投标无效！</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3.4.6</w:t>
      </w:r>
      <w:r>
        <w:rPr>
          <w:rFonts w:hint="eastAsia" w:ascii="Tahoma" w:hAnsi="Tahoma" w:cs="Tahoma"/>
          <w:color w:val="000000" w:themeColor="text1"/>
          <w:szCs w:val="21"/>
          <w:highlight w:val="none"/>
          <w14:textFill>
            <w14:solidFill>
              <w14:schemeClr w14:val="tx1"/>
            </w14:solidFill>
          </w14:textFill>
        </w:rPr>
        <w:t>全套投标文件应无涂改和行间插字，除非这些改动是根据招标代理机构的指示进行的，或者是为改正投标人造成的必须修改的错误而进行的。有改动时，修改处应由授权代表签署证明或加盖投标人章。</w:t>
      </w:r>
      <w:r>
        <w:rPr>
          <w:rFonts w:ascii="Tahoma" w:hAnsi="Tahoma" w:cs="Tahoma"/>
          <w:color w:val="000000" w:themeColor="text1"/>
          <w:szCs w:val="21"/>
          <w:highlight w:val="none"/>
          <w14:textFill>
            <w14:solidFill>
              <w14:schemeClr w14:val="tx1"/>
            </w14:solidFill>
          </w14:textFill>
        </w:rPr>
        <w:t xml:space="preserve"> </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3.4.7</w:t>
      </w:r>
      <w:r>
        <w:rPr>
          <w:rFonts w:hint="eastAsia" w:ascii="Tahoma" w:hAnsi="Tahoma" w:cs="Tahoma"/>
          <w:color w:val="000000" w:themeColor="text1"/>
          <w:szCs w:val="21"/>
          <w:highlight w:val="none"/>
          <w14:textFill>
            <w14:solidFill>
              <w14:schemeClr w14:val="tx1"/>
            </w14:solidFill>
          </w14:textFill>
        </w:rPr>
        <w:t>除非有另外的规定或许可，投标使用货币为：人民币。</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3.4.8</w:t>
      </w:r>
      <w:r>
        <w:rPr>
          <w:rFonts w:hint="eastAsia" w:ascii="Tahoma" w:hAnsi="Tahoma" w:cs="Tahoma"/>
          <w:color w:val="000000" w:themeColor="text1"/>
          <w:szCs w:val="21"/>
          <w:highlight w:val="none"/>
          <w14:textFill>
            <w14:solidFill>
              <w14:schemeClr w14:val="tx1"/>
            </w14:solidFill>
          </w14:textFill>
        </w:rPr>
        <w:t>投标人应提交证明其拟供货物符合招标文件要求的技术文件，该文件可以是包括文字资料、图纸和数据等组成，并须提供货物主要技术性能的详细描述。</w:t>
      </w:r>
      <w:r>
        <w:rPr>
          <w:rFonts w:ascii="Tahoma" w:hAnsi="Tahoma" w:cs="Tahoma"/>
          <w:color w:val="000000" w:themeColor="text1"/>
          <w:szCs w:val="21"/>
          <w:highlight w:val="none"/>
          <w14:textFill>
            <w14:solidFill>
              <w14:schemeClr w14:val="tx1"/>
            </w14:solidFill>
          </w14:textFill>
        </w:rPr>
        <w:t xml:space="preserve"> </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3.4.9</w:t>
      </w:r>
      <w:r>
        <w:rPr>
          <w:rFonts w:hint="eastAsia" w:ascii="Tahoma" w:hAnsi="Tahoma" w:cs="Tahoma"/>
          <w:b/>
          <w:color w:val="000000" w:themeColor="text1"/>
          <w:szCs w:val="21"/>
          <w:highlight w:val="none"/>
          <w14:textFill>
            <w14:solidFill>
              <w14:schemeClr w14:val="tx1"/>
            </w14:solidFill>
          </w14:textFill>
        </w:rPr>
        <w:t>未按招标文件规定的内容编写的投标文件或投标文件字迹模糊不清的，无法辨认其价格、关键参数或指标等的，其投标无效。</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3.4.10</w:t>
      </w:r>
      <w:r>
        <w:rPr>
          <w:rFonts w:hint="eastAsia" w:ascii="宋体" w:hAnsi="宋体" w:cs="Tahoma"/>
          <w:color w:val="000000" w:themeColor="text1"/>
          <w:szCs w:val="21"/>
          <w:highlight w:val="none"/>
          <w14:textFill>
            <w14:solidFill>
              <w14:schemeClr w14:val="tx1"/>
            </w14:solidFill>
          </w14:textFill>
        </w:rPr>
        <w:t>所有资格证明文件复印件须注明“与原件一致”并加盖</w:t>
      </w:r>
      <w:r>
        <w:rPr>
          <w:rFonts w:hint="eastAsia" w:ascii="Tahoma" w:hAnsi="Tahoma" w:cs="Tahoma"/>
          <w:color w:val="000000" w:themeColor="text1"/>
          <w:szCs w:val="21"/>
          <w:highlight w:val="none"/>
          <w14:textFill>
            <w14:solidFill>
              <w14:schemeClr w14:val="tx1"/>
            </w14:solidFill>
          </w14:textFill>
        </w:rPr>
        <w:t>投标人公章。</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3.4.11</w:t>
      </w:r>
      <w:r>
        <w:rPr>
          <w:rFonts w:hint="eastAsia" w:ascii="Tahoma" w:hAnsi="Tahoma" w:cs="Tahoma"/>
          <w:color w:val="000000" w:themeColor="text1"/>
          <w:szCs w:val="21"/>
          <w:highlight w:val="none"/>
          <w14:textFill>
            <w14:solidFill>
              <w14:schemeClr w14:val="tx1"/>
            </w14:solidFill>
          </w14:textFill>
        </w:rPr>
        <w:t>投标人可对本次招标的所有货物进行投标，也可只对其中一个合同包或几个合同包的货物进行投标；除非招标文件另有规定，不得将一个合同包中的货物拆开投标。</w:t>
      </w:r>
    </w:p>
    <w:p>
      <w:pPr>
        <w:spacing w:line="320" w:lineRule="exact"/>
        <w:rPr>
          <w:rFonts w:ascii="Tahoma" w:hAnsi="Tahoma" w:cs="Tahoma"/>
          <w:b/>
          <w:bCs/>
          <w:color w:val="000000" w:themeColor="text1"/>
          <w:szCs w:val="21"/>
          <w:highlight w:val="none"/>
          <w14:textFill>
            <w14:solidFill>
              <w14:schemeClr w14:val="tx1"/>
            </w14:solidFill>
          </w14:textFill>
        </w:rPr>
      </w:pPr>
      <w:r>
        <w:rPr>
          <w:rFonts w:ascii="Tahoma" w:hAnsi="Tahoma" w:cs="Tahoma"/>
          <w:b/>
          <w:bCs/>
          <w:color w:val="000000" w:themeColor="text1"/>
          <w:szCs w:val="21"/>
          <w:highlight w:val="none"/>
          <w14:textFill>
            <w14:solidFill>
              <w14:schemeClr w14:val="tx1"/>
            </w14:solidFill>
          </w14:textFill>
        </w:rPr>
        <w:t>3.5. 投标有效期</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3.5.1投标文件从投标人须知前附表所规定的投标截止期之后开始生效，在投标人须知前附表所规定的期限内保持有效。有效期不足将导致其投标文件被拒绝。</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3.5.2特殊情况下招标代理人可于投标有效期满之前书面要求投标人同意延长有效期，投标人应在招标代理机构规定的期限内以书面形式予以答复。投标人可以拒绝上述要求而其投标保证金可按规定予以退还。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pPr>
        <w:spacing w:line="320" w:lineRule="exact"/>
        <w:rPr>
          <w:rFonts w:ascii="Tahoma" w:hAnsi="Tahoma" w:cs="Tahoma"/>
          <w:b/>
          <w:bCs/>
          <w:color w:val="000000" w:themeColor="text1"/>
          <w:szCs w:val="21"/>
          <w:highlight w:val="none"/>
          <w14:textFill>
            <w14:solidFill>
              <w14:schemeClr w14:val="tx1"/>
            </w14:solidFill>
          </w14:textFill>
        </w:rPr>
      </w:pPr>
      <w:r>
        <w:rPr>
          <w:rFonts w:ascii="Tahoma" w:hAnsi="Tahoma" w:cs="Tahoma"/>
          <w:b/>
          <w:bCs/>
          <w:color w:val="000000" w:themeColor="text1"/>
          <w:szCs w:val="21"/>
          <w:highlight w:val="none"/>
          <w14:textFill>
            <w14:solidFill>
              <w14:schemeClr w14:val="tx1"/>
            </w14:solidFill>
          </w14:textFill>
        </w:rPr>
        <w:t>3.6. 投标保证金</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3.6.1 投标保证金为投标文件的组成部分之一。</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3.6.2 投标人应在提交投标文件之前向招标代理机构缴交投标人须知前附表要求的投标保证金。联合体投标的，可以由联合体中的一方或者共同提交投标保证金，以一方名义提交投标保证金的，对联合体各方均具有约束力。</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3.6.3 投标保证金用于保护本次招标活动免受投标人的行为而引起的风险。</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3.6.4 投标保证金以</w:t>
      </w:r>
      <w:r>
        <w:rPr>
          <w:rFonts w:ascii="Tahoma" w:hAnsi="Tahoma" w:cs="Tahoma"/>
          <w:bCs/>
          <w:color w:val="000000" w:themeColor="text1"/>
          <w:spacing w:val="8"/>
          <w:kern w:val="0"/>
          <w:szCs w:val="21"/>
          <w:highlight w:val="none"/>
          <w14:textFill>
            <w14:solidFill>
              <w14:schemeClr w14:val="tx1"/>
            </w14:solidFill>
          </w14:textFill>
        </w:rPr>
        <w:t>投标保证金可以采用</w:t>
      </w:r>
      <w:r>
        <w:rPr>
          <w:rFonts w:ascii="Tahoma" w:hAnsi="Tahoma" w:cs="Tahoma"/>
          <w:bCs/>
          <w:color w:val="000000" w:themeColor="text1"/>
          <w:szCs w:val="21"/>
          <w:highlight w:val="none"/>
          <w14:textFill>
            <w14:solidFill>
              <w14:schemeClr w14:val="tx1"/>
            </w14:solidFill>
          </w14:textFill>
        </w:rPr>
        <w:t>现金、</w:t>
      </w:r>
      <w:r>
        <w:rPr>
          <w:rFonts w:ascii="Tahoma" w:hAnsi="Tahoma" w:cs="Tahoma"/>
          <w:bCs/>
          <w:color w:val="000000" w:themeColor="text1"/>
          <w:spacing w:val="8"/>
          <w:kern w:val="0"/>
          <w:szCs w:val="21"/>
          <w:highlight w:val="none"/>
          <w14:textFill>
            <w14:solidFill>
              <w14:schemeClr w14:val="tx1"/>
            </w14:solidFill>
          </w14:textFill>
        </w:rPr>
        <w:t>现金支票、银行汇票、银行保函等形式交纳</w:t>
      </w:r>
      <w:r>
        <w:rPr>
          <w:rFonts w:ascii="Tahoma" w:hAnsi="Tahoma" w:cs="Tahoma"/>
          <w:color w:val="000000" w:themeColor="text1"/>
          <w:szCs w:val="21"/>
          <w:highlight w:val="none"/>
          <w14:textFill>
            <w14:solidFill>
              <w14:schemeClr w14:val="tx1"/>
            </w14:solidFill>
          </w14:textFill>
        </w:rPr>
        <w:t>。投标人须知前附表另有规定的，则从其约定。</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3.6.5 未按规定缴交投标保证金的投标，将被视为无效投标。</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3.6.6投标保证金退还手续说明</w:t>
      </w:r>
    </w:p>
    <w:p>
      <w:pPr>
        <w:spacing w:line="320" w:lineRule="exact"/>
        <w:ind w:firstLine="105" w:firstLineChars="5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（1）投标保证金将在中标通知书发出之日起五个工作日内，按照投标人所提供的开户行、开户名称、帐号等信息，予以原额无息退还中标人以外的投标人的投标保证金。</w:t>
      </w:r>
    </w:p>
    <w:p>
      <w:pPr>
        <w:spacing w:line="320" w:lineRule="exact"/>
        <w:ind w:firstLine="105" w:firstLineChars="5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2）请相关投标人按上述说明办理保证金退还手续，未按要求办理的将不能如期办理而非招标人原因。因招标人原因造成逾期退还投标保证金的，将按商业银行同期一年期贷款基准利率上浮20%后的利率向投标人支付资金占用费。</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3.6.7在中标人签订合同（招标人如有要求中标人支付履约保证金的，则增加：支付履约保证金）后5个工作日内，中标人的投标保证金予以原额无息退还。</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3.6.8 投标保证金的有效期为投标有效期满后的</w:t>
      </w:r>
      <w:r>
        <w:rPr>
          <w:rFonts w:hint="eastAsia" w:ascii="Tahoma" w:hAnsi="Tahoma" w:cs="Tahoma"/>
          <w:color w:val="000000" w:themeColor="text1"/>
          <w:szCs w:val="21"/>
          <w:highlight w:val="none"/>
          <w14:textFill>
            <w14:solidFill>
              <w14:schemeClr w14:val="tx1"/>
            </w14:solidFill>
          </w14:textFill>
        </w:rPr>
        <w:t>30</w:t>
      </w:r>
      <w:r>
        <w:rPr>
          <w:rFonts w:ascii="Tahoma" w:hAnsi="Tahoma" w:cs="Tahoma"/>
          <w:color w:val="000000" w:themeColor="text1"/>
          <w:szCs w:val="21"/>
          <w:highlight w:val="none"/>
          <w14:textFill>
            <w14:solidFill>
              <w14:schemeClr w14:val="tx1"/>
            </w14:solidFill>
          </w14:textFill>
        </w:rPr>
        <w:t>个</w:t>
      </w:r>
      <w:r>
        <w:rPr>
          <w:rFonts w:hint="eastAsia" w:ascii="Tahoma" w:hAnsi="Tahoma" w:cs="Tahoma"/>
          <w:color w:val="000000" w:themeColor="text1"/>
          <w:szCs w:val="21"/>
          <w:highlight w:val="none"/>
          <w14:textFill>
            <w14:solidFill>
              <w14:schemeClr w14:val="tx1"/>
            </w14:solidFill>
          </w14:textFill>
        </w:rPr>
        <w:t>工作</w:t>
      </w:r>
      <w:r>
        <w:rPr>
          <w:rFonts w:ascii="Tahoma" w:hAnsi="Tahoma" w:cs="Tahoma"/>
          <w:color w:val="000000" w:themeColor="text1"/>
          <w:szCs w:val="21"/>
          <w:highlight w:val="none"/>
          <w14:textFill>
            <w14:solidFill>
              <w14:schemeClr w14:val="tx1"/>
            </w14:solidFill>
          </w14:textFill>
        </w:rPr>
        <w:t>日。</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3.6.9 发生以下情况之一的，投标保证金将不予退还：</w:t>
      </w:r>
    </w:p>
    <w:p>
      <w:pPr>
        <w:spacing w:line="320" w:lineRule="exact"/>
        <w:ind w:firstLine="105" w:firstLineChars="5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（1）投标人在</w:t>
      </w:r>
      <w:r>
        <w:rPr>
          <w:rFonts w:hint="eastAsia" w:ascii="Tahoma" w:hAnsi="Tahoma" w:cs="Tahoma"/>
          <w:color w:val="000000" w:themeColor="text1"/>
          <w:szCs w:val="21"/>
          <w:highlight w:val="none"/>
          <w14:textFill>
            <w14:solidFill>
              <w14:schemeClr w14:val="tx1"/>
            </w14:solidFill>
          </w14:textFill>
        </w:rPr>
        <w:t>投标有效期内撤销投标文件的；</w:t>
      </w:r>
    </w:p>
    <w:p>
      <w:pPr>
        <w:spacing w:line="320" w:lineRule="exact"/>
        <w:ind w:firstLine="105" w:firstLineChars="5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（2）投标人提供虚假投标证明材料；</w:t>
      </w:r>
    </w:p>
    <w:p>
      <w:pPr>
        <w:spacing w:line="320" w:lineRule="exact"/>
        <w:ind w:firstLine="105" w:firstLineChars="5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（3）中标人未按有关规定缴纳招标代理服务费； </w:t>
      </w:r>
    </w:p>
    <w:p>
      <w:pPr>
        <w:spacing w:line="320" w:lineRule="exact"/>
        <w:ind w:firstLine="105" w:firstLineChars="5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（4）以他人名义投标或者以其他方式弄虚作假，骗取中标；</w:t>
      </w:r>
    </w:p>
    <w:p>
      <w:pPr>
        <w:shd w:val="clear" w:color="auto" w:fill="FFFFFF"/>
        <w:snapToGrid w:val="0"/>
        <w:spacing w:line="320" w:lineRule="exact"/>
        <w:ind w:firstLine="105" w:firstLineChars="50"/>
        <w:rPr>
          <w:rFonts w:ascii="Tahoma" w:hAnsi="Tahoma" w:cs="Tahoma"/>
          <w:color w:val="000000" w:themeColor="text1"/>
          <w:kern w:val="0"/>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（5）</w:t>
      </w:r>
      <w:r>
        <w:rPr>
          <w:rFonts w:ascii="Tahoma" w:hAnsi="Tahoma" w:cs="Tahoma"/>
          <w:color w:val="000000" w:themeColor="text1"/>
          <w:kern w:val="0"/>
          <w:szCs w:val="21"/>
          <w:highlight w:val="none"/>
          <w14:textFill>
            <w14:solidFill>
              <w14:schemeClr w14:val="tx1"/>
            </w14:solidFill>
          </w14:textFill>
        </w:rPr>
        <w:t>投标人在规定的投标有效期内修改其投标文件；</w:t>
      </w:r>
    </w:p>
    <w:p>
      <w:pPr>
        <w:shd w:val="clear" w:color="auto" w:fill="FFFFFF"/>
        <w:snapToGrid w:val="0"/>
        <w:spacing w:line="320" w:lineRule="exact"/>
        <w:ind w:firstLine="105" w:firstLineChars="50"/>
        <w:rPr>
          <w:rFonts w:ascii="Tahoma" w:hAnsi="Tahoma" w:cs="Tahoma"/>
          <w:color w:val="000000" w:themeColor="text1"/>
          <w:kern w:val="0"/>
          <w:szCs w:val="21"/>
          <w:highlight w:val="none"/>
          <w14:textFill>
            <w14:solidFill>
              <w14:schemeClr w14:val="tx1"/>
            </w14:solidFill>
          </w14:textFill>
        </w:rPr>
      </w:pPr>
      <w:r>
        <w:rPr>
          <w:rFonts w:ascii="Tahoma" w:hAnsi="Tahoma" w:cs="Tahoma"/>
          <w:color w:val="000000" w:themeColor="text1"/>
          <w:kern w:val="0"/>
          <w:szCs w:val="21"/>
          <w:highlight w:val="none"/>
          <w14:textFill>
            <w14:solidFill>
              <w14:schemeClr w14:val="tx1"/>
            </w14:solidFill>
          </w14:textFill>
        </w:rPr>
        <w:t>（6）中标人在收到中标通知书后，无正当理由拒签合同协议书或未按招标文件规定提交履约担保。</w:t>
      </w:r>
    </w:p>
    <w:p>
      <w:pPr>
        <w:spacing w:line="320" w:lineRule="exact"/>
        <w:ind w:firstLine="105" w:firstLineChars="5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（7）上述不予退还投标保证金的情况给招标采购单位造成损失的，还要承担赔偿责任。</w:t>
      </w:r>
    </w:p>
    <w:p>
      <w:pPr>
        <w:spacing w:line="340" w:lineRule="exact"/>
        <w:jc w:val="center"/>
        <w:rPr>
          <w:rFonts w:ascii="Tahoma" w:hAnsi="Tahoma" w:eastAsia="黑体" w:cs="Tahoma"/>
          <w:color w:val="000000" w:themeColor="text1"/>
          <w:sz w:val="24"/>
          <w:highlight w:val="none"/>
          <w14:textFill>
            <w14:solidFill>
              <w14:schemeClr w14:val="tx1"/>
            </w14:solidFill>
          </w14:textFill>
        </w:rPr>
      </w:pPr>
      <w:r>
        <w:rPr>
          <w:rFonts w:ascii="Tahoma" w:hAnsi="Tahoma" w:eastAsia="黑体" w:cs="Tahoma"/>
          <w:b/>
          <w:bCs/>
          <w:color w:val="000000" w:themeColor="text1"/>
          <w:sz w:val="24"/>
          <w:highlight w:val="none"/>
          <w14:textFill>
            <w14:solidFill>
              <w14:schemeClr w14:val="tx1"/>
            </w14:solidFill>
          </w14:textFill>
        </w:rPr>
        <w:t>4、投标</w:t>
      </w:r>
    </w:p>
    <w:p>
      <w:pPr>
        <w:spacing w:line="340" w:lineRule="exact"/>
        <w:rPr>
          <w:rFonts w:ascii="Tahoma" w:hAnsi="Tahoma" w:cs="Tahoma"/>
          <w:b/>
          <w:bCs/>
          <w:color w:val="000000" w:themeColor="text1"/>
          <w:szCs w:val="21"/>
          <w:highlight w:val="none"/>
          <w14:textFill>
            <w14:solidFill>
              <w14:schemeClr w14:val="tx1"/>
            </w14:solidFill>
          </w14:textFill>
        </w:rPr>
      </w:pPr>
      <w:r>
        <w:rPr>
          <w:rFonts w:hint="eastAsia" w:ascii="Tahoma" w:hAnsi="Tahoma" w:cs="Tahoma"/>
          <w:b/>
          <w:bCs/>
          <w:color w:val="000000" w:themeColor="text1"/>
          <w:szCs w:val="21"/>
          <w:highlight w:val="none"/>
          <w14:textFill>
            <w14:solidFill>
              <w14:schemeClr w14:val="tx1"/>
            </w14:solidFill>
          </w14:textFill>
        </w:rPr>
        <w:t>4.1</w:t>
      </w:r>
      <w:r>
        <w:rPr>
          <w:rFonts w:ascii="Tahoma" w:hAnsi="Tahoma" w:cs="Tahoma"/>
          <w:b/>
          <w:bCs/>
          <w:color w:val="000000" w:themeColor="text1"/>
          <w:szCs w:val="21"/>
          <w:highlight w:val="none"/>
          <w14:textFill>
            <w14:solidFill>
              <w14:schemeClr w14:val="tx1"/>
            </w14:solidFill>
          </w14:textFill>
        </w:rPr>
        <w:t>.投标文件的密封、标记</w:t>
      </w:r>
    </w:p>
    <w:p>
      <w:pPr>
        <w:spacing w:line="340" w:lineRule="exact"/>
        <w:rPr>
          <w:rFonts w:ascii="Tahoma" w:hAnsi="Tahoma" w:cs="Tahoma"/>
          <w:b/>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4.1.1 投标人应将投标文件正本</w:t>
      </w:r>
      <w:r>
        <w:rPr>
          <w:rFonts w:hint="eastAsia" w:ascii="Tahoma" w:hAnsi="Tahoma" w:cs="Tahoma"/>
          <w:color w:val="000000" w:themeColor="text1"/>
          <w:szCs w:val="21"/>
          <w:highlight w:val="none"/>
          <w14:textFill>
            <w14:solidFill>
              <w14:schemeClr w14:val="tx1"/>
            </w14:solidFill>
          </w14:textFill>
        </w:rPr>
        <w:t>、</w:t>
      </w:r>
      <w:r>
        <w:rPr>
          <w:rFonts w:ascii="Tahoma" w:hAnsi="Tahoma" w:cs="Tahoma"/>
          <w:color w:val="000000" w:themeColor="text1"/>
          <w:szCs w:val="21"/>
          <w:highlight w:val="none"/>
          <w14:textFill>
            <w14:solidFill>
              <w14:schemeClr w14:val="tx1"/>
            </w14:solidFill>
          </w14:textFill>
        </w:rPr>
        <w:t>全部副本</w:t>
      </w:r>
      <w:r>
        <w:rPr>
          <w:rFonts w:hint="eastAsia" w:ascii="Tahoma" w:hAnsi="Tahoma" w:cs="Tahoma"/>
          <w:color w:val="000000" w:themeColor="text1"/>
          <w:szCs w:val="21"/>
          <w:highlight w:val="none"/>
          <w14:textFill>
            <w14:solidFill>
              <w14:schemeClr w14:val="tx1"/>
            </w14:solidFill>
          </w14:textFill>
        </w:rPr>
        <w:t>、投标报价</w:t>
      </w:r>
      <w:r>
        <w:rPr>
          <w:rFonts w:ascii="Tahoma" w:hAnsi="Tahoma" w:cs="Tahoma"/>
          <w:color w:val="000000" w:themeColor="text1"/>
          <w:szCs w:val="21"/>
          <w:highlight w:val="none"/>
          <w14:textFill>
            <w14:solidFill>
              <w14:schemeClr w14:val="tx1"/>
            </w14:solidFill>
          </w14:textFill>
        </w:rPr>
        <w:t>分别用封袋密封，并</w:t>
      </w:r>
      <w:r>
        <w:rPr>
          <w:rFonts w:hint="eastAsia" w:ascii="Tahoma" w:hAnsi="Tahoma" w:cs="Tahoma"/>
          <w:color w:val="000000" w:themeColor="text1"/>
          <w:szCs w:val="21"/>
          <w:highlight w:val="none"/>
          <w14:textFill>
            <w14:solidFill>
              <w14:schemeClr w14:val="tx1"/>
            </w14:solidFill>
          </w14:textFill>
        </w:rPr>
        <w:t>在封套上</w:t>
      </w:r>
      <w:r>
        <w:rPr>
          <w:rFonts w:ascii="Tahoma" w:hAnsi="Tahoma" w:cs="Tahoma"/>
          <w:color w:val="000000" w:themeColor="text1"/>
          <w:szCs w:val="21"/>
          <w:highlight w:val="none"/>
          <w14:textFill>
            <w14:solidFill>
              <w14:schemeClr w14:val="tx1"/>
            </w14:solidFill>
          </w14:textFill>
        </w:rPr>
        <w:t>标明招标编号、投标人名称、项目编号及</w:t>
      </w:r>
      <w:r>
        <w:rPr>
          <w:rFonts w:ascii="宋体" w:hAnsi="宋体" w:cs="Tahoma"/>
          <w:color w:val="000000" w:themeColor="text1"/>
          <w:szCs w:val="21"/>
          <w:highlight w:val="none"/>
          <w14:textFill>
            <w14:solidFill>
              <w14:schemeClr w14:val="tx1"/>
            </w14:solidFill>
          </w14:textFill>
        </w:rPr>
        <w:t>“正本”或“副本”或</w:t>
      </w:r>
      <w:r>
        <w:rPr>
          <w:rFonts w:hint="eastAsia" w:ascii="宋体" w:hAnsi="宋体" w:cs="Tahoma"/>
          <w:color w:val="000000" w:themeColor="text1"/>
          <w:szCs w:val="21"/>
          <w:highlight w:val="none"/>
          <w14:textFill>
            <w14:solidFill>
              <w14:schemeClr w14:val="tx1"/>
            </w14:solidFill>
          </w14:textFill>
        </w:rPr>
        <w:t>“</w:t>
      </w:r>
      <w:r>
        <w:rPr>
          <w:rFonts w:hint="eastAsia" w:ascii="Tahoma" w:hAnsi="Tahoma" w:cs="Tahoma"/>
          <w:color w:val="000000" w:themeColor="text1"/>
          <w:szCs w:val="21"/>
          <w:highlight w:val="none"/>
          <w14:textFill>
            <w14:solidFill>
              <w14:schemeClr w14:val="tx1"/>
            </w14:solidFill>
          </w14:textFill>
        </w:rPr>
        <w:t>投标报价</w:t>
      </w:r>
      <w:r>
        <w:rPr>
          <w:rFonts w:hint="eastAsia" w:ascii="宋体" w:hAnsi="宋体" w:cs="Tahoma"/>
          <w:color w:val="000000" w:themeColor="text1"/>
          <w:szCs w:val="21"/>
          <w:highlight w:val="none"/>
          <w14:textFill>
            <w14:solidFill>
              <w14:schemeClr w14:val="tx1"/>
            </w14:solidFill>
          </w14:textFill>
        </w:rPr>
        <w:t>”</w:t>
      </w:r>
      <w:r>
        <w:rPr>
          <w:rFonts w:ascii="Tahoma" w:hAnsi="Tahoma" w:cs="Tahoma"/>
          <w:color w:val="000000" w:themeColor="text1"/>
          <w:szCs w:val="21"/>
          <w:highlight w:val="none"/>
          <w14:textFill>
            <w14:solidFill>
              <w14:schemeClr w14:val="tx1"/>
            </w14:solidFill>
          </w14:textFill>
        </w:rPr>
        <w:t>字样，并在封口处盖上骑缝公章。</w:t>
      </w:r>
    </w:p>
    <w:p>
      <w:pPr>
        <w:spacing w:line="34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4.1.2 每一封套上应注明</w:t>
      </w:r>
      <w:r>
        <w:rPr>
          <w:rFonts w:ascii="宋体" w:hAnsi="宋体" w:cs="Tahoma"/>
          <w:color w:val="000000" w:themeColor="text1"/>
          <w:szCs w:val="21"/>
          <w:highlight w:val="none"/>
          <w14:textFill>
            <w14:solidFill>
              <w14:schemeClr w14:val="tx1"/>
            </w14:solidFill>
          </w14:textFill>
        </w:rPr>
        <w:t>“在</w:t>
      </w:r>
      <w:r>
        <w:rPr>
          <w:rFonts w:ascii="宋体" w:hAnsi="宋体" w:cs="Tahoma"/>
          <w:color w:val="000000" w:themeColor="text1"/>
          <w:szCs w:val="21"/>
          <w:highlight w:val="none"/>
          <w:u w:val="single"/>
          <w14:textFill>
            <w14:solidFill>
              <w14:schemeClr w14:val="tx1"/>
            </w14:solidFill>
          </w14:textFill>
        </w:rPr>
        <w:t xml:space="preserve">         </w:t>
      </w:r>
      <w:r>
        <w:rPr>
          <w:rFonts w:ascii="宋体" w:hAnsi="宋体" w:cs="Tahoma"/>
          <w:color w:val="000000" w:themeColor="text1"/>
          <w:szCs w:val="21"/>
          <w:highlight w:val="none"/>
          <w14:textFill>
            <w14:solidFill>
              <w14:schemeClr w14:val="tx1"/>
            </w14:solidFill>
          </w14:textFill>
        </w:rPr>
        <w:t>年</w:t>
      </w:r>
      <w:r>
        <w:rPr>
          <w:rFonts w:ascii="宋体" w:hAnsi="宋体" w:cs="Tahoma"/>
          <w:color w:val="000000" w:themeColor="text1"/>
          <w:szCs w:val="21"/>
          <w:highlight w:val="none"/>
          <w:u w:val="single"/>
          <w14:textFill>
            <w14:solidFill>
              <w14:schemeClr w14:val="tx1"/>
            </w14:solidFill>
          </w14:textFill>
        </w:rPr>
        <w:t xml:space="preserve">   </w:t>
      </w:r>
      <w:r>
        <w:rPr>
          <w:rFonts w:ascii="宋体" w:hAnsi="宋体" w:cs="Tahoma"/>
          <w:color w:val="000000" w:themeColor="text1"/>
          <w:szCs w:val="21"/>
          <w:highlight w:val="none"/>
          <w14:textFill>
            <w14:solidFill>
              <w14:schemeClr w14:val="tx1"/>
            </w14:solidFill>
          </w14:textFill>
        </w:rPr>
        <w:t>月</w:t>
      </w:r>
      <w:r>
        <w:rPr>
          <w:rFonts w:ascii="宋体" w:hAnsi="宋体" w:cs="Tahoma"/>
          <w:color w:val="000000" w:themeColor="text1"/>
          <w:szCs w:val="21"/>
          <w:highlight w:val="none"/>
          <w:u w:val="single"/>
          <w14:textFill>
            <w14:solidFill>
              <w14:schemeClr w14:val="tx1"/>
            </w14:solidFill>
          </w14:textFill>
        </w:rPr>
        <w:t xml:space="preserve">    </w:t>
      </w:r>
      <w:r>
        <w:rPr>
          <w:rFonts w:ascii="宋体" w:hAnsi="宋体" w:cs="Tahoma"/>
          <w:color w:val="000000" w:themeColor="text1"/>
          <w:szCs w:val="21"/>
          <w:highlight w:val="none"/>
          <w14:textFill>
            <w14:solidFill>
              <w14:schemeClr w14:val="tx1"/>
            </w14:solidFill>
          </w14:textFill>
        </w:rPr>
        <w:t>日</w:t>
      </w:r>
      <w:r>
        <w:rPr>
          <w:rFonts w:ascii="宋体" w:hAnsi="宋体" w:cs="Tahoma"/>
          <w:color w:val="000000" w:themeColor="text1"/>
          <w:szCs w:val="21"/>
          <w:highlight w:val="none"/>
          <w:u w:val="single"/>
          <w14:textFill>
            <w14:solidFill>
              <w14:schemeClr w14:val="tx1"/>
            </w14:solidFill>
          </w14:textFill>
        </w:rPr>
        <w:t xml:space="preserve">   </w:t>
      </w:r>
      <w:r>
        <w:rPr>
          <w:rFonts w:ascii="宋体" w:hAnsi="宋体" w:cs="Tahoma"/>
          <w:color w:val="000000" w:themeColor="text1"/>
          <w:szCs w:val="21"/>
          <w:highlight w:val="none"/>
          <w14:textFill>
            <w14:solidFill>
              <w14:schemeClr w14:val="tx1"/>
            </w14:solidFill>
          </w14:textFill>
        </w:rPr>
        <w:t>时</w:t>
      </w:r>
      <w:r>
        <w:rPr>
          <w:rFonts w:ascii="宋体" w:hAnsi="宋体" w:cs="Tahoma"/>
          <w:color w:val="000000" w:themeColor="text1"/>
          <w:szCs w:val="21"/>
          <w:highlight w:val="none"/>
          <w:u w:val="single"/>
          <w14:textFill>
            <w14:solidFill>
              <w14:schemeClr w14:val="tx1"/>
            </w14:solidFill>
          </w14:textFill>
        </w:rPr>
        <w:t xml:space="preserve">   </w:t>
      </w:r>
      <w:r>
        <w:rPr>
          <w:rFonts w:ascii="宋体" w:hAnsi="宋体" w:cs="Tahoma"/>
          <w:color w:val="000000" w:themeColor="text1"/>
          <w:szCs w:val="21"/>
          <w:highlight w:val="none"/>
          <w14:textFill>
            <w14:solidFill>
              <w14:schemeClr w14:val="tx1"/>
            </w14:solidFill>
          </w14:textFill>
        </w:rPr>
        <w:t>分前不得开启（指招标文件中规定的开标日期及时间）不准启封”的</w:t>
      </w:r>
      <w:r>
        <w:rPr>
          <w:rFonts w:ascii="Tahoma" w:hAnsi="Tahoma" w:cs="Tahoma"/>
          <w:color w:val="000000" w:themeColor="text1"/>
          <w:szCs w:val="21"/>
          <w:highlight w:val="none"/>
          <w14:textFill>
            <w14:solidFill>
              <w14:schemeClr w14:val="tx1"/>
            </w14:solidFill>
          </w14:textFill>
        </w:rPr>
        <w:t>字样，并加盖投标人公章。</w:t>
      </w:r>
    </w:p>
    <w:p>
      <w:pPr>
        <w:spacing w:line="340" w:lineRule="exact"/>
        <w:rPr>
          <w:rFonts w:ascii="Tahoma" w:hAnsi="Tahoma" w:cs="Tahoma"/>
          <w:color w:val="000000" w:themeColor="text1"/>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4.1.3</w:t>
      </w:r>
      <w:r>
        <w:rPr>
          <w:rFonts w:hint="eastAsia" w:ascii="宋体" w:hAnsi="宋体" w:cs="Tahoma"/>
          <w:b/>
          <w:color w:val="000000" w:themeColor="text1"/>
          <w:szCs w:val="21"/>
          <w:highlight w:val="none"/>
          <w14:textFill>
            <w14:solidFill>
              <w14:schemeClr w14:val="tx1"/>
            </w14:solidFill>
          </w14:textFill>
        </w:rPr>
        <w:t>所有投标文件未按上述要求</w:t>
      </w:r>
      <w:r>
        <w:rPr>
          <w:rFonts w:ascii="Tahoma" w:hAnsi="Tahoma" w:cs="Tahoma"/>
          <w:b/>
          <w:bCs/>
          <w:color w:val="000000" w:themeColor="text1"/>
          <w:szCs w:val="21"/>
          <w:highlight w:val="none"/>
          <w14:textFill>
            <w14:solidFill>
              <w14:schemeClr w14:val="tx1"/>
            </w14:solidFill>
          </w14:textFill>
        </w:rPr>
        <w:t>标记</w:t>
      </w:r>
      <w:r>
        <w:rPr>
          <w:rFonts w:hint="eastAsia" w:ascii="Tahoma" w:hAnsi="Tahoma" w:cs="Tahoma"/>
          <w:b/>
          <w:bCs/>
          <w:color w:val="000000" w:themeColor="text1"/>
          <w:szCs w:val="21"/>
          <w:highlight w:val="none"/>
          <w14:textFill>
            <w14:solidFill>
              <w14:schemeClr w14:val="tx1"/>
            </w14:solidFill>
          </w14:textFill>
        </w:rPr>
        <w:t>、</w:t>
      </w:r>
      <w:r>
        <w:rPr>
          <w:rFonts w:hint="eastAsia" w:ascii="宋体" w:hAnsi="宋体" w:cs="Tahoma"/>
          <w:b/>
          <w:color w:val="000000" w:themeColor="text1"/>
          <w:szCs w:val="21"/>
          <w:highlight w:val="none"/>
          <w14:textFill>
            <w14:solidFill>
              <w14:schemeClr w14:val="tx1"/>
            </w14:solidFill>
          </w14:textFill>
        </w:rPr>
        <w:t>密封或提交的，其投标无效！</w:t>
      </w:r>
    </w:p>
    <w:p>
      <w:pPr>
        <w:spacing w:line="340" w:lineRule="exact"/>
        <w:rPr>
          <w:b/>
          <w:bCs/>
          <w:color w:val="000000" w:themeColor="text1"/>
          <w:szCs w:val="21"/>
          <w:highlight w:val="none"/>
          <w14:textFill>
            <w14:solidFill>
              <w14:schemeClr w14:val="tx1"/>
            </w14:solidFill>
          </w14:textFill>
        </w:rPr>
      </w:pPr>
      <w:r>
        <w:rPr>
          <w:rFonts w:ascii="Tahoma" w:hAnsi="Tahoma" w:cs="Tahoma"/>
          <w:b/>
          <w:bCs/>
          <w:color w:val="000000" w:themeColor="text1"/>
          <w:szCs w:val="21"/>
          <w:highlight w:val="none"/>
          <w14:textFill>
            <w14:solidFill>
              <w14:schemeClr w14:val="tx1"/>
            </w14:solidFill>
          </w14:textFill>
        </w:rPr>
        <w:t>4.2.</w:t>
      </w:r>
      <w:r>
        <w:rPr>
          <w:rFonts w:hint="eastAsia" w:ascii="Tahoma" w:hAnsi="Tahoma" w:cs="Tahoma"/>
          <w:b/>
          <w:bCs/>
          <w:color w:val="000000" w:themeColor="text1"/>
          <w:szCs w:val="21"/>
          <w:highlight w:val="none"/>
          <w14:textFill>
            <w14:solidFill>
              <w14:schemeClr w14:val="tx1"/>
            </w14:solidFill>
          </w14:textFill>
        </w:rPr>
        <w:t xml:space="preserve"> </w:t>
      </w:r>
      <w:r>
        <w:rPr>
          <w:b/>
          <w:bCs/>
          <w:color w:val="000000" w:themeColor="text1"/>
          <w:szCs w:val="21"/>
          <w:highlight w:val="none"/>
          <w14:textFill>
            <w14:solidFill>
              <w14:schemeClr w14:val="tx1"/>
            </w14:solidFill>
          </w14:textFill>
        </w:rPr>
        <w:t>投标文件的递交</w:t>
      </w:r>
    </w:p>
    <w:p>
      <w:pPr>
        <w:spacing w:line="34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4.2.1</w:t>
      </w:r>
      <w:r>
        <w:rPr>
          <w:rFonts w:hint="eastAsia" w:ascii="Tahoma" w:hAnsi="Tahoma" w:cs="Tahoma"/>
          <w:color w:val="000000" w:themeColor="text1"/>
          <w:szCs w:val="21"/>
          <w:highlight w:val="none"/>
          <w14:textFill>
            <w14:solidFill>
              <w14:schemeClr w14:val="tx1"/>
            </w14:solidFill>
          </w14:textFill>
        </w:rPr>
        <w:t>投标人应当在招标文件要求提交投标文件的截止时间前，将投标文件按照上述第4.1条的规定进行密封和标记后送达投标地点。采购人或者采购代理机构收到投标文件后，应当如实记载投标文件的送达时间和密封情况，签收保存，并向投标人出具签收回执。任何单位和个人不得在开标前开启投标文件。</w:t>
      </w:r>
    </w:p>
    <w:p>
      <w:pPr>
        <w:spacing w:line="340" w:lineRule="exact"/>
        <w:rPr>
          <w:rFonts w:ascii="Tahoma" w:hAnsi="Tahoma" w:cs="Tahoma"/>
          <w:color w:val="000000" w:themeColor="text1"/>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4.2.2</w:t>
      </w:r>
      <w:r>
        <w:rPr>
          <w:rFonts w:ascii="Tahoma" w:hAnsi="Tahoma" w:cs="Tahoma"/>
          <w:color w:val="000000" w:themeColor="text1"/>
          <w:szCs w:val="21"/>
          <w:highlight w:val="none"/>
          <w14:textFill>
            <w14:solidFill>
              <w14:schemeClr w14:val="tx1"/>
            </w14:solidFill>
          </w14:textFill>
        </w:rPr>
        <w:t>如果未按上述规定进行密封和标记，招标</w:t>
      </w:r>
      <w:r>
        <w:rPr>
          <w:rFonts w:hint="eastAsia" w:ascii="Tahoma" w:hAnsi="Tahoma" w:cs="Tahoma"/>
          <w:color w:val="000000" w:themeColor="text1"/>
          <w:szCs w:val="21"/>
          <w:highlight w:val="none"/>
          <w14:textFill>
            <w14:solidFill>
              <w14:schemeClr w14:val="tx1"/>
            </w14:solidFill>
          </w14:textFill>
        </w:rPr>
        <w:t>人</w:t>
      </w:r>
      <w:r>
        <w:rPr>
          <w:rFonts w:ascii="Tahoma" w:hAnsi="Tahoma" w:cs="Tahoma"/>
          <w:color w:val="000000" w:themeColor="text1"/>
          <w:szCs w:val="21"/>
          <w:highlight w:val="none"/>
          <w14:textFill>
            <w14:solidFill>
              <w14:schemeClr w14:val="tx1"/>
            </w14:solidFill>
          </w14:textFill>
        </w:rPr>
        <w:t>将不承担由此造成的对投标文件的误投或提前拆封的责任。</w:t>
      </w:r>
    </w:p>
    <w:p>
      <w:pPr>
        <w:spacing w:line="34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4.2.3</w:t>
      </w:r>
      <w:r>
        <w:rPr>
          <w:rFonts w:hint="eastAsia" w:ascii="Tahoma" w:hAnsi="Tahoma" w:cs="Tahoma"/>
          <w:color w:val="000000" w:themeColor="text1"/>
          <w:szCs w:val="21"/>
          <w:highlight w:val="none"/>
          <w14:textFill>
            <w14:solidFill>
              <w14:schemeClr w14:val="tx1"/>
            </w14:solidFill>
          </w14:textFill>
        </w:rPr>
        <w:t>逾期送达或者未按照招标文件要求密封的投标文件，采购人、采购代理机构应当拒收</w:t>
      </w:r>
      <w:r>
        <w:rPr>
          <w:rFonts w:ascii="Tahoma" w:hAnsi="Tahoma" w:cs="Tahoma"/>
          <w:b/>
          <w:color w:val="000000" w:themeColor="text1"/>
          <w:szCs w:val="21"/>
          <w:highlight w:val="none"/>
          <w14:textFill>
            <w14:solidFill>
              <w14:schemeClr w14:val="tx1"/>
            </w14:solidFill>
          </w14:textFill>
        </w:rPr>
        <w:t>。</w:t>
      </w:r>
    </w:p>
    <w:p>
      <w:pPr>
        <w:shd w:val="clear" w:color="auto" w:fill="FFFFFF"/>
        <w:snapToGrid w:val="0"/>
        <w:spacing w:line="340" w:lineRule="exact"/>
        <w:rPr>
          <w:rFonts w:ascii="Tahoma" w:hAnsi="Tahoma" w:cs="Tahoma"/>
          <w:b/>
          <w:color w:val="000000" w:themeColor="text1"/>
          <w:kern w:val="0"/>
          <w:szCs w:val="21"/>
          <w:highlight w:val="none"/>
          <w14:textFill>
            <w14:solidFill>
              <w14:schemeClr w14:val="tx1"/>
            </w14:solidFill>
          </w14:textFill>
        </w:rPr>
      </w:pPr>
    </w:p>
    <w:p>
      <w:pPr>
        <w:shd w:val="clear" w:color="auto" w:fill="FFFFFF"/>
        <w:snapToGrid w:val="0"/>
        <w:spacing w:line="340" w:lineRule="exact"/>
        <w:rPr>
          <w:rFonts w:ascii="Trebuchet MS" w:hAnsi="Trebuchet MS" w:cs="宋体"/>
          <w:b/>
          <w:color w:val="000000" w:themeColor="text1"/>
          <w:kern w:val="0"/>
          <w:szCs w:val="21"/>
          <w:highlight w:val="none"/>
          <w14:textFill>
            <w14:solidFill>
              <w14:schemeClr w14:val="tx1"/>
            </w14:solidFill>
          </w14:textFill>
        </w:rPr>
      </w:pPr>
      <w:r>
        <w:rPr>
          <w:rFonts w:ascii="Tahoma" w:hAnsi="Tahoma" w:cs="Tahoma"/>
          <w:b/>
          <w:color w:val="000000" w:themeColor="text1"/>
          <w:kern w:val="0"/>
          <w:szCs w:val="21"/>
          <w:highlight w:val="none"/>
          <w14:textFill>
            <w14:solidFill>
              <w14:schemeClr w14:val="tx1"/>
            </w14:solidFill>
          </w14:textFill>
        </w:rPr>
        <w:t>4.3</w:t>
      </w:r>
      <w:r>
        <w:rPr>
          <w:rFonts w:ascii="Tahoma" w:hAnsi="Tahoma" w:cs="Tahoma"/>
          <w:b/>
          <w:bCs/>
          <w:color w:val="000000" w:themeColor="text1"/>
          <w:szCs w:val="21"/>
          <w:highlight w:val="none"/>
          <w14:textFill>
            <w14:solidFill>
              <w14:schemeClr w14:val="tx1"/>
            </w14:solidFill>
          </w14:textFill>
        </w:rPr>
        <w:t>.</w:t>
      </w:r>
      <w:r>
        <w:rPr>
          <w:rFonts w:hint="eastAsia" w:ascii="Tahoma" w:hAnsi="Tahoma" w:cs="Tahoma"/>
          <w:b/>
          <w:bCs/>
          <w:color w:val="000000" w:themeColor="text1"/>
          <w:szCs w:val="21"/>
          <w:highlight w:val="none"/>
          <w14:textFill>
            <w14:solidFill>
              <w14:schemeClr w14:val="tx1"/>
            </w14:solidFill>
          </w14:textFill>
        </w:rPr>
        <w:t xml:space="preserve"> </w:t>
      </w:r>
      <w:r>
        <w:rPr>
          <w:rFonts w:ascii="Tahoma" w:hAnsi="Tahoma" w:cs="Tahoma"/>
          <w:b/>
          <w:color w:val="000000" w:themeColor="text1"/>
          <w:kern w:val="0"/>
          <w:szCs w:val="21"/>
          <w:highlight w:val="none"/>
          <w14:textFill>
            <w14:solidFill>
              <w14:schemeClr w14:val="tx1"/>
            </w14:solidFill>
          </w14:textFill>
        </w:rPr>
        <w:t>投标文件的修改与撤回</w:t>
      </w:r>
    </w:p>
    <w:p>
      <w:pPr>
        <w:spacing w:line="340" w:lineRule="exact"/>
        <w:rPr>
          <w:rFonts w:ascii="Tahoma" w:hAnsi="Tahoma" w:cs="Tahoma"/>
          <w:color w:val="000000" w:themeColor="text1"/>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4.3.1</w:t>
      </w:r>
      <w:r>
        <w:rPr>
          <w:color w:val="000000" w:themeColor="text1"/>
          <w:highlight w:val="none"/>
          <w14:textFill>
            <w14:solidFill>
              <w14:schemeClr w14:val="tx1"/>
            </w14:solidFill>
          </w14:textFill>
        </w:rPr>
        <w:t>投标人在投标截止时间前，可以对所递交的投标文件进行补充、修改或者撤回，并书面通知采购人或者采购代理机构。补充、修改的内容应当按照招标文件要求签署、盖章、密封后，作为投标文件的组成部分。</w:t>
      </w:r>
    </w:p>
    <w:p>
      <w:pPr>
        <w:spacing w:line="340" w:lineRule="exact"/>
        <w:rPr>
          <w:rFonts w:ascii="Tahoma" w:hAnsi="Tahoma" w:cs="Tahoma"/>
          <w:color w:val="000000" w:themeColor="text1"/>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4.3.2</w:t>
      </w:r>
      <w:r>
        <w:rPr>
          <w:rFonts w:ascii="Tahoma" w:hAnsi="Tahoma" w:cs="Tahoma"/>
          <w:color w:val="000000" w:themeColor="text1"/>
          <w:szCs w:val="21"/>
          <w:highlight w:val="none"/>
          <w14:textFill>
            <w14:solidFill>
              <w14:schemeClr w14:val="tx1"/>
            </w14:solidFill>
          </w14:textFill>
        </w:rPr>
        <w:t>投标人在投标截止期后不得补充</w:t>
      </w:r>
      <w:r>
        <w:rPr>
          <w:rFonts w:hint="eastAsia" w:ascii="Tahoma" w:hAnsi="Tahoma" w:cs="Tahoma"/>
          <w:color w:val="000000" w:themeColor="text1"/>
          <w:szCs w:val="21"/>
          <w:highlight w:val="none"/>
          <w14:textFill>
            <w14:solidFill>
              <w14:schemeClr w14:val="tx1"/>
            </w14:solidFill>
          </w14:textFill>
        </w:rPr>
        <w:t>、</w:t>
      </w:r>
      <w:r>
        <w:rPr>
          <w:rFonts w:ascii="Tahoma" w:hAnsi="Tahoma" w:cs="Tahoma"/>
          <w:color w:val="000000" w:themeColor="text1"/>
          <w:szCs w:val="21"/>
          <w:highlight w:val="none"/>
          <w14:textFill>
            <w14:solidFill>
              <w14:schemeClr w14:val="tx1"/>
            </w14:solidFill>
          </w14:textFill>
        </w:rPr>
        <w:t>修改、撤回投标文件。</w:t>
      </w:r>
      <w:r>
        <w:rPr>
          <w:rFonts w:ascii="Tahoma" w:hAnsi="Tahoma" w:cs="Tahoma"/>
          <w:b/>
          <w:color w:val="000000" w:themeColor="text1"/>
          <w:szCs w:val="21"/>
          <w:highlight w:val="none"/>
          <w14:textFill>
            <w14:solidFill>
              <w14:schemeClr w14:val="tx1"/>
            </w14:solidFill>
          </w14:textFill>
        </w:rPr>
        <w:t>投标人在投标截止期后补充</w:t>
      </w:r>
      <w:r>
        <w:rPr>
          <w:rFonts w:hint="eastAsia" w:ascii="Tahoma" w:hAnsi="Tahoma" w:cs="Tahoma"/>
          <w:b/>
          <w:color w:val="000000" w:themeColor="text1"/>
          <w:szCs w:val="21"/>
          <w:highlight w:val="none"/>
          <w14:textFill>
            <w14:solidFill>
              <w14:schemeClr w14:val="tx1"/>
            </w14:solidFill>
          </w14:textFill>
        </w:rPr>
        <w:t>、</w:t>
      </w:r>
      <w:r>
        <w:rPr>
          <w:rFonts w:ascii="Tahoma" w:hAnsi="Tahoma" w:cs="Tahoma"/>
          <w:b/>
          <w:color w:val="000000" w:themeColor="text1"/>
          <w:szCs w:val="21"/>
          <w:highlight w:val="none"/>
          <w14:textFill>
            <w14:solidFill>
              <w14:schemeClr w14:val="tx1"/>
            </w14:solidFill>
          </w14:textFill>
        </w:rPr>
        <w:t>修改投标文件的，其投标</w:t>
      </w:r>
      <w:r>
        <w:rPr>
          <w:rFonts w:hint="eastAsia" w:ascii="Tahoma" w:hAnsi="Tahoma" w:cs="Tahoma"/>
          <w:b/>
          <w:color w:val="000000" w:themeColor="text1"/>
          <w:szCs w:val="21"/>
          <w:highlight w:val="none"/>
          <w14:textFill>
            <w14:solidFill>
              <w14:schemeClr w14:val="tx1"/>
            </w14:solidFill>
          </w14:textFill>
        </w:rPr>
        <w:t>无效</w:t>
      </w:r>
      <w:r>
        <w:rPr>
          <w:rFonts w:ascii="Tahoma" w:hAnsi="Tahoma" w:cs="Tahoma"/>
          <w:b/>
          <w:color w:val="000000" w:themeColor="text1"/>
          <w:szCs w:val="21"/>
          <w:highlight w:val="none"/>
          <w14:textFill>
            <w14:solidFill>
              <w14:schemeClr w14:val="tx1"/>
            </w14:solidFill>
          </w14:textFill>
        </w:rPr>
        <w:t>。</w:t>
      </w:r>
    </w:p>
    <w:p>
      <w:pPr>
        <w:spacing w:line="340" w:lineRule="exact"/>
        <w:jc w:val="center"/>
        <w:rPr>
          <w:rFonts w:ascii="Tahoma" w:hAnsi="Tahoma" w:eastAsia="黑体" w:cs="Tahoma"/>
          <w:b/>
          <w:bCs/>
          <w:color w:val="000000" w:themeColor="text1"/>
          <w:sz w:val="24"/>
          <w:highlight w:val="none"/>
          <w14:textFill>
            <w14:solidFill>
              <w14:schemeClr w14:val="tx1"/>
            </w14:solidFill>
          </w14:textFill>
        </w:rPr>
      </w:pPr>
      <w:r>
        <w:rPr>
          <w:rFonts w:ascii="Tahoma" w:hAnsi="Tahoma" w:eastAsia="黑体" w:cs="Tahoma"/>
          <w:b/>
          <w:bCs/>
          <w:color w:val="000000" w:themeColor="text1"/>
          <w:sz w:val="24"/>
          <w:highlight w:val="none"/>
          <w14:textFill>
            <w14:solidFill>
              <w14:schemeClr w14:val="tx1"/>
            </w14:solidFill>
          </w14:textFill>
        </w:rPr>
        <w:t>5、</w:t>
      </w:r>
      <w:r>
        <w:rPr>
          <w:rFonts w:ascii="Tahoma" w:hAnsi="Tahoma" w:eastAsia="黑体" w:cs="Tahoma"/>
          <w:b/>
          <w:bCs/>
          <w:color w:val="000000" w:themeColor="text1"/>
          <w:spacing w:val="8"/>
          <w:kern w:val="0"/>
          <w:sz w:val="24"/>
          <w:highlight w:val="none"/>
          <w14:textFill>
            <w14:solidFill>
              <w14:schemeClr w14:val="tx1"/>
            </w14:solidFill>
          </w14:textFill>
        </w:rPr>
        <w:t>开标</w:t>
      </w:r>
    </w:p>
    <w:p>
      <w:pPr>
        <w:spacing w:line="340" w:lineRule="exact"/>
        <w:rPr>
          <w:rFonts w:ascii="Tahoma" w:hAnsi="Tahoma" w:cs="Tahoma"/>
          <w:color w:val="000000" w:themeColor="text1"/>
          <w:szCs w:val="21"/>
          <w:highlight w:val="none"/>
          <w14:textFill>
            <w14:solidFill>
              <w14:schemeClr w14:val="tx1"/>
            </w14:solidFill>
          </w14:textFill>
        </w:rPr>
      </w:pPr>
      <w:r>
        <w:rPr>
          <w:rFonts w:hint="eastAsia" w:ascii="Tahoma" w:hAnsi="Tahoma" w:cs="Tahoma"/>
          <w:b/>
          <w:bCs/>
          <w:color w:val="000000" w:themeColor="text1"/>
          <w:szCs w:val="21"/>
          <w:highlight w:val="none"/>
          <w14:textFill>
            <w14:solidFill>
              <w14:schemeClr w14:val="tx1"/>
            </w14:solidFill>
          </w14:textFill>
        </w:rPr>
        <w:t xml:space="preserve">5.1. </w:t>
      </w:r>
      <w:r>
        <w:rPr>
          <w:rFonts w:ascii="Tahoma" w:hAnsi="Tahoma" w:cs="Tahoma"/>
          <w:b/>
          <w:bCs/>
          <w:color w:val="000000" w:themeColor="text1"/>
          <w:szCs w:val="21"/>
          <w:highlight w:val="none"/>
          <w14:textFill>
            <w14:solidFill>
              <w14:schemeClr w14:val="tx1"/>
            </w14:solidFill>
          </w14:textFill>
        </w:rPr>
        <w:t>开标</w:t>
      </w:r>
    </w:p>
    <w:p>
      <w:pPr>
        <w:spacing w:line="34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5.1.1 </w:t>
      </w:r>
      <w:r>
        <w:rPr>
          <w:rFonts w:ascii="Tahoma" w:hAnsi="Tahoma" w:cs="Tahoma"/>
          <w:color w:val="000000" w:themeColor="text1"/>
          <w:kern w:val="0"/>
          <w:szCs w:val="21"/>
          <w:highlight w:val="none"/>
          <w14:textFill>
            <w14:solidFill>
              <w14:schemeClr w14:val="tx1"/>
            </w14:solidFill>
          </w14:textFill>
        </w:rPr>
        <w:t>招标人按投标人须知前附表规定的时间、地点公开开标</w:t>
      </w:r>
      <w:r>
        <w:rPr>
          <w:rFonts w:ascii="Tahoma" w:hAnsi="Tahoma" w:cs="Tahoma"/>
          <w:color w:val="000000" w:themeColor="text1"/>
          <w:szCs w:val="21"/>
          <w:highlight w:val="none"/>
          <w14:textFill>
            <w14:solidFill>
              <w14:schemeClr w14:val="tx1"/>
            </w14:solidFill>
          </w14:textFill>
        </w:rPr>
        <w:t>。</w:t>
      </w:r>
    </w:p>
    <w:p>
      <w:pPr>
        <w:spacing w:line="340" w:lineRule="exact"/>
        <w:rPr>
          <w:rFonts w:ascii="Tahoma" w:hAnsi="Tahoma" w:cs="Tahoma"/>
          <w:color w:val="000000" w:themeColor="text1"/>
          <w:szCs w:val="21"/>
          <w:highlight w:val="none"/>
          <w14:textFill>
            <w14:solidFill>
              <w14:schemeClr w14:val="tx1"/>
            </w14:solidFill>
          </w14:textFill>
        </w:rPr>
      </w:pPr>
      <w:r>
        <w:rPr>
          <w:rFonts w:hint="eastAsia" w:ascii="Tahoma" w:hAnsi="Tahoma" w:cs="Tahoma"/>
          <w:bCs/>
          <w:color w:val="000000" w:themeColor="text1"/>
          <w:kern w:val="0"/>
          <w:szCs w:val="21"/>
          <w:highlight w:val="none"/>
          <w14:textFill>
            <w14:solidFill>
              <w14:schemeClr w14:val="tx1"/>
            </w14:solidFill>
          </w14:textFill>
        </w:rPr>
        <w:t>5.1.2</w:t>
      </w:r>
      <w:r>
        <w:rPr>
          <w:rFonts w:ascii="Tahoma" w:hAnsi="Tahoma" w:cs="Tahoma"/>
          <w:color w:val="000000" w:themeColor="text1"/>
          <w:kern w:val="0"/>
          <w:szCs w:val="21"/>
          <w:highlight w:val="none"/>
          <w14:textFill>
            <w14:solidFill>
              <w14:schemeClr w14:val="tx1"/>
            </w14:solidFill>
          </w14:textFill>
        </w:rPr>
        <w:t>开标由</w:t>
      </w:r>
      <w:r>
        <w:rPr>
          <w:rFonts w:ascii="Tahoma" w:hAnsi="Tahoma" w:cs="Tahoma"/>
          <w:color w:val="000000" w:themeColor="text1"/>
          <w:szCs w:val="21"/>
          <w:highlight w:val="none"/>
          <w14:textFill>
            <w14:solidFill>
              <w14:schemeClr w14:val="tx1"/>
            </w14:solidFill>
          </w14:textFill>
        </w:rPr>
        <w:t>招标代理机构主持</w:t>
      </w:r>
      <w:r>
        <w:rPr>
          <w:rFonts w:ascii="Tahoma" w:hAnsi="Tahoma" w:cs="Tahoma"/>
          <w:color w:val="000000" w:themeColor="text1"/>
          <w:kern w:val="0"/>
          <w:szCs w:val="21"/>
          <w:highlight w:val="none"/>
          <w14:textFill>
            <w14:solidFill>
              <w14:schemeClr w14:val="tx1"/>
            </w14:solidFill>
          </w14:textFill>
        </w:rPr>
        <w:t>，</w:t>
      </w:r>
      <w:r>
        <w:rPr>
          <w:rFonts w:hint="eastAsia" w:ascii="Tahoma" w:hAnsi="Tahoma" w:cs="Tahoma"/>
          <w:color w:val="000000" w:themeColor="text1"/>
          <w:kern w:val="0"/>
          <w:szCs w:val="21"/>
          <w:highlight w:val="none"/>
          <w14:textFill>
            <w14:solidFill>
              <w14:schemeClr w14:val="tx1"/>
            </w14:solidFill>
          </w14:textFill>
        </w:rPr>
        <w:t>招标</w:t>
      </w:r>
      <w:r>
        <w:rPr>
          <w:rFonts w:ascii="Tahoma" w:hAnsi="Tahoma" w:cs="Tahoma"/>
          <w:color w:val="000000" w:themeColor="text1"/>
          <w:kern w:val="0"/>
          <w:szCs w:val="21"/>
          <w:highlight w:val="none"/>
          <w14:textFill>
            <w14:solidFill>
              <w14:schemeClr w14:val="tx1"/>
            </w14:solidFill>
          </w14:textFill>
        </w:rPr>
        <w:t>人、投标人和有关方面代表参加。</w:t>
      </w:r>
      <w:r>
        <w:rPr>
          <w:rFonts w:ascii="Tahoma" w:hAnsi="Tahoma" w:cs="Tahoma"/>
          <w:color w:val="000000" w:themeColor="text1"/>
          <w:szCs w:val="21"/>
          <w:highlight w:val="none"/>
          <w14:textFill>
            <w14:solidFill>
              <w14:schemeClr w14:val="tx1"/>
            </w14:solidFill>
          </w14:textFill>
        </w:rPr>
        <w:t>所有投标人应派授权代表参加开标会，并签到。</w:t>
      </w:r>
    </w:p>
    <w:p>
      <w:pPr>
        <w:spacing w:line="340" w:lineRule="exact"/>
        <w:rPr>
          <w:color w:val="000000" w:themeColor="text1"/>
          <w:highlight w:val="none"/>
          <w14:textFill>
            <w14:solidFill>
              <w14:schemeClr w14:val="tx1"/>
            </w14:solidFill>
          </w14:textFill>
        </w:rPr>
      </w:pPr>
      <w:r>
        <w:rPr>
          <w:rFonts w:hint="eastAsia" w:ascii="Tahoma" w:hAnsi="Tahoma" w:cs="Tahoma"/>
          <w:color w:val="000000" w:themeColor="text1"/>
          <w:kern w:val="0"/>
          <w:szCs w:val="21"/>
          <w:highlight w:val="none"/>
          <w14:textFill>
            <w14:solidFill>
              <w14:schemeClr w14:val="tx1"/>
            </w14:solidFill>
          </w14:textFill>
        </w:rPr>
        <w:t>5.1.3</w:t>
      </w:r>
      <w:r>
        <w:rPr>
          <w:rFonts w:ascii="Tahoma" w:hAnsi="Tahoma" w:cs="Tahoma"/>
          <w:color w:val="000000" w:themeColor="text1"/>
          <w:kern w:val="0"/>
          <w:szCs w:val="21"/>
          <w:highlight w:val="none"/>
          <w14:textFill>
            <w14:solidFill>
              <w14:schemeClr w14:val="tx1"/>
            </w14:solidFill>
          </w14:textFill>
        </w:rPr>
        <w:t>开标时，</w:t>
      </w:r>
      <w:r>
        <w:rPr>
          <w:color w:val="000000" w:themeColor="text1"/>
          <w:highlight w:val="none"/>
          <w14:textFill>
            <w14:solidFill>
              <w14:schemeClr w14:val="tx1"/>
            </w14:solidFill>
          </w14:textFill>
        </w:rPr>
        <w:t>应当由投标人或者其推选的代表检查投标文件的密封情况；经确认无误后，由采购人或者采购代理机构工作人员当众拆封，宣布投标人名称、投标价格和招标文件规定的需要宣布的其他内容。投标人</w:t>
      </w:r>
      <w:r>
        <w:rPr>
          <w:rFonts w:ascii="Tahoma" w:cs="Tahoma"/>
          <w:color w:val="000000" w:themeColor="text1"/>
          <w:highlight w:val="none"/>
          <w14:textFill>
            <w14:solidFill>
              <w14:schemeClr w14:val="tx1"/>
            </w14:solidFill>
          </w14:textFill>
        </w:rPr>
        <w:t>不足</w:t>
      </w:r>
      <w:r>
        <w:rPr>
          <w:rFonts w:ascii="Tahoma" w:hAnsi="Tahoma" w:cs="Tahoma"/>
          <w:color w:val="000000" w:themeColor="text1"/>
          <w:highlight w:val="none"/>
          <w14:textFill>
            <w14:solidFill>
              <w14:schemeClr w14:val="tx1"/>
            </w14:solidFill>
          </w14:textFill>
        </w:rPr>
        <w:t>3</w:t>
      </w:r>
      <w:r>
        <w:rPr>
          <w:rFonts w:ascii="Tahoma" w:cs="Tahoma"/>
          <w:color w:val="000000" w:themeColor="text1"/>
          <w:highlight w:val="none"/>
          <w14:textFill>
            <w14:solidFill>
              <w14:schemeClr w14:val="tx1"/>
            </w14:solidFill>
          </w14:textFill>
        </w:rPr>
        <w:t>家的，不得开标。</w:t>
      </w:r>
    </w:p>
    <w:p>
      <w:pPr>
        <w:spacing w:line="340" w:lineRule="exact"/>
        <w:rPr>
          <w:rFonts w:ascii="Tahoma" w:cs="Tahoma"/>
          <w:color w:val="000000" w:themeColor="text1"/>
          <w:highlight w:val="none"/>
          <w14:textFill>
            <w14:solidFill>
              <w14:schemeClr w14:val="tx1"/>
            </w14:solidFill>
          </w14:textFill>
        </w:rPr>
      </w:pPr>
      <w:r>
        <w:rPr>
          <w:rFonts w:hint="eastAsia" w:ascii="Tahoma" w:hAnsi="Tahoma" w:cs="Tahoma"/>
          <w:color w:val="000000" w:themeColor="text1"/>
          <w:kern w:val="0"/>
          <w:szCs w:val="21"/>
          <w:highlight w:val="none"/>
          <w14:textFill>
            <w14:solidFill>
              <w14:schemeClr w14:val="tx1"/>
            </w14:solidFill>
          </w14:textFill>
        </w:rPr>
        <w:t>5.1.4</w:t>
      </w:r>
      <w:r>
        <w:rPr>
          <w:rFonts w:ascii="Tahoma" w:hAnsi="Tahoma" w:cs="Tahoma"/>
          <w:color w:val="000000" w:themeColor="text1"/>
          <w:kern w:val="0"/>
          <w:szCs w:val="21"/>
          <w:highlight w:val="none"/>
          <w14:textFill>
            <w14:solidFill>
              <w14:schemeClr w14:val="tx1"/>
            </w14:solidFill>
          </w14:textFill>
        </w:rPr>
        <w:t>开标时</w:t>
      </w:r>
      <w:r>
        <w:rPr>
          <w:rFonts w:hint="eastAsia" w:ascii="Tahoma" w:hAnsi="Tahoma" w:cs="Tahoma"/>
          <w:color w:val="000000" w:themeColor="text1"/>
          <w:kern w:val="0"/>
          <w:szCs w:val="21"/>
          <w:highlight w:val="none"/>
          <w14:textFill>
            <w14:solidFill>
              <w14:schemeClr w14:val="tx1"/>
            </w14:solidFill>
          </w14:textFill>
        </w:rPr>
        <w:t>，</w:t>
      </w:r>
      <w:r>
        <w:rPr>
          <w:rFonts w:hint="eastAsia" w:ascii="宋体" w:hAnsi="宋体" w:cs="Tahoma"/>
          <w:color w:val="000000" w:themeColor="text1"/>
          <w:kern w:val="0"/>
          <w:szCs w:val="21"/>
          <w:highlight w:val="none"/>
          <w14:textFill>
            <w14:solidFill>
              <w14:schemeClr w14:val="tx1"/>
            </w14:solidFill>
          </w14:textFill>
        </w:rPr>
        <w:t xml:space="preserve">投标文件中投标报价（报价表）内容与投标文件中明细表内容不一致的，以投标报价（报价表）为准。 </w:t>
      </w:r>
    </w:p>
    <w:p>
      <w:pPr>
        <w:spacing w:line="340" w:lineRule="exact"/>
        <w:rPr>
          <w:rFonts w:ascii="Tahoma" w:hAnsi="Tahoma" w:cs="Tahoma"/>
          <w:color w:val="000000" w:themeColor="text1"/>
          <w:kern w:val="0"/>
          <w:szCs w:val="21"/>
          <w:highlight w:val="none"/>
          <w14:textFill>
            <w14:solidFill>
              <w14:schemeClr w14:val="tx1"/>
            </w14:solidFill>
          </w14:textFill>
        </w:rPr>
      </w:pPr>
      <w:r>
        <w:rPr>
          <w:rFonts w:hint="eastAsia" w:ascii="Tahoma" w:hAnsi="Tahoma" w:cs="Tahoma"/>
          <w:color w:val="000000" w:themeColor="text1"/>
          <w:kern w:val="0"/>
          <w:szCs w:val="21"/>
          <w:highlight w:val="none"/>
          <w14:textFill>
            <w14:solidFill>
              <w14:schemeClr w14:val="tx1"/>
            </w14:solidFill>
          </w14:textFill>
        </w:rPr>
        <w:t>5.1.5</w:t>
      </w:r>
      <w:r>
        <w:rPr>
          <w:color w:val="000000" w:themeColor="text1"/>
          <w:highlight w:val="none"/>
          <w14:textFill>
            <w14:solidFill>
              <w14:schemeClr w14:val="tx1"/>
            </w14:solidFill>
          </w14:textFill>
        </w:rPr>
        <w:t>开标过程应当由采购人或者采购代理机构负责记录，由参加开标的各投标人代表和相关工作人员签字确认后随采购文件一并存档</w:t>
      </w:r>
      <w:r>
        <w:rPr>
          <w:rFonts w:ascii="Tahoma" w:hAnsi="Tahoma" w:cs="Tahoma"/>
          <w:color w:val="000000" w:themeColor="text1"/>
          <w:kern w:val="0"/>
          <w:szCs w:val="21"/>
          <w:highlight w:val="none"/>
          <w14:textFill>
            <w14:solidFill>
              <w14:schemeClr w14:val="tx1"/>
            </w14:solidFill>
          </w14:textFill>
        </w:rPr>
        <w:t xml:space="preserve">。 </w:t>
      </w:r>
    </w:p>
    <w:p>
      <w:pPr>
        <w:spacing w:line="340" w:lineRule="exact"/>
        <w:rPr>
          <w:rFonts w:ascii="Tahoma" w:hAnsi="Tahoma" w:cs="Tahoma"/>
          <w:color w:val="000000" w:themeColor="text1"/>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5.1.6</w:t>
      </w:r>
      <w:r>
        <w:rPr>
          <w:color w:val="000000" w:themeColor="text1"/>
          <w:highlight w:val="none"/>
          <w14:textFill>
            <w14:solidFill>
              <w14:schemeClr w14:val="tx1"/>
            </w14:solidFill>
          </w14:textFill>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spacing w:line="340" w:lineRule="exact"/>
        <w:rPr>
          <w:rFonts w:ascii="Tahoma" w:hAnsi="Tahoma" w:cs="Tahoma"/>
          <w:color w:val="000000" w:themeColor="text1"/>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5.1.7</w:t>
      </w:r>
      <w:r>
        <w:rPr>
          <w:color w:val="000000" w:themeColor="text1"/>
          <w:highlight w:val="none"/>
          <w14:textFill>
            <w14:solidFill>
              <w14:schemeClr w14:val="tx1"/>
            </w14:solidFill>
          </w14:textFill>
        </w:rPr>
        <w:t>投标人未参加开标的，视同认可开标结果</w:t>
      </w:r>
      <w:r>
        <w:rPr>
          <w:rFonts w:hint="eastAsia" w:ascii="宋体" w:hAnsi="宋体" w:cs="Tahoma"/>
          <w:color w:val="000000" w:themeColor="text1"/>
          <w:szCs w:val="21"/>
          <w:highlight w:val="none"/>
          <w14:textFill>
            <w14:solidFill>
              <w14:schemeClr w14:val="tx1"/>
            </w14:solidFill>
          </w14:textFill>
        </w:rPr>
        <w:t>。</w:t>
      </w:r>
    </w:p>
    <w:p>
      <w:pPr>
        <w:spacing w:line="340" w:lineRule="exact"/>
        <w:jc w:val="center"/>
        <w:rPr>
          <w:rFonts w:ascii="Tahoma" w:hAnsi="Tahoma" w:cs="Tahoma"/>
          <w:color w:val="000000" w:themeColor="text1"/>
          <w:sz w:val="24"/>
          <w:highlight w:val="none"/>
          <w14:textFill>
            <w14:solidFill>
              <w14:schemeClr w14:val="tx1"/>
            </w14:solidFill>
          </w14:textFill>
        </w:rPr>
      </w:pPr>
      <w:r>
        <w:rPr>
          <w:rFonts w:ascii="Tahoma" w:hAnsi="Tahoma" w:cs="Tahoma"/>
          <w:b/>
          <w:bCs/>
          <w:color w:val="000000" w:themeColor="text1"/>
          <w:sz w:val="24"/>
          <w:highlight w:val="none"/>
          <w14:textFill>
            <w14:solidFill>
              <w14:schemeClr w14:val="tx1"/>
            </w14:solidFill>
          </w14:textFill>
        </w:rPr>
        <w:t>6、</w:t>
      </w:r>
      <w:r>
        <w:rPr>
          <w:rFonts w:ascii="Tahoma" w:hAnsi="Tahoma" w:eastAsia="黑体" w:cs="Tahoma"/>
          <w:b/>
          <w:bCs/>
          <w:color w:val="000000" w:themeColor="text1"/>
          <w:sz w:val="24"/>
          <w:highlight w:val="none"/>
          <w14:textFill>
            <w14:solidFill>
              <w14:schemeClr w14:val="tx1"/>
            </w14:solidFill>
          </w14:textFill>
        </w:rPr>
        <w:t>评标</w:t>
      </w:r>
    </w:p>
    <w:p>
      <w:pPr>
        <w:spacing w:line="340" w:lineRule="exact"/>
        <w:rPr>
          <w:rFonts w:ascii="Tahoma" w:hAnsi="Tahoma" w:cs="Tahoma"/>
          <w:b/>
          <w:bCs/>
          <w:color w:val="000000" w:themeColor="text1"/>
          <w:szCs w:val="21"/>
          <w:highlight w:val="none"/>
          <w14:textFill>
            <w14:solidFill>
              <w14:schemeClr w14:val="tx1"/>
            </w14:solidFill>
          </w14:textFill>
        </w:rPr>
      </w:pPr>
      <w:r>
        <w:rPr>
          <w:rFonts w:hint="eastAsia" w:ascii="Tahoma" w:hAnsi="Tahoma" w:cs="Tahoma"/>
          <w:b/>
          <w:bCs/>
          <w:color w:val="000000" w:themeColor="text1"/>
          <w:szCs w:val="21"/>
          <w:highlight w:val="none"/>
          <w14:textFill>
            <w14:solidFill>
              <w14:schemeClr w14:val="tx1"/>
            </w14:solidFill>
          </w14:textFill>
        </w:rPr>
        <w:t>6.1</w:t>
      </w:r>
      <w:r>
        <w:rPr>
          <w:rFonts w:ascii="Tahoma" w:hAnsi="Tahoma" w:cs="Tahoma"/>
          <w:b/>
          <w:bCs/>
          <w:color w:val="000000" w:themeColor="text1"/>
          <w:szCs w:val="21"/>
          <w:highlight w:val="none"/>
          <w14:textFill>
            <w14:solidFill>
              <w14:schemeClr w14:val="tx1"/>
            </w14:solidFill>
          </w14:textFill>
        </w:rPr>
        <w:t>．评标委员会</w:t>
      </w:r>
    </w:p>
    <w:p>
      <w:pPr>
        <w:spacing w:line="340" w:lineRule="exact"/>
        <w:rPr>
          <w:rFonts w:ascii="Tahoma" w:hAnsi="Tahoma" w:cs="Tahoma"/>
          <w:color w:val="000000" w:themeColor="text1"/>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6.1.1</w:t>
      </w:r>
      <w:r>
        <w:rPr>
          <w:rFonts w:ascii="Tahoma" w:hAnsi="Tahoma" w:cs="Tahoma"/>
          <w:color w:val="000000" w:themeColor="text1"/>
          <w:szCs w:val="21"/>
          <w:highlight w:val="none"/>
          <w14:textFill>
            <w14:solidFill>
              <w14:schemeClr w14:val="tx1"/>
            </w14:solidFill>
          </w14:textFill>
        </w:rPr>
        <w:t>招标</w:t>
      </w:r>
      <w:r>
        <w:rPr>
          <w:rFonts w:hint="eastAsia" w:ascii="Tahoma" w:hAnsi="Tahoma" w:cs="Tahoma"/>
          <w:color w:val="000000" w:themeColor="text1"/>
          <w:szCs w:val="21"/>
          <w:highlight w:val="none"/>
          <w14:textFill>
            <w14:solidFill>
              <w14:schemeClr w14:val="tx1"/>
            </w14:solidFill>
          </w14:textFill>
        </w:rPr>
        <w:t>人</w:t>
      </w:r>
      <w:r>
        <w:rPr>
          <w:rFonts w:ascii="Tahoma" w:hAnsi="Tahoma" w:cs="Tahoma"/>
          <w:color w:val="000000" w:themeColor="text1"/>
          <w:szCs w:val="21"/>
          <w:highlight w:val="none"/>
          <w14:textFill>
            <w14:solidFill>
              <w14:schemeClr w14:val="tx1"/>
            </w14:solidFill>
          </w14:textFill>
        </w:rPr>
        <w:t>依法组建评标委员会。</w:t>
      </w:r>
      <w:r>
        <w:rPr>
          <w:rFonts w:ascii="Arial" w:hAnsi="Arial" w:cs="Arial"/>
          <w:bCs/>
          <w:color w:val="000000" w:themeColor="text1"/>
          <w:kern w:val="0"/>
          <w:szCs w:val="21"/>
          <w:highlight w:val="none"/>
          <w14:textFill>
            <w14:solidFill>
              <w14:schemeClr w14:val="tx1"/>
            </w14:solidFill>
          </w14:textFill>
        </w:rPr>
        <w:t>评标委员会由采购人代表和有关技术、经济等方面的专家组成，成员人数应当为</w:t>
      </w:r>
      <w:r>
        <w:rPr>
          <w:rFonts w:hint="eastAsia" w:ascii="Arial" w:hAnsi="Arial" w:cs="Arial"/>
          <w:bCs/>
          <w:color w:val="000000" w:themeColor="text1"/>
          <w:kern w:val="0"/>
          <w:szCs w:val="21"/>
          <w:highlight w:val="none"/>
          <w:u w:val="single"/>
          <w14:textFill>
            <w14:solidFill>
              <w14:schemeClr w14:val="tx1"/>
            </w14:solidFill>
          </w14:textFill>
        </w:rPr>
        <w:t xml:space="preserve"> </w:t>
      </w:r>
      <w:r>
        <w:rPr>
          <w:rFonts w:ascii="Tahoma" w:hAnsi="Tahoma" w:cs="Tahoma"/>
          <w:bCs/>
          <w:color w:val="000000" w:themeColor="text1"/>
          <w:kern w:val="0"/>
          <w:szCs w:val="21"/>
          <w:highlight w:val="none"/>
          <w:u w:val="single"/>
          <w14:textFill>
            <w14:solidFill>
              <w14:schemeClr w14:val="tx1"/>
            </w14:solidFill>
          </w14:textFill>
        </w:rPr>
        <w:t>5</w:t>
      </w:r>
      <w:r>
        <w:rPr>
          <w:rFonts w:ascii="Arial" w:hAnsi="Arial" w:cs="Arial"/>
          <w:bCs/>
          <w:color w:val="000000" w:themeColor="text1"/>
          <w:kern w:val="0"/>
          <w:szCs w:val="21"/>
          <w:highlight w:val="none"/>
          <w14:textFill>
            <w14:solidFill>
              <w14:schemeClr w14:val="tx1"/>
            </w14:solidFill>
          </w14:textFill>
        </w:rPr>
        <w:t>人以上单数</w:t>
      </w:r>
      <w:r>
        <w:rPr>
          <w:rFonts w:hint="eastAsia" w:ascii="Arial" w:hAnsi="Arial" w:cs="Arial"/>
          <w:bCs/>
          <w:color w:val="000000" w:themeColor="text1"/>
          <w:kern w:val="0"/>
          <w:szCs w:val="21"/>
          <w:highlight w:val="none"/>
          <w14:textFill>
            <w14:solidFill>
              <w14:schemeClr w14:val="tx1"/>
            </w14:solidFill>
          </w14:textFill>
        </w:rPr>
        <w:t>，</w:t>
      </w:r>
      <w:r>
        <w:rPr>
          <w:rFonts w:ascii="Arial" w:hAnsi="Arial" w:cs="Arial"/>
          <w:bCs/>
          <w:color w:val="000000" w:themeColor="text1"/>
          <w:kern w:val="0"/>
          <w:szCs w:val="21"/>
          <w:highlight w:val="none"/>
          <w14:textFill>
            <w14:solidFill>
              <w14:schemeClr w14:val="tx1"/>
            </w14:solidFill>
          </w14:textFill>
        </w:rPr>
        <w:t>其中，技术、经济等方面的专家不得少于成员总数的</w:t>
      </w:r>
      <w:r>
        <w:rPr>
          <w:rFonts w:ascii="Tahoma" w:hAnsi="Tahoma" w:cs="Tahoma"/>
          <w:bCs/>
          <w:color w:val="000000" w:themeColor="text1"/>
          <w:kern w:val="0"/>
          <w:szCs w:val="21"/>
          <w:highlight w:val="none"/>
          <w14:textFill>
            <w14:solidFill>
              <w14:schemeClr w14:val="tx1"/>
            </w14:solidFill>
          </w14:textFill>
        </w:rPr>
        <w:t>2/3</w:t>
      </w:r>
      <w:r>
        <w:rPr>
          <w:rFonts w:hint="eastAsia" w:ascii="Arial" w:hAnsi="Arial" w:cs="Arial"/>
          <w:bCs/>
          <w:color w:val="000000" w:themeColor="text1"/>
          <w:kern w:val="0"/>
          <w:szCs w:val="21"/>
          <w:highlight w:val="none"/>
          <w14:textFill>
            <w14:solidFill>
              <w14:schemeClr w14:val="tx1"/>
            </w14:solidFill>
          </w14:textFill>
        </w:rPr>
        <w:t>，</w:t>
      </w:r>
      <w:r>
        <w:rPr>
          <w:rFonts w:hint="eastAsia" w:ascii="Tahoma" w:hAnsi="Tahoma" w:cs="Tahoma"/>
          <w:color w:val="000000" w:themeColor="text1"/>
          <w:szCs w:val="21"/>
          <w:highlight w:val="none"/>
          <w14:textFill>
            <w14:solidFill>
              <w14:schemeClr w14:val="tx1"/>
            </w14:solidFill>
          </w14:textFill>
        </w:rPr>
        <w:t>并</w:t>
      </w:r>
      <w:r>
        <w:rPr>
          <w:rFonts w:ascii="Tahoma" w:hAnsi="Tahoma" w:cs="Tahoma"/>
          <w:color w:val="000000" w:themeColor="text1"/>
          <w:szCs w:val="21"/>
          <w:highlight w:val="none"/>
          <w14:textFill>
            <w14:solidFill>
              <w14:schemeClr w14:val="tx1"/>
            </w14:solidFill>
          </w14:textFill>
        </w:rPr>
        <w:t>对投标文件进行审查、评估和比较，并做出授予合同的建议。</w:t>
      </w:r>
    </w:p>
    <w:p>
      <w:pPr>
        <w:spacing w:line="340" w:lineRule="exact"/>
        <w:rPr>
          <w:rFonts w:ascii="Arial" w:hAnsi="Arial" w:cs="Arial"/>
          <w:color w:val="000000" w:themeColor="text1"/>
          <w:kern w:val="0"/>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6.1.2在评标工作开始前，由采购人或者采购代理机构负责：核对评审专家身份和采购人代表授权函； 宣布评标纪律；告知评审专家应当回避的情形；组织评标委员会推选评标组长，采购人代表不得担任组长。</w:t>
      </w:r>
      <w:r>
        <w:rPr>
          <w:rFonts w:ascii="Arial" w:hAnsi="Arial" w:cs="Arial"/>
          <w:color w:val="000000" w:themeColor="text1"/>
          <w:kern w:val="0"/>
          <w:szCs w:val="21"/>
          <w:highlight w:val="none"/>
          <w14:textFill>
            <w14:solidFill>
              <w14:schemeClr w14:val="tx1"/>
            </w14:solidFill>
          </w14:textFill>
        </w:rPr>
        <w:t xml:space="preserve"> </w:t>
      </w:r>
    </w:p>
    <w:p>
      <w:pPr>
        <w:spacing w:line="340" w:lineRule="exact"/>
        <w:rPr>
          <w:rFonts w:ascii="Tahoma" w:hAnsi="Tahoma" w:cs="Tahoma"/>
          <w:color w:val="000000" w:themeColor="text1"/>
          <w:kern w:val="0"/>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6.1.3</w:t>
      </w:r>
      <w:r>
        <w:rPr>
          <w:rFonts w:hint="eastAsia" w:ascii="Tahoma" w:hAnsi="Tahoma" w:cs="Tahoma"/>
          <w:color w:val="000000" w:themeColor="text1"/>
          <w:szCs w:val="21"/>
          <w:highlight w:val="none"/>
          <w14:textFill>
            <w14:solidFill>
              <w14:schemeClr w14:val="tx1"/>
            </w14:solidFill>
          </w14:textFill>
        </w:rPr>
        <w:t>采购人</w:t>
      </w:r>
      <w:r>
        <w:rPr>
          <w:rFonts w:ascii="Tahoma" w:hAnsi="Tahoma" w:cs="Tahoma"/>
          <w:color w:val="000000" w:themeColor="text1"/>
          <w:kern w:val="0"/>
          <w:szCs w:val="21"/>
          <w:highlight w:val="none"/>
          <w14:textFill>
            <w14:solidFill>
              <w14:schemeClr w14:val="tx1"/>
            </w14:solidFill>
          </w14:textFill>
        </w:rPr>
        <w:t xml:space="preserve">就招标文件征询过意见的专家，不得再作为评标专家参加评标。招标人不得以专家身份参与本部门或者本项目的评标。招标代理机构工作人员不得参加由本机构代理的招标项目的评标。 </w:t>
      </w:r>
    </w:p>
    <w:p>
      <w:pPr>
        <w:spacing w:line="340" w:lineRule="exact"/>
        <w:rPr>
          <w:rFonts w:ascii="Tahoma" w:hAnsi="Tahoma" w:cs="Tahoma"/>
          <w:color w:val="000000" w:themeColor="text1"/>
          <w:kern w:val="0"/>
          <w:szCs w:val="21"/>
          <w:highlight w:val="none"/>
          <w14:textFill>
            <w14:solidFill>
              <w14:schemeClr w14:val="tx1"/>
            </w14:solidFill>
          </w14:textFill>
        </w:rPr>
      </w:pPr>
      <w:r>
        <w:rPr>
          <w:rFonts w:ascii="Tahoma" w:hAnsi="Tahoma" w:cs="Tahoma"/>
          <w:color w:val="000000" w:themeColor="text1"/>
          <w:kern w:val="0"/>
          <w:szCs w:val="21"/>
          <w:highlight w:val="none"/>
          <w14:textFill>
            <w14:solidFill>
              <w14:schemeClr w14:val="tx1"/>
            </w14:solidFill>
          </w14:textFill>
        </w:rPr>
        <w:t xml:space="preserve">6.1.4评标委员会成员应当履行下列义务： </w:t>
      </w:r>
    </w:p>
    <w:p>
      <w:pPr>
        <w:spacing w:line="340" w:lineRule="exact"/>
        <w:ind w:firstLine="105" w:firstLineChars="50"/>
        <w:rPr>
          <w:rFonts w:ascii="Tahoma" w:hAnsi="Tahoma" w:cs="Tahoma"/>
          <w:color w:val="000000" w:themeColor="text1"/>
          <w:kern w:val="0"/>
          <w:szCs w:val="21"/>
          <w:highlight w:val="none"/>
          <w14:textFill>
            <w14:solidFill>
              <w14:schemeClr w14:val="tx1"/>
            </w14:solidFill>
          </w14:textFill>
        </w:rPr>
      </w:pPr>
      <w:r>
        <w:rPr>
          <w:rFonts w:ascii="Tahoma" w:hAnsi="Tahoma" w:cs="Tahoma"/>
          <w:color w:val="000000" w:themeColor="text1"/>
          <w:kern w:val="0"/>
          <w:szCs w:val="21"/>
          <w:highlight w:val="none"/>
          <w14:textFill>
            <w14:solidFill>
              <w14:schemeClr w14:val="tx1"/>
            </w14:solidFill>
          </w14:textFill>
        </w:rPr>
        <w:t xml:space="preserve">（一）遵纪守法，客观、公正、廉洁地履行职责； </w:t>
      </w:r>
    </w:p>
    <w:p>
      <w:pPr>
        <w:spacing w:line="340" w:lineRule="exact"/>
        <w:ind w:firstLine="105" w:firstLineChars="50"/>
        <w:rPr>
          <w:rFonts w:ascii="Tahoma" w:hAnsi="Tahoma" w:cs="Tahoma"/>
          <w:color w:val="000000" w:themeColor="text1"/>
          <w:kern w:val="0"/>
          <w:szCs w:val="21"/>
          <w:highlight w:val="none"/>
          <w14:textFill>
            <w14:solidFill>
              <w14:schemeClr w14:val="tx1"/>
            </w14:solidFill>
          </w14:textFill>
        </w:rPr>
      </w:pPr>
      <w:r>
        <w:rPr>
          <w:rFonts w:ascii="Tahoma" w:hAnsi="Tahoma" w:cs="Tahoma"/>
          <w:color w:val="000000" w:themeColor="text1"/>
          <w:kern w:val="0"/>
          <w:szCs w:val="21"/>
          <w:highlight w:val="none"/>
          <w14:textFill>
            <w14:solidFill>
              <w14:schemeClr w14:val="tx1"/>
            </w14:solidFill>
          </w14:textFill>
        </w:rPr>
        <w:t xml:space="preserve">（二）按照招标文件规定的评标方法和评标标准进行评标，对评审意见承担个人责任； </w:t>
      </w:r>
    </w:p>
    <w:p>
      <w:pPr>
        <w:spacing w:line="340" w:lineRule="exact"/>
        <w:ind w:firstLine="105" w:firstLineChars="50"/>
        <w:rPr>
          <w:rFonts w:ascii="Tahoma" w:hAnsi="Tahoma" w:cs="Tahoma"/>
          <w:color w:val="000000" w:themeColor="text1"/>
          <w:kern w:val="0"/>
          <w:szCs w:val="21"/>
          <w:highlight w:val="none"/>
          <w14:textFill>
            <w14:solidFill>
              <w14:schemeClr w14:val="tx1"/>
            </w14:solidFill>
          </w14:textFill>
        </w:rPr>
      </w:pPr>
      <w:r>
        <w:rPr>
          <w:rFonts w:ascii="Tahoma" w:hAnsi="Tahoma" w:cs="Tahoma"/>
          <w:color w:val="000000" w:themeColor="text1"/>
          <w:kern w:val="0"/>
          <w:szCs w:val="21"/>
          <w:highlight w:val="none"/>
          <w14:textFill>
            <w14:solidFill>
              <w14:schemeClr w14:val="tx1"/>
            </w14:solidFill>
          </w14:textFill>
        </w:rPr>
        <w:t xml:space="preserve">（三）对评标过程和结果，以及供应商的商业秘密保密； </w:t>
      </w:r>
    </w:p>
    <w:p>
      <w:pPr>
        <w:spacing w:line="340" w:lineRule="exact"/>
        <w:ind w:firstLine="105" w:firstLineChars="50"/>
        <w:rPr>
          <w:rFonts w:ascii="Tahoma" w:hAnsi="Tahoma" w:cs="Tahoma"/>
          <w:color w:val="000000" w:themeColor="text1"/>
          <w:kern w:val="0"/>
          <w:szCs w:val="21"/>
          <w:highlight w:val="none"/>
          <w14:textFill>
            <w14:solidFill>
              <w14:schemeClr w14:val="tx1"/>
            </w14:solidFill>
          </w14:textFill>
        </w:rPr>
      </w:pPr>
      <w:r>
        <w:rPr>
          <w:rFonts w:ascii="Tahoma" w:hAnsi="Tahoma" w:cs="Tahoma"/>
          <w:color w:val="000000" w:themeColor="text1"/>
          <w:kern w:val="0"/>
          <w:szCs w:val="21"/>
          <w:highlight w:val="none"/>
          <w14:textFill>
            <w14:solidFill>
              <w14:schemeClr w14:val="tx1"/>
            </w14:solidFill>
          </w14:textFill>
        </w:rPr>
        <w:t xml:space="preserve">（四）参与评标报告的起草； </w:t>
      </w:r>
    </w:p>
    <w:p>
      <w:pPr>
        <w:spacing w:line="340" w:lineRule="exact"/>
        <w:ind w:firstLine="105" w:firstLineChars="50"/>
        <w:rPr>
          <w:rFonts w:ascii="Tahoma" w:hAnsi="Tahoma" w:cs="Tahoma"/>
          <w:color w:val="000000" w:themeColor="text1"/>
          <w:kern w:val="0"/>
          <w:szCs w:val="21"/>
          <w:highlight w:val="none"/>
          <w14:textFill>
            <w14:solidFill>
              <w14:schemeClr w14:val="tx1"/>
            </w14:solidFill>
          </w14:textFill>
        </w:rPr>
      </w:pPr>
      <w:r>
        <w:rPr>
          <w:rFonts w:ascii="Tahoma" w:hAnsi="Tahoma" w:cs="Tahoma"/>
          <w:color w:val="000000" w:themeColor="text1"/>
          <w:kern w:val="0"/>
          <w:szCs w:val="21"/>
          <w:highlight w:val="none"/>
          <w14:textFill>
            <w14:solidFill>
              <w14:schemeClr w14:val="tx1"/>
            </w14:solidFill>
          </w14:textFill>
        </w:rPr>
        <w:t xml:space="preserve">（五）配合有关部门的投诉处理工作； </w:t>
      </w:r>
    </w:p>
    <w:p>
      <w:pPr>
        <w:spacing w:line="340" w:lineRule="exact"/>
        <w:ind w:firstLine="105" w:firstLineChars="50"/>
        <w:rPr>
          <w:rFonts w:ascii="Tahoma" w:hAnsi="Tahoma" w:cs="Tahoma"/>
          <w:color w:val="000000" w:themeColor="text1"/>
          <w:kern w:val="0"/>
          <w:szCs w:val="21"/>
          <w:highlight w:val="none"/>
          <w14:textFill>
            <w14:solidFill>
              <w14:schemeClr w14:val="tx1"/>
            </w14:solidFill>
          </w14:textFill>
        </w:rPr>
      </w:pPr>
      <w:r>
        <w:rPr>
          <w:rFonts w:ascii="Tahoma" w:hAnsi="Tahoma" w:cs="Tahoma"/>
          <w:color w:val="000000" w:themeColor="text1"/>
          <w:kern w:val="0"/>
          <w:szCs w:val="21"/>
          <w:highlight w:val="none"/>
          <w14:textFill>
            <w14:solidFill>
              <w14:schemeClr w14:val="tx1"/>
            </w14:solidFill>
          </w14:textFill>
        </w:rPr>
        <w:t xml:space="preserve">（六）配合招标单位答复投标供应商提出的质疑。 </w:t>
      </w:r>
    </w:p>
    <w:p>
      <w:pPr>
        <w:spacing w:line="340" w:lineRule="exact"/>
        <w:rPr>
          <w:rFonts w:ascii="Tahoma" w:hAnsi="Tahoma" w:cs="Tahoma"/>
          <w:color w:val="000000" w:themeColor="text1"/>
          <w:szCs w:val="21"/>
          <w:highlight w:val="none"/>
          <w14:textFill>
            <w14:solidFill>
              <w14:schemeClr w14:val="tx1"/>
            </w14:solidFill>
          </w14:textFill>
        </w:rPr>
      </w:pPr>
      <w:r>
        <w:rPr>
          <w:rFonts w:ascii="Tahoma" w:hAnsi="Tahoma" w:cs="Tahoma"/>
          <w:b/>
          <w:bCs/>
          <w:color w:val="000000" w:themeColor="text1"/>
          <w:szCs w:val="21"/>
          <w:highlight w:val="none"/>
          <w14:textFill>
            <w14:solidFill>
              <w14:schemeClr w14:val="tx1"/>
            </w14:solidFill>
          </w14:textFill>
        </w:rPr>
        <w:t>6.2．评标</w:t>
      </w:r>
    </w:p>
    <w:p>
      <w:pPr>
        <w:spacing w:line="34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6.2.1本项目评标办法根据</w:t>
      </w:r>
      <w:r>
        <w:rPr>
          <w:rFonts w:ascii="Tahoma" w:hAnsi="Tahoma" w:cs="Tahoma"/>
          <w:color w:val="000000" w:themeColor="text1"/>
          <w:kern w:val="0"/>
          <w:szCs w:val="21"/>
          <w:highlight w:val="none"/>
          <w14:textFill>
            <w14:solidFill>
              <w14:schemeClr w14:val="tx1"/>
            </w14:solidFill>
          </w14:textFill>
        </w:rPr>
        <w:t>《政府采购货物和服务招标投标管理办法》（中华人民共和国财政部令第87号）</w:t>
      </w:r>
      <w:r>
        <w:rPr>
          <w:rFonts w:ascii="Tahoma" w:hAnsi="Tahoma" w:cs="Tahoma"/>
          <w:color w:val="000000" w:themeColor="text1"/>
          <w:szCs w:val="21"/>
          <w:highlight w:val="none"/>
          <w14:textFill>
            <w14:solidFill>
              <w14:schemeClr w14:val="tx1"/>
            </w14:solidFill>
          </w14:textFill>
        </w:rPr>
        <w:t>规定的评审标准，评标办法（详见第</w:t>
      </w:r>
      <w:r>
        <w:rPr>
          <w:rFonts w:hint="eastAsia" w:ascii="Tahoma" w:hAnsi="Tahoma" w:cs="Tahoma"/>
          <w:color w:val="000000" w:themeColor="text1"/>
          <w:szCs w:val="21"/>
          <w:highlight w:val="none"/>
          <w14:textFill>
            <w14:solidFill>
              <w14:schemeClr w14:val="tx1"/>
            </w14:solidFill>
          </w14:textFill>
        </w:rPr>
        <w:t>三</w:t>
      </w:r>
      <w:r>
        <w:rPr>
          <w:rFonts w:ascii="Tahoma" w:hAnsi="Tahoma" w:cs="Tahoma"/>
          <w:color w:val="000000" w:themeColor="text1"/>
          <w:szCs w:val="21"/>
          <w:highlight w:val="none"/>
          <w14:textFill>
            <w14:solidFill>
              <w14:schemeClr w14:val="tx1"/>
            </w14:solidFill>
          </w14:textFill>
        </w:rPr>
        <w:t>章）。</w:t>
      </w:r>
    </w:p>
    <w:p>
      <w:pPr>
        <w:spacing w:line="34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6.2.2对所有投标人的评估，都采用相同的程序和招标文件规定的评审标准。评议过程将严格按照招标文件规定的评标办法和标准进行。</w:t>
      </w:r>
    </w:p>
    <w:p>
      <w:pPr>
        <w:spacing w:line="34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6.2.3有关投标文件的审查、澄清、评估和比较以及推荐中标候选人的一切情况都不得透露给任一投标人或与上述评标工作无关的人员。</w:t>
      </w:r>
    </w:p>
    <w:p>
      <w:pPr>
        <w:spacing w:line="34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6.2.4投标人任何试图影响评委会对投标文件的评估、比较或者推荐候选人的行为，都将导致其投标被拒绝，并被没收投标保证金。</w:t>
      </w:r>
    </w:p>
    <w:p>
      <w:pPr>
        <w:spacing w:line="340" w:lineRule="exact"/>
        <w:rPr>
          <w:rFonts w:ascii="Tahoma" w:hAnsi="Tahoma" w:cs="Tahoma"/>
          <w:color w:val="000000" w:themeColor="text1"/>
          <w:szCs w:val="21"/>
          <w:highlight w:val="none"/>
          <w14:textFill>
            <w14:solidFill>
              <w14:schemeClr w14:val="tx1"/>
            </w14:solidFill>
          </w14:textFill>
        </w:rPr>
      </w:pPr>
      <w:r>
        <w:rPr>
          <w:rFonts w:ascii="Tahoma" w:hAnsi="Tahoma" w:cs="Tahoma"/>
          <w:b/>
          <w:bCs/>
          <w:color w:val="000000" w:themeColor="text1"/>
          <w:szCs w:val="21"/>
          <w:highlight w:val="none"/>
          <w14:textFill>
            <w14:solidFill>
              <w14:schemeClr w14:val="tx1"/>
            </w14:solidFill>
          </w14:textFill>
        </w:rPr>
        <w:t>6.3. 投标文件的初审</w:t>
      </w:r>
    </w:p>
    <w:p>
      <w:pPr>
        <w:spacing w:line="34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6.3.1评委会将对投标文件进行检查，以确定投标文件是否完整、有无计算上的错误、是否提交了投标保证金、文件是否已正确签署。 </w:t>
      </w:r>
    </w:p>
    <w:p>
      <w:pPr>
        <w:spacing w:line="340" w:lineRule="exact"/>
        <w:rPr>
          <w:rFonts w:ascii="Tahoma" w:hAnsi="Tahoma" w:cs="Tahoma"/>
          <w:b/>
          <w:bCs/>
          <w:color w:val="000000" w:themeColor="text1"/>
          <w:szCs w:val="21"/>
          <w:highlight w:val="none"/>
          <w14:textFill>
            <w14:solidFill>
              <w14:schemeClr w14:val="tx1"/>
            </w14:solidFill>
          </w14:textFill>
        </w:rPr>
      </w:pPr>
      <w:r>
        <w:rPr>
          <w:rFonts w:ascii="Tahoma" w:hAnsi="Tahoma" w:cs="Tahoma"/>
          <w:b/>
          <w:bCs/>
          <w:color w:val="000000" w:themeColor="text1"/>
          <w:szCs w:val="21"/>
          <w:highlight w:val="none"/>
          <w14:textFill>
            <w14:solidFill>
              <w14:schemeClr w14:val="tx1"/>
            </w14:solidFill>
          </w14:textFill>
        </w:rPr>
        <w:t xml:space="preserve">6.4.资格性检查和符合性检查 </w:t>
      </w:r>
    </w:p>
    <w:p>
      <w:pPr>
        <w:spacing w:line="34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6.4.1资格性检查：依据法律法规和招标文件的规定，在对投标文件详细评估之前，评标委员会将依据投标人提交的投标文件按投标人须知前附表所述的资格标准对投标人进行资格审查，以确定其是否具备投标资格。如果投标人不具备投标资格，不满足招标文件所规定的资格标准或提供资格证明文件不全的，其投标无效。</w:t>
      </w:r>
    </w:p>
    <w:p>
      <w:pPr>
        <w:snapToGrid w:val="0"/>
        <w:spacing w:line="340" w:lineRule="exact"/>
        <w:rPr>
          <w:rFonts w:ascii="Tahoma" w:hAnsi="Tahoma" w:cs="Tahoma"/>
          <w:color w:val="000000" w:themeColor="text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6.4.2</w:t>
      </w:r>
      <w:r>
        <w:rPr>
          <w:rFonts w:ascii="Tahoma" w:hAnsi="Tahoma" w:cs="Tahoma"/>
          <w:color w:val="000000" w:themeColor="text1"/>
          <w:szCs w:val="21"/>
          <w:highlight w:val="none"/>
          <w14:textFill>
            <w14:solidFill>
              <w14:schemeClr w14:val="tx1"/>
            </w14:solidFill>
          </w14:textFill>
        </w:rPr>
        <w:t>符合性检查</w:t>
      </w:r>
      <w:r>
        <w:rPr>
          <w:rFonts w:hint="eastAsia" w:ascii="Tahoma" w:hAnsi="Tahoma" w:cs="Tahoma"/>
          <w:color w:val="000000" w:themeColor="text1"/>
          <w:szCs w:val="21"/>
          <w:highlight w:val="none"/>
          <w14:textFill>
            <w14:solidFill>
              <w14:schemeClr w14:val="tx1"/>
            </w14:solidFill>
          </w14:textFill>
        </w:rPr>
        <w:t>：</w:t>
      </w:r>
      <w:r>
        <w:rPr>
          <w:rFonts w:hint="eastAsia" w:ascii="Tahoma" w:hAnsi="Tahoma" w:cs="Tahoma"/>
          <w:color w:val="000000" w:themeColor="text1"/>
          <w:highlight w:val="none"/>
          <w14:textFill>
            <w14:solidFill>
              <w14:schemeClr w14:val="tx1"/>
            </w14:solidFill>
          </w14:textFill>
        </w:rPr>
        <w:t>由评标委员会依据有关法律、法规及招标文件的要求，对</w:t>
      </w:r>
      <w:r>
        <w:rPr>
          <w:color w:val="000000" w:themeColor="text1"/>
          <w:highlight w:val="none"/>
          <w14:textFill>
            <w14:solidFill>
              <w14:schemeClr w14:val="tx1"/>
            </w14:solidFill>
          </w14:textFill>
        </w:rPr>
        <w:t>对符合资格的投标人的投标文件进行符合性审查，以确定其是否满足招标文件的实质性要求</w:t>
      </w:r>
      <w:r>
        <w:rPr>
          <w:rFonts w:hint="eastAsia"/>
          <w:color w:val="000000" w:themeColor="text1"/>
          <w:highlight w:val="none"/>
          <w14:textFill>
            <w14:solidFill>
              <w14:schemeClr w14:val="tx1"/>
            </w14:solidFill>
          </w14:textFill>
        </w:rPr>
        <w:t>。</w:t>
      </w:r>
      <w:r>
        <w:rPr>
          <w:rFonts w:hint="eastAsia" w:ascii="Tahoma" w:hAnsi="Tahoma" w:cs="Tahoma"/>
          <w:color w:val="000000" w:themeColor="text1"/>
          <w:highlight w:val="none"/>
          <w14:textFill>
            <w14:solidFill>
              <w14:schemeClr w14:val="tx1"/>
            </w14:solidFill>
          </w14:textFill>
        </w:rPr>
        <w:t>只有通过</w:t>
      </w:r>
      <w:r>
        <w:rPr>
          <w:color w:val="000000" w:themeColor="text1"/>
          <w:highlight w:val="none"/>
          <w14:textFill>
            <w14:solidFill>
              <w14:schemeClr w14:val="tx1"/>
            </w14:solidFill>
          </w14:textFill>
        </w:rPr>
        <w:t>符合性</w:t>
      </w:r>
      <w:r>
        <w:rPr>
          <w:rFonts w:hint="eastAsia" w:ascii="Tahoma" w:hAnsi="Tahoma" w:cs="Tahoma"/>
          <w:color w:val="000000" w:themeColor="text1"/>
          <w:highlight w:val="none"/>
          <w14:textFill>
            <w14:solidFill>
              <w14:schemeClr w14:val="tx1"/>
            </w14:solidFill>
          </w14:textFill>
        </w:rPr>
        <w:t>审查的</w:t>
      </w:r>
      <w:r>
        <w:rPr>
          <w:color w:val="000000" w:themeColor="text1"/>
          <w:highlight w:val="none"/>
          <w14:textFill>
            <w14:solidFill>
              <w14:schemeClr w14:val="tx1"/>
            </w14:solidFill>
          </w14:textFill>
        </w:rPr>
        <w:t>投标人的投标文件</w:t>
      </w:r>
      <w:r>
        <w:rPr>
          <w:rFonts w:hint="eastAsia" w:ascii="Tahoma" w:hAnsi="Tahoma" w:cs="Tahoma"/>
          <w:color w:val="000000" w:themeColor="text1"/>
          <w:highlight w:val="none"/>
          <w14:textFill>
            <w14:solidFill>
              <w14:schemeClr w14:val="tx1"/>
            </w14:solidFill>
          </w14:textFill>
        </w:rPr>
        <w:t>才能进入下一阶段的评审！</w:t>
      </w:r>
    </w:p>
    <w:p>
      <w:pPr>
        <w:spacing w:line="340" w:lineRule="exact"/>
        <w:rPr>
          <w:rFonts w:ascii="Tahoma" w:hAnsi="Tahoma" w:cs="Tahoma"/>
          <w:color w:val="000000" w:themeColor="text1"/>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6.4.3</w:t>
      </w:r>
      <w:r>
        <w:rPr>
          <w:b/>
          <w:color w:val="000000" w:themeColor="text1"/>
          <w:highlight w:val="none"/>
          <w14:textFill>
            <w14:solidFill>
              <w14:schemeClr w14:val="tx1"/>
            </w14:solidFill>
          </w14:textFill>
        </w:rPr>
        <w:t>投标人存在下列情况之一的</w:t>
      </w:r>
      <w:r>
        <w:rPr>
          <w:rFonts w:ascii="Tahoma" w:hAnsi="Tahoma" w:cs="Tahoma"/>
          <w:b/>
          <w:color w:val="000000" w:themeColor="text1"/>
          <w:highlight w:val="none"/>
          <w14:textFill>
            <w14:solidFill>
              <w14:schemeClr w14:val="tx1"/>
            </w14:solidFill>
          </w14:textFill>
        </w:rPr>
        <w:t>，投标文件将被视为未实质性响应招标文件要求</w:t>
      </w:r>
      <w:r>
        <w:rPr>
          <w:rFonts w:hint="eastAsia" w:ascii="Tahoma" w:hAnsi="Tahoma" w:cs="Tahoma"/>
          <w:b/>
          <w:color w:val="000000" w:themeColor="text1"/>
          <w:highlight w:val="none"/>
          <w14:textFill>
            <w14:solidFill>
              <w14:schemeClr w14:val="tx1"/>
            </w14:solidFill>
          </w14:textFill>
        </w:rPr>
        <w:t>，</w:t>
      </w:r>
      <w:r>
        <w:rPr>
          <w:rFonts w:ascii="Tahoma" w:hAnsi="Tahoma" w:cs="Tahoma"/>
          <w:b/>
          <w:color w:val="000000" w:themeColor="text1"/>
          <w:highlight w:val="none"/>
          <w14:textFill>
            <w14:solidFill>
              <w14:schemeClr w14:val="tx1"/>
            </w14:solidFill>
          </w14:textFill>
        </w:rPr>
        <w:t>其投标无效</w:t>
      </w:r>
      <w:r>
        <w:rPr>
          <w:rFonts w:hint="eastAsia" w:ascii="Tahoma" w:hAnsi="Tahoma" w:cs="Tahoma"/>
          <w:b/>
          <w:color w:val="000000" w:themeColor="text1"/>
          <w:highlight w:val="none"/>
          <w14:textFill>
            <w14:solidFill>
              <w14:schemeClr w14:val="tx1"/>
            </w14:solidFill>
          </w14:textFill>
        </w:rPr>
        <w:t>：</w:t>
      </w:r>
    </w:p>
    <w:p>
      <w:pPr>
        <w:spacing w:line="340" w:lineRule="exact"/>
        <w:ind w:firstLine="210" w:firstLineChars="100"/>
        <w:rPr>
          <w:rFonts w:ascii="Tahoma" w:hAnsi="Tahoma" w:cs="Tahoma"/>
          <w:color w:val="000000" w:themeColor="text1"/>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（1）不具备招标文件中规定的资格要求的，或投标文件中提供的资格证明文件与原件不一致的；</w:t>
      </w:r>
    </w:p>
    <w:p>
      <w:pPr>
        <w:spacing w:line="340" w:lineRule="exact"/>
        <w:ind w:firstLine="210" w:firstLineChars="100"/>
        <w:rPr>
          <w:rFonts w:ascii="Tahoma" w:hAnsi="Tahoma" w:cs="Tahoma"/>
          <w:color w:val="000000" w:themeColor="text1"/>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（2）投标文件未按招标文件规定进行装订、密封、标记的；</w:t>
      </w:r>
    </w:p>
    <w:p>
      <w:pPr>
        <w:spacing w:line="340" w:lineRule="exact"/>
        <w:ind w:firstLine="210" w:firstLineChars="100"/>
        <w:rPr>
          <w:rFonts w:ascii="Tahoma" w:hAnsi="Tahoma" w:cs="Tahoma"/>
          <w:color w:val="000000" w:themeColor="text1"/>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（3）投标文件未按招标文件要求签署、盖章的；</w:t>
      </w:r>
    </w:p>
    <w:p>
      <w:pPr>
        <w:spacing w:line="340" w:lineRule="exact"/>
        <w:ind w:firstLine="210" w:firstLineChars="100"/>
        <w:rPr>
          <w:rFonts w:ascii="Tahoma" w:hAnsi="Tahoma" w:cs="Tahoma"/>
          <w:color w:val="000000" w:themeColor="text1"/>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（4）未按照招标文件的规定提交投标保证金的；</w:t>
      </w:r>
    </w:p>
    <w:p>
      <w:pPr>
        <w:spacing w:line="340" w:lineRule="exact"/>
        <w:ind w:firstLine="210" w:firstLineChars="100"/>
        <w:rPr>
          <w:rFonts w:ascii="Tahoma" w:hAnsi="Tahoma" w:cs="Tahoma"/>
          <w:color w:val="000000" w:themeColor="text1"/>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（5）投标文件含有采购人不能接受的附加条件的；</w:t>
      </w:r>
    </w:p>
    <w:p>
      <w:pPr>
        <w:spacing w:line="340" w:lineRule="exact"/>
        <w:ind w:firstLine="210" w:firstLineChars="100"/>
        <w:rPr>
          <w:rFonts w:ascii="Tahoma" w:hAnsi="Tahoma" w:cs="Tahoma"/>
          <w:color w:val="000000" w:themeColor="text1"/>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（6）投标有效期不满足招标文件要求的；</w:t>
      </w:r>
    </w:p>
    <w:p>
      <w:pPr>
        <w:spacing w:line="340" w:lineRule="exact"/>
        <w:ind w:firstLine="210" w:firstLineChars="100"/>
        <w:rPr>
          <w:rFonts w:ascii="Tahoma" w:hAnsi="Tahoma" w:cs="Tahoma"/>
          <w:color w:val="000000" w:themeColor="text1"/>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（7）报价超过招标文件中规定的预算金额或者最高限价的；或提供的报价是可供选择的（不是唯一报价）；</w:t>
      </w:r>
    </w:p>
    <w:p>
      <w:pPr>
        <w:spacing w:line="340" w:lineRule="exact"/>
        <w:ind w:firstLine="210" w:firstLineChars="100"/>
        <w:rPr>
          <w:rFonts w:ascii="Tahoma" w:hAnsi="Tahoma" w:cs="Tahoma"/>
          <w:color w:val="000000" w:themeColor="text1"/>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（8）供应商未进行分项报价或分项报价的构成未能准确全部反映产品价格组成或有所隐含，有可能致使在合同履行过程中引起纠纷（非正常的追加或索赔等）或不能诚信履约的；</w:t>
      </w:r>
    </w:p>
    <w:p>
      <w:pPr>
        <w:spacing w:line="340" w:lineRule="exact"/>
        <w:ind w:firstLine="210" w:firstLineChars="100"/>
        <w:rPr>
          <w:rFonts w:ascii="Tahoma" w:hAnsi="Tahoma" w:cs="Tahoma"/>
          <w:color w:val="000000" w:themeColor="text1"/>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（9）投标文件的内容与采购内容及要求（质量要求、交货期、付款方式等）有重大偏离或保留的；</w:t>
      </w:r>
    </w:p>
    <w:p>
      <w:pPr>
        <w:spacing w:line="340" w:lineRule="exact"/>
        <w:ind w:firstLine="210" w:firstLineChars="100"/>
        <w:rPr>
          <w:rFonts w:ascii="Tahoma" w:hAnsi="Tahoma" w:cs="Tahoma"/>
          <w:color w:val="000000" w:themeColor="text1"/>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（10）存在财政部令第87号文第三十七条规定串通投标的情形之一的；</w:t>
      </w:r>
    </w:p>
    <w:p>
      <w:pPr>
        <w:spacing w:line="340" w:lineRule="exact"/>
        <w:ind w:firstLine="210" w:firstLineChars="100"/>
        <w:rPr>
          <w:rFonts w:ascii="Tahoma" w:hAnsi="Tahoma" w:cs="Tahoma"/>
          <w:color w:val="000000" w:themeColor="text1"/>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（11）投标文件的内容组成不符合招标文件要求的；</w:t>
      </w:r>
    </w:p>
    <w:p>
      <w:pPr>
        <w:spacing w:line="340" w:lineRule="exact"/>
        <w:ind w:firstLine="210" w:firstLineChars="100"/>
        <w:rPr>
          <w:rFonts w:ascii="Tahoma" w:hAnsi="Tahoma" w:cs="Tahoma"/>
          <w:color w:val="000000" w:themeColor="text1"/>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（12）投标文件中提供虚假或失实资料的；</w:t>
      </w:r>
    </w:p>
    <w:p>
      <w:pPr>
        <w:spacing w:line="340" w:lineRule="exact"/>
        <w:ind w:firstLine="210" w:firstLineChars="100"/>
        <w:rPr>
          <w:rFonts w:ascii="Tahoma" w:hAnsi="Tahoma" w:cs="Tahoma"/>
          <w:color w:val="000000" w:themeColor="text1"/>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（13）法律、法规和招标文件规定的其他无效情形。</w:t>
      </w:r>
    </w:p>
    <w:p>
      <w:pPr>
        <w:spacing w:line="34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6.4.4评标委员会判断投标文件的响应性仅基于投标文件本身而不靠外部证据。</w:t>
      </w:r>
    </w:p>
    <w:p>
      <w:pPr>
        <w:spacing w:line="34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6.4.5评标委员会将拒绝被确定为非实质性响应的投标，投标人不能通过修正或撤销不符之处而使其投标成为实质性响应的投标。</w:t>
      </w:r>
    </w:p>
    <w:p>
      <w:pPr>
        <w:spacing w:line="340" w:lineRule="exact"/>
        <w:rPr>
          <w:color w:val="000000" w:themeColor="text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6.5.2</w:t>
      </w:r>
      <w:r>
        <w:rPr>
          <w:color w:val="000000" w:themeColor="text1"/>
          <w:highlight w:val="none"/>
          <w14:textFill>
            <w14:solidFill>
              <w14:schemeClr w14:val="tx1"/>
            </w14:solidFill>
          </w14:textFill>
        </w:rPr>
        <w:t>对于投标文件中含义不明确、同类问题表述不一致或者有明显文字和计算错误的内容，评标委员会应当以书面形式要求投标人作出必要的澄清、说明或者补正。</w:t>
      </w:r>
    </w:p>
    <w:p>
      <w:pPr>
        <w:spacing w:line="34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投标人的澄清、说明或者补正应当采用书面形式，并加盖公章，或者由法定代表人或其授权的代表签字。投标人的澄清、说明或者补正不得超出投标文件的范围或者改变投标文件的实质性内容。</w:t>
      </w:r>
    </w:p>
    <w:p>
      <w:pPr>
        <w:spacing w:line="340" w:lineRule="exact"/>
        <w:rPr>
          <w:rFonts w:ascii="Tahoma" w:hAnsi="Tahoma" w:cs="Tahoma"/>
          <w:color w:val="000000" w:themeColor="text1"/>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6.5.3</w:t>
      </w:r>
      <w:r>
        <w:rPr>
          <w:color w:val="000000" w:themeColor="text1"/>
          <w:highlight w:val="none"/>
          <w14:textFill>
            <w14:solidFill>
              <w14:schemeClr w14:val="tx1"/>
            </w14:solidFill>
          </w14:textFill>
        </w:rPr>
        <w:t>投标文件报价出现前后不一致的，除招标文件另有规定外，按照下列规定修正：</w:t>
      </w:r>
    </w:p>
    <w:p>
      <w:pPr>
        <w:spacing w:line="340" w:lineRule="exact"/>
        <w:ind w:left="16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（一）投标文件中</w:t>
      </w:r>
      <w:r>
        <w:rPr>
          <w:rFonts w:hint="eastAsia"/>
          <w:color w:val="000000" w:themeColor="text1"/>
          <w:highlight w:val="none"/>
          <w14:textFill>
            <w14:solidFill>
              <w14:schemeClr w14:val="tx1"/>
            </w14:solidFill>
          </w14:textFill>
        </w:rPr>
        <w:t>投标报价</w:t>
      </w:r>
      <w:r>
        <w:rPr>
          <w:color w:val="000000" w:themeColor="text1"/>
          <w:highlight w:val="none"/>
          <w14:textFill>
            <w14:solidFill>
              <w14:schemeClr w14:val="tx1"/>
            </w14:solidFill>
          </w14:textFill>
        </w:rPr>
        <w:t>（报价表）内容与投标文件中相应内容不一致的，以</w:t>
      </w:r>
      <w:r>
        <w:rPr>
          <w:rFonts w:hint="eastAsia"/>
          <w:color w:val="000000" w:themeColor="text1"/>
          <w:highlight w:val="none"/>
          <w14:textFill>
            <w14:solidFill>
              <w14:schemeClr w14:val="tx1"/>
            </w14:solidFill>
          </w14:textFill>
        </w:rPr>
        <w:t>投标报价</w:t>
      </w:r>
      <w:r>
        <w:rPr>
          <w:color w:val="000000" w:themeColor="text1"/>
          <w:highlight w:val="none"/>
          <w14:textFill>
            <w14:solidFill>
              <w14:schemeClr w14:val="tx1"/>
            </w14:solidFill>
          </w14:textFill>
        </w:rPr>
        <w:t>（报价表）为准；</w:t>
      </w:r>
    </w:p>
    <w:p>
      <w:pPr>
        <w:spacing w:line="340" w:lineRule="exact"/>
        <w:ind w:left="16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（二）大写金额和小写金额不一致的，以大写金额为准；</w:t>
      </w:r>
    </w:p>
    <w:p>
      <w:pPr>
        <w:spacing w:line="340" w:lineRule="exact"/>
        <w:ind w:left="16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（三）单价金额小数点或者百分比有明显错位的，以</w:t>
      </w:r>
      <w:r>
        <w:rPr>
          <w:rFonts w:hint="eastAsia"/>
          <w:color w:val="000000" w:themeColor="text1"/>
          <w:highlight w:val="none"/>
          <w14:textFill>
            <w14:solidFill>
              <w14:schemeClr w14:val="tx1"/>
            </w14:solidFill>
          </w14:textFill>
        </w:rPr>
        <w:t>投标报价</w:t>
      </w:r>
      <w:r>
        <w:rPr>
          <w:color w:val="000000" w:themeColor="text1"/>
          <w:highlight w:val="none"/>
          <w14:textFill>
            <w14:solidFill>
              <w14:schemeClr w14:val="tx1"/>
            </w14:solidFill>
          </w14:textFill>
        </w:rPr>
        <w:t>的总价为准，并修改单价；</w:t>
      </w:r>
    </w:p>
    <w:p>
      <w:pPr>
        <w:spacing w:line="340" w:lineRule="exact"/>
        <w:ind w:left="16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（四）总价金额与按单价汇总金额不一致的，以单价金额计算结果为准。</w:t>
      </w:r>
    </w:p>
    <w:p>
      <w:pPr>
        <w:spacing w:line="340" w:lineRule="exact"/>
        <w:ind w:left="160"/>
        <w:rPr>
          <w:rFonts w:ascii="Tahoma" w:hAnsi="Tahoma" w:cs="Tahom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同时出现两种以上不一致的，按照前款规定的顺序修正。修正后的报价按</w:t>
      </w:r>
      <w:r>
        <w:rPr>
          <w:rFonts w:hint="eastAsia"/>
          <w:color w:val="000000" w:themeColor="text1"/>
          <w:highlight w:val="none"/>
          <w14:textFill>
            <w14:solidFill>
              <w14:schemeClr w14:val="tx1"/>
            </w14:solidFill>
          </w14:textFill>
        </w:rPr>
        <w:t>照本</w:t>
      </w:r>
      <w:r>
        <w:rPr>
          <w:color w:val="000000" w:themeColor="text1"/>
          <w:highlight w:val="none"/>
          <w14:textFill>
            <w14:solidFill>
              <w14:schemeClr w14:val="tx1"/>
            </w14:solidFill>
          </w14:textFill>
        </w:rPr>
        <w:t>章</w:t>
      </w:r>
      <w:r>
        <w:rPr>
          <w:rFonts w:ascii="Tahoma" w:cs="Tahoma"/>
          <w:color w:val="000000" w:themeColor="text1"/>
          <w:highlight w:val="none"/>
          <w14:textFill>
            <w14:solidFill>
              <w14:schemeClr w14:val="tx1"/>
            </w14:solidFill>
          </w14:textFill>
        </w:rPr>
        <w:t>第</w:t>
      </w:r>
      <w:r>
        <w:rPr>
          <w:rFonts w:ascii="Tahoma" w:hAnsi="Tahoma" w:cs="Tahoma"/>
          <w:color w:val="000000" w:themeColor="text1"/>
          <w:highlight w:val="none"/>
          <w14:textFill>
            <w14:solidFill>
              <w14:schemeClr w14:val="tx1"/>
            </w14:solidFill>
          </w14:textFill>
        </w:rPr>
        <w:t>6.5.2</w:t>
      </w:r>
      <w:r>
        <w:rPr>
          <w:color w:val="000000" w:themeColor="text1"/>
          <w:highlight w:val="none"/>
          <w14:textFill>
            <w14:solidFill>
              <w14:schemeClr w14:val="tx1"/>
            </w14:solidFill>
          </w14:textFill>
        </w:rPr>
        <w:t>条第二款的规定经投标人确认后产生约束力，</w:t>
      </w:r>
      <w:r>
        <w:rPr>
          <w:b/>
          <w:color w:val="000000" w:themeColor="text1"/>
          <w:highlight w:val="none"/>
          <w14:textFill>
            <w14:solidFill>
              <w14:schemeClr w14:val="tx1"/>
            </w14:solidFill>
          </w14:textFill>
        </w:rPr>
        <w:t>投标人不确认的，其投标无效。</w:t>
      </w:r>
    </w:p>
    <w:p>
      <w:pPr>
        <w:spacing w:line="340" w:lineRule="exact"/>
        <w:rPr>
          <w:rFonts w:ascii="Tahoma" w:hAnsi="Tahoma" w:cs="Tahoma"/>
          <w:color w:val="000000" w:themeColor="text1"/>
          <w:szCs w:val="21"/>
          <w:highlight w:val="none"/>
          <w14:textFill>
            <w14:solidFill>
              <w14:schemeClr w14:val="tx1"/>
            </w14:solidFill>
          </w14:textFill>
        </w:rPr>
      </w:pPr>
      <w:r>
        <w:rPr>
          <w:rFonts w:ascii="Tahoma" w:hAnsi="Tahoma" w:cs="Tahoma"/>
          <w:b/>
          <w:bCs/>
          <w:color w:val="000000" w:themeColor="text1"/>
          <w:szCs w:val="21"/>
          <w:highlight w:val="none"/>
          <w14:textFill>
            <w14:solidFill>
              <w14:schemeClr w14:val="tx1"/>
            </w14:solidFill>
          </w14:textFill>
        </w:rPr>
        <w:t>6.6. 比较与评价</w:t>
      </w:r>
    </w:p>
    <w:p>
      <w:pPr>
        <w:spacing w:line="340" w:lineRule="exact"/>
        <w:rPr>
          <w:rFonts w:ascii="Tahoma" w:hAnsi="Tahoma" w:cs="Tahoma"/>
          <w:color w:val="000000" w:themeColor="text1"/>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6.6.1</w:t>
      </w:r>
      <w:r>
        <w:rPr>
          <w:color w:val="000000" w:themeColor="text1"/>
          <w:highlight w:val="none"/>
          <w14:textFill>
            <w14:solidFill>
              <w14:schemeClr w14:val="tx1"/>
            </w14:solidFill>
          </w14:textFill>
        </w:rPr>
        <w:t>评标委员会按照招标文件中规定的评标方法和标准，对符合性审查合格的投标文件进行商务和技术评估，综合比较与评价</w:t>
      </w:r>
      <w:r>
        <w:rPr>
          <w:rFonts w:ascii="Tahoma" w:hAnsi="Tahoma" w:cs="Tahoma"/>
          <w:color w:val="000000" w:themeColor="text1"/>
          <w:szCs w:val="21"/>
          <w:highlight w:val="none"/>
          <w14:textFill>
            <w14:solidFill>
              <w14:schemeClr w14:val="tx1"/>
            </w14:solidFill>
          </w14:textFill>
        </w:rPr>
        <w:t>。</w:t>
      </w:r>
      <w:r>
        <w:rPr>
          <w:color w:val="000000" w:themeColor="text1"/>
          <w:highlight w:val="none"/>
          <w14:textFill>
            <w14:solidFill>
              <w14:schemeClr w14:val="tx1"/>
            </w14:solidFill>
          </w14:textFill>
        </w:rPr>
        <w:t>评价投标文件是否符合招标文件的商务、技术等实质性要求</w:t>
      </w:r>
      <w:r>
        <w:rPr>
          <w:rFonts w:hint="eastAsia"/>
          <w:color w:val="000000" w:themeColor="text1"/>
          <w:highlight w:val="none"/>
          <w14:textFill>
            <w14:solidFill>
              <w14:schemeClr w14:val="tx1"/>
            </w14:solidFill>
          </w14:textFill>
        </w:rPr>
        <w:t>。</w:t>
      </w:r>
    </w:p>
    <w:p>
      <w:pPr>
        <w:spacing w:line="340" w:lineRule="exact"/>
        <w:rPr>
          <w:color w:val="000000" w:themeColor="text1"/>
          <w:highlight w:val="none"/>
          <w14:textFill>
            <w14:solidFill>
              <w14:schemeClr w14:val="tx1"/>
            </w14:solidFill>
          </w14:textFill>
        </w:rPr>
      </w:pPr>
      <w:r>
        <w:rPr>
          <w:rFonts w:ascii="Tahoma" w:hAnsi="Tahoma" w:cs="Tahoma"/>
          <w:color w:val="000000" w:themeColor="text1"/>
          <w:highlight w:val="none"/>
          <w14:textFill>
            <w14:solidFill>
              <w14:schemeClr w14:val="tx1"/>
            </w14:solidFill>
          </w14:textFill>
        </w:rPr>
        <w:t>6.6.2</w:t>
      </w:r>
      <w:r>
        <w:rPr>
          <w:rFonts w:hint="eastAsia" w:ascii="Tahoma" w:cs="Tahoma"/>
          <w:color w:val="000000" w:themeColor="text1"/>
          <w:highlight w:val="none"/>
          <w14:textFill>
            <w14:solidFill>
              <w14:schemeClr w14:val="tx1"/>
            </w14:solidFill>
          </w14:textFill>
        </w:rPr>
        <w:t>评标委员会按招标文件规定的评审因素和量化指标由评标委员会采用综合评分法对投标文件进行综合评分。评审时，各成员应当独立对每个全部实质性响应的投标文件进行评价、打分，然后汇总每个供应商每项评分因素的得分。</w:t>
      </w:r>
    </w:p>
    <w:p>
      <w:pPr>
        <w:spacing w:line="340" w:lineRule="exact"/>
        <w:rPr>
          <w:rFonts w:ascii="Tahoma" w:hAnsi="Tahoma" w:cs="Tahoma"/>
          <w:color w:val="000000" w:themeColor="text1"/>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6.6.3</w:t>
      </w:r>
      <w:r>
        <w:rPr>
          <w:b/>
          <w:color w:val="000000" w:themeColor="text1"/>
          <w:highlight w:val="none"/>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ascii="Tahoma" w:hAnsi="Tahoma" w:cs="Tahoma"/>
          <w:color w:val="000000" w:themeColor="text1"/>
          <w:szCs w:val="21"/>
          <w:highlight w:val="none"/>
          <w14:textFill>
            <w14:solidFill>
              <w14:schemeClr w14:val="tx1"/>
            </w14:solidFill>
          </w14:textFill>
        </w:rPr>
        <w:t>。</w:t>
      </w:r>
    </w:p>
    <w:p>
      <w:pPr>
        <w:spacing w:line="340" w:lineRule="exact"/>
        <w:rPr>
          <w:rFonts w:ascii="Tahoma" w:hAnsi="Tahoma" w:cs="Tahoma"/>
          <w:color w:val="000000" w:themeColor="text1"/>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6.6</w:t>
      </w:r>
      <w:r>
        <w:rPr>
          <w:rFonts w:ascii="Tahoma" w:hAnsi="Tahoma" w:cs="Tahoma"/>
          <w:color w:val="000000" w:themeColor="text1"/>
          <w:szCs w:val="21"/>
          <w:highlight w:val="none"/>
          <w14:textFill>
            <w14:solidFill>
              <w14:schemeClr w14:val="tx1"/>
            </w14:solidFill>
          </w14:textFill>
        </w:rPr>
        <w:t>.4评标委员会将按比较与评价最优在先原则</w:t>
      </w:r>
      <w:r>
        <w:rPr>
          <w:rFonts w:hint="eastAsia" w:ascii="Tahoma" w:hAnsi="Tahoma" w:cs="Tahoma"/>
          <w:color w:val="000000" w:themeColor="text1"/>
          <w:szCs w:val="21"/>
          <w:highlight w:val="none"/>
          <w14:textFill>
            <w14:solidFill>
              <w14:schemeClr w14:val="tx1"/>
            </w14:solidFill>
          </w14:textFill>
        </w:rPr>
        <w:t>，</w:t>
      </w:r>
      <w:r>
        <w:rPr>
          <w:rFonts w:ascii="Tahoma" w:hAnsi="Tahoma" w:cs="Tahoma"/>
          <w:color w:val="000000" w:themeColor="text1"/>
          <w:szCs w:val="21"/>
          <w:highlight w:val="none"/>
          <w14:textFill>
            <w14:solidFill>
              <w14:schemeClr w14:val="tx1"/>
            </w14:solidFill>
          </w14:textFill>
        </w:rPr>
        <w:t>排列评价顺序</w:t>
      </w:r>
      <w:r>
        <w:rPr>
          <w:rFonts w:hint="eastAsia" w:ascii="Tahoma" w:hAnsi="Tahoma" w:cs="Tahoma"/>
          <w:color w:val="000000" w:themeColor="text1"/>
          <w:szCs w:val="21"/>
          <w:highlight w:val="none"/>
          <w14:textFill>
            <w14:solidFill>
              <w14:schemeClr w14:val="tx1"/>
            </w14:solidFill>
          </w14:textFill>
        </w:rPr>
        <w:t>，</w:t>
      </w:r>
      <w:r>
        <w:rPr>
          <w:rFonts w:ascii="Tahoma" w:hAnsi="Tahoma" w:cs="Tahoma"/>
          <w:color w:val="000000" w:themeColor="text1"/>
          <w:szCs w:val="21"/>
          <w:highlight w:val="none"/>
          <w14:textFill>
            <w14:solidFill>
              <w14:schemeClr w14:val="tx1"/>
            </w14:solidFill>
          </w14:textFill>
        </w:rPr>
        <w:t xml:space="preserve"> 根据在投标人须知前附表中确定的中标候选人数量推荐出中标候选人。</w:t>
      </w:r>
    </w:p>
    <w:p>
      <w:pPr>
        <w:spacing w:line="340" w:lineRule="exact"/>
        <w:rPr>
          <w:rFonts w:ascii="Tahoma" w:hAnsi="Tahoma" w:cs="Tahoma"/>
          <w:color w:val="000000" w:themeColor="text1"/>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6.6</w:t>
      </w:r>
      <w:r>
        <w:rPr>
          <w:rFonts w:ascii="Tahoma" w:hAnsi="Tahoma" w:cs="Tahoma"/>
          <w:color w:val="000000" w:themeColor="text1"/>
          <w:szCs w:val="21"/>
          <w:highlight w:val="none"/>
          <w14:textFill>
            <w14:solidFill>
              <w14:schemeClr w14:val="tx1"/>
            </w14:solidFill>
          </w14:textFill>
        </w:rPr>
        <w:t xml:space="preserve">.5 </w:t>
      </w:r>
      <w:r>
        <w:rPr>
          <w:rFonts w:hint="eastAsia" w:ascii="Tahoma" w:hAnsi="Tahoma" w:cs="Tahoma"/>
          <w:color w:val="000000" w:themeColor="text1"/>
          <w:szCs w:val="21"/>
          <w:highlight w:val="none"/>
          <w14:textFill>
            <w14:solidFill>
              <w14:schemeClr w14:val="tx1"/>
            </w14:solidFill>
          </w14:textFill>
        </w:rPr>
        <w:t>经评审后</w:t>
      </w:r>
      <w:r>
        <w:rPr>
          <w:rFonts w:ascii="Tahoma" w:hAnsi="Tahoma" w:cs="Tahoma"/>
          <w:color w:val="000000" w:themeColor="text1"/>
          <w:szCs w:val="21"/>
          <w:highlight w:val="none"/>
          <w14:textFill>
            <w14:solidFill>
              <w14:schemeClr w14:val="tx1"/>
            </w14:solidFill>
          </w14:textFill>
        </w:rPr>
        <w:t>，若出现符合本须知规定的所有投标条件的投标人不足三家情形的，本次招标终止，除采购任务取消情形外，招标单位将依法重新组织招标或者采取其他方式采购。</w:t>
      </w:r>
    </w:p>
    <w:p>
      <w:pPr>
        <w:spacing w:line="340" w:lineRule="exact"/>
        <w:jc w:val="center"/>
        <w:rPr>
          <w:rFonts w:ascii="Tahoma" w:hAnsi="Tahoma" w:cs="Tahoma"/>
          <w:b/>
          <w:bCs/>
          <w:color w:val="000000" w:themeColor="text1"/>
          <w:sz w:val="24"/>
          <w:highlight w:val="none"/>
          <w14:textFill>
            <w14:solidFill>
              <w14:schemeClr w14:val="tx1"/>
            </w14:solidFill>
          </w14:textFill>
        </w:rPr>
      </w:pPr>
      <w:r>
        <w:rPr>
          <w:rFonts w:ascii="Tahoma" w:hAnsi="Tahoma" w:cs="Tahoma"/>
          <w:b/>
          <w:bCs/>
          <w:color w:val="000000" w:themeColor="text1"/>
          <w:sz w:val="24"/>
          <w:highlight w:val="none"/>
          <w14:textFill>
            <w14:solidFill>
              <w14:schemeClr w14:val="tx1"/>
            </w14:solidFill>
          </w14:textFill>
        </w:rPr>
        <w:t>7、</w:t>
      </w:r>
      <w:r>
        <w:rPr>
          <w:rFonts w:ascii="Tahoma" w:hAnsi="Tahoma" w:eastAsia="黑体" w:cs="Tahoma"/>
          <w:b/>
          <w:bCs/>
          <w:color w:val="000000" w:themeColor="text1"/>
          <w:sz w:val="24"/>
          <w:highlight w:val="none"/>
          <w14:textFill>
            <w14:solidFill>
              <w14:schemeClr w14:val="tx1"/>
            </w14:solidFill>
          </w14:textFill>
        </w:rPr>
        <w:t>定标与授予合同</w:t>
      </w:r>
    </w:p>
    <w:p>
      <w:pPr>
        <w:spacing w:line="340" w:lineRule="exact"/>
        <w:rPr>
          <w:rFonts w:ascii="Tahoma" w:hAnsi="Tahoma" w:cs="Tahoma"/>
          <w:b/>
          <w:bCs/>
          <w:color w:val="000000" w:themeColor="text1"/>
          <w:szCs w:val="21"/>
          <w:highlight w:val="none"/>
          <w14:textFill>
            <w14:solidFill>
              <w14:schemeClr w14:val="tx1"/>
            </w14:solidFill>
          </w14:textFill>
        </w:rPr>
      </w:pPr>
      <w:r>
        <w:rPr>
          <w:rFonts w:hint="eastAsia" w:ascii="Tahoma" w:hAnsi="Tahoma" w:cs="Tahoma"/>
          <w:b/>
          <w:bCs/>
          <w:color w:val="000000" w:themeColor="text1"/>
          <w:szCs w:val="21"/>
          <w:highlight w:val="none"/>
          <w14:textFill>
            <w14:solidFill>
              <w14:schemeClr w14:val="tx1"/>
            </w14:solidFill>
          </w14:textFill>
        </w:rPr>
        <w:t>7.1</w:t>
      </w:r>
      <w:r>
        <w:rPr>
          <w:rFonts w:ascii="Tahoma" w:hAnsi="Tahoma" w:cs="Tahoma"/>
          <w:b/>
          <w:bCs/>
          <w:color w:val="000000" w:themeColor="text1"/>
          <w:szCs w:val="21"/>
          <w:highlight w:val="none"/>
          <w14:textFill>
            <w14:solidFill>
              <w14:schemeClr w14:val="tx1"/>
            </w14:solidFill>
          </w14:textFill>
        </w:rPr>
        <w:t>.</w:t>
      </w:r>
      <w:r>
        <w:rPr>
          <w:rFonts w:hint="eastAsia" w:ascii="Tahoma" w:hAnsi="Tahoma" w:cs="Tahoma"/>
          <w:b/>
          <w:bCs/>
          <w:color w:val="000000" w:themeColor="text1"/>
          <w:szCs w:val="21"/>
          <w:highlight w:val="none"/>
          <w14:textFill>
            <w14:solidFill>
              <w14:schemeClr w14:val="tx1"/>
            </w14:solidFill>
          </w14:textFill>
        </w:rPr>
        <w:t xml:space="preserve"> </w:t>
      </w:r>
      <w:r>
        <w:rPr>
          <w:rFonts w:ascii="Tahoma" w:hAnsi="Tahoma" w:cs="Tahoma"/>
          <w:b/>
          <w:bCs/>
          <w:color w:val="000000" w:themeColor="text1"/>
          <w:szCs w:val="21"/>
          <w:highlight w:val="none"/>
          <w14:textFill>
            <w14:solidFill>
              <w14:schemeClr w14:val="tx1"/>
            </w14:solidFill>
          </w14:textFill>
        </w:rPr>
        <w:t>定标准则</w:t>
      </w:r>
    </w:p>
    <w:p>
      <w:pPr>
        <w:spacing w:line="340" w:lineRule="exact"/>
        <w:rPr>
          <w:rFonts w:ascii="Tahoma" w:hAnsi="Tahoma" w:cs="Tahoma"/>
          <w:color w:val="000000" w:themeColor="text1"/>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7.1</w:t>
      </w:r>
      <w:r>
        <w:rPr>
          <w:rFonts w:ascii="Tahoma" w:hAnsi="Tahoma" w:cs="Tahoma"/>
          <w:color w:val="000000" w:themeColor="text1"/>
          <w:szCs w:val="21"/>
          <w:highlight w:val="none"/>
          <w14:textFill>
            <w14:solidFill>
              <w14:schemeClr w14:val="tx1"/>
            </w14:solidFill>
          </w14:textFill>
        </w:rPr>
        <w:t>.1最低投标价不作为中标的保证。</w:t>
      </w:r>
      <w:r>
        <w:rPr>
          <w:rFonts w:hint="eastAsia" w:ascii="Tahoma" w:hAnsi="Tahoma" w:cs="Tahoma"/>
          <w:color w:val="000000" w:themeColor="text1"/>
          <w:szCs w:val="21"/>
          <w:highlight w:val="none"/>
          <w14:textFill>
            <w14:solidFill>
              <w14:schemeClr w14:val="tx1"/>
            </w14:solidFill>
          </w14:textFill>
        </w:rPr>
        <w:t>但投标人的投标文件满足招标文件全部实质性要求且投标报价最低的投标人除外。</w:t>
      </w:r>
    </w:p>
    <w:p>
      <w:pPr>
        <w:spacing w:line="34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7.1.2</w:t>
      </w:r>
      <w:r>
        <w:rPr>
          <w:rFonts w:hint="eastAsia" w:ascii="Tahoma" w:hAnsi="Tahoma" w:cs="Tahoma"/>
          <w:color w:val="000000" w:themeColor="text1"/>
          <w:szCs w:val="21"/>
          <w:highlight w:val="none"/>
          <w14:textFill>
            <w14:solidFill>
              <w14:schemeClr w14:val="tx1"/>
            </w14:solidFill>
          </w14:textFill>
        </w:rPr>
        <w:t>采购代理机构应当在评标结束后</w:t>
      </w:r>
      <w:r>
        <w:rPr>
          <w:rFonts w:ascii="Tahoma" w:hAnsi="Tahoma" w:cs="Tahoma"/>
          <w:color w:val="000000" w:themeColor="text1"/>
          <w:szCs w:val="21"/>
          <w:highlight w:val="none"/>
          <w14:textFill>
            <w14:solidFill>
              <w14:schemeClr w14:val="tx1"/>
            </w14:solidFill>
          </w14:textFill>
        </w:rPr>
        <w:t>2</w:t>
      </w:r>
      <w:r>
        <w:rPr>
          <w:rFonts w:hint="eastAsia" w:ascii="Tahoma" w:hAnsi="Tahoma" w:cs="Tahoma"/>
          <w:color w:val="000000" w:themeColor="text1"/>
          <w:szCs w:val="21"/>
          <w:highlight w:val="none"/>
          <w14:textFill>
            <w14:solidFill>
              <w14:schemeClr w14:val="tx1"/>
            </w14:solidFill>
          </w14:textFill>
        </w:rPr>
        <w:t>个工作日内将评标报告送采购人。</w:t>
      </w:r>
    </w:p>
    <w:p>
      <w:pPr>
        <w:spacing w:line="34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7.1.3</w:t>
      </w:r>
      <w:r>
        <w:rPr>
          <w:rFonts w:hint="eastAsia" w:ascii="Tahoma" w:hAnsi="Tahoma" w:cs="Tahoma"/>
          <w:color w:val="000000" w:themeColor="text1"/>
          <w:szCs w:val="21"/>
          <w:highlight w:val="none"/>
          <w14:textFill>
            <w14:solidFill>
              <w14:schemeClr w14:val="tx1"/>
            </w14:solidFill>
          </w14:textFill>
        </w:rPr>
        <w:t>采购人应当自收到评标报告之日起</w:t>
      </w:r>
      <w:r>
        <w:rPr>
          <w:rFonts w:ascii="Tahoma" w:hAnsi="Tahoma" w:cs="Tahoma"/>
          <w:color w:val="000000" w:themeColor="text1"/>
          <w:szCs w:val="21"/>
          <w:highlight w:val="none"/>
          <w14:textFill>
            <w14:solidFill>
              <w14:schemeClr w14:val="tx1"/>
            </w14:solidFill>
          </w14:textFill>
        </w:rPr>
        <w:t>5</w:t>
      </w:r>
      <w:r>
        <w:rPr>
          <w:rFonts w:hint="eastAsia" w:ascii="Tahoma" w:hAnsi="Tahoma" w:cs="Tahoma"/>
          <w:color w:val="000000" w:themeColor="text1"/>
          <w:szCs w:val="21"/>
          <w:highlight w:val="none"/>
          <w14:textFill>
            <w14:solidFill>
              <w14:schemeClr w14:val="tx1"/>
            </w14:solidFill>
          </w14:textFill>
        </w:rPr>
        <w:t>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spacing w:line="34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7.1.4</w:t>
      </w:r>
      <w:r>
        <w:rPr>
          <w:rFonts w:hint="eastAsia" w:ascii="Tahoma" w:hAnsi="Tahoma" w:cs="Tahoma"/>
          <w:color w:val="000000" w:themeColor="text1"/>
          <w:szCs w:val="21"/>
          <w:highlight w:val="none"/>
          <w14:textFill>
            <w14:solidFill>
              <w14:schemeClr w14:val="tx1"/>
            </w14:solidFill>
          </w14:textFill>
        </w:rPr>
        <w:t>采购人在收到评标报告</w:t>
      </w:r>
      <w:r>
        <w:rPr>
          <w:rFonts w:ascii="Tahoma" w:hAnsi="Tahoma" w:cs="Tahoma"/>
          <w:color w:val="000000" w:themeColor="text1"/>
          <w:szCs w:val="21"/>
          <w:highlight w:val="none"/>
          <w14:textFill>
            <w14:solidFill>
              <w14:schemeClr w14:val="tx1"/>
            </w14:solidFill>
          </w14:textFill>
        </w:rPr>
        <w:t>5</w:t>
      </w:r>
      <w:r>
        <w:rPr>
          <w:rFonts w:hint="eastAsia" w:ascii="Tahoma" w:hAnsi="Tahoma" w:cs="Tahoma"/>
          <w:color w:val="000000" w:themeColor="text1"/>
          <w:szCs w:val="21"/>
          <w:highlight w:val="none"/>
          <w14:textFill>
            <w14:solidFill>
              <w14:schemeClr w14:val="tx1"/>
            </w14:solidFill>
          </w14:textFill>
        </w:rPr>
        <w:t>个工作日内未按评标报告推荐的中标候选人顺序确定中标人，又不能说明合法理由的，视同按评标报告推荐的顺序确定排名第一的中标候选人为中标人。</w:t>
      </w:r>
    </w:p>
    <w:p>
      <w:pPr>
        <w:spacing w:line="340" w:lineRule="exact"/>
        <w:rPr>
          <w:rFonts w:hint="eastAsia" w:ascii="Tahoma" w:hAnsi="Tahoma" w:cs="Tahoma"/>
          <w:b/>
          <w:bCs/>
          <w:color w:val="000000" w:themeColor="text1"/>
          <w:szCs w:val="21"/>
          <w:highlight w:val="none"/>
          <w14:textFill>
            <w14:solidFill>
              <w14:schemeClr w14:val="tx1"/>
            </w14:solidFill>
          </w14:textFill>
        </w:rPr>
      </w:pPr>
    </w:p>
    <w:p>
      <w:pPr>
        <w:spacing w:line="340" w:lineRule="exact"/>
        <w:rPr>
          <w:rFonts w:ascii="Tahoma" w:hAnsi="Tahoma" w:cs="Tahoma"/>
          <w:b/>
          <w:bCs/>
          <w:color w:val="000000" w:themeColor="text1"/>
          <w:szCs w:val="21"/>
          <w:highlight w:val="none"/>
          <w14:textFill>
            <w14:solidFill>
              <w14:schemeClr w14:val="tx1"/>
            </w14:solidFill>
          </w14:textFill>
        </w:rPr>
      </w:pPr>
      <w:r>
        <w:rPr>
          <w:rFonts w:hint="eastAsia" w:ascii="Tahoma" w:hAnsi="Tahoma" w:cs="Tahoma"/>
          <w:b/>
          <w:bCs/>
          <w:color w:val="000000" w:themeColor="text1"/>
          <w:szCs w:val="21"/>
          <w:highlight w:val="none"/>
          <w14:textFill>
            <w14:solidFill>
              <w14:schemeClr w14:val="tx1"/>
            </w14:solidFill>
          </w14:textFill>
        </w:rPr>
        <w:t>7.2</w:t>
      </w:r>
      <w:r>
        <w:rPr>
          <w:rFonts w:ascii="Tahoma" w:hAnsi="Tahoma" w:cs="Tahoma"/>
          <w:b/>
          <w:bCs/>
          <w:color w:val="000000" w:themeColor="text1"/>
          <w:szCs w:val="21"/>
          <w:highlight w:val="none"/>
          <w14:textFill>
            <w14:solidFill>
              <w14:schemeClr w14:val="tx1"/>
            </w14:solidFill>
          </w14:textFill>
        </w:rPr>
        <w:t>. 中标通知</w:t>
      </w:r>
    </w:p>
    <w:p>
      <w:pPr>
        <w:spacing w:line="340" w:lineRule="exact"/>
        <w:rPr>
          <w:rFonts w:ascii="Tahoma" w:hAnsi="Tahoma" w:cs="Tahoma"/>
          <w:color w:val="000000" w:themeColor="text1"/>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7.2</w:t>
      </w:r>
      <w:r>
        <w:rPr>
          <w:rFonts w:ascii="Tahoma" w:hAnsi="Tahoma" w:cs="Tahoma"/>
          <w:color w:val="000000" w:themeColor="text1"/>
          <w:szCs w:val="21"/>
          <w:highlight w:val="none"/>
          <w14:textFill>
            <w14:solidFill>
              <w14:schemeClr w14:val="tx1"/>
            </w14:solidFill>
          </w14:textFill>
        </w:rPr>
        <w:t>.1 评标结束后，</w:t>
      </w:r>
      <w:r>
        <w:rPr>
          <w:rFonts w:ascii="Tahoma" w:hAnsi="宋体" w:cs="Tahoma"/>
          <w:color w:val="000000" w:themeColor="text1"/>
          <w:highlight w:val="none"/>
          <w14:textFill>
            <w14:solidFill>
              <w14:schemeClr w14:val="tx1"/>
            </w14:solidFill>
          </w14:textFill>
        </w:rPr>
        <w:t>采购人或者采购代理机构应当自中标人确定之日起</w:t>
      </w:r>
      <w:r>
        <w:rPr>
          <w:rFonts w:ascii="Tahoma" w:hAnsi="Tahoma" w:cs="Tahoma"/>
          <w:color w:val="000000" w:themeColor="text1"/>
          <w:highlight w:val="none"/>
          <w14:textFill>
            <w14:solidFill>
              <w14:schemeClr w14:val="tx1"/>
            </w14:solidFill>
          </w14:textFill>
        </w:rPr>
        <w:t>2</w:t>
      </w:r>
      <w:r>
        <w:rPr>
          <w:rFonts w:ascii="Tahoma" w:hAnsi="宋体" w:cs="Tahoma"/>
          <w:color w:val="000000" w:themeColor="text1"/>
          <w:highlight w:val="none"/>
          <w14:textFill>
            <w14:solidFill>
              <w14:schemeClr w14:val="tx1"/>
            </w14:solidFill>
          </w14:textFill>
        </w:rPr>
        <w:t>个工作日内</w:t>
      </w:r>
      <w:r>
        <w:rPr>
          <w:rFonts w:ascii="Tahoma" w:hAnsi="Tahoma" w:cs="Tahoma"/>
          <w:color w:val="000000" w:themeColor="text1"/>
          <w:szCs w:val="21"/>
          <w:highlight w:val="none"/>
          <w14:textFill>
            <w14:solidFill>
              <w14:schemeClr w14:val="tx1"/>
            </w14:solidFill>
          </w14:textFill>
        </w:rPr>
        <w:t>，</w:t>
      </w:r>
      <w:r>
        <w:rPr>
          <w:color w:val="000000" w:themeColor="text1"/>
          <w:highlight w:val="none"/>
          <w14:textFill>
            <w14:solidFill>
              <w14:schemeClr w14:val="tx1"/>
            </w14:solidFill>
          </w14:textFill>
        </w:rPr>
        <w:t>在省级以上财政部门指定的媒体上公告中标结果</w:t>
      </w:r>
      <w:r>
        <w:rPr>
          <w:rFonts w:ascii="Tahoma" w:hAnsi="Tahoma" w:cs="Tahoma"/>
          <w:color w:val="000000" w:themeColor="text1"/>
          <w:szCs w:val="21"/>
          <w:highlight w:val="none"/>
          <w14:textFill>
            <w14:solidFill>
              <w14:schemeClr w14:val="tx1"/>
            </w14:solidFill>
          </w14:textFill>
        </w:rPr>
        <w:t>，公</w:t>
      </w:r>
      <w:r>
        <w:rPr>
          <w:rFonts w:hint="eastAsia" w:ascii="Tahoma" w:hAnsi="Tahoma" w:cs="Tahoma"/>
          <w:color w:val="000000" w:themeColor="text1"/>
          <w:szCs w:val="21"/>
          <w:highlight w:val="none"/>
          <w14:textFill>
            <w14:solidFill>
              <w14:schemeClr w14:val="tx1"/>
            </w14:solidFill>
          </w14:textFill>
        </w:rPr>
        <w:t>告</w:t>
      </w:r>
      <w:r>
        <w:rPr>
          <w:rFonts w:ascii="Tahoma" w:hAnsi="Tahoma" w:cs="Tahoma"/>
          <w:color w:val="000000" w:themeColor="text1"/>
          <w:szCs w:val="21"/>
          <w:highlight w:val="none"/>
          <w14:textFill>
            <w14:solidFill>
              <w14:schemeClr w14:val="tx1"/>
            </w14:solidFill>
          </w14:textFill>
        </w:rPr>
        <w:t>期限为</w:t>
      </w:r>
      <w:r>
        <w:rPr>
          <w:rFonts w:hint="eastAsia" w:ascii="Tahoma" w:hAnsi="Tahoma" w:cs="Tahoma"/>
          <w:color w:val="000000" w:themeColor="text1"/>
          <w:szCs w:val="21"/>
          <w:highlight w:val="none"/>
          <w14:textFill>
            <w14:solidFill>
              <w14:schemeClr w14:val="tx1"/>
            </w14:solidFill>
          </w14:textFill>
        </w:rPr>
        <w:t>1个工作日</w:t>
      </w:r>
      <w:r>
        <w:rPr>
          <w:rFonts w:ascii="Tahoma" w:hAnsi="Tahoma" w:cs="Tahoma"/>
          <w:color w:val="000000" w:themeColor="text1"/>
          <w:szCs w:val="21"/>
          <w:highlight w:val="none"/>
          <w14:textFill>
            <w14:solidFill>
              <w14:schemeClr w14:val="tx1"/>
            </w14:solidFill>
          </w14:textFill>
        </w:rPr>
        <w:t>；同时招标代理机构向中标</w:t>
      </w:r>
      <w:r>
        <w:rPr>
          <w:rFonts w:hint="eastAsia" w:ascii="Tahoma" w:hAnsi="Tahoma" w:cs="Tahoma"/>
          <w:color w:val="000000" w:themeColor="text1"/>
          <w:szCs w:val="21"/>
          <w:highlight w:val="none"/>
          <w14:textFill>
            <w14:solidFill>
              <w14:schemeClr w14:val="tx1"/>
            </w14:solidFill>
          </w14:textFill>
        </w:rPr>
        <w:t>人</w:t>
      </w:r>
      <w:r>
        <w:rPr>
          <w:rFonts w:ascii="Tahoma" w:hAnsi="Tahoma" w:cs="Tahoma"/>
          <w:color w:val="000000" w:themeColor="text1"/>
          <w:szCs w:val="21"/>
          <w:highlight w:val="none"/>
          <w14:textFill>
            <w14:solidFill>
              <w14:schemeClr w14:val="tx1"/>
            </w14:solidFill>
          </w14:textFill>
        </w:rPr>
        <w:t>发出中标通知书。中标通知书对</w:t>
      </w:r>
      <w:r>
        <w:rPr>
          <w:rFonts w:hint="eastAsia" w:ascii="Tahoma" w:hAnsi="Tahoma" w:cs="Tahoma"/>
          <w:color w:val="000000" w:themeColor="text1"/>
          <w:szCs w:val="21"/>
          <w:highlight w:val="none"/>
          <w14:textFill>
            <w14:solidFill>
              <w14:schemeClr w14:val="tx1"/>
            </w14:solidFill>
          </w14:textFill>
        </w:rPr>
        <w:t>招标</w:t>
      </w:r>
      <w:r>
        <w:rPr>
          <w:rFonts w:ascii="Tahoma" w:hAnsi="Tahoma" w:cs="Tahoma"/>
          <w:color w:val="000000" w:themeColor="text1"/>
          <w:szCs w:val="21"/>
          <w:highlight w:val="none"/>
          <w14:textFill>
            <w14:solidFill>
              <w14:schemeClr w14:val="tx1"/>
            </w14:solidFill>
          </w14:textFill>
        </w:rPr>
        <w:t>人和中标</w:t>
      </w:r>
      <w:r>
        <w:rPr>
          <w:rFonts w:hint="eastAsia" w:ascii="Tahoma" w:hAnsi="Tahoma" w:cs="Tahoma"/>
          <w:color w:val="000000" w:themeColor="text1"/>
          <w:szCs w:val="21"/>
          <w:highlight w:val="none"/>
          <w14:textFill>
            <w14:solidFill>
              <w14:schemeClr w14:val="tx1"/>
            </w14:solidFill>
          </w14:textFill>
        </w:rPr>
        <w:t>人</w:t>
      </w:r>
      <w:r>
        <w:rPr>
          <w:rFonts w:ascii="Tahoma" w:hAnsi="Tahoma" w:cs="Tahoma"/>
          <w:color w:val="000000" w:themeColor="text1"/>
          <w:szCs w:val="21"/>
          <w:highlight w:val="none"/>
          <w14:textFill>
            <w14:solidFill>
              <w14:schemeClr w14:val="tx1"/>
            </w14:solidFill>
          </w14:textFill>
        </w:rPr>
        <w:t>具有同等法律效力。中标通知书发出后，</w:t>
      </w:r>
      <w:r>
        <w:rPr>
          <w:rFonts w:hint="eastAsia" w:ascii="Tahoma" w:hAnsi="Tahoma" w:cs="Tahoma"/>
          <w:color w:val="000000" w:themeColor="text1"/>
          <w:szCs w:val="21"/>
          <w:highlight w:val="none"/>
          <w14:textFill>
            <w14:solidFill>
              <w14:schemeClr w14:val="tx1"/>
            </w14:solidFill>
          </w14:textFill>
        </w:rPr>
        <w:t>招标</w:t>
      </w:r>
      <w:r>
        <w:rPr>
          <w:rFonts w:ascii="Tahoma" w:hAnsi="Tahoma" w:cs="Tahoma"/>
          <w:color w:val="000000" w:themeColor="text1"/>
          <w:szCs w:val="21"/>
          <w:highlight w:val="none"/>
          <w14:textFill>
            <w14:solidFill>
              <w14:schemeClr w14:val="tx1"/>
            </w14:solidFill>
          </w14:textFill>
        </w:rPr>
        <w:t>人改变中标结果，或者中标</w:t>
      </w:r>
      <w:r>
        <w:rPr>
          <w:rFonts w:hint="eastAsia" w:ascii="Tahoma" w:hAnsi="Tahoma" w:cs="Tahoma"/>
          <w:color w:val="000000" w:themeColor="text1"/>
          <w:szCs w:val="21"/>
          <w:highlight w:val="none"/>
          <w14:textFill>
            <w14:solidFill>
              <w14:schemeClr w14:val="tx1"/>
            </w14:solidFill>
          </w14:textFill>
        </w:rPr>
        <w:t>人</w:t>
      </w:r>
      <w:r>
        <w:rPr>
          <w:rFonts w:ascii="Tahoma" w:hAnsi="Tahoma" w:cs="Tahoma"/>
          <w:color w:val="000000" w:themeColor="text1"/>
          <w:szCs w:val="21"/>
          <w:highlight w:val="none"/>
          <w14:textFill>
            <w14:solidFill>
              <w14:schemeClr w14:val="tx1"/>
            </w14:solidFill>
          </w14:textFill>
        </w:rPr>
        <w:t>放弃中标，应按相关法律、规章、规范性文件的要求承担相应的法律责任。投标人对中标公告有异议的，应当在知道或应当知道其权益受到损害之日起</w:t>
      </w:r>
      <w:r>
        <w:rPr>
          <w:rFonts w:hint="eastAsia" w:ascii="Tahoma" w:hAnsi="Tahoma" w:cs="Tahoma"/>
          <w:color w:val="000000" w:themeColor="text1"/>
          <w:szCs w:val="21"/>
          <w:highlight w:val="none"/>
          <w14:textFill>
            <w14:solidFill>
              <w14:schemeClr w14:val="tx1"/>
            </w14:solidFill>
          </w14:textFill>
        </w:rPr>
        <w:t>在规定的期限</w:t>
      </w:r>
      <w:r>
        <w:rPr>
          <w:rFonts w:ascii="Tahoma" w:hAnsi="Tahoma" w:cs="Tahoma"/>
          <w:color w:val="000000" w:themeColor="text1"/>
          <w:szCs w:val="21"/>
          <w:highlight w:val="none"/>
          <w14:textFill>
            <w14:solidFill>
              <w14:schemeClr w14:val="tx1"/>
            </w14:solidFill>
          </w14:textFill>
        </w:rPr>
        <w:t>内，以书面形式向采购人或招标代理机构提出质疑。</w:t>
      </w:r>
    </w:p>
    <w:p>
      <w:pPr>
        <w:spacing w:line="340" w:lineRule="exact"/>
        <w:rPr>
          <w:rFonts w:ascii="Tahoma" w:hAnsi="Tahoma" w:cs="Tahoma"/>
          <w:color w:val="000000" w:themeColor="text1"/>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7.2</w:t>
      </w:r>
      <w:r>
        <w:rPr>
          <w:rFonts w:ascii="Tahoma" w:hAnsi="Tahoma" w:cs="Tahoma"/>
          <w:color w:val="000000" w:themeColor="text1"/>
          <w:szCs w:val="21"/>
          <w:highlight w:val="none"/>
          <w14:textFill>
            <w14:solidFill>
              <w14:schemeClr w14:val="tx1"/>
            </w14:solidFill>
          </w14:textFill>
        </w:rPr>
        <w:t>.2 中标公告发出后</w:t>
      </w:r>
      <w:r>
        <w:rPr>
          <w:rFonts w:hint="eastAsia" w:ascii="Tahoma" w:hAnsi="Tahoma" w:cs="Tahoma"/>
          <w:color w:val="000000" w:themeColor="text1"/>
          <w:szCs w:val="21"/>
          <w:highlight w:val="none"/>
          <w14:textFill>
            <w14:solidFill>
              <w14:schemeClr w14:val="tx1"/>
            </w14:solidFill>
          </w14:textFill>
        </w:rPr>
        <w:t>的</w:t>
      </w:r>
      <w:r>
        <w:rPr>
          <w:rFonts w:ascii="Tahoma" w:hAnsi="Tahoma" w:cs="Tahoma"/>
          <w:color w:val="000000" w:themeColor="text1"/>
          <w:szCs w:val="21"/>
          <w:highlight w:val="none"/>
          <w14:textFill>
            <w14:solidFill>
              <w14:schemeClr w14:val="tx1"/>
            </w14:solidFill>
          </w14:textFill>
        </w:rPr>
        <w:t>同时，</w:t>
      </w:r>
      <w:r>
        <w:rPr>
          <w:rFonts w:hint="eastAsia" w:ascii="Tahoma" w:hAnsi="Tahoma" w:cs="Tahoma"/>
          <w:color w:val="000000" w:themeColor="text1"/>
          <w:szCs w:val="21"/>
          <w:highlight w:val="none"/>
          <w14:textFill>
            <w14:solidFill>
              <w14:schemeClr w14:val="tx1"/>
            </w14:solidFill>
          </w14:textFill>
        </w:rPr>
        <w:t>将向</w:t>
      </w:r>
      <w:r>
        <w:rPr>
          <w:rFonts w:ascii="Tahoma" w:hAnsi="Tahoma" w:cs="Tahoma"/>
          <w:color w:val="000000" w:themeColor="text1"/>
          <w:szCs w:val="21"/>
          <w:highlight w:val="none"/>
          <w14:textFill>
            <w14:solidFill>
              <w14:schemeClr w14:val="tx1"/>
            </w14:solidFill>
          </w14:textFill>
        </w:rPr>
        <w:t>未中标人</w:t>
      </w:r>
      <w:r>
        <w:rPr>
          <w:rFonts w:hint="eastAsia" w:ascii="Tahoma" w:hAnsi="Tahoma" w:cs="Tahoma"/>
          <w:color w:val="000000" w:themeColor="text1"/>
          <w:szCs w:val="21"/>
          <w:highlight w:val="none"/>
          <w14:textFill>
            <w14:solidFill>
              <w14:schemeClr w14:val="tx1"/>
            </w14:solidFill>
          </w14:textFill>
        </w:rPr>
        <w:t>发出</w:t>
      </w:r>
      <w:r>
        <w:rPr>
          <w:rFonts w:ascii="Tahoma" w:hAnsi="Tahoma" w:cs="Tahoma"/>
          <w:color w:val="000000" w:themeColor="text1"/>
          <w:szCs w:val="21"/>
          <w:highlight w:val="none"/>
          <w14:textFill>
            <w14:solidFill>
              <w14:schemeClr w14:val="tx1"/>
            </w14:solidFill>
          </w14:textFill>
        </w:rPr>
        <w:t>《</w:t>
      </w:r>
      <w:r>
        <w:rPr>
          <w:rFonts w:hint="eastAsia" w:ascii="Tahoma" w:hAnsi="Tahoma" w:cs="Tahoma"/>
          <w:color w:val="000000" w:themeColor="text1"/>
          <w:szCs w:val="21"/>
          <w:highlight w:val="none"/>
          <w14:textFill>
            <w14:solidFill>
              <w14:schemeClr w14:val="tx1"/>
            </w14:solidFill>
          </w14:textFill>
        </w:rPr>
        <w:t>中</w:t>
      </w:r>
      <w:r>
        <w:rPr>
          <w:rFonts w:ascii="Tahoma" w:hAnsi="Tahoma" w:cs="Tahoma"/>
          <w:color w:val="000000" w:themeColor="text1"/>
          <w:szCs w:val="21"/>
          <w:highlight w:val="none"/>
          <w14:textFill>
            <w14:solidFill>
              <w14:schemeClr w14:val="tx1"/>
            </w14:solidFill>
          </w14:textFill>
        </w:rPr>
        <w:t>标</w:t>
      </w:r>
      <w:r>
        <w:rPr>
          <w:rFonts w:hint="eastAsia" w:ascii="Tahoma" w:hAnsi="Tahoma" w:cs="Tahoma"/>
          <w:color w:val="000000" w:themeColor="text1"/>
          <w:szCs w:val="21"/>
          <w:highlight w:val="none"/>
          <w14:textFill>
            <w14:solidFill>
              <w14:schemeClr w14:val="tx1"/>
            </w14:solidFill>
          </w14:textFill>
        </w:rPr>
        <w:t>结果</w:t>
      </w:r>
      <w:r>
        <w:rPr>
          <w:rFonts w:ascii="Tahoma" w:hAnsi="Tahoma" w:cs="Tahoma"/>
          <w:color w:val="000000" w:themeColor="text1"/>
          <w:szCs w:val="21"/>
          <w:highlight w:val="none"/>
          <w14:textFill>
            <w14:solidFill>
              <w14:schemeClr w14:val="tx1"/>
            </w14:solidFill>
          </w14:textFill>
        </w:rPr>
        <w:t>通知书》。</w:t>
      </w:r>
    </w:p>
    <w:p>
      <w:pPr>
        <w:spacing w:line="340" w:lineRule="exact"/>
        <w:rPr>
          <w:rFonts w:ascii="Tahoma" w:hAnsi="Tahoma" w:cs="Tahoma"/>
          <w:color w:val="000000" w:themeColor="text1"/>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7.2</w:t>
      </w:r>
      <w:r>
        <w:rPr>
          <w:rFonts w:ascii="Tahoma" w:hAnsi="Tahoma" w:cs="Tahoma"/>
          <w:color w:val="000000" w:themeColor="text1"/>
          <w:szCs w:val="21"/>
          <w:highlight w:val="none"/>
          <w14:textFill>
            <w14:solidFill>
              <w14:schemeClr w14:val="tx1"/>
            </w14:solidFill>
          </w14:textFill>
        </w:rPr>
        <w:t>.3 《中标通知书》将作为签订合同的依据。《合同》签订后，《中标通知书》成为《合同》的一部分。</w:t>
      </w:r>
    </w:p>
    <w:p>
      <w:pPr>
        <w:spacing w:line="340" w:lineRule="exact"/>
        <w:rPr>
          <w:rFonts w:ascii="Tahoma" w:hAnsi="Tahoma" w:cs="Tahoma"/>
          <w:color w:val="000000" w:themeColor="text1"/>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7.2</w:t>
      </w:r>
      <w:r>
        <w:rPr>
          <w:rFonts w:ascii="Tahoma" w:hAnsi="Tahoma" w:cs="Tahoma"/>
          <w:color w:val="000000" w:themeColor="text1"/>
          <w:szCs w:val="21"/>
          <w:highlight w:val="none"/>
          <w14:textFill>
            <w14:solidFill>
              <w14:schemeClr w14:val="tx1"/>
            </w14:solidFill>
          </w14:textFill>
        </w:rPr>
        <w:t>.4《中标通知书》发出后5个工作日内，招标代理机构</w:t>
      </w:r>
      <w:r>
        <w:rPr>
          <w:rFonts w:hint="eastAsia" w:ascii="Tahoma" w:hAnsi="Tahoma" w:cs="Tahoma"/>
          <w:color w:val="000000" w:themeColor="text1"/>
          <w:szCs w:val="21"/>
          <w:highlight w:val="none"/>
          <w14:textFill>
            <w14:solidFill>
              <w14:schemeClr w14:val="tx1"/>
            </w14:solidFill>
          </w14:textFill>
        </w:rPr>
        <w:t>将</w:t>
      </w:r>
      <w:r>
        <w:rPr>
          <w:rFonts w:ascii="Tahoma" w:hAnsi="Tahoma" w:cs="Tahoma"/>
          <w:color w:val="000000" w:themeColor="text1"/>
          <w:szCs w:val="21"/>
          <w:highlight w:val="none"/>
          <w14:textFill>
            <w14:solidFill>
              <w14:schemeClr w14:val="tx1"/>
            </w14:solidFill>
          </w14:textFill>
        </w:rPr>
        <w:t>向未中标的投标</w:t>
      </w:r>
      <w:r>
        <w:rPr>
          <w:rFonts w:hint="eastAsia" w:ascii="Tahoma" w:hAnsi="Tahoma" w:cs="Tahoma"/>
          <w:color w:val="000000" w:themeColor="text1"/>
          <w:szCs w:val="21"/>
          <w:highlight w:val="none"/>
          <w14:textFill>
            <w14:solidFill>
              <w14:schemeClr w14:val="tx1"/>
            </w14:solidFill>
          </w14:textFill>
        </w:rPr>
        <w:t>人</w:t>
      </w:r>
      <w:r>
        <w:rPr>
          <w:rFonts w:ascii="Tahoma" w:hAnsi="Tahoma" w:cs="Tahoma"/>
          <w:color w:val="000000" w:themeColor="text1"/>
          <w:szCs w:val="21"/>
          <w:highlight w:val="none"/>
          <w14:textFill>
            <w14:solidFill>
              <w14:schemeClr w14:val="tx1"/>
            </w14:solidFill>
          </w14:textFill>
        </w:rPr>
        <w:t>退还其投标保证金，具体退款手续详见</w:t>
      </w:r>
      <w:r>
        <w:rPr>
          <w:rFonts w:hint="eastAsia" w:ascii="Tahoma" w:hAnsi="Tahoma" w:cs="Tahoma"/>
          <w:color w:val="000000" w:themeColor="text1"/>
          <w:szCs w:val="21"/>
          <w:highlight w:val="none"/>
          <w14:textFill>
            <w14:solidFill>
              <w14:schemeClr w14:val="tx1"/>
            </w14:solidFill>
          </w14:textFill>
        </w:rPr>
        <w:t>本须知第3.6</w:t>
      </w:r>
      <w:r>
        <w:rPr>
          <w:rFonts w:ascii="Tahoma" w:hAnsi="Tahoma" w:cs="Tahoma"/>
          <w:color w:val="000000" w:themeColor="text1"/>
          <w:szCs w:val="21"/>
          <w:highlight w:val="none"/>
          <w14:textFill>
            <w14:solidFill>
              <w14:schemeClr w14:val="tx1"/>
            </w14:solidFill>
          </w14:textFill>
        </w:rPr>
        <w:t>.6</w:t>
      </w:r>
      <w:r>
        <w:rPr>
          <w:rFonts w:hint="eastAsia" w:ascii="Tahoma" w:hAnsi="Tahoma" w:cs="Tahoma"/>
          <w:color w:val="000000" w:themeColor="text1"/>
          <w:szCs w:val="21"/>
          <w:highlight w:val="none"/>
          <w14:textFill>
            <w14:solidFill>
              <w14:schemeClr w14:val="tx1"/>
            </w14:solidFill>
          </w14:textFill>
        </w:rPr>
        <w:t>条</w:t>
      </w:r>
      <w:r>
        <w:rPr>
          <w:rFonts w:ascii="Tahoma" w:hAnsi="Tahoma" w:cs="Tahoma"/>
          <w:color w:val="000000" w:themeColor="text1"/>
          <w:szCs w:val="21"/>
          <w:highlight w:val="none"/>
          <w14:textFill>
            <w14:solidFill>
              <w14:schemeClr w14:val="tx1"/>
            </w14:solidFill>
          </w14:textFill>
        </w:rPr>
        <w:t>。</w:t>
      </w:r>
    </w:p>
    <w:p>
      <w:pPr>
        <w:spacing w:line="340" w:lineRule="exact"/>
        <w:rPr>
          <w:rFonts w:ascii="Tahoma" w:hAnsi="Tahoma" w:cs="Tahoma"/>
          <w:color w:val="000000" w:themeColor="text1"/>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7.2</w:t>
      </w:r>
      <w:r>
        <w:rPr>
          <w:rFonts w:ascii="Tahoma" w:hAnsi="Tahoma" w:cs="Tahoma"/>
          <w:color w:val="000000" w:themeColor="text1"/>
          <w:szCs w:val="21"/>
          <w:highlight w:val="none"/>
          <w14:textFill>
            <w14:solidFill>
              <w14:schemeClr w14:val="tx1"/>
            </w14:solidFill>
          </w14:textFill>
        </w:rPr>
        <w:t>.5在合同签订后5个工作日内，招标代理机构</w:t>
      </w:r>
      <w:r>
        <w:rPr>
          <w:rFonts w:hint="eastAsia" w:ascii="Tahoma" w:hAnsi="Tahoma" w:cs="Tahoma"/>
          <w:color w:val="000000" w:themeColor="text1"/>
          <w:szCs w:val="21"/>
          <w:highlight w:val="none"/>
          <w14:textFill>
            <w14:solidFill>
              <w14:schemeClr w14:val="tx1"/>
            </w14:solidFill>
          </w14:textFill>
        </w:rPr>
        <w:t>将</w:t>
      </w:r>
      <w:r>
        <w:rPr>
          <w:rFonts w:ascii="Tahoma" w:hAnsi="Tahoma" w:cs="Tahoma"/>
          <w:color w:val="000000" w:themeColor="text1"/>
          <w:szCs w:val="21"/>
          <w:highlight w:val="none"/>
          <w14:textFill>
            <w14:solidFill>
              <w14:schemeClr w14:val="tx1"/>
            </w14:solidFill>
          </w14:textFill>
        </w:rPr>
        <w:t>向中标的投标</w:t>
      </w:r>
      <w:r>
        <w:rPr>
          <w:rFonts w:hint="eastAsia" w:ascii="Tahoma" w:hAnsi="Tahoma" w:cs="Tahoma"/>
          <w:color w:val="000000" w:themeColor="text1"/>
          <w:szCs w:val="21"/>
          <w:highlight w:val="none"/>
          <w14:textFill>
            <w14:solidFill>
              <w14:schemeClr w14:val="tx1"/>
            </w14:solidFill>
          </w14:textFill>
        </w:rPr>
        <w:t>人</w:t>
      </w:r>
      <w:r>
        <w:rPr>
          <w:rFonts w:ascii="Tahoma" w:hAnsi="Tahoma" w:cs="Tahoma"/>
          <w:color w:val="000000" w:themeColor="text1"/>
          <w:szCs w:val="21"/>
          <w:highlight w:val="none"/>
          <w14:textFill>
            <w14:solidFill>
              <w14:schemeClr w14:val="tx1"/>
            </w14:solidFill>
          </w14:textFill>
        </w:rPr>
        <w:t>退还其投标保证金，</w:t>
      </w:r>
      <w:r>
        <w:rPr>
          <w:rFonts w:hint="eastAsia" w:ascii="Tahoma" w:hAnsi="Tahoma" w:cs="Tahoma"/>
          <w:color w:val="000000" w:themeColor="text1"/>
          <w:szCs w:val="21"/>
          <w:highlight w:val="none"/>
          <w14:textFill>
            <w14:solidFill>
              <w14:schemeClr w14:val="tx1"/>
            </w14:solidFill>
          </w14:textFill>
        </w:rPr>
        <w:t>条件是已交纳的招标代理服务费，</w:t>
      </w:r>
      <w:r>
        <w:rPr>
          <w:rFonts w:ascii="Tahoma" w:hAnsi="Tahoma" w:cs="Tahoma"/>
          <w:color w:val="000000" w:themeColor="text1"/>
          <w:szCs w:val="21"/>
          <w:highlight w:val="none"/>
          <w14:textFill>
            <w14:solidFill>
              <w14:schemeClr w14:val="tx1"/>
            </w14:solidFill>
          </w14:textFill>
        </w:rPr>
        <w:t>具体退款手续详见</w:t>
      </w:r>
      <w:r>
        <w:rPr>
          <w:rFonts w:hint="eastAsia" w:ascii="Tahoma" w:hAnsi="Tahoma" w:cs="Tahoma"/>
          <w:color w:val="000000" w:themeColor="text1"/>
          <w:szCs w:val="21"/>
          <w:highlight w:val="none"/>
          <w14:textFill>
            <w14:solidFill>
              <w14:schemeClr w14:val="tx1"/>
            </w14:solidFill>
          </w14:textFill>
        </w:rPr>
        <w:t>本须知第3.6</w:t>
      </w:r>
      <w:r>
        <w:rPr>
          <w:rFonts w:ascii="Tahoma" w:hAnsi="Tahoma" w:cs="Tahoma"/>
          <w:color w:val="000000" w:themeColor="text1"/>
          <w:szCs w:val="21"/>
          <w:highlight w:val="none"/>
          <w14:textFill>
            <w14:solidFill>
              <w14:schemeClr w14:val="tx1"/>
            </w14:solidFill>
          </w14:textFill>
        </w:rPr>
        <w:t>.6</w:t>
      </w:r>
      <w:r>
        <w:rPr>
          <w:rFonts w:hint="eastAsia" w:ascii="Tahoma" w:hAnsi="Tahoma" w:cs="Tahoma"/>
          <w:color w:val="000000" w:themeColor="text1"/>
          <w:szCs w:val="21"/>
          <w:highlight w:val="none"/>
          <w14:textFill>
            <w14:solidFill>
              <w14:schemeClr w14:val="tx1"/>
            </w14:solidFill>
          </w14:textFill>
        </w:rPr>
        <w:t>条</w:t>
      </w:r>
      <w:r>
        <w:rPr>
          <w:rFonts w:ascii="Tahoma" w:hAnsi="Tahoma" w:cs="Tahoma"/>
          <w:color w:val="000000" w:themeColor="text1"/>
          <w:szCs w:val="21"/>
          <w:highlight w:val="none"/>
          <w14:textFill>
            <w14:solidFill>
              <w14:schemeClr w14:val="tx1"/>
            </w14:solidFill>
          </w14:textFill>
        </w:rPr>
        <w:t>。</w:t>
      </w:r>
    </w:p>
    <w:p>
      <w:pPr>
        <w:spacing w:line="340" w:lineRule="exact"/>
        <w:rPr>
          <w:rFonts w:ascii="Tahoma" w:hAnsi="Tahoma" w:cs="Tahoma"/>
          <w:color w:val="000000" w:themeColor="text1"/>
          <w:szCs w:val="21"/>
          <w:highlight w:val="none"/>
          <w14:textFill>
            <w14:solidFill>
              <w14:schemeClr w14:val="tx1"/>
            </w14:solidFill>
          </w14:textFill>
        </w:rPr>
      </w:pPr>
      <w:r>
        <w:rPr>
          <w:rFonts w:hint="eastAsia" w:ascii="Tahoma" w:hAnsi="Tahoma" w:cs="Tahoma"/>
          <w:b/>
          <w:bCs/>
          <w:color w:val="000000" w:themeColor="text1"/>
          <w:szCs w:val="21"/>
          <w:highlight w:val="none"/>
          <w14:textFill>
            <w14:solidFill>
              <w14:schemeClr w14:val="tx1"/>
            </w14:solidFill>
          </w14:textFill>
        </w:rPr>
        <w:t>7.3</w:t>
      </w:r>
      <w:r>
        <w:rPr>
          <w:rFonts w:ascii="Tahoma" w:hAnsi="Tahoma" w:cs="Tahoma"/>
          <w:b/>
          <w:bCs/>
          <w:color w:val="000000" w:themeColor="text1"/>
          <w:szCs w:val="21"/>
          <w:highlight w:val="none"/>
          <w14:textFill>
            <w14:solidFill>
              <w14:schemeClr w14:val="tx1"/>
            </w14:solidFill>
          </w14:textFill>
        </w:rPr>
        <w:t>.</w:t>
      </w:r>
      <w:r>
        <w:rPr>
          <w:rFonts w:hint="eastAsia" w:ascii="Tahoma" w:hAnsi="Tahoma" w:cs="Tahoma"/>
          <w:b/>
          <w:bCs/>
          <w:color w:val="000000" w:themeColor="text1"/>
          <w:szCs w:val="21"/>
          <w:highlight w:val="none"/>
          <w14:textFill>
            <w14:solidFill>
              <w14:schemeClr w14:val="tx1"/>
            </w14:solidFill>
          </w14:textFill>
        </w:rPr>
        <w:t xml:space="preserve"> </w:t>
      </w:r>
      <w:r>
        <w:rPr>
          <w:rFonts w:ascii="Tahoma" w:hAnsi="Tahoma" w:cs="Tahoma"/>
          <w:b/>
          <w:bCs/>
          <w:color w:val="000000" w:themeColor="text1"/>
          <w:szCs w:val="21"/>
          <w:highlight w:val="none"/>
          <w14:textFill>
            <w14:solidFill>
              <w14:schemeClr w14:val="tx1"/>
            </w14:solidFill>
          </w14:textFill>
        </w:rPr>
        <w:t>签订合同</w:t>
      </w:r>
    </w:p>
    <w:p>
      <w:pPr>
        <w:spacing w:line="340" w:lineRule="exact"/>
        <w:rPr>
          <w:rFonts w:hint="eastAsia" w:ascii="Tahoma" w:hAnsi="Tahoma" w:eastAsia="宋体" w:cs="Tahoma"/>
          <w:color w:val="000000" w:themeColor="text1"/>
          <w:szCs w:val="21"/>
          <w:highlight w:val="none"/>
          <w:lang w:eastAsia="zh-CN"/>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7.3.1采购人与成交供应商应当在成交通知书发出之日起30日内，按照招标文件确定的合同文本以及采购标的、规格型号、采购金额、采购数量、技术和服务要求等事项签订政府采购合同。采购人不得向成交供应商提出超出招标文件以外的任何要求作为签订合同的条件，不得与成交供应商订立背离招标文件确定的合同文本以及采购标的、规格型号、采购金额、采购数量、技术和服务要求等实质性内容的协议</w:t>
      </w:r>
      <w:r>
        <w:rPr>
          <w:rFonts w:ascii="Tahoma" w:hAnsi="Tahoma" w:cs="Tahoma"/>
          <w:color w:val="000000" w:themeColor="text1"/>
          <w:szCs w:val="21"/>
          <w:highlight w:val="none"/>
          <w14:textFill>
            <w14:solidFill>
              <w14:schemeClr w14:val="tx1"/>
            </w14:solidFill>
          </w14:textFill>
        </w:rPr>
        <w:t>。供应商逾期未与采购人签订合同，将按照有关法律规定承担相应的法律责任</w:t>
      </w:r>
      <w:r>
        <w:rPr>
          <w:rFonts w:hint="eastAsia" w:ascii="Tahoma" w:hAnsi="Tahoma" w:cs="Tahoma"/>
          <w:color w:val="000000" w:themeColor="text1"/>
          <w:szCs w:val="21"/>
          <w:highlight w:val="none"/>
          <w14:textFill>
            <w14:solidFill>
              <w14:schemeClr w14:val="tx1"/>
            </w14:solidFill>
          </w14:textFill>
        </w:rPr>
        <w:t>，并</w:t>
      </w:r>
      <w:r>
        <w:rPr>
          <w:rFonts w:ascii="Tahoma" w:hAnsi="Tahoma" w:cs="Tahoma"/>
          <w:color w:val="000000" w:themeColor="text1"/>
          <w:szCs w:val="21"/>
          <w:highlight w:val="none"/>
          <w14:textFill>
            <w14:solidFill>
              <w14:schemeClr w14:val="tx1"/>
            </w14:solidFill>
          </w14:textFill>
        </w:rPr>
        <w:t>没收</w:t>
      </w:r>
      <w:r>
        <w:rPr>
          <w:rFonts w:hint="eastAsia" w:ascii="Tahoma" w:hAnsi="Tahoma" w:cs="Tahoma"/>
          <w:color w:val="000000" w:themeColor="text1"/>
          <w:szCs w:val="21"/>
          <w:highlight w:val="none"/>
          <w14:textFill>
            <w14:solidFill>
              <w14:schemeClr w14:val="tx1"/>
            </w14:solidFill>
          </w14:textFill>
        </w:rPr>
        <w:t>投标</w:t>
      </w:r>
      <w:r>
        <w:rPr>
          <w:rFonts w:ascii="Tahoma" w:hAnsi="Tahoma" w:cs="Tahoma"/>
          <w:color w:val="000000" w:themeColor="text1"/>
          <w:szCs w:val="21"/>
          <w:highlight w:val="none"/>
          <w14:textFill>
            <w14:solidFill>
              <w14:schemeClr w14:val="tx1"/>
            </w14:solidFill>
          </w14:textFill>
        </w:rPr>
        <w:t>保证金，以抵偿对采购人造成的损失。</w:t>
      </w:r>
      <w:r>
        <w:rPr>
          <w:rFonts w:hint="eastAsia" w:ascii="Tahoma" w:hAnsi="Tahoma" w:cs="Tahoma"/>
          <w:color w:val="000000" w:themeColor="text1"/>
          <w:szCs w:val="21"/>
          <w:highlight w:val="none"/>
          <w14:textFill>
            <w14:solidFill>
              <w14:schemeClr w14:val="tx1"/>
            </w14:solidFill>
          </w14:textFill>
        </w:rPr>
        <w:t>采购方</w:t>
      </w:r>
      <w:r>
        <w:rPr>
          <w:rFonts w:ascii="Tahoma" w:hAnsi="Tahoma" w:cs="Tahoma"/>
          <w:color w:val="000000" w:themeColor="text1"/>
          <w:szCs w:val="21"/>
          <w:highlight w:val="none"/>
          <w14:textFill>
            <w14:solidFill>
              <w14:schemeClr w14:val="tx1"/>
            </w14:solidFill>
          </w14:textFill>
        </w:rPr>
        <w:t>逾期不与成交供应商签订合同的，按有关规定处理</w:t>
      </w:r>
      <w:r>
        <w:rPr>
          <w:rFonts w:hint="eastAsia" w:ascii="Tahoma" w:hAnsi="Tahoma" w:cs="Tahoma"/>
          <w:color w:val="000000" w:themeColor="text1"/>
          <w:szCs w:val="21"/>
          <w:highlight w:val="none"/>
          <w14:textFill>
            <w14:solidFill>
              <w14:schemeClr w14:val="tx1"/>
            </w14:solidFill>
          </w14:textFill>
        </w:rPr>
        <w:t>，</w:t>
      </w:r>
      <w:r>
        <w:rPr>
          <w:rFonts w:ascii="Tahoma" w:hAnsi="Tahoma" w:cs="Tahoma"/>
          <w:color w:val="000000" w:themeColor="text1"/>
          <w:szCs w:val="21"/>
          <w:highlight w:val="none"/>
          <w14:textFill>
            <w14:solidFill>
              <w14:schemeClr w14:val="tx1"/>
            </w14:solidFill>
          </w14:textFill>
        </w:rPr>
        <w:t>并承担相应的法律责任</w:t>
      </w:r>
      <w:r>
        <w:rPr>
          <w:rFonts w:hint="eastAsia" w:ascii="Tahoma" w:hAnsi="Tahoma" w:cs="Tahoma"/>
          <w:color w:val="000000" w:themeColor="text1"/>
          <w:szCs w:val="21"/>
          <w:highlight w:val="none"/>
          <w:lang w:eastAsia="zh-CN"/>
          <w14:textFill>
            <w14:solidFill>
              <w14:schemeClr w14:val="tx1"/>
            </w14:solidFill>
          </w14:textFill>
        </w:rPr>
        <w:t>。没收投标保证金不足以弥补采购人的损失的，以采购人的实际损失为准。</w:t>
      </w:r>
    </w:p>
    <w:p>
      <w:pPr>
        <w:spacing w:line="330" w:lineRule="exact"/>
        <w:rPr>
          <w:rFonts w:ascii="Tahoma" w:hAnsi="Tahoma" w:cs="Tahoma"/>
          <w:color w:val="000000" w:themeColor="text1"/>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7.3</w:t>
      </w:r>
      <w:r>
        <w:rPr>
          <w:rFonts w:ascii="Tahoma" w:hAnsi="Tahoma" w:cs="Tahoma"/>
          <w:color w:val="000000" w:themeColor="text1"/>
          <w:szCs w:val="21"/>
          <w:highlight w:val="none"/>
          <w14:textFill>
            <w14:solidFill>
              <w14:schemeClr w14:val="tx1"/>
            </w14:solidFill>
          </w14:textFill>
        </w:rPr>
        <w:t>.2</w:t>
      </w:r>
      <w:r>
        <w:rPr>
          <w:rFonts w:hint="eastAsia" w:ascii="Tahoma" w:hAnsi="Tahoma" w:cs="Tahoma"/>
          <w:color w:val="000000" w:themeColor="text1"/>
          <w:szCs w:val="21"/>
          <w:highlight w:val="none"/>
          <w14:textFill>
            <w14:solidFill>
              <w14:schemeClr w14:val="tx1"/>
            </w14:solidFill>
          </w14:textFill>
        </w:rPr>
        <w:t>招标</w:t>
      </w:r>
      <w:r>
        <w:rPr>
          <w:rFonts w:ascii="Tahoma" w:hAnsi="Tahoma" w:cs="Tahoma"/>
          <w:color w:val="000000" w:themeColor="text1"/>
          <w:szCs w:val="21"/>
          <w:highlight w:val="none"/>
          <w14:textFill>
            <w14:solidFill>
              <w14:schemeClr w14:val="tx1"/>
            </w14:solidFill>
          </w14:textFill>
        </w:rPr>
        <w:t>文件、</w:t>
      </w:r>
      <w:r>
        <w:rPr>
          <w:rFonts w:hint="eastAsia" w:ascii="Tahoma" w:hAnsi="Tahoma" w:cs="Tahoma"/>
          <w:color w:val="000000" w:themeColor="text1"/>
          <w:szCs w:val="21"/>
          <w:highlight w:val="none"/>
          <w14:textFill>
            <w14:solidFill>
              <w14:schemeClr w14:val="tx1"/>
            </w14:solidFill>
          </w14:textFill>
        </w:rPr>
        <w:t>招标</w:t>
      </w:r>
      <w:r>
        <w:rPr>
          <w:rFonts w:ascii="Tahoma" w:hAnsi="Tahoma" w:cs="Tahoma"/>
          <w:color w:val="000000" w:themeColor="text1"/>
          <w:szCs w:val="21"/>
          <w:highlight w:val="none"/>
          <w14:textFill>
            <w14:solidFill>
              <w14:schemeClr w14:val="tx1"/>
            </w14:solidFill>
          </w14:textFill>
        </w:rPr>
        <w:t>文件的修改文件、成交供应商的</w:t>
      </w:r>
      <w:r>
        <w:rPr>
          <w:rFonts w:hint="eastAsia" w:ascii="Tahoma" w:hAnsi="Tahoma" w:cs="Tahoma"/>
          <w:color w:val="000000" w:themeColor="text1"/>
          <w:szCs w:val="21"/>
          <w:highlight w:val="none"/>
          <w14:textFill>
            <w14:solidFill>
              <w14:schemeClr w14:val="tx1"/>
            </w14:solidFill>
          </w14:textFill>
        </w:rPr>
        <w:t>投标文件</w:t>
      </w:r>
      <w:r>
        <w:rPr>
          <w:rFonts w:ascii="Tahoma" w:hAnsi="Tahoma" w:cs="Tahoma"/>
          <w:color w:val="000000" w:themeColor="text1"/>
          <w:szCs w:val="21"/>
          <w:highlight w:val="none"/>
          <w14:textFill>
            <w14:solidFill>
              <w14:schemeClr w14:val="tx1"/>
            </w14:solidFill>
          </w14:textFill>
        </w:rPr>
        <w:t>、补充或修改的文件及澄清或承诺文件等，均为双方签订《合同》的组成部分，并与《合同》一并作为本</w:t>
      </w:r>
      <w:r>
        <w:rPr>
          <w:rFonts w:hint="eastAsia" w:ascii="Tahoma" w:hAnsi="Tahoma" w:cs="Tahoma"/>
          <w:color w:val="000000" w:themeColor="text1"/>
          <w:szCs w:val="21"/>
          <w:highlight w:val="none"/>
          <w14:textFill>
            <w14:solidFill>
              <w14:schemeClr w14:val="tx1"/>
            </w14:solidFill>
          </w14:textFill>
        </w:rPr>
        <w:t>招标</w:t>
      </w:r>
      <w:r>
        <w:rPr>
          <w:rFonts w:ascii="Tahoma" w:hAnsi="Tahoma" w:cs="Tahoma"/>
          <w:color w:val="000000" w:themeColor="text1"/>
          <w:szCs w:val="21"/>
          <w:highlight w:val="none"/>
          <w14:textFill>
            <w14:solidFill>
              <w14:schemeClr w14:val="tx1"/>
            </w14:solidFill>
          </w14:textFill>
        </w:rPr>
        <w:t>文件所列</w:t>
      </w:r>
      <w:r>
        <w:rPr>
          <w:rFonts w:hint="eastAsia" w:ascii="Tahoma" w:hAnsi="Tahoma" w:cs="Tahoma"/>
          <w:color w:val="000000" w:themeColor="text1"/>
          <w:szCs w:val="21"/>
          <w:highlight w:val="none"/>
          <w14:textFill>
            <w14:solidFill>
              <w14:schemeClr w14:val="tx1"/>
            </w14:solidFill>
          </w14:textFill>
        </w:rPr>
        <w:t>采购</w:t>
      </w:r>
      <w:r>
        <w:rPr>
          <w:rFonts w:ascii="Tahoma" w:hAnsi="Tahoma" w:cs="Tahoma"/>
          <w:color w:val="000000" w:themeColor="text1"/>
          <w:szCs w:val="21"/>
          <w:highlight w:val="none"/>
          <w14:textFill>
            <w14:solidFill>
              <w14:schemeClr w14:val="tx1"/>
            </w14:solidFill>
          </w14:textFill>
        </w:rPr>
        <w:t>项目的互补性法律文件，与《合同》具有同等法律效力。</w:t>
      </w:r>
    </w:p>
    <w:p>
      <w:pPr>
        <w:spacing w:line="330" w:lineRule="exact"/>
        <w:rPr>
          <w:rFonts w:ascii="Tahoma" w:hAnsi="Tahoma" w:cs="Tahoma"/>
          <w:color w:val="000000" w:themeColor="text1"/>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7.3</w:t>
      </w:r>
      <w:r>
        <w:rPr>
          <w:rFonts w:ascii="Tahoma" w:hAnsi="Tahoma" w:cs="Tahoma"/>
          <w:color w:val="000000" w:themeColor="text1"/>
          <w:szCs w:val="21"/>
          <w:highlight w:val="none"/>
          <w14:textFill>
            <w14:solidFill>
              <w14:schemeClr w14:val="tx1"/>
            </w14:solidFill>
          </w14:textFill>
        </w:rPr>
        <w:t>.3政府采购合同履行中，采购人需追加与合同标的相同的货物、工程或者服务的，在不改变合同其他条款的前提下，可与供应商协商签订补充合同，但所有补充合同的采购金额不得超过原合同采购金额的百分之十</w:t>
      </w:r>
      <w:r>
        <w:rPr>
          <w:rFonts w:hint="eastAsia" w:ascii="Tahoma" w:hAnsi="Tahoma" w:cs="Tahoma"/>
          <w:color w:val="000000" w:themeColor="text1"/>
          <w:szCs w:val="21"/>
          <w:highlight w:val="none"/>
          <w14:textFill>
            <w14:solidFill>
              <w14:schemeClr w14:val="tx1"/>
            </w14:solidFill>
          </w14:textFill>
        </w:rPr>
        <w:t>。</w:t>
      </w:r>
    </w:p>
    <w:p>
      <w:pPr>
        <w:spacing w:line="340" w:lineRule="exact"/>
        <w:rPr>
          <w:rFonts w:ascii="Tahoma" w:hAnsi="Tahoma" w:cs="Tahoma"/>
          <w:color w:val="000000" w:themeColor="text1"/>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7.3</w:t>
      </w:r>
      <w:r>
        <w:rPr>
          <w:rFonts w:ascii="Tahoma" w:hAnsi="Tahoma" w:cs="Tahoma"/>
          <w:color w:val="000000" w:themeColor="text1"/>
          <w:szCs w:val="21"/>
          <w:highlight w:val="none"/>
          <w14:textFill>
            <w14:solidFill>
              <w14:schemeClr w14:val="tx1"/>
            </w14:solidFill>
          </w14:textFill>
        </w:rPr>
        <w:t>.4</w:t>
      </w:r>
      <w:r>
        <w:rPr>
          <w:rFonts w:hint="eastAsia" w:ascii="Tahoma" w:hAnsi="Tahoma" w:cs="Tahoma"/>
          <w:color w:val="000000" w:themeColor="text1"/>
          <w:szCs w:val="21"/>
          <w:highlight w:val="none"/>
          <w14:textFill>
            <w14:solidFill>
              <w14:schemeClr w14:val="tx1"/>
            </w14:solidFill>
          </w14:textFill>
        </w:rPr>
        <w:t>成交</w:t>
      </w:r>
      <w:r>
        <w:rPr>
          <w:rFonts w:ascii="Tahoma" w:hAnsi="Tahoma" w:cs="Tahoma"/>
          <w:color w:val="000000" w:themeColor="text1"/>
          <w:szCs w:val="21"/>
          <w:highlight w:val="none"/>
          <w14:textFill>
            <w14:solidFill>
              <w14:schemeClr w14:val="tx1"/>
            </w14:solidFill>
          </w14:textFill>
        </w:rPr>
        <w:t>供应商因不可抗力或者自身原因不能履行合同的，</w:t>
      </w:r>
      <w:r>
        <w:rPr>
          <w:rFonts w:hint="eastAsia" w:ascii="Tahoma" w:hAnsi="Tahoma" w:cs="Tahoma"/>
          <w:color w:val="000000" w:themeColor="text1"/>
          <w:szCs w:val="21"/>
          <w:highlight w:val="none"/>
          <w:lang w:eastAsia="zh-CN"/>
          <w14:textFill>
            <w14:solidFill>
              <w14:schemeClr w14:val="tx1"/>
            </w14:solidFill>
          </w14:textFill>
        </w:rPr>
        <w:t>应当向招标人作出书面情况说明。因供应商自身原因不能履行合同的，招标人有权扣除投标保证金。上述情形下，</w:t>
      </w:r>
      <w:r>
        <w:rPr>
          <w:rFonts w:hint="eastAsia" w:ascii="Tahoma" w:hAnsi="Tahoma" w:cs="Tahoma"/>
          <w:color w:val="000000" w:themeColor="text1"/>
          <w:szCs w:val="21"/>
          <w:highlight w:val="none"/>
          <w14:textFill>
            <w14:solidFill>
              <w14:schemeClr w14:val="tx1"/>
            </w14:solidFill>
          </w14:textFill>
        </w:rPr>
        <w:t>招标</w:t>
      </w:r>
      <w:r>
        <w:rPr>
          <w:rFonts w:ascii="Tahoma" w:hAnsi="Tahoma" w:cs="Tahoma"/>
          <w:color w:val="000000" w:themeColor="text1"/>
          <w:szCs w:val="21"/>
          <w:highlight w:val="none"/>
          <w14:textFill>
            <w14:solidFill>
              <w14:schemeClr w14:val="tx1"/>
            </w14:solidFill>
          </w14:textFill>
        </w:rPr>
        <w:t>人可以与排位在</w:t>
      </w:r>
      <w:r>
        <w:rPr>
          <w:rFonts w:hint="eastAsia" w:ascii="Tahoma" w:hAnsi="Tahoma" w:cs="Tahoma"/>
          <w:color w:val="000000" w:themeColor="text1"/>
          <w:szCs w:val="21"/>
          <w:highlight w:val="none"/>
          <w14:textFill>
            <w14:solidFill>
              <w14:schemeClr w14:val="tx1"/>
            </w14:solidFill>
          </w14:textFill>
        </w:rPr>
        <w:t>成交</w:t>
      </w:r>
      <w:r>
        <w:rPr>
          <w:rFonts w:ascii="Tahoma" w:hAnsi="Tahoma" w:cs="Tahoma"/>
          <w:color w:val="000000" w:themeColor="text1"/>
          <w:szCs w:val="21"/>
          <w:highlight w:val="none"/>
          <w14:textFill>
            <w14:solidFill>
              <w14:schemeClr w14:val="tx1"/>
            </w14:solidFill>
          </w14:textFill>
        </w:rPr>
        <w:t>供应商之后第一位的</w:t>
      </w:r>
      <w:r>
        <w:rPr>
          <w:rFonts w:hint="eastAsia" w:ascii="Tahoma" w:hAnsi="Tahoma" w:cs="Tahoma"/>
          <w:color w:val="000000" w:themeColor="text1"/>
          <w:szCs w:val="21"/>
          <w:highlight w:val="none"/>
          <w14:textFill>
            <w14:solidFill>
              <w14:schemeClr w14:val="tx1"/>
            </w14:solidFill>
          </w14:textFill>
        </w:rPr>
        <w:t>成交</w:t>
      </w:r>
      <w:r>
        <w:rPr>
          <w:rFonts w:ascii="Tahoma" w:hAnsi="Tahoma" w:cs="Tahoma"/>
          <w:color w:val="000000" w:themeColor="text1"/>
          <w:szCs w:val="21"/>
          <w:highlight w:val="none"/>
          <w14:textFill>
            <w14:solidFill>
              <w14:schemeClr w14:val="tx1"/>
            </w14:solidFill>
          </w14:textFill>
        </w:rPr>
        <w:t>候选供应商签订合同，以此类推。</w:t>
      </w:r>
    </w:p>
    <w:p>
      <w:pPr>
        <w:spacing w:line="320" w:lineRule="exact"/>
        <w:jc w:val="center"/>
        <w:rPr>
          <w:rFonts w:ascii="黑体" w:hAnsi="黑体" w:eastAsia="黑体" w:cs="Tahoma"/>
          <w:b/>
          <w:color w:val="000000" w:themeColor="text1"/>
          <w:sz w:val="24"/>
          <w:highlight w:val="none"/>
          <w14:textFill>
            <w14:solidFill>
              <w14:schemeClr w14:val="tx1"/>
            </w14:solidFill>
          </w14:textFill>
        </w:rPr>
      </w:pPr>
      <w:r>
        <w:rPr>
          <w:rFonts w:hint="eastAsia" w:ascii="Tahoma" w:hAnsi="Tahoma" w:cs="Tahoma"/>
          <w:b/>
          <w:color w:val="000000" w:themeColor="text1"/>
          <w:sz w:val="24"/>
          <w:highlight w:val="none"/>
          <w14:textFill>
            <w14:solidFill>
              <w14:schemeClr w14:val="tx1"/>
            </w14:solidFill>
          </w14:textFill>
        </w:rPr>
        <w:t>8</w:t>
      </w:r>
      <w:r>
        <w:rPr>
          <w:rFonts w:ascii="Tahoma" w:cs="Tahoma"/>
          <w:b/>
          <w:color w:val="000000" w:themeColor="text1"/>
          <w:sz w:val="24"/>
          <w:highlight w:val="none"/>
          <w14:textFill>
            <w14:solidFill>
              <w14:schemeClr w14:val="tx1"/>
            </w14:solidFill>
          </w14:textFill>
        </w:rPr>
        <w:t>、</w:t>
      </w:r>
      <w:r>
        <w:rPr>
          <w:rFonts w:hint="eastAsia" w:ascii="黑体" w:hAnsi="黑体" w:eastAsia="黑体" w:cs="Tahoma"/>
          <w:b/>
          <w:color w:val="000000" w:themeColor="text1"/>
          <w:sz w:val="24"/>
          <w:highlight w:val="none"/>
          <w14:textFill>
            <w14:solidFill>
              <w14:schemeClr w14:val="tx1"/>
            </w14:solidFill>
          </w14:textFill>
        </w:rPr>
        <w:t>重新招标和其他方式采购</w:t>
      </w:r>
    </w:p>
    <w:p>
      <w:pPr>
        <w:spacing w:line="320" w:lineRule="exact"/>
        <w:rPr>
          <w:rFonts w:ascii="Tahoma" w:hAnsi="Tahoma" w:cs="Tahoma"/>
          <w:b/>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8.1</w:t>
      </w:r>
      <w:r>
        <w:rPr>
          <w:rFonts w:hint="eastAsia" w:ascii="Tahoma" w:cs="Tahoma"/>
          <w:b/>
          <w:color w:val="000000" w:themeColor="text1"/>
          <w:szCs w:val="21"/>
          <w:highlight w:val="none"/>
          <w14:textFill>
            <w14:solidFill>
              <w14:schemeClr w14:val="tx1"/>
            </w14:solidFill>
          </w14:textFill>
        </w:rPr>
        <w:t>重新</w:t>
      </w:r>
      <w:r>
        <w:rPr>
          <w:rFonts w:ascii="Tahoma" w:cs="Tahoma"/>
          <w:b/>
          <w:color w:val="000000" w:themeColor="text1"/>
          <w:szCs w:val="21"/>
          <w:highlight w:val="none"/>
          <w14:textFill>
            <w14:solidFill>
              <w14:schemeClr w14:val="tx1"/>
            </w14:solidFill>
          </w14:textFill>
        </w:rPr>
        <w:t>招标</w:t>
      </w:r>
    </w:p>
    <w:p>
      <w:pPr>
        <w:spacing w:line="320" w:lineRule="exact"/>
        <w:rPr>
          <w:rFonts w:ascii="Tahoma" w:hAnsi="Tahoma" w:cs="Tahoma"/>
          <w:color w:val="000000" w:themeColor="text1"/>
          <w:szCs w:val="21"/>
          <w:highlight w:val="none"/>
          <w14:textFill>
            <w14:solidFill>
              <w14:schemeClr w14:val="tx1"/>
            </w14:solidFill>
          </w14:textFill>
        </w:rPr>
      </w:pPr>
      <w:r>
        <w:rPr>
          <w:rFonts w:hint="eastAsia" w:ascii="Tahoma" w:cs="Tahoma"/>
          <w:color w:val="000000" w:themeColor="text1"/>
          <w:szCs w:val="21"/>
          <w:highlight w:val="none"/>
          <w14:textFill>
            <w14:solidFill>
              <w14:schemeClr w14:val="tx1"/>
            </w14:solidFill>
          </w14:textFill>
        </w:rPr>
        <w:t>8.1.1</w:t>
      </w:r>
      <w:r>
        <w:rPr>
          <w:rFonts w:ascii="Tahoma" w:cs="Tahoma"/>
          <w:color w:val="000000" w:themeColor="text1"/>
          <w:szCs w:val="21"/>
          <w:highlight w:val="none"/>
          <w14:textFill>
            <w14:solidFill>
              <w14:schemeClr w14:val="tx1"/>
            </w14:solidFill>
          </w14:textFill>
        </w:rPr>
        <w:t>在招标采购中，出现下列情形之一的，</w:t>
      </w:r>
      <w:r>
        <w:rPr>
          <w:rFonts w:hint="eastAsia" w:ascii="Tahoma" w:cs="Tahoma"/>
          <w:color w:val="000000" w:themeColor="text1"/>
          <w:szCs w:val="21"/>
          <w:highlight w:val="none"/>
          <w14:textFill>
            <w14:solidFill>
              <w14:schemeClr w14:val="tx1"/>
            </w14:solidFill>
          </w14:textFill>
        </w:rPr>
        <w:t>应当在废标后重新招标</w:t>
      </w:r>
      <w:r>
        <w:rPr>
          <w:rFonts w:ascii="Tahoma" w:cs="Tahoma"/>
          <w:color w:val="000000" w:themeColor="text1"/>
          <w:szCs w:val="21"/>
          <w:highlight w:val="none"/>
          <w14:textFill>
            <w14:solidFill>
              <w14:schemeClr w14:val="tx1"/>
            </w14:solidFill>
          </w14:textFill>
        </w:rPr>
        <w:t>：</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cs="Tahoma"/>
          <w:color w:val="000000" w:themeColor="text1"/>
          <w:szCs w:val="21"/>
          <w:highlight w:val="none"/>
          <w14:textFill>
            <w14:solidFill>
              <w14:schemeClr w14:val="tx1"/>
            </w14:solidFill>
          </w14:textFill>
        </w:rPr>
        <w:t>　（</w:t>
      </w:r>
      <w:r>
        <w:rPr>
          <w:rFonts w:hint="eastAsia" w:ascii="Tahoma" w:cs="Tahoma"/>
          <w:color w:val="000000" w:themeColor="text1"/>
          <w:szCs w:val="21"/>
          <w:highlight w:val="none"/>
          <w14:textFill>
            <w14:solidFill>
              <w14:schemeClr w14:val="tx1"/>
            </w14:solidFill>
          </w14:textFill>
        </w:rPr>
        <w:t>1</w:t>
      </w:r>
      <w:r>
        <w:rPr>
          <w:rFonts w:ascii="Tahoma" w:cs="Tahoma"/>
          <w:color w:val="000000" w:themeColor="text1"/>
          <w:szCs w:val="21"/>
          <w:highlight w:val="none"/>
          <w14:textFill>
            <w14:solidFill>
              <w14:schemeClr w14:val="tx1"/>
            </w14:solidFill>
          </w14:textFill>
        </w:rPr>
        <w:t>）符合专业条件的供应商或者对招标文件作实质响应的供应商不足三家的；</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cs="Tahoma"/>
          <w:color w:val="000000" w:themeColor="text1"/>
          <w:szCs w:val="21"/>
          <w:highlight w:val="none"/>
          <w14:textFill>
            <w14:solidFill>
              <w14:schemeClr w14:val="tx1"/>
            </w14:solidFill>
          </w14:textFill>
        </w:rPr>
        <w:t>　（</w:t>
      </w:r>
      <w:r>
        <w:rPr>
          <w:rFonts w:hint="eastAsia" w:ascii="Tahoma" w:cs="Tahoma"/>
          <w:color w:val="000000" w:themeColor="text1"/>
          <w:szCs w:val="21"/>
          <w:highlight w:val="none"/>
          <w14:textFill>
            <w14:solidFill>
              <w14:schemeClr w14:val="tx1"/>
            </w14:solidFill>
          </w14:textFill>
        </w:rPr>
        <w:t>2</w:t>
      </w:r>
      <w:r>
        <w:rPr>
          <w:rFonts w:ascii="Tahoma" w:cs="Tahoma"/>
          <w:color w:val="000000" w:themeColor="text1"/>
          <w:szCs w:val="21"/>
          <w:highlight w:val="none"/>
          <w14:textFill>
            <w14:solidFill>
              <w14:schemeClr w14:val="tx1"/>
            </w14:solidFill>
          </w14:textFill>
        </w:rPr>
        <w:t>）出现影响采购公正的违法、违规行为的；</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cs="Tahoma"/>
          <w:color w:val="000000" w:themeColor="text1"/>
          <w:szCs w:val="21"/>
          <w:highlight w:val="none"/>
          <w14:textFill>
            <w14:solidFill>
              <w14:schemeClr w14:val="tx1"/>
            </w14:solidFill>
          </w14:textFill>
        </w:rPr>
        <w:t>　（</w:t>
      </w:r>
      <w:r>
        <w:rPr>
          <w:rFonts w:hint="eastAsia" w:ascii="Tahoma" w:cs="Tahoma"/>
          <w:color w:val="000000" w:themeColor="text1"/>
          <w:szCs w:val="21"/>
          <w:highlight w:val="none"/>
          <w14:textFill>
            <w14:solidFill>
              <w14:schemeClr w14:val="tx1"/>
            </w14:solidFill>
          </w14:textFill>
        </w:rPr>
        <w:t>3</w:t>
      </w:r>
      <w:r>
        <w:rPr>
          <w:rFonts w:ascii="Tahoma" w:cs="Tahoma"/>
          <w:color w:val="000000" w:themeColor="text1"/>
          <w:szCs w:val="21"/>
          <w:highlight w:val="none"/>
          <w14:textFill>
            <w14:solidFill>
              <w14:schemeClr w14:val="tx1"/>
            </w14:solidFill>
          </w14:textFill>
        </w:rPr>
        <w:t>）投标人的报价均超过了采购预算，采购人不能支付的；</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cs="Tahoma"/>
          <w:color w:val="000000" w:themeColor="text1"/>
          <w:szCs w:val="21"/>
          <w:highlight w:val="none"/>
          <w14:textFill>
            <w14:solidFill>
              <w14:schemeClr w14:val="tx1"/>
            </w14:solidFill>
          </w14:textFill>
        </w:rPr>
        <w:t>　（</w:t>
      </w:r>
      <w:r>
        <w:rPr>
          <w:rFonts w:hint="eastAsia" w:ascii="Tahoma" w:cs="Tahoma"/>
          <w:color w:val="000000" w:themeColor="text1"/>
          <w:szCs w:val="21"/>
          <w:highlight w:val="none"/>
          <w14:textFill>
            <w14:solidFill>
              <w14:schemeClr w14:val="tx1"/>
            </w14:solidFill>
          </w14:textFill>
        </w:rPr>
        <w:t>4</w:t>
      </w:r>
      <w:r>
        <w:rPr>
          <w:rFonts w:ascii="Tahoma" w:cs="Tahoma"/>
          <w:color w:val="000000" w:themeColor="text1"/>
          <w:szCs w:val="21"/>
          <w:highlight w:val="none"/>
          <w14:textFill>
            <w14:solidFill>
              <w14:schemeClr w14:val="tx1"/>
            </w14:solidFill>
          </w14:textFill>
        </w:rPr>
        <w:t>）因重大变故，采购任务取消的。</w:t>
      </w:r>
    </w:p>
    <w:p>
      <w:pPr>
        <w:spacing w:line="320" w:lineRule="exact"/>
        <w:rPr>
          <w:rFonts w:ascii="Tahoma" w:hAnsi="Tahoma" w:cs="Tahoma"/>
          <w:color w:val="000000" w:themeColor="text1"/>
          <w:szCs w:val="21"/>
          <w:highlight w:val="none"/>
          <w14:textFill>
            <w14:solidFill>
              <w14:schemeClr w14:val="tx1"/>
            </w14:solidFill>
          </w14:textFill>
        </w:rPr>
      </w:pPr>
      <w:r>
        <w:rPr>
          <w:rFonts w:hint="eastAsia" w:ascii="Tahoma" w:cs="Tahoma"/>
          <w:color w:val="000000" w:themeColor="text1"/>
          <w:szCs w:val="21"/>
          <w:highlight w:val="none"/>
          <w14:textFill>
            <w14:solidFill>
              <w14:schemeClr w14:val="tx1"/>
            </w14:solidFill>
          </w14:textFill>
        </w:rPr>
        <w:t>8.1.2</w:t>
      </w:r>
      <w:r>
        <w:rPr>
          <w:rFonts w:hint="eastAsia" w:ascii="Tahoma" w:hAnsi="Tahoma" w:cs="Tahoma"/>
          <w:color w:val="000000" w:themeColor="text1"/>
          <w:szCs w:val="21"/>
          <w:highlight w:val="none"/>
          <w14:textFill>
            <w14:solidFill>
              <w14:schemeClr w14:val="tx1"/>
            </w14:solidFill>
          </w14:textFill>
        </w:rPr>
        <w:t>如果排名第一、二的中标候选人，直至排名第三的中标候选人因不可抗力或自身原因放弃中标结果，本次招标宣布失败。</w:t>
      </w:r>
      <w:r>
        <w:rPr>
          <w:rFonts w:ascii="Tahoma" w:hAnsi="Tahoma" w:cs="Tahoma"/>
          <w:color w:val="000000" w:themeColor="text1"/>
          <w:szCs w:val="21"/>
          <w:highlight w:val="none"/>
          <w14:textFill>
            <w14:solidFill>
              <w14:schemeClr w14:val="tx1"/>
            </w14:solidFill>
          </w14:textFill>
        </w:rPr>
        <w:t>招标人应</w:t>
      </w:r>
      <w:r>
        <w:rPr>
          <w:rFonts w:hint="eastAsia" w:ascii="Tahoma" w:hAnsi="Tahoma" w:cs="Tahoma"/>
          <w:color w:val="000000" w:themeColor="text1"/>
          <w:szCs w:val="21"/>
          <w:highlight w:val="none"/>
          <w14:textFill>
            <w14:solidFill>
              <w14:schemeClr w14:val="tx1"/>
            </w14:solidFill>
          </w14:textFill>
        </w:rPr>
        <w:t>依法按规定</w:t>
      </w:r>
      <w:r>
        <w:rPr>
          <w:rFonts w:ascii="Tahoma" w:hAnsi="Tahoma" w:cs="Tahoma"/>
          <w:color w:val="000000" w:themeColor="text1"/>
          <w:szCs w:val="21"/>
          <w:highlight w:val="none"/>
          <w14:textFill>
            <w14:solidFill>
              <w14:schemeClr w14:val="tx1"/>
            </w14:solidFill>
          </w14:textFill>
        </w:rPr>
        <w:t>重新组织招标。</w:t>
      </w:r>
    </w:p>
    <w:p>
      <w:pPr>
        <w:spacing w:line="320" w:lineRule="exact"/>
        <w:rPr>
          <w:rFonts w:ascii="Tahoma" w:hAnsi="Tahoma" w:cs="Tahoma"/>
          <w:b/>
          <w:color w:val="000000" w:themeColor="text1"/>
          <w:szCs w:val="21"/>
          <w:highlight w:val="none"/>
          <w14:textFill>
            <w14:solidFill>
              <w14:schemeClr w14:val="tx1"/>
            </w14:solidFill>
          </w14:textFill>
        </w:rPr>
      </w:pPr>
      <w:r>
        <w:rPr>
          <w:rFonts w:hint="eastAsia" w:ascii="Tahoma" w:hAnsi="Tahoma" w:cs="Tahoma"/>
          <w:b/>
          <w:color w:val="000000" w:themeColor="text1"/>
          <w:szCs w:val="21"/>
          <w:highlight w:val="none"/>
          <w14:textFill>
            <w14:solidFill>
              <w14:schemeClr w14:val="tx1"/>
            </w14:solidFill>
          </w14:textFill>
        </w:rPr>
        <w:t>8.2</w:t>
      </w:r>
      <w:r>
        <w:rPr>
          <w:rFonts w:hint="eastAsia" w:ascii="Tahoma" w:cs="Tahoma"/>
          <w:b/>
          <w:color w:val="000000" w:themeColor="text1"/>
          <w:szCs w:val="21"/>
          <w:highlight w:val="none"/>
          <w14:textFill>
            <w14:solidFill>
              <w14:schemeClr w14:val="tx1"/>
            </w14:solidFill>
          </w14:textFill>
        </w:rPr>
        <w:t>其他方式采购</w:t>
      </w:r>
    </w:p>
    <w:p>
      <w:pPr>
        <w:spacing w:line="320" w:lineRule="exact"/>
        <w:rPr>
          <w:rFonts w:ascii="Tahoma" w:hAnsi="Tahoma" w:cs="Tahoma"/>
          <w:color w:val="000000" w:themeColor="text1"/>
          <w:szCs w:val="21"/>
          <w:highlight w:val="none"/>
          <w14:textFill>
            <w14:solidFill>
              <w14:schemeClr w14:val="tx1"/>
            </w14:solidFill>
          </w14:textFill>
        </w:rPr>
      </w:pPr>
      <w:r>
        <w:rPr>
          <w:rFonts w:hint="eastAsia" w:ascii="Tahoma" w:cs="Tahoma"/>
          <w:color w:val="000000" w:themeColor="text1"/>
          <w:szCs w:val="21"/>
          <w:highlight w:val="none"/>
          <w14:textFill>
            <w14:solidFill>
              <w14:schemeClr w14:val="tx1"/>
            </w14:solidFill>
          </w14:textFill>
        </w:rPr>
        <w:t>8.2.1</w:t>
      </w:r>
      <w:r>
        <w:rPr>
          <w:rFonts w:ascii="Tahoma" w:cs="Tahoma"/>
          <w:color w:val="000000" w:themeColor="text1"/>
          <w:szCs w:val="21"/>
          <w:highlight w:val="none"/>
          <w14:textFill>
            <w14:solidFill>
              <w14:schemeClr w14:val="tx1"/>
            </w14:solidFill>
          </w14:textFill>
        </w:rPr>
        <w:t>需要采取其他方式采购的，</w:t>
      </w:r>
      <w:r>
        <w:rPr>
          <w:rFonts w:hint="eastAsia" w:ascii="Tahoma" w:cs="Tahoma"/>
          <w:color w:val="000000" w:themeColor="text1"/>
          <w:szCs w:val="21"/>
          <w:highlight w:val="none"/>
          <w14:textFill>
            <w14:solidFill>
              <w14:schemeClr w14:val="tx1"/>
            </w14:solidFill>
          </w14:textFill>
        </w:rPr>
        <w:t>采购人应当依法报财政部门批准</w:t>
      </w:r>
      <w:r>
        <w:rPr>
          <w:rFonts w:ascii="Tahoma" w:cs="Tahoma"/>
          <w:color w:val="000000" w:themeColor="text1"/>
          <w:szCs w:val="21"/>
          <w:highlight w:val="none"/>
          <w14:textFill>
            <w14:solidFill>
              <w14:schemeClr w14:val="tx1"/>
            </w14:solidFill>
          </w14:textFill>
        </w:rPr>
        <w:t>。</w:t>
      </w:r>
    </w:p>
    <w:p>
      <w:pPr>
        <w:spacing w:line="320" w:lineRule="exact"/>
        <w:jc w:val="center"/>
        <w:rPr>
          <w:rFonts w:ascii="Tahoma" w:hAnsi="Tahoma" w:cs="Tahoma"/>
          <w:b/>
          <w:color w:val="000000" w:themeColor="text1"/>
          <w:sz w:val="24"/>
          <w:highlight w:val="none"/>
          <w14:textFill>
            <w14:solidFill>
              <w14:schemeClr w14:val="tx1"/>
            </w14:solidFill>
          </w14:textFill>
        </w:rPr>
      </w:pPr>
      <w:r>
        <w:rPr>
          <w:rFonts w:ascii="Tahoma" w:hAnsi="Tahoma" w:cs="Tahoma"/>
          <w:b/>
          <w:color w:val="000000" w:themeColor="text1"/>
          <w:sz w:val="24"/>
          <w:highlight w:val="none"/>
          <w14:textFill>
            <w14:solidFill>
              <w14:schemeClr w14:val="tx1"/>
            </w14:solidFill>
          </w14:textFill>
        </w:rPr>
        <w:t>9、</w:t>
      </w:r>
      <w:r>
        <w:rPr>
          <w:rFonts w:ascii="Tahoma" w:hAnsi="Tahoma" w:eastAsia="黑体" w:cs="Tahoma"/>
          <w:b/>
          <w:color w:val="000000" w:themeColor="text1"/>
          <w:sz w:val="24"/>
          <w:highlight w:val="none"/>
          <w14:textFill>
            <w14:solidFill>
              <w14:schemeClr w14:val="tx1"/>
            </w14:solidFill>
          </w14:textFill>
        </w:rPr>
        <w:t>纪律和监督</w:t>
      </w:r>
    </w:p>
    <w:p>
      <w:pPr>
        <w:spacing w:line="320" w:lineRule="exact"/>
        <w:rPr>
          <w:rFonts w:ascii="Tahoma" w:hAnsi="Tahoma" w:eastAsia="新宋体" w:cs="Tahoma"/>
          <w:b/>
          <w:color w:val="000000" w:themeColor="text1"/>
          <w:szCs w:val="21"/>
          <w:highlight w:val="none"/>
          <w14:textFill>
            <w14:solidFill>
              <w14:schemeClr w14:val="tx1"/>
            </w14:solidFill>
          </w14:textFill>
        </w:rPr>
      </w:pPr>
      <w:r>
        <w:rPr>
          <w:rFonts w:ascii="Tahoma" w:hAnsi="Tahoma" w:eastAsia="新宋体" w:cs="Tahoma"/>
          <w:b/>
          <w:color w:val="000000" w:themeColor="text1"/>
          <w:szCs w:val="21"/>
          <w:highlight w:val="none"/>
          <w14:textFill>
            <w14:solidFill>
              <w14:schemeClr w14:val="tx1"/>
            </w14:solidFill>
          </w14:textFill>
        </w:rPr>
        <w:t>9.1 对招标人的纪律要求</w:t>
      </w:r>
    </w:p>
    <w:p>
      <w:pPr>
        <w:spacing w:line="320" w:lineRule="exact"/>
        <w:rPr>
          <w:rFonts w:ascii="Tahoma" w:hAnsi="Tahoma" w:eastAsia="新宋体" w:cs="Tahoma"/>
          <w:b/>
          <w:color w:val="000000" w:themeColor="text1"/>
          <w:szCs w:val="21"/>
          <w:highlight w:val="none"/>
          <w14:textFill>
            <w14:solidFill>
              <w14:schemeClr w14:val="tx1"/>
            </w14:solidFill>
          </w14:textFill>
        </w:rPr>
      </w:pPr>
      <w:r>
        <w:rPr>
          <w:rFonts w:ascii="Tahoma" w:hAnsi="Tahoma" w:eastAsia="新宋体" w:cs="Tahoma"/>
          <w:color w:val="000000" w:themeColor="text1"/>
          <w:szCs w:val="21"/>
          <w:highlight w:val="none"/>
          <w14:textFill>
            <w14:solidFill>
              <w14:schemeClr w14:val="tx1"/>
            </w14:solidFill>
          </w14:textFill>
        </w:rPr>
        <w:t xml:space="preserve">    招标人不得泄露招标投标活动中应当保密的情况和资料，不得与投标人串通损害国家利益、社会公共利益或者他人合法利益。招标人不得有下列行为之一：</w:t>
      </w:r>
    </w:p>
    <w:p>
      <w:pPr>
        <w:spacing w:line="320" w:lineRule="exact"/>
        <w:ind w:firstLine="210" w:firstLineChars="100"/>
        <w:rPr>
          <w:rFonts w:ascii="Tahoma" w:hAnsi="Tahoma" w:cs="Tahoma"/>
          <w:color w:val="000000" w:themeColor="text1"/>
          <w:kern w:val="0"/>
          <w:szCs w:val="21"/>
          <w:highlight w:val="none"/>
          <w14:textFill>
            <w14:solidFill>
              <w14:schemeClr w14:val="tx1"/>
            </w14:solidFill>
          </w14:textFill>
        </w:rPr>
      </w:pPr>
      <w:r>
        <w:rPr>
          <w:rFonts w:ascii="Tahoma" w:hAnsi="Tahoma" w:cs="Tahoma"/>
          <w:color w:val="000000" w:themeColor="text1"/>
          <w:kern w:val="0"/>
          <w:szCs w:val="21"/>
          <w:highlight w:val="none"/>
          <w14:textFill>
            <w14:solidFill>
              <w14:schemeClr w14:val="tx1"/>
            </w14:solidFill>
          </w14:textFill>
        </w:rPr>
        <w:t xml:space="preserve">（1）与投标人恶意串通的； </w:t>
      </w:r>
    </w:p>
    <w:p>
      <w:pPr>
        <w:spacing w:line="320" w:lineRule="exact"/>
        <w:rPr>
          <w:rFonts w:ascii="Tahoma" w:hAnsi="Tahoma" w:cs="Tahoma"/>
          <w:color w:val="000000" w:themeColor="text1"/>
          <w:kern w:val="0"/>
          <w:szCs w:val="21"/>
          <w:highlight w:val="none"/>
          <w14:textFill>
            <w14:solidFill>
              <w14:schemeClr w14:val="tx1"/>
            </w14:solidFill>
          </w14:textFill>
        </w:rPr>
      </w:pPr>
      <w:r>
        <w:rPr>
          <w:rFonts w:ascii="Tahoma" w:hAnsi="Tahoma" w:cs="Tahoma"/>
          <w:color w:val="000000" w:themeColor="text1"/>
          <w:kern w:val="0"/>
          <w:szCs w:val="21"/>
          <w:highlight w:val="none"/>
          <w14:textFill>
            <w14:solidFill>
              <w14:schemeClr w14:val="tx1"/>
            </w14:solidFill>
          </w14:textFill>
        </w:rPr>
        <w:t xml:space="preserve">　（2）在采购过程中接受贿赂或者获取其他不正当利益的； </w:t>
      </w:r>
    </w:p>
    <w:p>
      <w:pPr>
        <w:spacing w:line="320" w:lineRule="exact"/>
        <w:rPr>
          <w:rFonts w:ascii="Tahoma" w:hAnsi="Tahoma" w:cs="Tahoma"/>
          <w:color w:val="000000" w:themeColor="text1"/>
          <w:kern w:val="0"/>
          <w:szCs w:val="21"/>
          <w:highlight w:val="none"/>
          <w14:textFill>
            <w14:solidFill>
              <w14:schemeClr w14:val="tx1"/>
            </w14:solidFill>
          </w14:textFill>
        </w:rPr>
      </w:pPr>
      <w:r>
        <w:rPr>
          <w:rFonts w:ascii="Tahoma" w:hAnsi="Tahoma" w:cs="Tahoma"/>
          <w:color w:val="000000" w:themeColor="text1"/>
          <w:kern w:val="0"/>
          <w:szCs w:val="21"/>
          <w:highlight w:val="none"/>
          <w14:textFill>
            <w14:solidFill>
              <w14:schemeClr w14:val="tx1"/>
            </w14:solidFill>
          </w14:textFill>
        </w:rPr>
        <w:t xml:space="preserve">　（3）在有关部门依法实施的监督检查中提供虚假情况的； </w:t>
      </w:r>
    </w:p>
    <w:p>
      <w:pPr>
        <w:spacing w:line="320" w:lineRule="exact"/>
        <w:rPr>
          <w:rFonts w:ascii="Tahoma" w:hAnsi="Tahoma" w:cs="Tahoma"/>
          <w:color w:val="000000" w:themeColor="text1"/>
          <w:kern w:val="0"/>
          <w:szCs w:val="21"/>
          <w:highlight w:val="none"/>
          <w14:textFill>
            <w14:solidFill>
              <w14:schemeClr w14:val="tx1"/>
            </w14:solidFill>
          </w14:textFill>
        </w:rPr>
      </w:pPr>
      <w:r>
        <w:rPr>
          <w:rFonts w:ascii="Tahoma" w:hAnsi="Tahoma" w:cs="Tahoma"/>
          <w:color w:val="000000" w:themeColor="text1"/>
          <w:kern w:val="0"/>
          <w:szCs w:val="21"/>
          <w:highlight w:val="none"/>
          <w14:textFill>
            <w14:solidFill>
              <w14:schemeClr w14:val="tx1"/>
            </w14:solidFill>
          </w14:textFill>
        </w:rPr>
        <w:t xml:space="preserve">　（4）开标前泄露已获取招标文件的潜在投标人的名称、数量、标底或者其他可能影响公平竞争的有关招标投标情况的。 </w:t>
      </w:r>
    </w:p>
    <w:p>
      <w:pPr>
        <w:spacing w:line="320" w:lineRule="exact"/>
        <w:ind w:firstLine="210" w:firstLineChars="1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（5）法律、法规规定的其他违法、违规情形。</w:t>
      </w:r>
    </w:p>
    <w:p>
      <w:pPr>
        <w:spacing w:line="320" w:lineRule="exact"/>
        <w:rPr>
          <w:rFonts w:ascii="Tahoma" w:hAnsi="Tahoma" w:eastAsia="新宋体" w:cs="Tahoma"/>
          <w:b/>
          <w:color w:val="000000" w:themeColor="text1"/>
          <w:szCs w:val="21"/>
          <w:highlight w:val="none"/>
          <w14:textFill>
            <w14:solidFill>
              <w14:schemeClr w14:val="tx1"/>
            </w14:solidFill>
          </w14:textFill>
        </w:rPr>
      </w:pPr>
      <w:r>
        <w:rPr>
          <w:rFonts w:ascii="Tahoma" w:hAnsi="Tahoma" w:eastAsia="新宋体" w:cs="Tahoma"/>
          <w:b/>
          <w:color w:val="000000" w:themeColor="text1"/>
          <w:szCs w:val="21"/>
          <w:highlight w:val="none"/>
          <w14:textFill>
            <w14:solidFill>
              <w14:schemeClr w14:val="tx1"/>
            </w14:solidFill>
          </w14:textFill>
        </w:rPr>
        <w:t>9.2 对投标人的纪律要求</w:t>
      </w:r>
    </w:p>
    <w:p>
      <w:pPr>
        <w:spacing w:line="320" w:lineRule="exact"/>
        <w:ind w:right="248"/>
        <w:rPr>
          <w:rFonts w:ascii="Tahoma" w:hAnsi="Tahoma" w:eastAsia="新宋体" w:cs="Tahoma"/>
          <w:color w:val="000000" w:themeColor="text1"/>
          <w:szCs w:val="21"/>
          <w:highlight w:val="none"/>
          <w14:textFill>
            <w14:solidFill>
              <w14:schemeClr w14:val="tx1"/>
            </w14:solidFill>
          </w14:textFill>
        </w:rPr>
      </w:pPr>
      <w:r>
        <w:rPr>
          <w:rFonts w:ascii="Tahoma" w:hAnsi="Tahoma" w:eastAsia="新宋体" w:cs="Tahoma"/>
          <w:color w:val="000000" w:themeColor="text1"/>
          <w:szCs w:val="21"/>
          <w:highlight w:val="none"/>
          <w14:textFill>
            <w14:solidFill>
              <w14:schemeClr w14:val="tx1"/>
            </w14:solidFill>
          </w14:textFill>
        </w:rPr>
        <w:t>9.2.1投标人不得相互串通投标或者与招标人串通投标，不得向招标人或者评标委员会成员行贿谋取中标，不得以其它方式弄虚作假骗取中标；投标人不得以任何方式干扰、影响评标工作。</w:t>
      </w:r>
      <w:bookmarkStart w:id="17" w:name="_Toc221950237"/>
      <w:r>
        <w:rPr>
          <w:rFonts w:ascii="Tahoma" w:hAnsi="Tahoma" w:eastAsia="新宋体" w:cs="Tahoma"/>
          <w:color w:val="000000" w:themeColor="text1"/>
          <w:szCs w:val="21"/>
          <w:highlight w:val="none"/>
          <w14:textFill>
            <w14:solidFill>
              <w14:schemeClr w14:val="tx1"/>
            </w14:solidFill>
          </w14:textFill>
        </w:rPr>
        <w:t>投标人不得有下列行为之一：</w:t>
      </w:r>
    </w:p>
    <w:bookmarkEnd w:id="17"/>
    <w:p>
      <w:pPr>
        <w:spacing w:line="320" w:lineRule="exact"/>
        <w:ind w:firstLine="210" w:firstLineChars="100"/>
        <w:rPr>
          <w:rFonts w:ascii="Tahoma" w:hAnsi="Tahoma" w:cs="Tahoma"/>
          <w:color w:val="000000" w:themeColor="text1"/>
          <w:kern w:val="0"/>
          <w:szCs w:val="21"/>
          <w:highlight w:val="none"/>
          <w14:textFill>
            <w14:solidFill>
              <w14:schemeClr w14:val="tx1"/>
            </w14:solidFill>
          </w14:textFill>
        </w:rPr>
      </w:pPr>
      <w:bookmarkStart w:id="18" w:name="_Toc221950238"/>
      <w:r>
        <w:rPr>
          <w:rFonts w:ascii="Tahoma" w:hAnsi="Tahoma" w:cs="Tahoma"/>
          <w:color w:val="000000" w:themeColor="text1"/>
          <w:kern w:val="0"/>
          <w:szCs w:val="21"/>
          <w:highlight w:val="none"/>
          <w14:textFill>
            <w14:solidFill>
              <w14:schemeClr w14:val="tx1"/>
            </w14:solidFill>
          </w14:textFill>
        </w:rPr>
        <w:t xml:space="preserve">（1）提供虚假材料谋取中标的； </w:t>
      </w:r>
    </w:p>
    <w:p>
      <w:pPr>
        <w:spacing w:line="320" w:lineRule="exact"/>
        <w:rPr>
          <w:rFonts w:ascii="Tahoma" w:hAnsi="Tahoma" w:cs="Tahoma"/>
          <w:color w:val="000000" w:themeColor="text1"/>
          <w:kern w:val="0"/>
          <w:szCs w:val="21"/>
          <w:highlight w:val="none"/>
          <w14:textFill>
            <w14:solidFill>
              <w14:schemeClr w14:val="tx1"/>
            </w14:solidFill>
          </w14:textFill>
        </w:rPr>
      </w:pPr>
      <w:r>
        <w:rPr>
          <w:rFonts w:ascii="Tahoma" w:hAnsi="Tahoma" w:cs="Tahoma"/>
          <w:color w:val="000000" w:themeColor="text1"/>
          <w:kern w:val="0"/>
          <w:szCs w:val="21"/>
          <w:highlight w:val="none"/>
          <w14:textFill>
            <w14:solidFill>
              <w14:schemeClr w14:val="tx1"/>
            </w14:solidFill>
          </w14:textFill>
        </w:rPr>
        <w:t xml:space="preserve">　（2）采取不正当手段诋毁、排挤其他投标人的； </w:t>
      </w:r>
    </w:p>
    <w:p>
      <w:pPr>
        <w:spacing w:line="320" w:lineRule="exact"/>
        <w:rPr>
          <w:rFonts w:ascii="Tahoma" w:hAnsi="Tahoma" w:cs="Tahoma"/>
          <w:color w:val="000000" w:themeColor="text1"/>
          <w:kern w:val="0"/>
          <w:szCs w:val="21"/>
          <w:highlight w:val="none"/>
          <w14:textFill>
            <w14:solidFill>
              <w14:schemeClr w14:val="tx1"/>
            </w14:solidFill>
          </w14:textFill>
        </w:rPr>
      </w:pPr>
      <w:r>
        <w:rPr>
          <w:rFonts w:ascii="Tahoma" w:hAnsi="Tahoma" w:cs="Tahoma"/>
          <w:color w:val="000000" w:themeColor="text1"/>
          <w:kern w:val="0"/>
          <w:szCs w:val="21"/>
          <w:highlight w:val="none"/>
          <w14:textFill>
            <w14:solidFill>
              <w14:schemeClr w14:val="tx1"/>
            </w14:solidFill>
          </w14:textFill>
        </w:rPr>
        <w:t xml:space="preserve">　（3）与招标采购单位、其他投标人恶意串通的； </w:t>
      </w:r>
    </w:p>
    <w:p>
      <w:pPr>
        <w:spacing w:line="320" w:lineRule="exact"/>
        <w:rPr>
          <w:rFonts w:ascii="Tahoma" w:hAnsi="Tahoma" w:cs="Tahoma"/>
          <w:color w:val="000000" w:themeColor="text1"/>
          <w:kern w:val="0"/>
          <w:szCs w:val="21"/>
          <w:highlight w:val="none"/>
          <w14:textFill>
            <w14:solidFill>
              <w14:schemeClr w14:val="tx1"/>
            </w14:solidFill>
          </w14:textFill>
        </w:rPr>
      </w:pPr>
      <w:r>
        <w:rPr>
          <w:rFonts w:ascii="Tahoma" w:hAnsi="Tahoma" w:cs="Tahoma"/>
          <w:color w:val="000000" w:themeColor="text1"/>
          <w:kern w:val="0"/>
          <w:szCs w:val="21"/>
          <w:highlight w:val="none"/>
          <w14:textFill>
            <w14:solidFill>
              <w14:schemeClr w14:val="tx1"/>
            </w14:solidFill>
          </w14:textFill>
        </w:rPr>
        <w:t xml:space="preserve">　（4）向招标采购单位行贿或者提供其他不正当利益的； </w:t>
      </w:r>
    </w:p>
    <w:p>
      <w:pPr>
        <w:spacing w:line="320" w:lineRule="exact"/>
        <w:rPr>
          <w:rFonts w:ascii="Tahoma" w:hAnsi="Tahoma" w:cs="Tahoma"/>
          <w:color w:val="000000" w:themeColor="text1"/>
          <w:kern w:val="0"/>
          <w:szCs w:val="21"/>
          <w:highlight w:val="none"/>
          <w14:textFill>
            <w14:solidFill>
              <w14:schemeClr w14:val="tx1"/>
            </w14:solidFill>
          </w14:textFill>
        </w:rPr>
      </w:pPr>
      <w:r>
        <w:rPr>
          <w:rFonts w:ascii="Tahoma" w:hAnsi="Tahoma" w:cs="Tahoma"/>
          <w:color w:val="000000" w:themeColor="text1"/>
          <w:kern w:val="0"/>
          <w:szCs w:val="21"/>
          <w:highlight w:val="none"/>
          <w14:textFill>
            <w14:solidFill>
              <w14:schemeClr w14:val="tx1"/>
            </w14:solidFill>
          </w14:textFill>
        </w:rPr>
        <w:t>　（5）在招标过程中与招标采购单位进行协商</w:t>
      </w:r>
      <w:r>
        <w:rPr>
          <w:rFonts w:hint="eastAsia" w:ascii="Tahoma" w:hAnsi="Tahoma" w:cs="Tahoma"/>
          <w:color w:val="000000" w:themeColor="text1"/>
          <w:kern w:val="0"/>
          <w:szCs w:val="21"/>
          <w:highlight w:val="none"/>
          <w14:textFill>
            <w14:solidFill>
              <w14:schemeClr w14:val="tx1"/>
            </w14:solidFill>
          </w14:textFill>
        </w:rPr>
        <w:t>招标</w:t>
      </w:r>
      <w:r>
        <w:rPr>
          <w:rFonts w:ascii="Tahoma" w:hAnsi="Tahoma" w:cs="Tahoma"/>
          <w:color w:val="000000" w:themeColor="text1"/>
          <w:kern w:val="0"/>
          <w:szCs w:val="21"/>
          <w:highlight w:val="none"/>
          <w14:textFill>
            <w14:solidFill>
              <w14:schemeClr w14:val="tx1"/>
            </w14:solidFill>
          </w14:textFill>
        </w:rPr>
        <w:t xml:space="preserve">、不按照招标文件和中标供应商的投标文件订立合同，或者与采购人另行订立背离合同实质性内容的协议的； </w:t>
      </w:r>
    </w:p>
    <w:p>
      <w:pPr>
        <w:spacing w:line="320" w:lineRule="exact"/>
        <w:rPr>
          <w:rFonts w:ascii="Tahoma" w:hAnsi="Tahoma" w:cs="Tahoma"/>
          <w:color w:val="000000" w:themeColor="text1"/>
          <w:kern w:val="0"/>
          <w:szCs w:val="21"/>
          <w:highlight w:val="none"/>
          <w14:textFill>
            <w14:solidFill>
              <w14:schemeClr w14:val="tx1"/>
            </w14:solidFill>
          </w14:textFill>
        </w:rPr>
      </w:pPr>
      <w:r>
        <w:rPr>
          <w:rFonts w:ascii="Tahoma" w:hAnsi="Tahoma" w:cs="Tahoma"/>
          <w:color w:val="000000" w:themeColor="text1"/>
          <w:kern w:val="0"/>
          <w:szCs w:val="21"/>
          <w:highlight w:val="none"/>
          <w14:textFill>
            <w14:solidFill>
              <w14:schemeClr w14:val="tx1"/>
            </w14:solidFill>
          </w14:textFill>
        </w:rPr>
        <w:t xml:space="preserve">　（6）拒绝有关部门监督检查或者提供虚假情况的； </w:t>
      </w:r>
    </w:p>
    <w:p>
      <w:pPr>
        <w:spacing w:line="320" w:lineRule="exact"/>
        <w:ind w:firstLine="210" w:firstLineChars="1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（7）法律、法规规定的其他违法、违规情形。</w:t>
      </w:r>
    </w:p>
    <w:bookmarkEnd w:id="18"/>
    <w:p>
      <w:pPr>
        <w:spacing w:line="320" w:lineRule="exact"/>
        <w:rPr>
          <w:rFonts w:ascii="Tahoma" w:hAnsi="Tahoma" w:cs="Tahoma"/>
          <w:b/>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9.3 对评标委员会成员的纪律要求</w:t>
      </w:r>
    </w:p>
    <w:p>
      <w:pPr>
        <w:spacing w:line="320" w:lineRule="exact"/>
        <w:ind w:firstLine="420" w:firstLineChars="2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评标委员会成员不得收受他人的财物或者其他好处，不得向他人透漏对</w:t>
      </w:r>
      <w:r>
        <w:rPr>
          <w:rFonts w:ascii="Tahoma" w:hAnsi="Tahoma" w:eastAsia="新宋体" w:cs="Tahoma"/>
          <w:color w:val="000000" w:themeColor="text1"/>
          <w:szCs w:val="21"/>
          <w:highlight w:val="none"/>
          <w14:textFill>
            <w14:solidFill>
              <w14:schemeClr w14:val="tx1"/>
            </w14:solidFill>
          </w14:textFill>
        </w:rPr>
        <w:t>投标文件的评审和比较、中标候选人的推荐情况以及评标有关的其他情况。在评标活动中，评标委员会成员不得擅离职守，影响评标程序正常进行。</w:t>
      </w:r>
      <w:r>
        <w:rPr>
          <w:rFonts w:ascii="Tahoma" w:hAnsi="Tahoma" w:cs="Tahoma"/>
          <w:color w:val="000000" w:themeColor="text1"/>
          <w:szCs w:val="21"/>
          <w:highlight w:val="none"/>
          <w14:textFill>
            <w14:solidFill>
              <w14:schemeClr w14:val="tx1"/>
            </w14:solidFill>
          </w14:textFill>
        </w:rPr>
        <w:t>评标委员</w:t>
      </w:r>
      <w:r>
        <w:rPr>
          <w:rFonts w:ascii="Tahoma" w:hAnsi="Tahoma" w:eastAsia="新宋体" w:cs="Tahoma"/>
          <w:color w:val="000000" w:themeColor="text1"/>
          <w:szCs w:val="21"/>
          <w:highlight w:val="none"/>
          <w14:textFill>
            <w14:solidFill>
              <w14:schemeClr w14:val="tx1"/>
            </w14:solidFill>
          </w14:textFill>
        </w:rPr>
        <w:t>不得有下列行为之一</w:t>
      </w:r>
      <w:r>
        <w:rPr>
          <w:rFonts w:ascii="Tahoma" w:hAnsi="Tahoma" w:cs="Tahoma"/>
          <w:color w:val="000000" w:themeColor="text1"/>
          <w:szCs w:val="21"/>
          <w:highlight w:val="none"/>
          <w14:textFill>
            <w14:solidFill>
              <w14:schemeClr w14:val="tx1"/>
            </w14:solidFill>
          </w14:textFill>
        </w:rPr>
        <w:t xml:space="preserve">： </w:t>
      </w:r>
    </w:p>
    <w:p>
      <w:pPr>
        <w:spacing w:line="320" w:lineRule="exact"/>
        <w:ind w:firstLine="210" w:firstLineChars="100"/>
        <w:rPr>
          <w:rFonts w:ascii="Tahoma" w:hAnsi="Tahoma" w:cs="Tahoma"/>
          <w:color w:val="000000" w:themeColor="text1"/>
          <w:kern w:val="0"/>
          <w:szCs w:val="21"/>
          <w:highlight w:val="none"/>
          <w14:textFill>
            <w14:solidFill>
              <w14:schemeClr w14:val="tx1"/>
            </w14:solidFill>
          </w14:textFill>
        </w:rPr>
      </w:pPr>
      <w:r>
        <w:rPr>
          <w:rFonts w:ascii="Tahoma" w:hAnsi="Tahoma" w:cs="Tahoma"/>
          <w:color w:val="000000" w:themeColor="text1"/>
          <w:kern w:val="0"/>
          <w:szCs w:val="21"/>
          <w:highlight w:val="none"/>
          <w14:textFill>
            <w14:solidFill>
              <w14:schemeClr w14:val="tx1"/>
            </w14:solidFill>
          </w14:textFill>
        </w:rPr>
        <w:t xml:space="preserve">（1）明知应当回避而未主动回避的； </w:t>
      </w:r>
    </w:p>
    <w:p>
      <w:pPr>
        <w:spacing w:line="320" w:lineRule="exact"/>
        <w:ind w:firstLine="210" w:firstLineChars="100"/>
        <w:rPr>
          <w:rFonts w:ascii="Tahoma" w:hAnsi="Tahoma" w:cs="Tahoma"/>
          <w:color w:val="000000" w:themeColor="text1"/>
          <w:kern w:val="0"/>
          <w:szCs w:val="21"/>
          <w:highlight w:val="none"/>
          <w14:textFill>
            <w14:solidFill>
              <w14:schemeClr w14:val="tx1"/>
            </w14:solidFill>
          </w14:textFill>
        </w:rPr>
      </w:pPr>
      <w:r>
        <w:rPr>
          <w:rFonts w:ascii="Tahoma" w:hAnsi="Tahoma" w:cs="Tahoma"/>
          <w:color w:val="000000" w:themeColor="text1"/>
          <w:kern w:val="0"/>
          <w:szCs w:val="21"/>
          <w:highlight w:val="none"/>
          <w14:textFill>
            <w14:solidFill>
              <w14:schemeClr w14:val="tx1"/>
            </w14:solidFill>
          </w14:textFill>
        </w:rPr>
        <w:t>（2）在知道自己为评委会成员身份后至评标结束前的时段内私下接触投标供应商的；</w:t>
      </w:r>
    </w:p>
    <w:p>
      <w:pPr>
        <w:spacing w:line="320" w:lineRule="exact"/>
        <w:ind w:firstLine="210" w:firstLineChars="100"/>
        <w:rPr>
          <w:rFonts w:ascii="Tahoma" w:hAnsi="Tahoma" w:cs="Tahoma"/>
          <w:color w:val="000000" w:themeColor="text1"/>
          <w:kern w:val="0"/>
          <w:szCs w:val="21"/>
          <w:highlight w:val="none"/>
          <w14:textFill>
            <w14:solidFill>
              <w14:schemeClr w14:val="tx1"/>
            </w14:solidFill>
          </w14:textFill>
        </w:rPr>
      </w:pPr>
      <w:r>
        <w:rPr>
          <w:rFonts w:ascii="Tahoma" w:hAnsi="Tahoma" w:cs="Tahoma"/>
          <w:color w:val="000000" w:themeColor="text1"/>
          <w:kern w:val="0"/>
          <w:szCs w:val="21"/>
          <w:highlight w:val="none"/>
          <w14:textFill>
            <w14:solidFill>
              <w14:schemeClr w14:val="tx1"/>
            </w14:solidFill>
          </w14:textFill>
        </w:rPr>
        <w:t xml:space="preserve">（3）在评标过程中擅离职守，影响评标程序正常进行的； </w:t>
      </w:r>
    </w:p>
    <w:p>
      <w:pPr>
        <w:spacing w:line="320" w:lineRule="exact"/>
        <w:ind w:firstLine="210" w:firstLineChars="100"/>
        <w:rPr>
          <w:rFonts w:ascii="Tahoma" w:hAnsi="Tahoma" w:cs="Tahoma"/>
          <w:color w:val="000000" w:themeColor="text1"/>
          <w:kern w:val="0"/>
          <w:szCs w:val="21"/>
          <w:highlight w:val="none"/>
          <w14:textFill>
            <w14:solidFill>
              <w14:schemeClr w14:val="tx1"/>
            </w14:solidFill>
          </w14:textFill>
        </w:rPr>
      </w:pPr>
      <w:r>
        <w:rPr>
          <w:rFonts w:ascii="Tahoma" w:hAnsi="Tahoma" w:cs="Tahoma"/>
          <w:color w:val="000000" w:themeColor="text1"/>
          <w:kern w:val="0"/>
          <w:szCs w:val="21"/>
          <w:highlight w:val="none"/>
          <w14:textFill>
            <w14:solidFill>
              <w14:schemeClr w14:val="tx1"/>
            </w14:solidFill>
          </w14:textFill>
        </w:rPr>
        <w:t xml:space="preserve">（4）在评标过程中有明显不合理或者不正当倾向性的； </w:t>
      </w:r>
    </w:p>
    <w:p>
      <w:pPr>
        <w:spacing w:line="320" w:lineRule="exact"/>
        <w:rPr>
          <w:rFonts w:ascii="Tahoma" w:hAnsi="Tahoma" w:cs="Tahoma"/>
          <w:color w:val="000000" w:themeColor="text1"/>
          <w:kern w:val="0"/>
          <w:szCs w:val="21"/>
          <w:highlight w:val="none"/>
          <w14:textFill>
            <w14:solidFill>
              <w14:schemeClr w14:val="tx1"/>
            </w14:solidFill>
          </w14:textFill>
        </w:rPr>
      </w:pPr>
      <w:r>
        <w:rPr>
          <w:rFonts w:ascii="Tahoma" w:hAnsi="Tahoma" w:cs="Tahoma"/>
          <w:color w:val="000000" w:themeColor="text1"/>
          <w:kern w:val="0"/>
          <w:szCs w:val="21"/>
          <w:highlight w:val="none"/>
          <w14:textFill>
            <w14:solidFill>
              <w14:schemeClr w14:val="tx1"/>
            </w14:solidFill>
          </w14:textFill>
        </w:rPr>
        <w:t>　（5）未按招标文件规定的评标方法和标准进行评标的。</w:t>
      </w:r>
    </w:p>
    <w:p>
      <w:pPr>
        <w:spacing w:line="320" w:lineRule="exact"/>
        <w:ind w:firstLine="210" w:firstLineChars="100"/>
        <w:rPr>
          <w:rFonts w:ascii="Tahoma" w:hAnsi="Tahoma" w:cs="Tahoma"/>
          <w:color w:val="000000" w:themeColor="text1"/>
          <w:kern w:val="0"/>
          <w:szCs w:val="21"/>
          <w:highlight w:val="none"/>
          <w14:textFill>
            <w14:solidFill>
              <w14:schemeClr w14:val="tx1"/>
            </w14:solidFill>
          </w14:textFill>
        </w:rPr>
      </w:pPr>
      <w:r>
        <w:rPr>
          <w:rFonts w:ascii="Tahoma" w:hAnsi="Tahoma" w:cs="Tahoma"/>
          <w:color w:val="000000" w:themeColor="text1"/>
          <w:kern w:val="0"/>
          <w:szCs w:val="21"/>
          <w:highlight w:val="none"/>
          <w14:textFill>
            <w14:solidFill>
              <w14:schemeClr w14:val="tx1"/>
            </w14:solidFill>
          </w14:textFill>
        </w:rPr>
        <w:t>（6）</w:t>
      </w:r>
      <w:r>
        <w:rPr>
          <w:rFonts w:ascii="Tahoma" w:hAnsi="Tahoma" w:cs="Tahoma"/>
          <w:color w:val="000000" w:themeColor="text1"/>
          <w:szCs w:val="21"/>
          <w:highlight w:val="none"/>
          <w14:textFill>
            <w14:solidFill>
              <w14:schemeClr w14:val="tx1"/>
            </w14:solidFill>
          </w14:textFill>
        </w:rPr>
        <w:t>法律、法规规定的其他违法、违规情形。</w:t>
      </w:r>
      <w:r>
        <w:rPr>
          <w:rFonts w:ascii="Tahoma" w:hAnsi="Tahoma" w:cs="Tahoma"/>
          <w:color w:val="000000" w:themeColor="text1"/>
          <w:kern w:val="0"/>
          <w:szCs w:val="21"/>
          <w:highlight w:val="none"/>
          <w14:textFill>
            <w14:solidFill>
              <w14:schemeClr w14:val="tx1"/>
            </w14:solidFill>
          </w14:textFill>
        </w:rPr>
        <w:t xml:space="preserve"> </w:t>
      </w:r>
    </w:p>
    <w:p>
      <w:pPr>
        <w:spacing w:line="320" w:lineRule="exact"/>
        <w:rPr>
          <w:rFonts w:ascii="Tahoma" w:hAnsi="Tahoma" w:eastAsia="新宋体" w:cs="Tahoma"/>
          <w:b/>
          <w:color w:val="000000" w:themeColor="text1"/>
          <w:szCs w:val="21"/>
          <w:highlight w:val="none"/>
          <w14:textFill>
            <w14:solidFill>
              <w14:schemeClr w14:val="tx1"/>
            </w14:solidFill>
          </w14:textFill>
        </w:rPr>
      </w:pPr>
      <w:r>
        <w:rPr>
          <w:rFonts w:ascii="Tahoma" w:hAnsi="Tahoma" w:eastAsia="新宋体" w:cs="Tahoma"/>
          <w:b/>
          <w:color w:val="000000" w:themeColor="text1"/>
          <w:szCs w:val="21"/>
          <w:highlight w:val="none"/>
          <w14:textFill>
            <w14:solidFill>
              <w14:schemeClr w14:val="tx1"/>
            </w14:solidFill>
          </w14:textFill>
        </w:rPr>
        <w:t>9.4 对与评标活动有关的工作人员的纪律要求</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与评标活动有关的工作人员不得收受他人的财物或者其他好处，不得向他人透漏对投</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标文件的评审和比较、中标候选人的推荐情况以及评标有关的其他情况。在评标活动中，与评标活动有关的工作人员不得擅离职守，影响评标程序正常进行。</w:t>
      </w:r>
    </w:p>
    <w:p>
      <w:pPr>
        <w:spacing w:line="320" w:lineRule="exact"/>
        <w:rPr>
          <w:rFonts w:ascii="Tahoma" w:hAnsi="Tahoma" w:eastAsia="新宋体" w:cs="Tahoma"/>
          <w:b/>
          <w:color w:val="000000" w:themeColor="text1"/>
          <w:szCs w:val="21"/>
          <w:highlight w:val="none"/>
          <w14:textFill>
            <w14:solidFill>
              <w14:schemeClr w14:val="tx1"/>
            </w14:solidFill>
          </w14:textFill>
        </w:rPr>
      </w:pPr>
      <w:r>
        <w:rPr>
          <w:rFonts w:ascii="Tahoma" w:hAnsi="Tahoma" w:eastAsia="新宋体" w:cs="Tahoma"/>
          <w:b/>
          <w:color w:val="000000" w:themeColor="text1"/>
          <w:szCs w:val="21"/>
          <w:highlight w:val="none"/>
          <w14:textFill>
            <w14:solidFill>
              <w14:schemeClr w14:val="tx1"/>
            </w14:solidFill>
          </w14:textFill>
        </w:rPr>
        <w:t>9.5 监督检查</w:t>
      </w:r>
    </w:p>
    <w:p>
      <w:pPr>
        <w:spacing w:line="320" w:lineRule="exact"/>
        <w:rPr>
          <w:rFonts w:ascii="Tahoma" w:hAnsi="Tahoma" w:eastAsia="新宋体"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9.5.1政府采购监督管理部门应对在政府采购活动中的当事人有关政府采购的法律、行政法规和规章的执行情况和采购范围、采购方式和采购程序的执行等情况进行监督检查</w:t>
      </w:r>
      <w:r>
        <w:rPr>
          <w:rFonts w:ascii="Tahoma" w:hAnsi="Tahoma" w:eastAsia="新宋体" w:cs="Tahoma"/>
          <w:color w:val="000000" w:themeColor="text1"/>
          <w:szCs w:val="21"/>
          <w:highlight w:val="none"/>
          <w14:textFill>
            <w14:solidFill>
              <w14:schemeClr w14:val="tx1"/>
            </w14:solidFill>
          </w14:textFill>
        </w:rPr>
        <w:t>。</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9.5.2招标项目行政监督部门可视情依法派员对招标活动的全程进行监督。</w:t>
      </w:r>
    </w:p>
    <w:p>
      <w:pPr>
        <w:spacing w:line="320" w:lineRule="exact"/>
        <w:jc w:val="center"/>
        <w:rPr>
          <w:rFonts w:ascii="Tahoma" w:hAnsi="Tahoma" w:cs="Tahoma"/>
          <w:b/>
          <w:color w:val="000000" w:themeColor="text1"/>
          <w:sz w:val="24"/>
          <w:highlight w:val="none"/>
          <w14:textFill>
            <w14:solidFill>
              <w14:schemeClr w14:val="tx1"/>
            </w14:solidFill>
          </w14:textFill>
        </w:rPr>
      </w:pPr>
    </w:p>
    <w:p>
      <w:pPr>
        <w:spacing w:line="320" w:lineRule="exact"/>
        <w:jc w:val="center"/>
        <w:rPr>
          <w:rFonts w:ascii="Tahoma" w:hAnsi="Tahoma" w:cs="Tahoma"/>
          <w:b/>
          <w:color w:val="000000" w:themeColor="text1"/>
          <w:sz w:val="24"/>
          <w:highlight w:val="none"/>
          <w14:textFill>
            <w14:solidFill>
              <w14:schemeClr w14:val="tx1"/>
            </w14:solidFill>
          </w14:textFill>
        </w:rPr>
      </w:pPr>
      <w:r>
        <w:rPr>
          <w:rFonts w:ascii="Tahoma" w:hAnsi="Tahoma" w:cs="Tahoma"/>
          <w:b/>
          <w:color w:val="000000" w:themeColor="text1"/>
          <w:sz w:val="24"/>
          <w:highlight w:val="none"/>
          <w14:textFill>
            <w14:solidFill>
              <w14:schemeClr w14:val="tx1"/>
            </w14:solidFill>
          </w14:textFill>
        </w:rPr>
        <w:t>10、</w:t>
      </w:r>
      <w:r>
        <w:rPr>
          <w:rFonts w:ascii="Tahoma" w:hAnsi="Tahoma" w:eastAsia="黑体" w:cs="Tahoma"/>
          <w:b/>
          <w:color w:val="000000" w:themeColor="text1"/>
          <w:sz w:val="24"/>
          <w:highlight w:val="none"/>
          <w14:textFill>
            <w14:solidFill>
              <w14:schemeClr w14:val="tx1"/>
            </w14:solidFill>
          </w14:textFill>
        </w:rPr>
        <w:t>需要补充的其他内容</w:t>
      </w:r>
    </w:p>
    <w:p>
      <w:pPr>
        <w:spacing w:line="320" w:lineRule="exact"/>
        <w:rPr>
          <w:rFonts w:ascii="Tahoma" w:hAnsi="Tahoma" w:cs="Tahoma"/>
          <w:b/>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10.1质疑</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10.1.1供应商对政府采购活动事项有疑问的，可以向采购人提出询问，采购人应当及时作出答复，但答复的内容不得涉及商业秘密。</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10.1.2供应商认为采购文件、采购过程和成交结果使自己的权益受到损害的，可以在知道或者应知其权益受到损害之日起</w:t>
      </w:r>
      <w:r>
        <w:rPr>
          <w:rFonts w:hint="eastAsia" w:ascii="Tahoma" w:hAnsi="Tahoma" w:cs="Tahoma"/>
          <w:color w:val="000000" w:themeColor="text1"/>
          <w:szCs w:val="21"/>
          <w:highlight w:val="none"/>
          <w14:textFill>
            <w14:solidFill>
              <w14:schemeClr w14:val="tx1"/>
            </w14:solidFill>
          </w14:textFill>
        </w:rPr>
        <w:t>在规定的期限</w:t>
      </w:r>
      <w:r>
        <w:rPr>
          <w:rFonts w:ascii="Tahoma" w:hAnsi="Tahoma" w:cs="Tahoma"/>
          <w:color w:val="000000" w:themeColor="text1"/>
          <w:szCs w:val="21"/>
          <w:highlight w:val="none"/>
          <w14:textFill>
            <w14:solidFill>
              <w14:schemeClr w14:val="tx1"/>
            </w14:solidFill>
          </w14:textFill>
        </w:rPr>
        <w:t>内，以书面形式向采购人提出质疑。</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10.1.3采购人应当在收到供应商的书面质疑后七个工作日内作出答复，并以书面形式通知质疑供应商和其他有关供应商，但答复的内容不得涉及商业秘密。</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10.1.4采购人委托采购代理机构采购的，供应商可以向采购代理机构提出询问或者质疑，采购代理机构应当依照本法第10.1.1条、第10.1.3条的规定就采购人委托授权范围内的事项作出答复。</w:t>
      </w:r>
    </w:p>
    <w:p>
      <w:pPr>
        <w:spacing w:line="320" w:lineRule="exact"/>
        <w:rPr>
          <w:rFonts w:ascii="Tahoma" w:hAnsi="Tahoma" w:cs="Tahoma"/>
          <w:b/>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10.2投诉</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10.2.1质疑供应商对采购人、采购代理机构的答复不满意或者采购人、采购代理机构未在规定的时间内作出答复的，可以在答复期满后十五个工作日内向同级政府采购监督管理部门投诉。</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10.2.2政府采购监督管理部门应当在收到投诉后三十个工作日内，对投诉事项作出处理决定，并以书面形式通知投诉人和与投诉事项有关的当事人。</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10.2.3政府采购监督管理部门在处理投诉事项期间，可以视具体情况书面通知采购人暂停采购活动，但暂停时间最长不得超过三十日。</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10.2.4投诉人对政府采购监督管理部门的投诉处理决定不服或者政府采购监督管理部门逾期未作处理的，可以依法申请行政复议或者向人民法院提起行政诉讼。</w:t>
      </w:r>
    </w:p>
    <w:p>
      <w:pPr>
        <w:spacing w:line="320" w:lineRule="exact"/>
        <w:rPr>
          <w:rFonts w:ascii="Tahoma" w:hAnsi="Tahoma" w:cs="Tahoma"/>
          <w:b/>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10.3其他</w:t>
      </w:r>
    </w:p>
    <w:p>
      <w:pPr>
        <w:spacing w:line="320" w:lineRule="exact"/>
        <w:rPr>
          <w:rFonts w:ascii="Tahoma" w:hAnsi="Tahoma" w:cs="Tahoma"/>
          <w:b/>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10.3.1投标人出席开标会，详见投标人须知前附表。</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10.3.2通讯联系，详见投标人须知前附表。</w:t>
      </w:r>
    </w:p>
    <w:p>
      <w:pPr>
        <w:spacing w:line="360" w:lineRule="auto"/>
        <w:ind w:firstLine="723" w:firstLineChars="200"/>
        <w:rPr>
          <w:rFonts w:ascii="Tahoma" w:hAnsi="Tahoma" w:cs="Tahoma"/>
          <w:b/>
          <w:color w:val="000000" w:themeColor="text1"/>
          <w:sz w:val="36"/>
          <w:highlight w:val="none"/>
          <w14:textFill>
            <w14:solidFill>
              <w14:schemeClr w14:val="tx1"/>
            </w14:solidFill>
          </w14:textFill>
        </w:rPr>
      </w:pPr>
    </w:p>
    <w:p>
      <w:pPr>
        <w:rPr>
          <w:rFonts w:ascii="Tahoma" w:hAnsi="Tahoma" w:cs="Tahoma"/>
          <w:b/>
          <w:color w:val="000000" w:themeColor="text1"/>
          <w:sz w:val="36"/>
          <w:highlight w:val="none"/>
          <w14:textFill>
            <w14:solidFill>
              <w14:schemeClr w14:val="tx1"/>
            </w14:solidFill>
          </w14:textFill>
        </w:rPr>
      </w:pPr>
    </w:p>
    <w:p>
      <w:pPr>
        <w:rPr>
          <w:rFonts w:ascii="Tahoma" w:hAnsi="Tahoma" w:cs="Tahoma"/>
          <w:b/>
          <w:color w:val="000000" w:themeColor="text1"/>
          <w:sz w:val="36"/>
          <w:highlight w:val="none"/>
          <w14:textFill>
            <w14:solidFill>
              <w14:schemeClr w14:val="tx1"/>
            </w14:solidFill>
          </w14:textFill>
        </w:rPr>
      </w:pPr>
    </w:p>
    <w:p>
      <w:pPr>
        <w:rPr>
          <w:rFonts w:ascii="Tahoma" w:hAnsi="Tahoma" w:cs="Tahoma"/>
          <w:color w:val="000000" w:themeColor="text1"/>
          <w:highlight w:val="none"/>
          <w14:textFill>
            <w14:solidFill>
              <w14:schemeClr w14:val="tx1"/>
            </w14:solidFill>
          </w14:textFill>
        </w:rPr>
      </w:pPr>
    </w:p>
    <w:p>
      <w:pPr>
        <w:rPr>
          <w:rFonts w:ascii="Tahoma" w:hAnsi="Tahoma" w:cs="Tahoma"/>
          <w:color w:val="000000" w:themeColor="text1"/>
          <w:highlight w:val="none"/>
          <w14:textFill>
            <w14:solidFill>
              <w14:schemeClr w14:val="tx1"/>
            </w14:solidFill>
          </w14:textFill>
        </w:rPr>
      </w:pPr>
    </w:p>
    <w:p>
      <w:pPr>
        <w:rPr>
          <w:rFonts w:ascii="Tahoma" w:hAnsi="Tahoma" w:cs="Tahoma"/>
          <w:color w:val="000000" w:themeColor="text1"/>
          <w:highlight w:val="none"/>
          <w14:textFill>
            <w14:solidFill>
              <w14:schemeClr w14:val="tx1"/>
            </w14:solidFill>
          </w14:textFill>
        </w:rPr>
      </w:pPr>
    </w:p>
    <w:p>
      <w:pPr>
        <w:rPr>
          <w:rFonts w:ascii="Tahoma" w:hAnsi="Tahoma" w:cs="Tahoma"/>
          <w:color w:val="000000" w:themeColor="text1"/>
          <w:highlight w:val="none"/>
          <w14:textFill>
            <w14:solidFill>
              <w14:schemeClr w14:val="tx1"/>
            </w14:solidFill>
          </w14:textFill>
        </w:rPr>
      </w:pPr>
    </w:p>
    <w:p>
      <w:pPr>
        <w:rPr>
          <w:rFonts w:ascii="Tahoma" w:hAnsi="Tahoma" w:cs="Tahoma"/>
          <w:color w:val="000000" w:themeColor="text1"/>
          <w:highlight w:val="none"/>
          <w14:textFill>
            <w14:solidFill>
              <w14:schemeClr w14:val="tx1"/>
            </w14:solidFill>
          </w14:textFill>
        </w:rPr>
      </w:pPr>
    </w:p>
    <w:p>
      <w:pPr>
        <w:rPr>
          <w:rFonts w:ascii="Tahoma" w:hAnsi="Tahoma" w:cs="Tahoma"/>
          <w:color w:val="000000" w:themeColor="text1"/>
          <w:highlight w:val="none"/>
          <w14:textFill>
            <w14:solidFill>
              <w14:schemeClr w14:val="tx1"/>
            </w14:solidFill>
          </w14:textFill>
        </w:rPr>
      </w:pPr>
    </w:p>
    <w:p>
      <w:pPr>
        <w:spacing w:line="200" w:lineRule="atLeast"/>
        <w:rPr>
          <w:rFonts w:ascii="Tahoma" w:hAnsi="Tahoma" w:cs="Tahoma"/>
          <w:color w:val="000000" w:themeColor="text1"/>
          <w:highlight w:val="none"/>
          <w14:textFill>
            <w14:solidFill>
              <w14:schemeClr w14:val="tx1"/>
            </w14:solidFill>
          </w14:textFill>
        </w:rPr>
      </w:pPr>
    </w:p>
    <w:p>
      <w:pPr>
        <w:spacing w:line="200" w:lineRule="atLeast"/>
        <w:rPr>
          <w:rFonts w:ascii="Tahoma" w:hAnsi="Tahoma" w:cs="Tahoma"/>
          <w:color w:val="000000" w:themeColor="text1"/>
          <w:highlight w:val="none"/>
          <w14:textFill>
            <w14:solidFill>
              <w14:schemeClr w14:val="tx1"/>
            </w14:solidFill>
          </w14:textFill>
        </w:rPr>
      </w:pPr>
    </w:p>
    <w:p>
      <w:pPr>
        <w:spacing w:line="200" w:lineRule="atLeast"/>
        <w:rPr>
          <w:rFonts w:ascii="Tahoma" w:hAnsi="Tahoma" w:cs="Tahoma"/>
          <w:color w:val="000000" w:themeColor="text1"/>
          <w:highlight w:val="none"/>
          <w14:textFill>
            <w14:solidFill>
              <w14:schemeClr w14:val="tx1"/>
            </w14:solidFill>
          </w14:textFill>
        </w:rPr>
      </w:pPr>
    </w:p>
    <w:p>
      <w:pPr>
        <w:spacing w:line="200" w:lineRule="atLeast"/>
        <w:rPr>
          <w:rFonts w:ascii="Tahoma" w:hAnsi="Tahoma" w:cs="Tahoma"/>
          <w:color w:val="000000" w:themeColor="text1"/>
          <w:highlight w:val="none"/>
          <w14:textFill>
            <w14:solidFill>
              <w14:schemeClr w14:val="tx1"/>
            </w14:solidFill>
          </w14:textFill>
        </w:rPr>
      </w:pPr>
    </w:p>
    <w:p>
      <w:pPr>
        <w:spacing w:line="200" w:lineRule="atLeast"/>
        <w:rPr>
          <w:rFonts w:ascii="Tahoma" w:hAnsi="Tahoma" w:cs="Tahoma"/>
          <w:color w:val="000000" w:themeColor="text1"/>
          <w:highlight w:val="none"/>
          <w14:textFill>
            <w14:solidFill>
              <w14:schemeClr w14:val="tx1"/>
            </w14:solidFill>
          </w14:textFill>
        </w:rPr>
      </w:pPr>
    </w:p>
    <w:p>
      <w:pPr>
        <w:spacing w:line="200" w:lineRule="atLeast"/>
        <w:rPr>
          <w:rFonts w:ascii="Tahoma" w:hAnsi="Tahoma" w:cs="Tahoma"/>
          <w:color w:val="000000" w:themeColor="text1"/>
          <w:highlight w:val="none"/>
          <w14:textFill>
            <w14:solidFill>
              <w14:schemeClr w14:val="tx1"/>
            </w14:solidFill>
          </w14:textFill>
        </w:rPr>
      </w:pPr>
    </w:p>
    <w:p>
      <w:pPr>
        <w:spacing w:line="200" w:lineRule="atLeast"/>
        <w:rPr>
          <w:rFonts w:ascii="Tahoma" w:hAnsi="Tahoma" w:cs="Tahoma"/>
          <w:color w:val="000000" w:themeColor="text1"/>
          <w:highlight w:val="none"/>
          <w14:textFill>
            <w14:solidFill>
              <w14:schemeClr w14:val="tx1"/>
            </w14:solidFill>
          </w14:textFill>
        </w:rPr>
      </w:pPr>
    </w:p>
    <w:p>
      <w:pPr>
        <w:spacing w:line="200" w:lineRule="atLeast"/>
        <w:rPr>
          <w:rFonts w:ascii="Tahoma" w:hAnsi="Tahoma" w:cs="Tahoma"/>
          <w:color w:val="000000" w:themeColor="text1"/>
          <w:highlight w:val="none"/>
          <w14:textFill>
            <w14:solidFill>
              <w14:schemeClr w14:val="tx1"/>
            </w14:solidFill>
          </w14:textFill>
        </w:rPr>
      </w:pPr>
    </w:p>
    <w:p>
      <w:pPr>
        <w:spacing w:line="200" w:lineRule="atLeast"/>
        <w:rPr>
          <w:rFonts w:ascii="Tahoma" w:hAnsi="Tahoma" w:cs="Tahoma"/>
          <w:color w:val="000000" w:themeColor="text1"/>
          <w:highlight w:val="none"/>
          <w14:textFill>
            <w14:solidFill>
              <w14:schemeClr w14:val="tx1"/>
            </w14:solidFill>
          </w14:textFill>
        </w:rPr>
      </w:pPr>
    </w:p>
    <w:p>
      <w:pPr>
        <w:spacing w:line="200" w:lineRule="atLeast"/>
        <w:rPr>
          <w:rFonts w:ascii="Tahoma" w:hAnsi="Tahoma" w:cs="Tahoma"/>
          <w:color w:val="000000" w:themeColor="text1"/>
          <w:highlight w:val="none"/>
          <w14:textFill>
            <w14:solidFill>
              <w14:schemeClr w14:val="tx1"/>
            </w14:solidFill>
          </w14:textFill>
        </w:rPr>
      </w:pPr>
    </w:p>
    <w:p>
      <w:pPr>
        <w:spacing w:line="200" w:lineRule="atLeast"/>
        <w:rPr>
          <w:rFonts w:ascii="Tahoma" w:hAnsi="Tahoma" w:cs="Tahoma"/>
          <w:color w:val="000000" w:themeColor="text1"/>
          <w:highlight w:val="none"/>
          <w14:textFill>
            <w14:solidFill>
              <w14:schemeClr w14:val="tx1"/>
            </w14:solidFill>
          </w14:textFill>
        </w:rPr>
      </w:pPr>
    </w:p>
    <w:p>
      <w:pPr>
        <w:spacing w:line="200" w:lineRule="atLeast"/>
        <w:rPr>
          <w:rFonts w:ascii="Tahoma" w:hAnsi="Tahoma" w:cs="Tahoma"/>
          <w:color w:val="000000" w:themeColor="text1"/>
          <w:highlight w:val="none"/>
          <w14:textFill>
            <w14:solidFill>
              <w14:schemeClr w14:val="tx1"/>
            </w14:solidFill>
          </w14:textFill>
        </w:rPr>
      </w:pPr>
    </w:p>
    <w:p>
      <w:pPr>
        <w:spacing w:line="200" w:lineRule="atLeast"/>
        <w:rPr>
          <w:rFonts w:ascii="Tahoma" w:hAnsi="Tahoma" w:cs="Tahoma"/>
          <w:color w:val="000000" w:themeColor="text1"/>
          <w:highlight w:val="none"/>
          <w14:textFill>
            <w14:solidFill>
              <w14:schemeClr w14:val="tx1"/>
            </w14:solidFill>
          </w14:textFill>
        </w:rPr>
      </w:pPr>
    </w:p>
    <w:p>
      <w:pPr>
        <w:spacing w:line="200" w:lineRule="atLeast"/>
        <w:rPr>
          <w:rFonts w:ascii="Tahoma" w:hAnsi="Tahoma" w:cs="Tahoma"/>
          <w:color w:val="000000" w:themeColor="text1"/>
          <w:highlight w:val="none"/>
          <w14:textFill>
            <w14:solidFill>
              <w14:schemeClr w14:val="tx1"/>
            </w14:solidFill>
          </w14:textFill>
        </w:rPr>
      </w:pPr>
    </w:p>
    <w:p>
      <w:pPr>
        <w:spacing w:line="200" w:lineRule="atLeast"/>
        <w:rPr>
          <w:rFonts w:ascii="Tahoma" w:hAnsi="Tahoma" w:cs="Tahoma"/>
          <w:color w:val="000000" w:themeColor="text1"/>
          <w:highlight w:val="none"/>
          <w14:textFill>
            <w14:solidFill>
              <w14:schemeClr w14:val="tx1"/>
            </w14:solidFill>
          </w14:textFill>
        </w:rPr>
      </w:pPr>
    </w:p>
    <w:p>
      <w:pPr>
        <w:spacing w:line="200" w:lineRule="atLeast"/>
        <w:rPr>
          <w:rFonts w:ascii="Tahoma" w:hAnsi="Tahoma" w:cs="Tahoma"/>
          <w:color w:val="000000" w:themeColor="text1"/>
          <w:highlight w:val="none"/>
          <w14:textFill>
            <w14:solidFill>
              <w14:schemeClr w14:val="tx1"/>
            </w14:solidFill>
          </w14:textFill>
        </w:rPr>
      </w:pPr>
    </w:p>
    <w:p>
      <w:pPr>
        <w:spacing w:line="200" w:lineRule="atLeast"/>
        <w:rPr>
          <w:rFonts w:ascii="Tahoma" w:hAnsi="Tahoma" w:cs="Tahoma"/>
          <w:color w:val="000000" w:themeColor="text1"/>
          <w:highlight w:val="none"/>
          <w14:textFill>
            <w14:solidFill>
              <w14:schemeClr w14:val="tx1"/>
            </w14:solidFill>
          </w14:textFill>
        </w:rPr>
      </w:pPr>
    </w:p>
    <w:p>
      <w:pPr>
        <w:spacing w:line="200" w:lineRule="atLeast"/>
        <w:rPr>
          <w:rFonts w:ascii="Tahoma" w:hAnsi="Tahoma" w:cs="Tahoma"/>
          <w:color w:val="000000" w:themeColor="text1"/>
          <w:highlight w:val="none"/>
          <w14:textFill>
            <w14:solidFill>
              <w14:schemeClr w14:val="tx1"/>
            </w14:solidFill>
          </w14:textFill>
        </w:rPr>
      </w:pPr>
    </w:p>
    <w:p>
      <w:pPr>
        <w:spacing w:line="200" w:lineRule="atLeast"/>
        <w:rPr>
          <w:rFonts w:ascii="Tahoma" w:hAnsi="Tahoma" w:cs="Tahoma"/>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spacing w:line="200" w:lineRule="atLeast"/>
        <w:rPr>
          <w:rFonts w:ascii="Tahoma" w:hAnsi="Tahoma" w:cs="Tahoma"/>
          <w:color w:val="000000" w:themeColor="text1"/>
          <w:highlight w:val="none"/>
          <w14:textFill>
            <w14:solidFill>
              <w14:schemeClr w14:val="tx1"/>
            </w14:solidFill>
          </w14:textFill>
        </w:rPr>
      </w:pPr>
    </w:p>
    <w:p>
      <w:pPr>
        <w:spacing w:line="200" w:lineRule="atLeast"/>
        <w:rPr>
          <w:rFonts w:ascii="Tahoma" w:hAnsi="Tahoma" w:cs="Tahoma"/>
          <w:color w:val="000000" w:themeColor="text1"/>
          <w:highlight w:val="none"/>
          <w14:textFill>
            <w14:solidFill>
              <w14:schemeClr w14:val="tx1"/>
            </w14:solidFill>
          </w14:textFill>
        </w:rPr>
      </w:pPr>
    </w:p>
    <w:p>
      <w:pPr>
        <w:spacing w:line="200" w:lineRule="atLeast"/>
        <w:rPr>
          <w:rFonts w:ascii="Tahoma" w:hAnsi="Tahoma" w:cs="Tahoma"/>
          <w:color w:val="000000" w:themeColor="text1"/>
          <w:highlight w:val="none"/>
          <w14:textFill>
            <w14:solidFill>
              <w14:schemeClr w14:val="tx1"/>
            </w14:solidFill>
          </w14:textFill>
        </w:rPr>
      </w:pPr>
    </w:p>
    <w:p>
      <w:pPr>
        <w:pStyle w:val="16"/>
        <w:rPr>
          <w:color w:val="000000" w:themeColor="text1"/>
          <w:highlight w:val="none"/>
          <w14:textFill>
            <w14:solidFill>
              <w14:schemeClr w14:val="tx1"/>
            </w14:solidFill>
          </w14:textFill>
        </w:rPr>
      </w:pPr>
    </w:p>
    <w:p>
      <w:pPr>
        <w:spacing w:line="200" w:lineRule="atLeast"/>
        <w:rPr>
          <w:rFonts w:ascii="Tahoma" w:hAnsi="Tahoma" w:cs="Tahoma"/>
          <w:color w:val="000000" w:themeColor="text1"/>
          <w:highlight w:val="none"/>
          <w14:textFill>
            <w14:solidFill>
              <w14:schemeClr w14:val="tx1"/>
            </w14:solidFill>
          </w14:textFill>
        </w:rPr>
      </w:pPr>
    </w:p>
    <w:p>
      <w:pPr>
        <w:spacing w:line="200" w:lineRule="atLeast"/>
        <w:rPr>
          <w:rFonts w:ascii="Tahoma" w:hAnsi="Tahoma" w:cs="Tahoma"/>
          <w:color w:val="000000" w:themeColor="text1"/>
          <w:highlight w:val="none"/>
          <w14:textFill>
            <w14:solidFill>
              <w14:schemeClr w14:val="tx1"/>
            </w14:solidFill>
          </w14:textFill>
        </w:rPr>
      </w:pPr>
    </w:p>
    <w:p>
      <w:pPr>
        <w:jc w:val="center"/>
        <w:outlineLvl w:val="0"/>
        <w:rPr>
          <w:rFonts w:ascii="Tahoma" w:hAnsi="Tahoma" w:eastAsia="黑体" w:cs="Tahoma"/>
          <w:b/>
          <w:color w:val="000000" w:themeColor="text1"/>
          <w:sz w:val="44"/>
          <w:highlight w:val="none"/>
          <w14:textFill>
            <w14:solidFill>
              <w14:schemeClr w14:val="tx1"/>
            </w14:solidFill>
          </w14:textFill>
        </w:rPr>
      </w:pPr>
      <w:bookmarkStart w:id="19" w:name="_Toc17885"/>
      <w:bookmarkStart w:id="20" w:name="_Toc20058"/>
      <w:r>
        <w:rPr>
          <w:rFonts w:ascii="Tahoma" w:hAnsi="Tahoma" w:eastAsia="黑体" w:cs="Tahoma"/>
          <w:b/>
          <w:color w:val="000000" w:themeColor="text1"/>
          <w:sz w:val="44"/>
          <w:highlight w:val="none"/>
          <w14:textFill>
            <w14:solidFill>
              <w14:schemeClr w14:val="tx1"/>
            </w14:solidFill>
          </w14:textFill>
        </w:rPr>
        <w:t>第三章  评标办法</w:t>
      </w:r>
      <w:bookmarkEnd w:id="19"/>
      <w:bookmarkEnd w:id="20"/>
    </w:p>
    <w:p>
      <w:pPr>
        <w:snapToGrid w:val="0"/>
        <w:spacing w:line="240" w:lineRule="exact"/>
        <w:ind w:left="51" w:leftChars="-1" w:hanging="53" w:hangingChars="25"/>
        <w:jc w:val="center"/>
        <w:rPr>
          <w:rFonts w:ascii="Tahoma" w:hAnsi="Tahoma" w:cs="Tahoma"/>
          <w:b/>
          <w:bCs/>
          <w:color w:val="000000" w:themeColor="text1"/>
          <w:szCs w:val="28"/>
          <w:highlight w:val="none"/>
          <w14:textFill>
            <w14:solidFill>
              <w14:schemeClr w14:val="tx1"/>
            </w14:solidFill>
          </w14:textFill>
        </w:rPr>
      </w:pPr>
    </w:p>
    <w:p>
      <w:pPr>
        <w:snapToGrid w:val="0"/>
        <w:spacing w:line="240" w:lineRule="exact"/>
        <w:ind w:left="51" w:leftChars="-1" w:hanging="53" w:hangingChars="25"/>
        <w:jc w:val="center"/>
        <w:rPr>
          <w:rFonts w:ascii="Tahoma" w:hAnsi="Tahoma" w:cs="Tahoma"/>
          <w:b/>
          <w:bCs/>
          <w:color w:val="000000" w:themeColor="text1"/>
          <w:szCs w:val="28"/>
          <w:highlight w:val="none"/>
          <w14:textFill>
            <w14:solidFill>
              <w14:schemeClr w14:val="tx1"/>
            </w14:solidFill>
          </w14:textFill>
        </w:rPr>
      </w:pPr>
    </w:p>
    <w:p>
      <w:pPr>
        <w:snapToGrid w:val="0"/>
        <w:spacing w:line="240" w:lineRule="exact"/>
        <w:ind w:left="51" w:leftChars="-1" w:hanging="53" w:hangingChars="25"/>
        <w:jc w:val="center"/>
        <w:rPr>
          <w:rFonts w:ascii="Tahoma" w:hAnsi="Tahoma" w:cs="Tahoma"/>
          <w:b/>
          <w:bCs/>
          <w:color w:val="000000" w:themeColor="text1"/>
          <w:szCs w:val="28"/>
          <w:highlight w:val="none"/>
          <w14:textFill>
            <w14:solidFill>
              <w14:schemeClr w14:val="tx1"/>
            </w14:solidFill>
          </w14:textFill>
        </w:rPr>
      </w:pPr>
    </w:p>
    <w:p>
      <w:pPr>
        <w:snapToGrid w:val="0"/>
        <w:spacing w:line="240" w:lineRule="exact"/>
        <w:ind w:left="51" w:leftChars="-1" w:hanging="53" w:hangingChars="25"/>
        <w:jc w:val="center"/>
        <w:rPr>
          <w:rFonts w:ascii="Tahoma" w:hAnsi="Tahoma" w:cs="Tahoma"/>
          <w:b/>
          <w:bCs/>
          <w:color w:val="000000" w:themeColor="text1"/>
          <w:szCs w:val="28"/>
          <w:highlight w:val="none"/>
          <w14:textFill>
            <w14:solidFill>
              <w14:schemeClr w14:val="tx1"/>
            </w14:solidFill>
          </w14:textFill>
        </w:rPr>
      </w:pPr>
    </w:p>
    <w:p>
      <w:pPr>
        <w:snapToGrid w:val="0"/>
        <w:spacing w:line="240" w:lineRule="exact"/>
        <w:ind w:left="51" w:leftChars="-1" w:hanging="53" w:hangingChars="25"/>
        <w:jc w:val="center"/>
        <w:rPr>
          <w:rFonts w:ascii="Tahoma" w:hAnsi="Tahoma" w:cs="Tahoma"/>
          <w:b/>
          <w:bCs/>
          <w:color w:val="000000" w:themeColor="text1"/>
          <w:szCs w:val="28"/>
          <w:highlight w:val="none"/>
          <w14:textFill>
            <w14:solidFill>
              <w14:schemeClr w14:val="tx1"/>
            </w14:solidFill>
          </w14:textFill>
        </w:rPr>
      </w:pPr>
    </w:p>
    <w:p>
      <w:pPr>
        <w:snapToGrid w:val="0"/>
        <w:spacing w:line="240" w:lineRule="exact"/>
        <w:ind w:left="51" w:leftChars="-1" w:hanging="53" w:hangingChars="25"/>
        <w:jc w:val="center"/>
        <w:rPr>
          <w:rFonts w:ascii="Tahoma" w:hAnsi="Tahoma" w:cs="Tahoma"/>
          <w:b/>
          <w:bCs/>
          <w:color w:val="000000" w:themeColor="text1"/>
          <w:szCs w:val="28"/>
          <w:highlight w:val="none"/>
          <w14:textFill>
            <w14:solidFill>
              <w14:schemeClr w14:val="tx1"/>
            </w14:solidFill>
          </w14:textFill>
        </w:rPr>
      </w:pPr>
    </w:p>
    <w:p>
      <w:pPr>
        <w:shd w:val="clear" w:color="auto" w:fill="FFFFFF"/>
        <w:snapToGrid w:val="0"/>
        <w:spacing w:line="240" w:lineRule="exact"/>
        <w:jc w:val="center"/>
        <w:outlineLvl w:val="3"/>
        <w:rPr>
          <w:rFonts w:ascii="Tahoma" w:hAnsi="Tahoma" w:cs="Tahoma"/>
          <w:b/>
          <w:bCs/>
          <w:color w:val="000000" w:themeColor="text1"/>
          <w:kern w:val="0"/>
          <w:sz w:val="30"/>
          <w:szCs w:val="30"/>
          <w:highlight w:val="none"/>
          <w14:textFill>
            <w14:solidFill>
              <w14:schemeClr w14:val="tx1"/>
            </w14:solidFill>
          </w14:textFill>
        </w:rPr>
      </w:pPr>
    </w:p>
    <w:p>
      <w:pPr>
        <w:shd w:val="clear" w:color="auto" w:fill="FFFFFF"/>
        <w:snapToGrid w:val="0"/>
        <w:spacing w:line="240" w:lineRule="exact"/>
        <w:jc w:val="center"/>
        <w:outlineLvl w:val="3"/>
        <w:rPr>
          <w:rFonts w:ascii="Tahoma" w:hAnsi="Tahoma" w:cs="Tahoma"/>
          <w:b/>
          <w:bCs/>
          <w:color w:val="000000" w:themeColor="text1"/>
          <w:kern w:val="0"/>
          <w:sz w:val="30"/>
          <w:szCs w:val="30"/>
          <w:highlight w:val="none"/>
          <w14:textFill>
            <w14:solidFill>
              <w14:schemeClr w14:val="tx1"/>
            </w14:solidFill>
          </w14:textFill>
        </w:rPr>
      </w:pPr>
    </w:p>
    <w:p>
      <w:pPr>
        <w:shd w:val="clear" w:color="auto" w:fill="FFFFFF"/>
        <w:snapToGrid w:val="0"/>
        <w:spacing w:line="240" w:lineRule="exact"/>
        <w:jc w:val="center"/>
        <w:outlineLvl w:val="3"/>
        <w:rPr>
          <w:rFonts w:ascii="Tahoma" w:hAnsi="Tahoma" w:cs="Tahoma"/>
          <w:b/>
          <w:bCs/>
          <w:color w:val="000000" w:themeColor="text1"/>
          <w:kern w:val="0"/>
          <w:sz w:val="30"/>
          <w:szCs w:val="30"/>
          <w:highlight w:val="none"/>
          <w14:textFill>
            <w14:solidFill>
              <w14:schemeClr w14:val="tx1"/>
            </w14:solidFill>
          </w14:textFill>
        </w:rPr>
      </w:pPr>
    </w:p>
    <w:p>
      <w:pPr>
        <w:shd w:val="clear" w:color="auto" w:fill="FFFFFF"/>
        <w:snapToGrid w:val="0"/>
        <w:spacing w:line="240" w:lineRule="exact"/>
        <w:jc w:val="center"/>
        <w:outlineLvl w:val="3"/>
        <w:rPr>
          <w:rFonts w:ascii="Tahoma" w:hAnsi="Tahoma" w:cs="Tahoma"/>
          <w:b/>
          <w:bCs/>
          <w:color w:val="000000" w:themeColor="text1"/>
          <w:kern w:val="0"/>
          <w:sz w:val="30"/>
          <w:szCs w:val="30"/>
          <w:highlight w:val="none"/>
          <w14:textFill>
            <w14:solidFill>
              <w14:schemeClr w14:val="tx1"/>
            </w14:solidFill>
          </w14:textFill>
        </w:rPr>
      </w:pPr>
    </w:p>
    <w:p>
      <w:pPr>
        <w:shd w:val="clear" w:color="auto" w:fill="FFFFFF"/>
        <w:snapToGrid w:val="0"/>
        <w:spacing w:line="240" w:lineRule="exact"/>
        <w:jc w:val="center"/>
        <w:outlineLvl w:val="3"/>
        <w:rPr>
          <w:rFonts w:ascii="Tahoma" w:hAnsi="Tahoma" w:cs="Tahoma"/>
          <w:b/>
          <w:bCs/>
          <w:color w:val="000000" w:themeColor="text1"/>
          <w:kern w:val="0"/>
          <w:sz w:val="30"/>
          <w:szCs w:val="30"/>
          <w:highlight w:val="none"/>
          <w14:textFill>
            <w14:solidFill>
              <w14:schemeClr w14:val="tx1"/>
            </w14:solidFill>
          </w14:textFill>
        </w:rPr>
      </w:pPr>
    </w:p>
    <w:p>
      <w:pPr>
        <w:shd w:val="clear" w:color="auto" w:fill="FFFFFF"/>
        <w:snapToGrid w:val="0"/>
        <w:spacing w:line="240" w:lineRule="exact"/>
        <w:jc w:val="center"/>
        <w:outlineLvl w:val="3"/>
        <w:rPr>
          <w:rFonts w:ascii="Tahoma" w:hAnsi="Tahoma" w:cs="Tahoma"/>
          <w:b/>
          <w:bCs/>
          <w:color w:val="000000" w:themeColor="text1"/>
          <w:kern w:val="0"/>
          <w:sz w:val="30"/>
          <w:szCs w:val="30"/>
          <w:highlight w:val="none"/>
          <w14:textFill>
            <w14:solidFill>
              <w14:schemeClr w14:val="tx1"/>
            </w14:solidFill>
          </w14:textFill>
        </w:rPr>
      </w:pPr>
    </w:p>
    <w:p>
      <w:pPr>
        <w:shd w:val="clear" w:color="auto" w:fill="FFFFFF"/>
        <w:snapToGrid w:val="0"/>
        <w:spacing w:line="240" w:lineRule="exact"/>
        <w:jc w:val="center"/>
        <w:outlineLvl w:val="3"/>
        <w:rPr>
          <w:rFonts w:ascii="Tahoma" w:hAnsi="Tahoma" w:cs="Tahoma"/>
          <w:b/>
          <w:bCs/>
          <w:color w:val="000000" w:themeColor="text1"/>
          <w:kern w:val="0"/>
          <w:sz w:val="30"/>
          <w:szCs w:val="30"/>
          <w:highlight w:val="none"/>
          <w14:textFill>
            <w14:solidFill>
              <w14:schemeClr w14:val="tx1"/>
            </w14:solidFill>
          </w14:textFill>
        </w:rPr>
      </w:pPr>
    </w:p>
    <w:p>
      <w:pPr>
        <w:pStyle w:val="19"/>
        <w:rPr>
          <w:rFonts w:ascii="Tahoma" w:hAnsi="Tahoma" w:cs="Tahoma"/>
          <w:b/>
          <w:bCs/>
          <w:color w:val="000000" w:themeColor="text1"/>
          <w:kern w:val="0"/>
          <w:sz w:val="30"/>
          <w:szCs w:val="30"/>
          <w:highlight w:val="none"/>
          <w14:textFill>
            <w14:solidFill>
              <w14:schemeClr w14:val="tx1"/>
            </w14:solidFill>
          </w14:textFill>
        </w:rPr>
      </w:pPr>
    </w:p>
    <w:p>
      <w:pPr>
        <w:pStyle w:val="19"/>
        <w:rPr>
          <w:rFonts w:ascii="Tahoma" w:hAnsi="Tahoma" w:cs="Tahoma"/>
          <w:b/>
          <w:bCs/>
          <w:color w:val="000000" w:themeColor="text1"/>
          <w:kern w:val="0"/>
          <w:sz w:val="30"/>
          <w:szCs w:val="30"/>
          <w:highlight w:val="none"/>
          <w14:textFill>
            <w14:solidFill>
              <w14:schemeClr w14:val="tx1"/>
            </w14:solidFill>
          </w14:textFill>
        </w:rPr>
      </w:pPr>
    </w:p>
    <w:p>
      <w:pPr>
        <w:pStyle w:val="19"/>
        <w:rPr>
          <w:rFonts w:ascii="Tahoma" w:hAnsi="Tahoma" w:cs="Tahoma"/>
          <w:b/>
          <w:bCs/>
          <w:color w:val="000000" w:themeColor="text1"/>
          <w:kern w:val="0"/>
          <w:sz w:val="30"/>
          <w:szCs w:val="30"/>
          <w:highlight w:val="none"/>
          <w14:textFill>
            <w14:solidFill>
              <w14:schemeClr w14:val="tx1"/>
            </w14:solidFill>
          </w14:textFill>
        </w:rPr>
      </w:pPr>
    </w:p>
    <w:p>
      <w:pPr>
        <w:pStyle w:val="19"/>
        <w:rPr>
          <w:rFonts w:ascii="Tahoma" w:hAnsi="Tahoma" w:cs="Tahoma"/>
          <w:b/>
          <w:bCs/>
          <w:color w:val="000000" w:themeColor="text1"/>
          <w:kern w:val="0"/>
          <w:sz w:val="30"/>
          <w:szCs w:val="30"/>
          <w:highlight w:val="none"/>
          <w14:textFill>
            <w14:solidFill>
              <w14:schemeClr w14:val="tx1"/>
            </w14:solidFill>
          </w14:textFill>
        </w:rPr>
      </w:pPr>
    </w:p>
    <w:p>
      <w:pPr>
        <w:pStyle w:val="19"/>
        <w:rPr>
          <w:rFonts w:ascii="Tahoma" w:hAnsi="Tahoma" w:cs="Tahoma"/>
          <w:b/>
          <w:bCs/>
          <w:color w:val="000000" w:themeColor="text1"/>
          <w:kern w:val="0"/>
          <w:sz w:val="30"/>
          <w:szCs w:val="30"/>
          <w:highlight w:val="none"/>
          <w14:textFill>
            <w14:solidFill>
              <w14:schemeClr w14:val="tx1"/>
            </w14:solidFill>
          </w14:textFill>
        </w:rPr>
      </w:pPr>
    </w:p>
    <w:p>
      <w:pPr>
        <w:pStyle w:val="5"/>
        <w:rPr>
          <w:color w:val="000000" w:themeColor="text1"/>
          <w:highlight w:val="none"/>
          <w14:textFill>
            <w14:solidFill>
              <w14:schemeClr w14:val="tx1"/>
            </w14:solidFill>
          </w14:textFill>
        </w:rPr>
      </w:pPr>
    </w:p>
    <w:p>
      <w:pPr>
        <w:shd w:val="clear" w:color="auto" w:fill="FFFFFF"/>
        <w:snapToGrid w:val="0"/>
        <w:spacing w:line="240" w:lineRule="exact"/>
        <w:jc w:val="center"/>
        <w:outlineLvl w:val="3"/>
        <w:rPr>
          <w:rFonts w:ascii="Tahoma" w:hAnsi="Tahoma" w:cs="Tahoma"/>
          <w:b/>
          <w:bCs/>
          <w:color w:val="000000" w:themeColor="text1"/>
          <w:kern w:val="0"/>
          <w:sz w:val="30"/>
          <w:szCs w:val="30"/>
          <w:highlight w:val="none"/>
          <w14:textFill>
            <w14:solidFill>
              <w14:schemeClr w14:val="tx1"/>
            </w14:solidFill>
          </w14:textFill>
        </w:rPr>
      </w:pPr>
    </w:p>
    <w:p>
      <w:pPr>
        <w:shd w:val="clear" w:color="auto" w:fill="FFFFFF"/>
        <w:snapToGrid w:val="0"/>
        <w:spacing w:line="360" w:lineRule="auto"/>
        <w:jc w:val="center"/>
        <w:outlineLvl w:val="3"/>
        <w:rPr>
          <w:rFonts w:ascii="Tahoma" w:hAnsi="Tahoma" w:cs="Tahoma"/>
          <w:b/>
          <w:bCs/>
          <w:color w:val="000000" w:themeColor="text1"/>
          <w:kern w:val="0"/>
          <w:sz w:val="24"/>
          <w:highlight w:val="none"/>
          <w14:textFill>
            <w14:solidFill>
              <w14:schemeClr w14:val="tx1"/>
            </w14:solidFill>
          </w14:textFill>
        </w:rPr>
      </w:pPr>
      <w:bookmarkStart w:id="21" w:name="_Toc2889"/>
      <w:bookmarkStart w:id="22" w:name="_Toc30156"/>
      <w:r>
        <w:rPr>
          <w:rFonts w:ascii="Tahoma" w:hAnsi="Tahoma" w:cs="Tahoma"/>
          <w:b/>
          <w:bCs/>
          <w:color w:val="000000" w:themeColor="text1"/>
          <w:kern w:val="0"/>
          <w:sz w:val="24"/>
          <w:highlight w:val="none"/>
          <w14:textFill>
            <w14:solidFill>
              <w14:schemeClr w14:val="tx1"/>
            </w14:solidFill>
          </w14:textFill>
        </w:rPr>
        <w:t>1、</w:t>
      </w:r>
      <w:r>
        <w:rPr>
          <w:rFonts w:ascii="黑体" w:hAnsi="黑体" w:eastAsia="黑体" w:cs="Tahoma"/>
          <w:b/>
          <w:bCs/>
          <w:color w:val="000000" w:themeColor="text1"/>
          <w:kern w:val="0"/>
          <w:sz w:val="24"/>
          <w:highlight w:val="none"/>
          <w14:textFill>
            <w14:solidFill>
              <w14:schemeClr w14:val="tx1"/>
            </w14:solidFill>
          </w14:textFill>
        </w:rPr>
        <w:t>评标办法</w:t>
      </w:r>
    </w:p>
    <w:p>
      <w:pPr>
        <w:spacing w:line="340" w:lineRule="exact"/>
        <w:rPr>
          <w:rFonts w:ascii="Arial" w:hAnsi="Arial" w:cs="Arial"/>
          <w:color w:val="000000" w:themeColor="text1"/>
          <w:kern w:val="0"/>
          <w:szCs w:val="21"/>
          <w:highlight w:val="none"/>
          <w14:textFill>
            <w14:solidFill>
              <w14:schemeClr w14:val="tx1"/>
            </w14:solidFill>
          </w14:textFill>
        </w:rPr>
      </w:pPr>
      <w:r>
        <w:rPr>
          <w:rFonts w:hint="eastAsia" w:ascii="Tahoma" w:hAnsi="Tahoma" w:cs="Tahoma"/>
          <w:color w:val="000000" w:themeColor="text1"/>
          <w:kern w:val="0"/>
          <w:sz w:val="24"/>
          <w:highlight w:val="none"/>
          <w14:textFill>
            <w14:solidFill>
              <w14:schemeClr w14:val="tx1"/>
            </w14:solidFill>
          </w14:textFill>
        </w:rPr>
        <w:t xml:space="preserve">    </w:t>
      </w:r>
      <w:r>
        <w:rPr>
          <w:rFonts w:ascii="Tahoma" w:hAnsi="Tahoma" w:cs="Tahoma"/>
          <w:color w:val="000000" w:themeColor="text1"/>
          <w:kern w:val="0"/>
          <w:szCs w:val="21"/>
          <w:highlight w:val="none"/>
          <w14:textFill>
            <w14:solidFill>
              <w14:schemeClr w14:val="tx1"/>
            </w14:solidFill>
          </w14:textFill>
        </w:rPr>
        <w:t>本次评标</w:t>
      </w:r>
      <w:r>
        <w:rPr>
          <w:rFonts w:ascii="Tahoma" w:hAnsi="Tahoma" w:cs="Tahoma"/>
          <w:b/>
          <w:color w:val="000000" w:themeColor="text1"/>
          <w:kern w:val="0"/>
          <w:szCs w:val="21"/>
          <w:highlight w:val="none"/>
          <w14:textFill>
            <w14:solidFill>
              <w14:schemeClr w14:val="tx1"/>
            </w14:solidFill>
          </w14:textFill>
        </w:rPr>
        <w:t>按照《政府采购货物和服务招标投标管理办法》（中华人民共和国财政部令第</w:t>
      </w:r>
      <w:r>
        <w:rPr>
          <w:rFonts w:hint="eastAsia" w:ascii="Tahoma" w:hAnsi="Tahoma" w:cs="Tahoma"/>
          <w:b/>
          <w:color w:val="000000" w:themeColor="text1"/>
          <w:kern w:val="0"/>
          <w:szCs w:val="21"/>
          <w:highlight w:val="none"/>
          <w14:textFill>
            <w14:solidFill>
              <w14:schemeClr w14:val="tx1"/>
            </w14:solidFill>
          </w14:textFill>
        </w:rPr>
        <w:t>87</w:t>
      </w:r>
      <w:r>
        <w:rPr>
          <w:rFonts w:ascii="Tahoma" w:hAnsi="Tahoma" w:cs="Tahoma"/>
          <w:b/>
          <w:color w:val="000000" w:themeColor="text1"/>
          <w:kern w:val="0"/>
          <w:szCs w:val="21"/>
          <w:highlight w:val="none"/>
          <w14:textFill>
            <w14:solidFill>
              <w14:schemeClr w14:val="tx1"/>
            </w14:solidFill>
          </w14:textFill>
        </w:rPr>
        <w:t>号）</w:t>
      </w:r>
      <w:r>
        <w:rPr>
          <w:rFonts w:ascii="Tahoma" w:hAnsi="Tahoma" w:cs="Tahoma"/>
          <w:b/>
          <w:color w:val="000000" w:themeColor="text1"/>
          <w:szCs w:val="21"/>
          <w:highlight w:val="none"/>
          <w14:textFill>
            <w14:solidFill>
              <w14:schemeClr w14:val="tx1"/>
            </w14:solidFill>
          </w14:textFill>
        </w:rPr>
        <w:t>规定的评审标准，采用</w:t>
      </w:r>
      <w:r>
        <w:rPr>
          <w:rFonts w:hint="eastAsia" w:ascii="Arial" w:hAnsi="Arial" w:cs="Arial"/>
          <w:b/>
          <w:bCs/>
          <w:color w:val="000000" w:themeColor="text1"/>
          <w:spacing w:val="8"/>
          <w:kern w:val="0"/>
          <w:szCs w:val="21"/>
          <w:highlight w:val="none"/>
          <w14:textFill>
            <w14:solidFill>
              <w14:schemeClr w14:val="tx1"/>
            </w14:solidFill>
          </w14:textFill>
        </w:rPr>
        <w:t>综合评分</w:t>
      </w:r>
      <w:r>
        <w:rPr>
          <w:rFonts w:ascii="Arial" w:hAnsi="Arial" w:cs="Arial"/>
          <w:b/>
          <w:bCs/>
          <w:color w:val="000000" w:themeColor="text1"/>
          <w:spacing w:val="8"/>
          <w:kern w:val="0"/>
          <w:szCs w:val="21"/>
          <w:highlight w:val="none"/>
          <w14:textFill>
            <w14:solidFill>
              <w14:schemeClr w14:val="tx1"/>
            </w14:solidFill>
          </w14:textFill>
        </w:rPr>
        <w:t>法</w:t>
      </w:r>
      <w:r>
        <w:rPr>
          <w:rFonts w:ascii="Tahoma" w:hAnsi="Tahoma" w:cs="Tahoma"/>
          <w:color w:val="000000" w:themeColor="text1"/>
          <w:kern w:val="0"/>
          <w:szCs w:val="21"/>
          <w:highlight w:val="none"/>
          <w14:textFill>
            <w14:solidFill>
              <w14:schemeClr w14:val="tx1"/>
            </w14:solidFill>
          </w14:textFill>
        </w:rPr>
        <w:t>。评标委员会对</w:t>
      </w:r>
      <w:r>
        <w:rPr>
          <w:rFonts w:hint="eastAsia" w:ascii="Tahoma" w:hAnsi="Tahoma" w:cs="Tahoma"/>
          <w:color w:val="000000" w:themeColor="text1"/>
          <w:kern w:val="0"/>
          <w:szCs w:val="21"/>
          <w:highlight w:val="none"/>
          <w14:textFill>
            <w14:solidFill>
              <w14:schemeClr w14:val="tx1"/>
            </w14:solidFill>
          </w14:textFill>
        </w:rPr>
        <w:t>全部</w:t>
      </w:r>
      <w:r>
        <w:rPr>
          <w:rFonts w:ascii="Tahoma" w:hAnsi="Tahoma" w:cs="Tahoma"/>
          <w:color w:val="000000" w:themeColor="text1"/>
          <w:kern w:val="0"/>
          <w:szCs w:val="21"/>
          <w:highlight w:val="none"/>
          <w14:textFill>
            <w14:solidFill>
              <w14:schemeClr w14:val="tx1"/>
            </w14:solidFill>
          </w14:textFill>
        </w:rPr>
        <w:t>满足招标文件实质性要求前提下，按照招标文件中规定的各项因素进行综合评审后，按评审后得分由高到低顺序排列，</w:t>
      </w:r>
      <w:r>
        <w:rPr>
          <w:color w:val="000000" w:themeColor="text1"/>
          <w:highlight w:val="none"/>
          <w14:textFill>
            <w14:solidFill>
              <w14:schemeClr w14:val="tx1"/>
            </w14:solidFill>
          </w14:textFill>
        </w:rPr>
        <w:t>得分相同的，按投标报价由低到高顺序排列。得分且投标报价相同的并列。投标文件满足招标文件全部实质性要求，且按照评审因素的量化指标评审得分最高的投标人为排名第一的中标候选人。</w:t>
      </w:r>
    </w:p>
    <w:p>
      <w:pPr>
        <w:spacing w:line="340" w:lineRule="exact"/>
        <w:jc w:val="center"/>
        <w:rPr>
          <w:rFonts w:ascii="Tahoma" w:hAnsi="Tahoma" w:cs="Tahoma"/>
          <w:b/>
          <w:bCs/>
          <w:color w:val="000000" w:themeColor="text1"/>
          <w:kern w:val="0"/>
          <w:sz w:val="24"/>
          <w:highlight w:val="none"/>
          <w14:textFill>
            <w14:solidFill>
              <w14:schemeClr w14:val="tx1"/>
            </w14:solidFill>
          </w14:textFill>
        </w:rPr>
      </w:pPr>
      <w:r>
        <w:rPr>
          <w:rFonts w:ascii="Tahoma" w:hAnsi="Tahoma" w:cs="Tahoma"/>
          <w:b/>
          <w:bCs/>
          <w:color w:val="000000" w:themeColor="text1"/>
          <w:kern w:val="0"/>
          <w:sz w:val="24"/>
          <w:highlight w:val="none"/>
          <w14:textFill>
            <w14:solidFill>
              <w14:schemeClr w14:val="tx1"/>
            </w14:solidFill>
          </w14:textFill>
        </w:rPr>
        <w:t>2、</w:t>
      </w:r>
      <w:r>
        <w:rPr>
          <w:rFonts w:ascii="黑体" w:hAnsi="黑体" w:eastAsia="黑体" w:cs="Tahoma"/>
          <w:b/>
          <w:bCs/>
          <w:color w:val="000000" w:themeColor="text1"/>
          <w:kern w:val="0"/>
          <w:sz w:val="24"/>
          <w:highlight w:val="none"/>
          <w14:textFill>
            <w14:solidFill>
              <w14:schemeClr w14:val="tx1"/>
            </w14:solidFill>
          </w14:textFill>
        </w:rPr>
        <w:t>评审标准</w:t>
      </w:r>
    </w:p>
    <w:p>
      <w:pPr>
        <w:spacing w:line="340" w:lineRule="exact"/>
        <w:rPr>
          <w:rFonts w:ascii="Tahoma" w:hAnsi="Tahoma" w:cs="Tahoma"/>
          <w:color w:val="000000" w:themeColor="text1"/>
          <w:szCs w:val="21"/>
          <w:highlight w:val="none"/>
          <w14:textFill>
            <w14:solidFill>
              <w14:schemeClr w14:val="tx1"/>
            </w14:solidFill>
          </w14:textFill>
        </w:rPr>
      </w:pPr>
      <w:r>
        <w:rPr>
          <w:rFonts w:ascii="Tahoma" w:hAnsi="Tahoma" w:cs="Tahoma"/>
          <w:b/>
          <w:bCs/>
          <w:color w:val="000000" w:themeColor="text1"/>
          <w:kern w:val="0"/>
          <w:szCs w:val="21"/>
          <w:highlight w:val="none"/>
          <w14:textFill>
            <w14:solidFill>
              <w14:schemeClr w14:val="tx1"/>
            </w14:solidFill>
          </w14:textFill>
        </w:rPr>
        <w:t>2.1 初步评审标准</w:t>
      </w:r>
    </w:p>
    <w:p>
      <w:pPr>
        <w:spacing w:line="340" w:lineRule="exact"/>
        <w:rPr>
          <w:rFonts w:ascii="Tahoma" w:hAnsi="Tahoma" w:cs="Tahoma"/>
          <w:color w:val="000000" w:themeColor="text1"/>
          <w:kern w:val="0"/>
          <w:szCs w:val="21"/>
          <w:highlight w:val="none"/>
          <w14:textFill>
            <w14:solidFill>
              <w14:schemeClr w14:val="tx1"/>
            </w14:solidFill>
          </w14:textFill>
        </w:rPr>
      </w:pPr>
      <w:r>
        <w:rPr>
          <w:rFonts w:hint="eastAsia" w:ascii="Tahoma" w:hAnsi="Tahoma" w:cs="Tahoma"/>
          <w:color w:val="000000" w:themeColor="text1"/>
          <w:kern w:val="0"/>
          <w:szCs w:val="21"/>
          <w:highlight w:val="none"/>
          <w14:textFill>
            <w14:solidFill>
              <w14:schemeClr w14:val="tx1"/>
            </w14:solidFill>
          </w14:textFill>
        </w:rPr>
        <w:t>2.1.1</w:t>
      </w:r>
      <w:r>
        <w:rPr>
          <w:rFonts w:ascii="Tahoma" w:hAnsi="Tahoma" w:cs="Tahoma"/>
          <w:color w:val="000000" w:themeColor="text1"/>
          <w:kern w:val="0"/>
          <w:szCs w:val="21"/>
          <w:highlight w:val="none"/>
          <w14:textFill>
            <w14:solidFill>
              <w14:schemeClr w14:val="tx1"/>
            </w14:solidFill>
          </w14:textFill>
        </w:rPr>
        <w:t xml:space="preserve">投标文件初审。初审分为资格性检查和符合性检查。 </w:t>
      </w:r>
    </w:p>
    <w:p>
      <w:pPr>
        <w:spacing w:line="340" w:lineRule="exact"/>
        <w:ind w:firstLine="210" w:firstLineChars="100"/>
        <w:rPr>
          <w:rFonts w:ascii="Tahoma" w:hAnsi="Tahoma" w:cs="Tahoma"/>
          <w:color w:val="000000" w:themeColor="text1"/>
          <w:kern w:val="0"/>
          <w:szCs w:val="21"/>
          <w:highlight w:val="none"/>
          <w14:textFill>
            <w14:solidFill>
              <w14:schemeClr w14:val="tx1"/>
            </w14:solidFill>
          </w14:textFill>
        </w:rPr>
      </w:pPr>
      <w:r>
        <w:rPr>
          <w:rFonts w:hint="eastAsia" w:ascii="Tahoma" w:hAnsi="Tahoma" w:cs="Tahoma"/>
          <w:color w:val="000000" w:themeColor="text1"/>
          <w:kern w:val="0"/>
          <w:szCs w:val="21"/>
          <w:highlight w:val="none"/>
          <w14:textFill>
            <w14:solidFill>
              <w14:schemeClr w14:val="tx1"/>
            </w14:solidFill>
          </w14:textFill>
        </w:rPr>
        <w:t>（</w:t>
      </w:r>
      <w:r>
        <w:rPr>
          <w:rFonts w:ascii="Tahoma" w:hAnsi="Tahoma" w:cs="Tahoma"/>
          <w:color w:val="000000" w:themeColor="text1"/>
          <w:kern w:val="0"/>
          <w:szCs w:val="21"/>
          <w:highlight w:val="none"/>
          <w14:textFill>
            <w14:solidFill>
              <w14:schemeClr w14:val="tx1"/>
            </w14:solidFill>
          </w14:textFill>
        </w:rPr>
        <w:t>1</w:t>
      </w:r>
      <w:r>
        <w:rPr>
          <w:rFonts w:hint="eastAsia" w:ascii="Tahoma" w:hAnsi="Tahoma" w:cs="Tahoma"/>
          <w:color w:val="000000" w:themeColor="text1"/>
          <w:kern w:val="0"/>
          <w:szCs w:val="21"/>
          <w:highlight w:val="none"/>
          <w14:textFill>
            <w14:solidFill>
              <w14:schemeClr w14:val="tx1"/>
            </w14:solidFill>
          </w14:textFill>
        </w:rPr>
        <w:t>）资格性检查：依据法律法规和招标文件的规定，在对投标文件详细评估之前，评标委员会将依据投标人提交的投标文件按投标人须知前附表所述的资格标准对投标人进行资格审查，以确定其是否具备投标资格。</w:t>
      </w:r>
      <w:r>
        <w:rPr>
          <w:rFonts w:hint="eastAsia" w:ascii="Tahoma" w:hAnsi="Tahoma" w:cs="Tahoma"/>
          <w:b/>
          <w:color w:val="000000" w:themeColor="text1"/>
          <w:kern w:val="0"/>
          <w:szCs w:val="21"/>
          <w:highlight w:val="none"/>
          <w14:textFill>
            <w14:solidFill>
              <w14:schemeClr w14:val="tx1"/>
            </w14:solidFill>
          </w14:textFill>
        </w:rPr>
        <w:t>如果投标人不具备投标资格，不满足招标文件所规定的资格标准或提供资格证明文件不全的，其投标无效。</w:t>
      </w:r>
    </w:p>
    <w:p>
      <w:pPr>
        <w:spacing w:line="340" w:lineRule="exact"/>
        <w:ind w:firstLine="210" w:firstLineChars="100"/>
        <w:rPr>
          <w:rFonts w:ascii="Tahoma" w:hAnsi="Tahoma" w:cs="Tahoma"/>
          <w:color w:val="000000" w:themeColor="text1"/>
          <w:kern w:val="0"/>
          <w:szCs w:val="21"/>
          <w:highlight w:val="none"/>
          <w14:textFill>
            <w14:solidFill>
              <w14:schemeClr w14:val="tx1"/>
            </w14:solidFill>
          </w14:textFill>
        </w:rPr>
      </w:pPr>
      <w:r>
        <w:rPr>
          <w:rFonts w:hint="eastAsia" w:ascii="Tahoma" w:hAnsi="Tahoma" w:cs="Tahoma"/>
          <w:color w:val="000000" w:themeColor="text1"/>
          <w:kern w:val="0"/>
          <w:szCs w:val="21"/>
          <w:highlight w:val="none"/>
          <w14:textFill>
            <w14:solidFill>
              <w14:schemeClr w14:val="tx1"/>
            </w14:solidFill>
          </w14:textFill>
        </w:rPr>
        <w:t>（</w:t>
      </w:r>
      <w:r>
        <w:rPr>
          <w:rFonts w:ascii="Tahoma" w:hAnsi="Tahoma" w:cs="Tahoma"/>
          <w:color w:val="000000" w:themeColor="text1"/>
          <w:kern w:val="0"/>
          <w:szCs w:val="21"/>
          <w:highlight w:val="none"/>
          <w14:textFill>
            <w14:solidFill>
              <w14:schemeClr w14:val="tx1"/>
            </w14:solidFill>
          </w14:textFill>
        </w:rPr>
        <w:t>2</w:t>
      </w:r>
      <w:r>
        <w:rPr>
          <w:rFonts w:hint="eastAsia" w:ascii="Tahoma" w:hAnsi="Tahoma" w:cs="Tahoma"/>
          <w:color w:val="000000" w:themeColor="text1"/>
          <w:kern w:val="0"/>
          <w:szCs w:val="21"/>
          <w:highlight w:val="none"/>
          <w14:textFill>
            <w14:solidFill>
              <w14:schemeClr w14:val="tx1"/>
            </w14:solidFill>
          </w14:textFill>
        </w:rPr>
        <w:t>）符合性检查：由评标委员会依据有关法律、法规及招标文件的要求，对符合资格的投标人的投标文件进行符合性审查，以确定是否对招标文件的实质性要求做出响应。只有通过符合性审查的投标人的投标文件才能进入下一阶段的评审！</w:t>
      </w:r>
    </w:p>
    <w:p>
      <w:pPr>
        <w:spacing w:line="340" w:lineRule="exact"/>
        <w:rPr>
          <w:rFonts w:ascii="Tahoma" w:hAnsi="Tahoma" w:cs="Tahoma"/>
          <w:b/>
          <w:color w:val="000000" w:themeColor="text1"/>
          <w:kern w:val="0"/>
          <w:szCs w:val="21"/>
          <w:highlight w:val="none"/>
          <w14:textFill>
            <w14:solidFill>
              <w14:schemeClr w14:val="tx1"/>
            </w14:solidFill>
          </w14:textFill>
        </w:rPr>
      </w:pPr>
      <w:r>
        <w:rPr>
          <w:rFonts w:hint="eastAsia" w:ascii="Tahoma" w:hAnsi="Tahoma" w:cs="Tahoma"/>
          <w:b/>
          <w:color w:val="000000" w:themeColor="text1"/>
          <w:kern w:val="0"/>
          <w:szCs w:val="21"/>
          <w:highlight w:val="none"/>
          <w14:textFill>
            <w14:solidFill>
              <w14:schemeClr w14:val="tx1"/>
            </w14:solidFill>
          </w14:textFill>
        </w:rPr>
        <w:t>2.2详细评审</w:t>
      </w:r>
    </w:p>
    <w:p>
      <w:pPr>
        <w:spacing w:line="340" w:lineRule="exact"/>
        <w:ind w:firstLine="210" w:firstLineChars="100"/>
        <w:rPr>
          <w:color w:val="000000" w:themeColor="text1"/>
          <w:highlight w:val="none"/>
          <w14:textFill>
            <w14:solidFill>
              <w14:schemeClr w14:val="tx1"/>
            </w14:solidFill>
          </w14:textFill>
        </w:rPr>
      </w:pPr>
      <w:r>
        <w:rPr>
          <w:rFonts w:hint="eastAsia" w:ascii="Tahoma" w:hAnsi="Tahoma" w:cs="Tahoma"/>
          <w:color w:val="000000" w:themeColor="text1"/>
          <w:highlight w:val="none"/>
          <w14:textFill>
            <w14:solidFill>
              <w14:schemeClr w14:val="tx1"/>
            </w14:solidFill>
          </w14:textFill>
        </w:rPr>
        <w:t>（1）对通过</w:t>
      </w:r>
      <w:r>
        <w:rPr>
          <w:color w:val="000000" w:themeColor="text1"/>
          <w:highlight w:val="none"/>
          <w14:textFill>
            <w14:solidFill>
              <w14:schemeClr w14:val="tx1"/>
            </w14:solidFill>
          </w14:textFill>
        </w:rPr>
        <w:t>符合性</w:t>
      </w:r>
      <w:r>
        <w:rPr>
          <w:rFonts w:hint="eastAsia" w:ascii="Tahoma" w:hAnsi="Tahoma" w:cs="Tahoma"/>
          <w:color w:val="000000" w:themeColor="text1"/>
          <w:highlight w:val="none"/>
          <w14:textFill>
            <w14:solidFill>
              <w14:schemeClr w14:val="tx1"/>
            </w14:solidFill>
          </w14:textFill>
        </w:rPr>
        <w:t>审查的</w:t>
      </w:r>
      <w:r>
        <w:rPr>
          <w:color w:val="000000" w:themeColor="text1"/>
          <w:highlight w:val="none"/>
          <w14:textFill>
            <w14:solidFill>
              <w14:schemeClr w14:val="tx1"/>
            </w14:solidFill>
          </w14:textFill>
        </w:rPr>
        <w:t>投标人的投标文件</w:t>
      </w:r>
      <w:r>
        <w:rPr>
          <w:rFonts w:hint="eastAsia" w:ascii="Tahoma" w:cs="Tahoma"/>
          <w:color w:val="000000" w:themeColor="text1"/>
          <w:highlight w:val="none"/>
          <w14:textFill>
            <w14:solidFill>
              <w14:schemeClr w14:val="tx1"/>
            </w14:solidFill>
          </w14:textFill>
        </w:rPr>
        <w:t>（投标文件满足招标文件全部实质性要求）</w:t>
      </w:r>
      <w:r>
        <w:rPr>
          <w:rFonts w:hint="eastAsia" w:ascii="Tahoma" w:hAnsi="Tahoma" w:cs="Tahoma"/>
          <w:color w:val="000000" w:themeColor="text1"/>
          <w:highlight w:val="none"/>
          <w14:textFill>
            <w14:solidFill>
              <w14:schemeClr w14:val="tx1"/>
            </w14:solidFill>
          </w14:textFill>
        </w:rPr>
        <w:t>进一步进行审查，由评标委员会</w:t>
      </w:r>
      <w:r>
        <w:rPr>
          <w:color w:val="000000" w:themeColor="text1"/>
          <w:highlight w:val="none"/>
          <w14:textFill>
            <w14:solidFill>
              <w14:schemeClr w14:val="tx1"/>
            </w14:solidFill>
          </w14:textFill>
        </w:rPr>
        <w:t>审查、评价投标文件是否符合招标文件的商务、技术等实质性要求</w:t>
      </w:r>
      <w:r>
        <w:rPr>
          <w:rFonts w:hint="eastAsia"/>
          <w:color w:val="000000" w:themeColor="text1"/>
          <w:highlight w:val="none"/>
          <w14:textFill>
            <w14:solidFill>
              <w14:schemeClr w14:val="tx1"/>
            </w14:solidFill>
          </w14:textFill>
        </w:rPr>
        <w:t>。</w:t>
      </w:r>
    </w:p>
    <w:p>
      <w:pPr>
        <w:spacing w:line="340" w:lineRule="exact"/>
        <w:ind w:firstLine="210" w:firstLineChars="100"/>
        <w:rPr>
          <w:color w:val="000000" w:themeColor="text1"/>
          <w:highlight w:val="none"/>
          <w14:textFill>
            <w14:solidFill>
              <w14:schemeClr w14:val="tx1"/>
            </w14:solidFill>
          </w14:textFill>
        </w:rPr>
      </w:pPr>
      <w:r>
        <w:rPr>
          <w:rFonts w:hint="eastAsia" w:ascii="Tahoma" w:cs="Tahoma"/>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评标委员会应当按照招标文件中规定的评标方法和标准，对符合性审查合格的投标文件进行商务和技术评估，综合比较与评价。</w:t>
      </w:r>
    </w:p>
    <w:p>
      <w:pPr>
        <w:spacing w:line="340" w:lineRule="exact"/>
        <w:ind w:firstLine="210" w:firstLineChars="1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ascii="Tahoma" w:hAnsi="Tahoma" w:cs="Tahoma"/>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w:t>
      </w:r>
      <w:r>
        <w:rPr>
          <w:rFonts w:hint="eastAsia" w:ascii="Tahoma" w:cs="Tahoma"/>
          <w:color w:val="000000" w:themeColor="text1"/>
          <w:highlight w:val="none"/>
          <w14:textFill>
            <w14:solidFill>
              <w14:schemeClr w14:val="tx1"/>
            </w14:solidFill>
          </w14:textFill>
        </w:rPr>
        <w:t>评标委员会按招标文件规定的评审因素和量化指标由评标委员会采用综合评分法对投标文件进行综合评分。</w:t>
      </w:r>
    </w:p>
    <w:p>
      <w:pPr>
        <w:spacing w:line="340" w:lineRule="exact"/>
        <w:rPr>
          <w:rFonts w:ascii="Tahoma" w:hAnsi="Tahoma" w:cs="Tahoma"/>
          <w:b/>
          <w:color w:val="000000" w:themeColor="text1"/>
          <w:szCs w:val="21"/>
          <w:highlight w:val="none"/>
          <w14:textFill>
            <w14:solidFill>
              <w14:schemeClr w14:val="tx1"/>
            </w14:solidFill>
          </w14:textFill>
        </w:rPr>
      </w:pPr>
      <w:r>
        <w:rPr>
          <w:rFonts w:hint="eastAsia" w:ascii="Tahoma" w:hAnsi="Tahoma" w:cs="Tahoma"/>
          <w:b/>
          <w:color w:val="000000" w:themeColor="text1"/>
          <w:szCs w:val="21"/>
          <w:highlight w:val="none"/>
          <w14:textFill>
            <w14:solidFill>
              <w14:schemeClr w14:val="tx1"/>
            </w14:solidFill>
          </w14:textFill>
        </w:rPr>
        <w:t>2.3评审因素</w:t>
      </w:r>
    </w:p>
    <w:p>
      <w:pPr>
        <w:spacing w:line="340" w:lineRule="exact"/>
        <w:rPr>
          <w:rFonts w:ascii="Arial" w:hAnsi="Arial" w:cs="Arial"/>
          <w:color w:val="000000" w:themeColor="text1"/>
          <w:kern w:val="0"/>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2.3.1</w:t>
      </w:r>
      <w:r>
        <w:rPr>
          <w:rFonts w:ascii="Tahoma" w:hAnsi="Tahoma" w:cs="Tahoma"/>
          <w:color w:val="000000" w:themeColor="text1"/>
          <w:kern w:val="0"/>
          <w:szCs w:val="21"/>
          <w:highlight w:val="none"/>
          <w14:textFill>
            <w14:solidFill>
              <w14:schemeClr w14:val="tx1"/>
            </w14:solidFill>
          </w14:textFill>
        </w:rPr>
        <w:t>评标委员会</w:t>
      </w:r>
      <w:r>
        <w:rPr>
          <w:rFonts w:ascii="Arial" w:hAnsi="Arial" w:cs="Arial"/>
          <w:color w:val="000000" w:themeColor="text1"/>
          <w:kern w:val="0"/>
          <w:szCs w:val="21"/>
          <w:highlight w:val="none"/>
          <w14:textFill>
            <w14:solidFill>
              <w14:schemeClr w14:val="tx1"/>
            </w14:solidFill>
          </w14:textFill>
        </w:rPr>
        <w:t>依据统一的</w:t>
      </w:r>
      <w:r>
        <w:rPr>
          <w:rFonts w:hint="eastAsia" w:ascii="Arial" w:hAnsi="Arial" w:cs="Arial"/>
          <w:color w:val="000000" w:themeColor="text1"/>
          <w:kern w:val="0"/>
          <w:szCs w:val="21"/>
          <w:highlight w:val="none"/>
          <w14:textFill>
            <w14:solidFill>
              <w14:schemeClr w14:val="tx1"/>
            </w14:solidFill>
          </w14:textFill>
        </w:rPr>
        <w:t>评审</w:t>
      </w:r>
      <w:r>
        <w:rPr>
          <w:rFonts w:ascii="Arial" w:hAnsi="Arial" w:cs="Arial"/>
          <w:color w:val="000000" w:themeColor="text1"/>
          <w:kern w:val="0"/>
          <w:szCs w:val="21"/>
          <w:highlight w:val="none"/>
          <w14:textFill>
            <w14:solidFill>
              <w14:schemeClr w14:val="tx1"/>
            </w14:solidFill>
          </w14:textFill>
        </w:rPr>
        <w:t>要素</w:t>
      </w:r>
      <w:r>
        <w:rPr>
          <w:rFonts w:hint="eastAsia" w:ascii="Arial" w:hAnsi="Arial" w:cs="Arial"/>
          <w:color w:val="000000" w:themeColor="text1"/>
          <w:kern w:val="0"/>
          <w:szCs w:val="21"/>
          <w:highlight w:val="none"/>
          <w14:textFill>
            <w14:solidFill>
              <w14:schemeClr w14:val="tx1"/>
            </w14:solidFill>
          </w14:textFill>
        </w:rPr>
        <w:t>，综合进行</w:t>
      </w:r>
      <w:r>
        <w:rPr>
          <w:rFonts w:ascii="Arial" w:hAnsi="Arial" w:cs="Arial"/>
          <w:color w:val="000000" w:themeColor="text1"/>
          <w:kern w:val="0"/>
          <w:szCs w:val="21"/>
          <w:highlight w:val="none"/>
          <w14:textFill>
            <w14:solidFill>
              <w14:schemeClr w14:val="tx1"/>
            </w14:solidFill>
          </w14:textFill>
        </w:rPr>
        <w:t>评定</w:t>
      </w:r>
      <w:r>
        <w:rPr>
          <w:rFonts w:hint="eastAsia" w:ascii="Arial" w:hAnsi="Arial" w:cs="Arial"/>
          <w:color w:val="000000" w:themeColor="text1"/>
          <w:kern w:val="0"/>
          <w:szCs w:val="21"/>
          <w:highlight w:val="none"/>
          <w14:textFill>
            <w14:solidFill>
              <w14:schemeClr w14:val="tx1"/>
            </w14:solidFill>
          </w14:textFill>
        </w:rPr>
        <w:t>，</w:t>
      </w:r>
      <w:r>
        <w:rPr>
          <w:rFonts w:ascii="Arial" w:hAnsi="Arial" w:cs="Arial"/>
          <w:color w:val="000000" w:themeColor="text1"/>
          <w:kern w:val="0"/>
          <w:szCs w:val="21"/>
          <w:highlight w:val="none"/>
          <w14:textFill>
            <w14:solidFill>
              <w14:schemeClr w14:val="tx1"/>
            </w14:solidFill>
          </w14:textFill>
        </w:rPr>
        <w:t>在评标中，不得改变招标文件中规定的评标标准、方法和中标条件。</w:t>
      </w:r>
    </w:p>
    <w:p>
      <w:pPr>
        <w:spacing w:line="340" w:lineRule="exact"/>
        <w:rPr>
          <w:rFonts w:ascii="Tahoma" w:hAnsi="Tahoma" w:cs="Tahoma"/>
          <w:color w:val="000000" w:themeColor="text1"/>
          <w:kern w:val="0"/>
          <w:szCs w:val="21"/>
          <w:highlight w:val="none"/>
          <w14:textFill>
            <w14:solidFill>
              <w14:schemeClr w14:val="tx1"/>
            </w14:solidFill>
          </w14:textFill>
        </w:rPr>
      </w:pPr>
      <w:r>
        <w:rPr>
          <w:rFonts w:ascii="Tahoma" w:hAnsi="Tahoma" w:cs="Tahoma"/>
          <w:color w:val="000000" w:themeColor="text1"/>
          <w:kern w:val="0"/>
          <w:szCs w:val="21"/>
          <w:highlight w:val="none"/>
          <w14:textFill>
            <w14:solidFill>
              <w14:schemeClr w14:val="tx1"/>
            </w14:solidFill>
          </w14:textFill>
        </w:rPr>
        <w:t>2.3.2</w:t>
      </w:r>
      <w:r>
        <w:rPr>
          <w:rFonts w:hint="eastAsia" w:ascii="Tahoma" w:hAnsi="Tahoma" w:cs="Tahoma"/>
          <w:color w:val="000000" w:themeColor="text1"/>
          <w:kern w:val="0"/>
          <w:szCs w:val="21"/>
          <w:highlight w:val="none"/>
          <w14:textFill>
            <w14:solidFill>
              <w14:schemeClr w14:val="tx1"/>
            </w14:solidFill>
          </w14:textFill>
        </w:rPr>
        <w:t>在评标中，不得改变招标文件中规定的评标标准、方法和中标条件。不得将投标人的注册资本、资产总额、营业收入、从业人员、利润、纳税额等规模条件作为资格要求或者评审因素，也不得通过将除进口货物以外的生产厂家授权、承诺、证明、背书等作为资格要求，对投标人实行差别待遇或者歧视待遇。</w:t>
      </w:r>
    </w:p>
    <w:p>
      <w:pPr>
        <w:spacing w:line="340" w:lineRule="exact"/>
        <w:rPr>
          <w:rFonts w:ascii="Tahoma" w:hAnsi="Tahoma" w:cs="Tahoma"/>
          <w:b/>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2.4评分标准与分值构成</w:t>
      </w:r>
    </w:p>
    <w:p>
      <w:pPr>
        <w:snapToGrid w:val="0"/>
        <w:spacing w:line="340" w:lineRule="exact"/>
        <w:ind w:firstLine="420" w:firstLineChars="2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评分标准按商务、技术和投标价格三个部分确定的评审因素和评分标准分别进行评定，分值构成采用百分制，商务</w:t>
      </w:r>
      <w:r>
        <w:rPr>
          <w:rFonts w:hint="eastAsia" w:ascii="Tahoma" w:hAnsi="Tahoma" w:cs="Tahoma"/>
          <w:color w:val="000000" w:themeColor="text1"/>
          <w:szCs w:val="21"/>
          <w:highlight w:val="none"/>
          <w14:textFill>
            <w14:solidFill>
              <w14:schemeClr w14:val="tx1"/>
            </w14:solidFill>
          </w14:textFill>
        </w:rPr>
        <w:t>、</w:t>
      </w:r>
      <w:r>
        <w:rPr>
          <w:rFonts w:ascii="Tahoma" w:hAnsi="Tahoma" w:cs="Tahoma"/>
          <w:color w:val="000000" w:themeColor="text1"/>
          <w:szCs w:val="21"/>
          <w:highlight w:val="none"/>
          <w14:textFill>
            <w14:solidFill>
              <w14:schemeClr w14:val="tx1"/>
            </w14:solidFill>
          </w14:textFill>
        </w:rPr>
        <w:t>技术部分满分为</w:t>
      </w:r>
      <w:r>
        <w:rPr>
          <w:rFonts w:hint="eastAsia" w:ascii="Tahoma" w:hAnsi="Tahoma" w:cs="Tahoma"/>
          <w:color w:val="000000" w:themeColor="text1"/>
          <w:szCs w:val="21"/>
          <w:highlight w:val="none"/>
          <w:lang w:val="en-US" w:eastAsia="zh-CN"/>
          <w14:textFill>
            <w14:solidFill>
              <w14:schemeClr w14:val="tx1"/>
            </w14:solidFill>
          </w14:textFill>
        </w:rPr>
        <w:t>100</w:t>
      </w:r>
      <w:r>
        <w:rPr>
          <w:rFonts w:ascii="Tahoma" w:hAnsi="Tahoma" w:cs="Tahoma"/>
          <w:color w:val="000000" w:themeColor="text1"/>
          <w:szCs w:val="21"/>
          <w:highlight w:val="none"/>
          <w14:textFill>
            <w14:solidFill>
              <w14:schemeClr w14:val="tx1"/>
            </w14:solidFill>
          </w14:textFill>
        </w:rPr>
        <w:t>分，合计总分100分。</w:t>
      </w:r>
    </w:p>
    <w:p>
      <w:pPr>
        <w:snapToGrid w:val="0"/>
        <w:spacing w:line="340" w:lineRule="exact"/>
        <w:ind w:firstLine="420" w:firstLineChars="200"/>
        <w:rPr>
          <w:rFonts w:ascii="Tahoma" w:hAnsi="Tahoma" w:cs="Tahoma"/>
          <w:color w:val="000000" w:themeColor="text1"/>
          <w:szCs w:val="21"/>
          <w:highlight w:val="none"/>
          <w14:textFill>
            <w14:solidFill>
              <w14:schemeClr w14:val="tx1"/>
            </w14:solidFill>
          </w14:textFill>
        </w:rPr>
      </w:pPr>
    </w:p>
    <w:p>
      <w:pPr>
        <w:snapToGrid w:val="0"/>
        <w:spacing w:line="340" w:lineRule="exact"/>
        <w:ind w:firstLine="420" w:firstLineChars="200"/>
        <w:rPr>
          <w:rFonts w:ascii="Tahoma" w:hAnsi="Tahoma" w:cs="Tahoma"/>
          <w:color w:val="000000" w:themeColor="text1"/>
          <w:szCs w:val="21"/>
          <w:highlight w:val="none"/>
          <w14:textFill>
            <w14:solidFill>
              <w14:schemeClr w14:val="tx1"/>
            </w14:solidFill>
          </w14:textFill>
        </w:rPr>
      </w:pPr>
    </w:p>
    <w:p>
      <w:pPr>
        <w:snapToGrid w:val="0"/>
        <w:spacing w:line="340" w:lineRule="exact"/>
        <w:ind w:firstLine="420" w:firstLineChars="200"/>
        <w:rPr>
          <w:rFonts w:ascii="Tahoma" w:hAnsi="Tahoma" w:cs="Tahoma"/>
          <w:color w:val="000000" w:themeColor="text1"/>
          <w:szCs w:val="21"/>
          <w:highlight w:val="none"/>
          <w14:textFill>
            <w14:solidFill>
              <w14:schemeClr w14:val="tx1"/>
            </w14:solidFill>
          </w14:textFill>
        </w:rPr>
      </w:pPr>
    </w:p>
    <w:p>
      <w:pPr>
        <w:snapToGrid w:val="0"/>
        <w:spacing w:line="340" w:lineRule="exact"/>
        <w:ind w:firstLine="420" w:firstLineChars="200"/>
        <w:rPr>
          <w:rFonts w:ascii="Tahoma" w:hAnsi="Tahoma" w:cs="Tahoma"/>
          <w:color w:val="000000" w:themeColor="text1"/>
          <w:szCs w:val="21"/>
          <w:highlight w:val="none"/>
          <w14:textFill>
            <w14:solidFill>
              <w14:schemeClr w14:val="tx1"/>
            </w14:solidFill>
          </w14:textFill>
        </w:rPr>
      </w:pPr>
    </w:p>
    <w:p>
      <w:pPr>
        <w:pStyle w:val="32"/>
        <w:numPr>
          <w:ilvl w:val="0"/>
          <w:numId w:val="0"/>
        </w:numPr>
        <w:spacing w:after="156" w:afterLines="50" w:line="540" w:lineRule="exact"/>
        <w:ind w:left="630" w:leftChars="0" w:firstLine="1807" w:firstLineChars="600"/>
        <w:jc w:val="both"/>
        <w:rPr>
          <w:rFonts w:hint="eastAsia" w:ascii="仿宋" w:hAnsi="仿宋" w:eastAsia="仿宋_GB2312"/>
          <w:b w:val="0"/>
          <w:color w:val="000000" w:themeColor="text1"/>
          <w:sz w:val="30"/>
          <w:szCs w:val="30"/>
          <w:highlight w:val="none"/>
          <w:lang w:eastAsia="zh-CN"/>
          <w14:textFill>
            <w14:solidFill>
              <w14:schemeClr w14:val="tx1"/>
            </w14:solidFill>
          </w14:textFill>
        </w:rPr>
      </w:pPr>
      <w:r>
        <w:rPr>
          <w:rFonts w:hint="eastAsia" w:ascii="宋体" w:hAnsi="宋体" w:cs="宋体"/>
          <w:b/>
          <w:bCs/>
          <w:color w:val="000000" w:themeColor="text1"/>
          <w:kern w:val="0"/>
          <w:sz w:val="30"/>
          <w:szCs w:val="30"/>
          <w:highlight w:val="none"/>
          <w:lang w:bidi="ar"/>
          <w14:textFill>
            <w14:solidFill>
              <w14:schemeClr w14:val="tx1"/>
            </w14:solidFill>
          </w14:textFill>
        </w:rPr>
        <w:t>详细评分表（满分100分</w:t>
      </w:r>
      <w:r>
        <w:rPr>
          <w:rFonts w:hint="eastAsia" w:ascii="宋体" w:hAnsi="宋体" w:cs="宋体"/>
          <w:b/>
          <w:bCs/>
          <w:color w:val="000000" w:themeColor="text1"/>
          <w:kern w:val="0"/>
          <w:sz w:val="30"/>
          <w:szCs w:val="30"/>
          <w:highlight w:val="none"/>
          <w:lang w:eastAsia="zh-CN" w:bidi="ar"/>
          <w14:textFill>
            <w14:solidFill>
              <w14:schemeClr w14:val="tx1"/>
            </w14:solidFill>
          </w14:textFill>
        </w:rPr>
        <w:t>）</w:t>
      </w:r>
    </w:p>
    <w:p>
      <w:pPr>
        <w:pStyle w:val="32"/>
        <w:numPr>
          <w:ilvl w:val="0"/>
          <w:numId w:val="2"/>
        </w:numPr>
        <w:spacing w:line="240" w:lineRule="auto"/>
        <w:ind w:left="0" w:leftChars="0" w:firstLine="0" w:firstLineChars="0"/>
        <w:jc w:val="left"/>
        <w:rPr>
          <w:rFonts w:hint="eastAsia" w:ascii="宋体" w:hAnsi="宋体" w:eastAsia="宋体" w:cs="宋体"/>
          <w:b w:val="0"/>
          <w:color w:val="000000" w:themeColor="text1"/>
          <w:sz w:val="18"/>
          <w:szCs w:val="18"/>
          <w:highlight w:val="none"/>
          <w14:textFill>
            <w14:solidFill>
              <w14:schemeClr w14:val="tx1"/>
            </w14:solidFill>
          </w14:textFill>
        </w:rPr>
      </w:pPr>
      <w:r>
        <w:rPr>
          <w:rFonts w:hint="eastAsia" w:ascii="宋体" w:hAnsi="宋体" w:eastAsia="宋体" w:cs="宋体"/>
          <w:b w:val="0"/>
          <w:color w:val="000000" w:themeColor="text1"/>
          <w:sz w:val="18"/>
          <w:szCs w:val="18"/>
          <w:highlight w:val="none"/>
          <w14:textFill>
            <w14:solidFill>
              <w14:schemeClr w14:val="tx1"/>
            </w14:solidFill>
          </w14:textFill>
        </w:rPr>
        <w:t>商务部分</w:t>
      </w:r>
    </w:p>
    <w:p>
      <w:pPr>
        <w:snapToGrid w:val="0"/>
        <w:spacing w:line="360" w:lineRule="auto"/>
        <w:jc w:val="center"/>
        <w:rPr>
          <w:rFonts w:hint="eastAsia" w:ascii="宋体" w:hAnsi="宋体" w:eastAsia="宋体" w:cs="宋体"/>
          <w:vanish/>
          <w:color w:val="000000" w:themeColor="text1"/>
          <w:sz w:val="18"/>
          <w:szCs w:val="18"/>
          <w:highlight w:val="none"/>
          <w14:textFill>
            <w14:solidFill>
              <w14:schemeClr w14:val="tx1"/>
            </w14:solidFill>
          </w14:textFill>
        </w:rPr>
      </w:pPr>
    </w:p>
    <w:tbl>
      <w:tblPr>
        <w:tblStyle w:val="20"/>
        <w:tblpPr w:leftFromText="180" w:rightFromText="180" w:vertAnchor="text" w:horzAnchor="page" w:tblpX="1005" w:tblpY="64"/>
        <w:tblOverlap w:val="never"/>
        <w:tblW w:w="10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416"/>
        <w:gridCol w:w="1638"/>
        <w:gridCol w:w="1077"/>
        <w:gridCol w:w="5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blHeader/>
        </w:trPr>
        <w:tc>
          <w:tcPr>
            <w:tcW w:w="717" w:type="dxa"/>
            <w:vAlign w:val="center"/>
          </w:tcPr>
          <w:p>
            <w:pPr>
              <w:pStyle w:val="32"/>
              <w:snapToGrid w:val="0"/>
              <w:spacing w:line="240" w:lineRule="auto"/>
              <w:ind w:firstLine="0" w:firstLineChars="0"/>
              <w:rPr>
                <w:rFonts w:hint="eastAsia" w:ascii="宋体" w:hAnsi="宋体" w:eastAsia="宋体" w:cs="宋体"/>
                <w:b w:val="0"/>
                <w:color w:val="000000" w:themeColor="text1"/>
                <w:kern w:val="0"/>
                <w:sz w:val="18"/>
                <w:szCs w:val="18"/>
                <w:highlight w:val="none"/>
                <w14:textFill>
                  <w14:solidFill>
                    <w14:schemeClr w14:val="tx1"/>
                  </w14:solidFill>
                </w14:textFill>
              </w:rPr>
            </w:pPr>
          </w:p>
        </w:tc>
        <w:tc>
          <w:tcPr>
            <w:tcW w:w="3054" w:type="dxa"/>
            <w:gridSpan w:val="2"/>
            <w:vAlign w:val="center"/>
          </w:tcPr>
          <w:p>
            <w:pPr>
              <w:pStyle w:val="32"/>
              <w:snapToGrid w:val="0"/>
              <w:spacing w:line="240" w:lineRule="auto"/>
              <w:ind w:firstLine="0" w:firstLineChars="0"/>
              <w:rPr>
                <w:rFonts w:hint="eastAsia" w:ascii="宋体" w:hAnsi="宋体" w:eastAsia="宋体" w:cs="宋体"/>
                <w:b w:val="0"/>
                <w:color w:val="000000" w:themeColor="text1"/>
                <w:kern w:val="0"/>
                <w:sz w:val="18"/>
                <w:szCs w:val="18"/>
                <w:highlight w:val="none"/>
                <w14:textFill>
                  <w14:solidFill>
                    <w14:schemeClr w14:val="tx1"/>
                  </w14:solidFill>
                </w14:textFill>
              </w:rPr>
            </w:pPr>
            <w:r>
              <w:rPr>
                <w:rFonts w:hint="eastAsia" w:ascii="宋体" w:hAnsi="宋体" w:eastAsia="宋体" w:cs="宋体"/>
                <w:b w:val="0"/>
                <w:color w:val="000000" w:themeColor="text1"/>
                <w:kern w:val="0"/>
                <w:sz w:val="18"/>
                <w:szCs w:val="18"/>
                <w:highlight w:val="none"/>
                <w14:textFill>
                  <w14:solidFill>
                    <w14:schemeClr w14:val="tx1"/>
                  </w14:solidFill>
                </w14:textFill>
              </w:rPr>
              <w:t>评审项目</w:t>
            </w:r>
          </w:p>
        </w:tc>
        <w:tc>
          <w:tcPr>
            <w:tcW w:w="1077" w:type="dxa"/>
            <w:vAlign w:val="center"/>
          </w:tcPr>
          <w:p>
            <w:pPr>
              <w:pStyle w:val="32"/>
              <w:snapToGrid w:val="0"/>
              <w:spacing w:line="240" w:lineRule="auto"/>
              <w:ind w:firstLine="0" w:firstLineChars="0"/>
              <w:rPr>
                <w:rFonts w:hint="eastAsia" w:ascii="宋体" w:hAnsi="宋体" w:eastAsia="宋体" w:cs="宋体"/>
                <w:b w:val="0"/>
                <w:color w:val="000000" w:themeColor="text1"/>
                <w:kern w:val="0"/>
                <w:sz w:val="18"/>
                <w:szCs w:val="18"/>
                <w:highlight w:val="none"/>
                <w14:textFill>
                  <w14:solidFill>
                    <w14:schemeClr w14:val="tx1"/>
                  </w14:solidFill>
                </w14:textFill>
              </w:rPr>
            </w:pPr>
            <w:r>
              <w:rPr>
                <w:rFonts w:hint="eastAsia" w:ascii="宋体" w:hAnsi="宋体" w:eastAsia="宋体" w:cs="宋体"/>
                <w:b w:val="0"/>
                <w:color w:val="000000" w:themeColor="text1"/>
                <w:kern w:val="0"/>
                <w:sz w:val="18"/>
                <w:szCs w:val="18"/>
                <w:highlight w:val="none"/>
                <w14:textFill>
                  <w14:solidFill>
                    <w14:schemeClr w14:val="tx1"/>
                  </w14:solidFill>
                </w14:textFill>
              </w:rPr>
              <w:t>分值</w:t>
            </w:r>
          </w:p>
        </w:tc>
        <w:tc>
          <w:tcPr>
            <w:tcW w:w="5650" w:type="dxa"/>
            <w:vAlign w:val="center"/>
          </w:tcPr>
          <w:p>
            <w:pPr>
              <w:pStyle w:val="32"/>
              <w:snapToGrid w:val="0"/>
              <w:spacing w:line="240" w:lineRule="auto"/>
              <w:ind w:firstLine="0" w:firstLineChars="0"/>
              <w:rPr>
                <w:rFonts w:hint="eastAsia" w:ascii="宋体" w:hAnsi="宋体" w:eastAsia="宋体" w:cs="宋体"/>
                <w:b w:val="0"/>
                <w:color w:val="000000" w:themeColor="text1"/>
                <w:kern w:val="0"/>
                <w:sz w:val="18"/>
                <w:szCs w:val="18"/>
                <w:highlight w:val="none"/>
                <w14:textFill>
                  <w14:solidFill>
                    <w14:schemeClr w14:val="tx1"/>
                  </w14:solidFill>
                </w14:textFill>
              </w:rPr>
            </w:pPr>
            <w:r>
              <w:rPr>
                <w:rFonts w:hint="eastAsia" w:ascii="宋体" w:hAnsi="宋体" w:eastAsia="宋体" w:cs="宋体"/>
                <w:b w:val="0"/>
                <w:color w:val="000000" w:themeColor="text1"/>
                <w:kern w:val="0"/>
                <w:sz w:val="18"/>
                <w:szCs w:val="18"/>
                <w:highlight w:val="none"/>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8" w:hRule="atLeast"/>
        </w:trPr>
        <w:tc>
          <w:tcPr>
            <w:tcW w:w="717" w:type="dxa"/>
            <w:vMerge w:val="restart"/>
            <w:vAlign w:val="center"/>
          </w:tcPr>
          <w:p>
            <w:pPr>
              <w:pStyle w:val="32"/>
              <w:snapToGrid w:val="0"/>
              <w:spacing w:line="240" w:lineRule="auto"/>
              <w:ind w:firstLine="0" w:firstLineChars="0"/>
              <w:rPr>
                <w:rFonts w:hint="eastAsia" w:ascii="宋体" w:hAnsi="宋体" w:eastAsia="宋体" w:cs="宋体"/>
                <w:b w:val="0"/>
                <w:color w:val="000000" w:themeColor="text1"/>
                <w:kern w:val="0"/>
                <w:sz w:val="18"/>
                <w:szCs w:val="18"/>
                <w:highlight w:val="none"/>
                <w14:textFill>
                  <w14:solidFill>
                    <w14:schemeClr w14:val="tx1"/>
                  </w14:solidFill>
                </w14:textFill>
              </w:rPr>
            </w:pPr>
            <w:r>
              <w:rPr>
                <w:rFonts w:hint="eastAsia" w:ascii="宋体" w:hAnsi="宋体" w:eastAsia="宋体" w:cs="宋体"/>
                <w:b w:val="0"/>
                <w:color w:val="000000" w:themeColor="text1"/>
                <w:kern w:val="0"/>
                <w:sz w:val="18"/>
                <w:szCs w:val="18"/>
                <w:highlight w:val="none"/>
                <w14:textFill>
                  <w14:solidFill>
                    <w14:schemeClr w14:val="tx1"/>
                  </w14:solidFill>
                </w14:textFill>
              </w:rPr>
              <w:t>商务部分</w:t>
            </w:r>
            <w:r>
              <w:rPr>
                <w:rFonts w:hint="eastAsia" w:ascii="宋体" w:hAnsi="宋体" w:eastAsia="宋体" w:cs="宋体"/>
                <w:b w:val="0"/>
                <w:color w:val="000000" w:themeColor="text1"/>
                <w:kern w:val="0"/>
                <w:sz w:val="18"/>
                <w:szCs w:val="18"/>
                <w:highlight w:val="none"/>
                <w:lang w:val="en-US" w:eastAsia="zh-CN"/>
                <w14:textFill>
                  <w14:solidFill>
                    <w14:schemeClr w14:val="tx1"/>
                  </w14:solidFill>
                </w14:textFill>
              </w:rPr>
              <w:t>4</w:t>
            </w:r>
            <w:r>
              <w:rPr>
                <w:rFonts w:hint="eastAsia" w:ascii="宋体" w:hAnsi="宋体" w:eastAsia="宋体" w:cs="宋体"/>
                <w:b w:val="0"/>
                <w:color w:val="000000" w:themeColor="text1"/>
                <w:kern w:val="0"/>
                <w:sz w:val="18"/>
                <w:szCs w:val="18"/>
                <w:highlight w:val="none"/>
                <w14:textFill>
                  <w14:solidFill>
                    <w14:schemeClr w14:val="tx1"/>
                  </w14:solidFill>
                </w14:textFill>
              </w:rPr>
              <w:t>0分</w:t>
            </w:r>
          </w:p>
        </w:tc>
        <w:tc>
          <w:tcPr>
            <w:tcW w:w="3054" w:type="dxa"/>
            <w:gridSpan w:val="2"/>
            <w:vAlign w:val="center"/>
          </w:tcPr>
          <w:p>
            <w:pPr>
              <w:pStyle w:val="32"/>
              <w:snapToGrid w:val="0"/>
              <w:spacing w:line="240" w:lineRule="auto"/>
              <w:ind w:firstLine="0" w:firstLineChars="0"/>
              <w:rPr>
                <w:rFonts w:hint="eastAsia" w:ascii="宋体" w:hAnsi="宋体" w:eastAsia="宋体" w:cs="宋体"/>
                <w:b w:val="0"/>
                <w:color w:val="000000" w:themeColor="text1"/>
                <w:kern w:val="0"/>
                <w:sz w:val="18"/>
                <w:szCs w:val="18"/>
                <w:highlight w:val="none"/>
                <w14:textFill>
                  <w14:solidFill>
                    <w14:schemeClr w14:val="tx1"/>
                  </w14:solidFill>
                </w14:textFill>
              </w:rPr>
            </w:pPr>
            <w:r>
              <w:rPr>
                <w:rFonts w:hint="eastAsia" w:ascii="宋体" w:hAnsi="宋体" w:eastAsia="宋体" w:cs="宋体"/>
                <w:b w:val="0"/>
                <w:color w:val="000000" w:themeColor="text1"/>
                <w:kern w:val="0"/>
                <w:sz w:val="18"/>
                <w:szCs w:val="18"/>
                <w:highlight w:val="none"/>
                <w14:textFill>
                  <w14:solidFill>
                    <w14:schemeClr w14:val="tx1"/>
                  </w14:solidFill>
                </w14:textFill>
              </w:rPr>
              <w:t>价格</w:t>
            </w:r>
          </w:p>
        </w:tc>
        <w:tc>
          <w:tcPr>
            <w:tcW w:w="1077" w:type="dxa"/>
            <w:vAlign w:val="center"/>
          </w:tcPr>
          <w:p>
            <w:pPr>
              <w:pStyle w:val="32"/>
              <w:snapToGrid w:val="0"/>
              <w:spacing w:line="240" w:lineRule="auto"/>
              <w:ind w:firstLine="0" w:firstLineChars="0"/>
              <w:rPr>
                <w:rFonts w:hint="eastAsia" w:ascii="宋体" w:hAnsi="宋体" w:eastAsia="宋体" w:cs="宋体"/>
                <w:b w:val="0"/>
                <w:color w:val="000000" w:themeColor="text1"/>
                <w:kern w:val="0"/>
                <w:sz w:val="18"/>
                <w:szCs w:val="18"/>
                <w:highlight w:val="none"/>
                <w14:textFill>
                  <w14:solidFill>
                    <w14:schemeClr w14:val="tx1"/>
                  </w14:solidFill>
                </w14:textFill>
              </w:rPr>
            </w:pPr>
            <w:r>
              <w:rPr>
                <w:rFonts w:hint="eastAsia" w:ascii="宋体" w:hAnsi="宋体" w:eastAsia="宋体" w:cs="宋体"/>
                <w:b w:val="0"/>
                <w:color w:val="000000" w:themeColor="text1"/>
                <w:kern w:val="0"/>
                <w:sz w:val="18"/>
                <w:szCs w:val="18"/>
                <w:highlight w:val="none"/>
                <w14:textFill>
                  <w14:solidFill>
                    <w14:schemeClr w14:val="tx1"/>
                  </w14:solidFill>
                </w14:textFill>
              </w:rPr>
              <w:t>30分</w:t>
            </w:r>
          </w:p>
        </w:tc>
        <w:tc>
          <w:tcPr>
            <w:tcW w:w="5650" w:type="dxa"/>
            <w:vAlign w:val="center"/>
          </w:tcPr>
          <w:p>
            <w:pPr>
              <w:pStyle w:val="32"/>
              <w:keepNext w:val="0"/>
              <w:keepLines w:val="0"/>
              <w:pageBreakBefore w:val="0"/>
              <w:widowControl/>
              <w:numPr>
                <w:ilvl w:val="0"/>
                <w:numId w:val="0"/>
              </w:numPr>
              <w:kinsoku/>
              <w:overflowPunct/>
              <w:topLinePunct w:val="0"/>
              <w:autoSpaceDE/>
              <w:autoSpaceDN/>
              <w:bidi w:val="0"/>
              <w:adjustRightInd/>
              <w:snapToGrid/>
              <w:spacing w:line="360" w:lineRule="auto"/>
              <w:ind w:leftChars="0"/>
              <w:jc w:val="left"/>
              <w:textAlignment w:val="auto"/>
              <w:rPr>
                <w:rFonts w:hint="eastAsia" w:ascii="宋体" w:hAnsi="宋体" w:eastAsia="宋体" w:cs="宋体"/>
                <w:b w:val="0"/>
                <w:color w:val="000000" w:themeColor="text1"/>
                <w:sz w:val="18"/>
                <w:szCs w:val="18"/>
                <w:highlight w:val="none"/>
                <w14:textFill>
                  <w14:solidFill>
                    <w14:schemeClr w14:val="tx1"/>
                  </w14:solidFill>
                </w14:textFill>
              </w:rPr>
            </w:pPr>
            <w:r>
              <w:rPr>
                <w:rFonts w:hint="eastAsia" w:ascii="宋体" w:hAnsi="宋体" w:eastAsia="宋体" w:cs="宋体"/>
                <w:b w:val="0"/>
                <w:color w:val="000000" w:themeColor="text1"/>
                <w:sz w:val="18"/>
                <w:szCs w:val="18"/>
                <w:highlight w:val="none"/>
                <w14:textFill>
                  <w14:solidFill>
                    <w14:schemeClr w14:val="tx1"/>
                  </w14:solidFill>
                </w14:textFill>
              </w:rPr>
              <w:t>价格分采用低价优先法计算，即满足招标文件要求且投标价格最低的投标报价为评标基准价，其价格分为满分。其他投标人的价格分统一按照下列公式计算：C=30×（BL/B）。其中：C：投标人投标总报价部分得分；B：有效投标总报价（即满足招标文件要求的有效投标人的投标报价）；BL：评标基准价（即满足招标文件要求且投标价格最低的投标报价）。评标过程中，不得去掉报价中的最高报价和最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0" w:hRule="atLeast"/>
        </w:trPr>
        <w:tc>
          <w:tcPr>
            <w:tcW w:w="717" w:type="dxa"/>
            <w:vMerge w:val="continue"/>
            <w:vAlign w:val="center"/>
          </w:tcPr>
          <w:p>
            <w:pPr>
              <w:pStyle w:val="32"/>
              <w:snapToGrid w:val="0"/>
              <w:spacing w:line="240" w:lineRule="auto"/>
              <w:ind w:firstLine="0" w:firstLineChars="0"/>
              <w:rPr>
                <w:rFonts w:hint="eastAsia" w:ascii="宋体" w:hAnsi="宋体" w:eastAsia="宋体" w:cs="宋体"/>
                <w:b w:val="0"/>
                <w:color w:val="000000" w:themeColor="text1"/>
                <w:kern w:val="0"/>
                <w:sz w:val="18"/>
                <w:szCs w:val="18"/>
                <w:highlight w:val="none"/>
                <w14:textFill>
                  <w14:solidFill>
                    <w14:schemeClr w14:val="tx1"/>
                  </w14:solidFill>
                </w14:textFill>
              </w:rPr>
            </w:pPr>
          </w:p>
        </w:tc>
        <w:tc>
          <w:tcPr>
            <w:tcW w:w="1416" w:type="dxa"/>
            <w:vMerge w:val="restart"/>
            <w:vAlign w:val="center"/>
          </w:tcPr>
          <w:p>
            <w:pPr>
              <w:pStyle w:val="32"/>
              <w:snapToGrid w:val="0"/>
              <w:spacing w:line="240" w:lineRule="auto"/>
              <w:ind w:left="0" w:leftChars="0" w:firstLine="0" w:firstLineChars="0"/>
              <w:jc w:val="both"/>
              <w:rPr>
                <w:rFonts w:hint="default" w:ascii="宋体" w:hAnsi="宋体" w:eastAsia="宋体" w:cs="宋体"/>
                <w:b w:val="0"/>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 w:val="0"/>
                <w:color w:val="000000" w:themeColor="text1"/>
                <w:kern w:val="0"/>
                <w:sz w:val="18"/>
                <w:szCs w:val="18"/>
                <w:highlight w:val="none"/>
                <w:lang w:val="en-US" w:eastAsia="zh-CN"/>
                <w14:textFill>
                  <w14:solidFill>
                    <w14:schemeClr w14:val="tx1"/>
                  </w14:solidFill>
                </w14:textFill>
              </w:rPr>
              <w:t>其他商务部分（10分）</w:t>
            </w:r>
          </w:p>
        </w:tc>
        <w:tc>
          <w:tcPr>
            <w:tcW w:w="1638" w:type="dxa"/>
            <w:vAlign w:val="center"/>
          </w:tcPr>
          <w:p>
            <w:pPr>
              <w:pStyle w:val="32"/>
              <w:snapToGrid w:val="0"/>
              <w:spacing w:line="240" w:lineRule="auto"/>
              <w:ind w:firstLine="0" w:firstLineChars="0"/>
              <w:rPr>
                <w:rFonts w:hint="eastAsia" w:ascii="宋体" w:hAnsi="宋体" w:eastAsia="宋体" w:cs="宋体"/>
                <w:b w:val="0"/>
                <w:color w:val="000000" w:themeColor="text1"/>
                <w:kern w:val="0"/>
                <w:sz w:val="18"/>
                <w:szCs w:val="18"/>
                <w:highlight w:val="none"/>
                <w14:textFill>
                  <w14:solidFill>
                    <w14:schemeClr w14:val="tx1"/>
                  </w14:solidFill>
                </w14:textFill>
              </w:rPr>
            </w:pPr>
            <w:r>
              <w:rPr>
                <w:rFonts w:hint="eastAsia" w:ascii="宋体" w:hAnsi="宋体" w:eastAsia="宋体" w:cs="宋体"/>
                <w:b w:val="0"/>
                <w:color w:val="000000" w:themeColor="text1"/>
                <w:kern w:val="0"/>
                <w:sz w:val="18"/>
                <w:szCs w:val="18"/>
                <w:highlight w:val="none"/>
                <w14:textFill>
                  <w14:solidFill>
                    <w14:schemeClr w14:val="tx1"/>
                  </w14:solidFill>
                </w14:textFill>
              </w:rPr>
              <w:t>企业或制造商实力证书</w:t>
            </w:r>
          </w:p>
        </w:tc>
        <w:tc>
          <w:tcPr>
            <w:tcW w:w="1077" w:type="dxa"/>
            <w:vAlign w:val="center"/>
          </w:tcPr>
          <w:p>
            <w:pPr>
              <w:pStyle w:val="32"/>
              <w:snapToGrid w:val="0"/>
              <w:spacing w:line="240" w:lineRule="auto"/>
              <w:ind w:firstLine="0" w:firstLineChars="0"/>
              <w:rPr>
                <w:rFonts w:hint="eastAsia" w:ascii="宋体" w:hAnsi="宋体" w:eastAsia="宋体" w:cs="宋体"/>
                <w:b w:val="0"/>
                <w:color w:val="000000" w:themeColor="text1"/>
                <w:kern w:val="0"/>
                <w:sz w:val="18"/>
                <w:szCs w:val="18"/>
                <w:highlight w:val="none"/>
                <w14:textFill>
                  <w14:solidFill>
                    <w14:schemeClr w14:val="tx1"/>
                  </w14:solidFill>
                </w14:textFill>
              </w:rPr>
            </w:pPr>
            <w:r>
              <w:rPr>
                <w:rFonts w:hint="eastAsia" w:ascii="宋体" w:hAnsi="宋体" w:eastAsia="宋体" w:cs="宋体"/>
                <w:b w:val="0"/>
                <w:color w:val="000000" w:themeColor="text1"/>
                <w:kern w:val="0"/>
                <w:sz w:val="18"/>
                <w:szCs w:val="18"/>
                <w:highlight w:val="none"/>
                <w:lang w:val="en-US" w:eastAsia="zh-CN"/>
                <w14:textFill>
                  <w14:solidFill>
                    <w14:schemeClr w14:val="tx1"/>
                  </w14:solidFill>
                </w14:textFill>
              </w:rPr>
              <w:t>3</w:t>
            </w:r>
            <w:r>
              <w:rPr>
                <w:rFonts w:hint="eastAsia" w:ascii="宋体" w:hAnsi="宋体" w:eastAsia="宋体" w:cs="宋体"/>
                <w:b w:val="0"/>
                <w:color w:val="000000" w:themeColor="text1"/>
                <w:kern w:val="0"/>
                <w:sz w:val="18"/>
                <w:szCs w:val="18"/>
                <w:highlight w:val="none"/>
                <w14:textFill>
                  <w14:solidFill>
                    <w14:schemeClr w14:val="tx1"/>
                  </w14:solidFill>
                </w14:textFill>
              </w:rPr>
              <w:t>分</w:t>
            </w:r>
          </w:p>
        </w:tc>
        <w:tc>
          <w:tcPr>
            <w:tcW w:w="5650" w:type="dxa"/>
            <w:vAlign w:val="center"/>
          </w:tcPr>
          <w:p>
            <w:pPr>
              <w:pStyle w:val="32"/>
              <w:keepNext w:val="0"/>
              <w:keepLines w:val="0"/>
              <w:pageBreakBefore w:val="0"/>
              <w:widowControl/>
              <w:numPr>
                <w:ilvl w:val="0"/>
                <w:numId w:val="0"/>
              </w:numPr>
              <w:kinsoku/>
              <w:overflowPunct/>
              <w:topLinePunct w:val="0"/>
              <w:autoSpaceDE/>
              <w:autoSpaceDN/>
              <w:bidi w:val="0"/>
              <w:adjustRightInd/>
              <w:snapToGrid/>
              <w:spacing w:line="360" w:lineRule="auto"/>
              <w:ind w:leftChars="0"/>
              <w:jc w:val="left"/>
              <w:textAlignment w:val="auto"/>
              <w:rPr>
                <w:rFonts w:hint="eastAsia" w:ascii="宋体" w:hAnsi="宋体" w:eastAsia="宋体" w:cs="宋体"/>
                <w:b w:val="0"/>
                <w:color w:val="000000" w:themeColor="text1"/>
                <w:sz w:val="18"/>
                <w:szCs w:val="18"/>
                <w:highlight w:val="none"/>
                <w:lang w:eastAsia="zh-CN"/>
                <w14:textFill>
                  <w14:solidFill>
                    <w14:schemeClr w14:val="tx1"/>
                  </w14:solidFill>
                </w14:textFill>
              </w:rPr>
            </w:pPr>
            <w:r>
              <w:rPr>
                <w:rFonts w:hint="eastAsia" w:ascii="宋体" w:hAnsi="宋体" w:eastAsia="宋体" w:cs="宋体"/>
                <w:b w:val="0"/>
                <w:color w:val="000000" w:themeColor="text1"/>
                <w:sz w:val="18"/>
                <w:szCs w:val="18"/>
                <w:highlight w:val="none"/>
                <w14:textFill>
                  <w14:solidFill>
                    <w14:schemeClr w14:val="tx1"/>
                  </w14:solidFill>
                </w14:textFill>
              </w:rPr>
              <w:t>1.CMMI5级为1分4级为0.5分</w:t>
            </w:r>
            <w:r>
              <w:rPr>
                <w:rFonts w:hint="eastAsia" w:ascii="宋体" w:hAnsi="宋体" w:eastAsia="宋体" w:cs="宋体"/>
                <w:b w:val="0"/>
                <w:color w:val="000000" w:themeColor="text1"/>
                <w:sz w:val="18"/>
                <w:szCs w:val="18"/>
                <w:highlight w:val="none"/>
                <w:lang w:eastAsia="zh-CN"/>
                <w14:textFill>
                  <w14:solidFill>
                    <w14:schemeClr w14:val="tx1"/>
                  </w14:solidFill>
                </w14:textFill>
              </w:rPr>
              <w:t>；</w:t>
            </w:r>
          </w:p>
          <w:p>
            <w:pPr>
              <w:pStyle w:val="32"/>
              <w:keepNext w:val="0"/>
              <w:keepLines w:val="0"/>
              <w:pageBreakBefore w:val="0"/>
              <w:widowControl/>
              <w:numPr>
                <w:ilvl w:val="0"/>
                <w:numId w:val="0"/>
              </w:numPr>
              <w:kinsoku/>
              <w:overflowPunct/>
              <w:topLinePunct w:val="0"/>
              <w:autoSpaceDE/>
              <w:autoSpaceDN/>
              <w:bidi w:val="0"/>
              <w:adjustRightInd/>
              <w:snapToGrid/>
              <w:spacing w:line="360" w:lineRule="auto"/>
              <w:ind w:leftChars="0"/>
              <w:jc w:val="left"/>
              <w:textAlignment w:val="auto"/>
              <w:rPr>
                <w:rFonts w:hint="eastAsia" w:ascii="宋体" w:hAnsi="宋体" w:eastAsia="宋体" w:cs="宋体"/>
                <w:b w:val="0"/>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color w:val="000000" w:themeColor="text1"/>
                <w:sz w:val="18"/>
                <w:szCs w:val="18"/>
                <w:highlight w:val="none"/>
                <w:lang w:val="en-US" w:eastAsia="zh-CN"/>
                <w14:textFill>
                  <w14:solidFill>
                    <w14:schemeClr w14:val="tx1"/>
                  </w14:solidFill>
                </w14:textFill>
              </w:rPr>
              <w:t>2.软件服务商交付能力评估二级及以上资质得1分，没有的不得分；</w:t>
            </w:r>
          </w:p>
          <w:p>
            <w:pPr>
              <w:pStyle w:val="32"/>
              <w:keepNext w:val="0"/>
              <w:keepLines w:val="0"/>
              <w:pageBreakBefore w:val="0"/>
              <w:widowControl/>
              <w:numPr>
                <w:ilvl w:val="0"/>
                <w:numId w:val="0"/>
              </w:numPr>
              <w:kinsoku/>
              <w:overflowPunct/>
              <w:topLinePunct w:val="0"/>
              <w:autoSpaceDE/>
              <w:autoSpaceDN/>
              <w:bidi w:val="0"/>
              <w:adjustRightInd/>
              <w:snapToGrid/>
              <w:spacing w:line="360" w:lineRule="auto"/>
              <w:ind w:leftChars="0"/>
              <w:jc w:val="left"/>
              <w:textAlignment w:val="auto"/>
              <w:rPr>
                <w:rFonts w:hint="default" w:ascii="宋体" w:hAnsi="宋体" w:eastAsia="宋体" w:cs="宋体"/>
                <w:b w:val="0"/>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color w:val="000000" w:themeColor="text1"/>
                <w:sz w:val="18"/>
                <w:szCs w:val="18"/>
                <w:highlight w:val="none"/>
                <w:lang w:val="en-US" w:eastAsia="zh-CN"/>
                <w14:textFill>
                  <w14:solidFill>
                    <w14:schemeClr w14:val="tx1"/>
                  </w14:solidFill>
                </w14:textFill>
              </w:rPr>
              <w:t>3.ISO9001、14001、20000、27001、45001全部具备为1分，缺项不得分。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9" w:hRule="atLeast"/>
        </w:trPr>
        <w:tc>
          <w:tcPr>
            <w:tcW w:w="717" w:type="dxa"/>
            <w:vMerge w:val="continue"/>
            <w:vAlign w:val="center"/>
          </w:tcPr>
          <w:p>
            <w:pPr>
              <w:pStyle w:val="32"/>
              <w:snapToGrid w:val="0"/>
              <w:spacing w:line="240" w:lineRule="auto"/>
              <w:ind w:firstLine="0" w:firstLineChars="0"/>
              <w:rPr>
                <w:rFonts w:hint="eastAsia" w:ascii="宋体" w:hAnsi="宋体" w:eastAsia="宋体" w:cs="宋体"/>
                <w:b w:val="0"/>
                <w:color w:val="000000" w:themeColor="text1"/>
                <w:kern w:val="0"/>
                <w:sz w:val="18"/>
                <w:szCs w:val="18"/>
                <w:highlight w:val="none"/>
                <w14:textFill>
                  <w14:solidFill>
                    <w14:schemeClr w14:val="tx1"/>
                  </w14:solidFill>
                </w14:textFill>
              </w:rPr>
            </w:pPr>
          </w:p>
        </w:tc>
        <w:tc>
          <w:tcPr>
            <w:tcW w:w="1416" w:type="dxa"/>
            <w:vMerge w:val="continue"/>
            <w:vAlign w:val="center"/>
          </w:tcPr>
          <w:p>
            <w:pPr>
              <w:pStyle w:val="32"/>
              <w:snapToGrid w:val="0"/>
              <w:spacing w:line="240" w:lineRule="auto"/>
              <w:ind w:firstLine="480"/>
              <w:rPr>
                <w:rFonts w:hint="eastAsia" w:ascii="宋体" w:hAnsi="宋体" w:eastAsia="宋体" w:cs="宋体"/>
                <w:b w:val="0"/>
                <w:color w:val="000000" w:themeColor="text1"/>
                <w:kern w:val="0"/>
                <w:sz w:val="18"/>
                <w:szCs w:val="18"/>
                <w:highlight w:val="none"/>
                <w14:textFill>
                  <w14:solidFill>
                    <w14:schemeClr w14:val="tx1"/>
                  </w14:solidFill>
                </w14:textFill>
              </w:rPr>
            </w:pPr>
          </w:p>
        </w:tc>
        <w:tc>
          <w:tcPr>
            <w:tcW w:w="1638" w:type="dxa"/>
            <w:vAlign w:val="center"/>
          </w:tcPr>
          <w:p>
            <w:pPr>
              <w:widowControl/>
              <w:spacing w:line="360" w:lineRule="exact"/>
              <w:jc w:val="center"/>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类似项目业绩</w:t>
            </w:r>
          </w:p>
        </w:tc>
        <w:tc>
          <w:tcPr>
            <w:tcW w:w="1077" w:type="dxa"/>
            <w:vAlign w:val="center"/>
          </w:tcPr>
          <w:p>
            <w:pPr>
              <w:widowControl/>
              <w:spacing w:line="36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3</w:t>
            </w:r>
            <w:r>
              <w:rPr>
                <w:rFonts w:hint="eastAsia" w:ascii="宋体" w:hAnsi="宋体" w:eastAsia="宋体" w:cs="宋体"/>
                <w:color w:val="000000" w:themeColor="text1"/>
                <w:kern w:val="0"/>
                <w:sz w:val="18"/>
                <w:szCs w:val="18"/>
                <w:highlight w:val="none"/>
                <w14:textFill>
                  <w14:solidFill>
                    <w14:schemeClr w14:val="tx1"/>
                  </w14:solidFill>
                </w14:textFill>
              </w:rPr>
              <w:t>分</w:t>
            </w:r>
          </w:p>
        </w:tc>
        <w:tc>
          <w:tcPr>
            <w:tcW w:w="5650" w:type="dxa"/>
            <w:vAlign w:val="center"/>
          </w:tcPr>
          <w:p>
            <w:pPr>
              <w:pStyle w:val="45"/>
              <w:keepNext w:val="0"/>
              <w:keepLines w:val="0"/>
              <w:pageBreakBefore w:val="0"/>
              <w:widowControl/>
              <w:kinsoku/>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t>所投产品集成平台软件生产厂商从2019年至今投标人承担过二级以上类似的医院信息化建设项目案例，投标人每提供一个案例得1分，最高得</w:t>
            </w:r>
            <w:r>
              <w:rPr>
                <w:rFonts w:hint="eastAsia" w:ascii="宋体" w:hAnsi="宋体" w:cs="宋体"/>
                <w:color w:val="000000" w:themeColor="text1"/>
                <w:kern w:val="0"/>
                <w:sz w:val="18"/>
                <w:szCs w:val="18"/>
                <w:highlight w:val="none"/>
                <w:lang w:val="en-US" w:eastAsia="zh-CN" w:bidi="ar-SA"/>
                <w14:textFill>
                  <w14:solidFill>
                    <w14:schemeClr w14:val="tx1"/>
                  </w14:solidFill>
                </w14:textFill>
              </w:rPr>
              <w:t>3</w:t>
            </w:r>
            <w:r>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t>分；未提供有效的类似项目业绩的不得分。</w:t>
            </w:r>
          </w:p>
          <w:p>
            <w:pPr>
              <w:pStyle w:val="45"/>
              <w:keepNext w:val="0"/>
              <w:keepLines w:val="0"/>
              <w:pageBreakBefore w:val="0"/>
              <w:widowControl/>
              <w:kinsoku/>
              <w:overflowPunct/>
              <w:topLinePunct w:val="0"/>
              <w:autoSpaceDE/>
              <w:autoSpaceDN/>
              <w:bidi w:val="0"/>
              <w:adjustRightInd/>
              <w:snapToGrid/>
              <w:spacing w:line="360" w:lineRule="auto"/>
              <w:textAlignment w:val="auto"/>
              <w:rPr>
                <w:rFonts w:hint="eastAsia" w:ascii="宋体" w:hAnsi="宋体" w:eastAsia="宋体" w:cs="宋体"/>
                <w:b w:val="0"/>
                <w:color w:val="000000" w:themeColor="text1"/>
                <w:sz w:val="18"/>
                <w:szCs w:val="18"/>
                <w:highlight w:val="none"/>
                <w:lang w:eastAsia="zh-CN"/>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t>备注：提供合同或中标通知书的复印件加盖公章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4" w:hRule="atLeast"/>
        </w:trPr>
        <w:tc>
          <w:tcPr>
            <w:tcW w:w="717" w:type="dxa"/>
            <w:vMerge w:val="continue"/>
            <w:vAlign w:val="center"/>
          </w:tcPr>
          <w:p>
            <w:pPr>
              <w:pStyle w:val="32"/>
              <w:snapToGrid w:val="0"/>
              <w:spacing w:line="240" w:lineRule="auto"/>
              <w:ind w:firstLine="0" w:firstLineChars="0"/>
              <w:rPr>
                <w:rFonts w:hint="eastAsia" w:ascii="宋体" w:hAnsi="宋体" w:eastAsia="宋体" w:cs="宋体"/>
                <w:b w:val="0"/>
                <w:color w:val="000000" w:themeColor="text1"/>
                <w:kern w:val="0"/>
                <w:sz w:val="18"/>
                <w:szCs w:val="18"/>
                <w:highlight w:val="none"/>
                <w14:textFill>
                  <w14:solidFill>
                    <w14:schemeClr w14:val="tx1"/>
                  </w14:solidFill>
                </w14:textFill>
              </w:rPr>
            </w:pPr>
          </w:p>
        </w:tc>
        <w:tc>
          <w:tcPr>
            <w:tcW w:w="1416" w:type="dxa"/>
            <w:vMerge w:val="continue"/>
            <w:vAlign w:val="center"/>
          </w:tcPr>
          <w:p>
            <w:pPr>
              <w:pStyle w:val="32"/>
              <w:snapToGrid w:val="0"/>
              <w:spacing w:line="240" w:lineRule="auto"/>
              <w:ind w:firstLine="480"/>
              <w:rPr>
                <w:rFonts w:hint="eastAsia" w:ascii="宋体" w:hAnsi="宋体" w:eastAsia="宋体" w:cs="宋体"/>
                <w:b w:val="0"/>
                <w:color w:val="000000" w:themeColor="text1"/>
                <w:kern w:val="0"/>
                <w:sz w:val="18"/>
                <w:szCs w:val="18"/>
                <w:highlight w:val="none"/>
                <w14:textFill>
                  <w14:solidFill>
                    <w14:schemeClr w14:val="tx1"/>
                  </w14:solidFill>
                </w14:textFill>
              </w:rPr>
            </w:pPr>
          </w:p>
        </w:tc>
        <w:tc>
          <w:tcPr>
            <w:tcW w:w="1638" w:type="dxa"/>
            <w:vAlign w:val="center"/>
          </w:tcPr>
          <w:p>
            <w:pPr>
              <w:widowControl/>
              <w:spacing w:line="360" w:lineRule="exact"/>
              <w:jc w:val="center"/>
              <w:rPr>
                <w:rFonts w:hint="eastAsia" w:ascii="宋体" w:hAnsi="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售后服务方案</w:t>
            </w:r>
          </w:p>
        </w:tc>
        <w:tc>
          <w:tcPr>
            <w:tcW w:w="1077" w:type="dxa"/>
            <w:vAlign w:val="center"/>
          </w:tcPr>
          <w:p>
            <w:pPr>
              <w:widowControl/>
              <w:spacing w:line="360" w:lineRule="exact"/>
              <w:jc w:val="center"/>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4分</w:t>
            </w:r>
          </w:p>
        </w:tc>
        <w:tc>
          <w:tcPr>
            <w:tcW w:w="5650" w:type="dxa"/>
            <w:vAlign w:val="center"/>
          </w:tcPr>
          <w:p>
            <w:pPr>
              <w:pStyle w:val="32"/>
              <w:keepNext w:val="0"/>
              <w:keepLines w:val="0"/>
              <w:pageBreakBefore w:val="0"/>
              <w:widowControl/>
              <w:numPr>
                <w:ilvl w:val="0"/>
                <w:numId w:val="0"/>
              </w:numPr>
              <w:kinsoku/>
              <w:overflowPunct/>
              <w:topLinePunct w:val="0"/>
              <w:autoSpaceDE/>
              <w:autoSpaceDN/>
              <w:bidi w:val="0"/>
              <w:adjustRightInd/>
              <w:snapToGrid/>
              <w:spacing w:line="360" w:lineRule="auto"/>
              <w:ind w:leftChars="0"/>
              <w:jc w:val="left"/>
              <w:textAlignment w:val="auto"/>
              <w:rPr>
                <w:rFonts w:hint="eastAsia" w:ascii="宋体" w:hAnsi="宋体" w:eastAsia="宋体" w:cs="宋体"/>
                <w:b w:val="0"/>
                <w:color w:val="000000" w:themeColor="text1"/>
                <w:sz w:val="18"/>
                <w:szCs w:val="18"/>
                <w:highlight w:val="none"/>
                <w14:textFill>
                  <w14:solidFill>
                    <w14:schemeClr w14:val="tx1"/>
                  </w14:solidFill>
                </w14:textFill>
              </w:rPr>
            </w:pPr>
            <w:r>
              <w:rPr>
                <w:rFonts w:hint="eastAsia" w:ascii="宋体" w:hAnsi="宋体" w:eastAsia="宋体" w:cs="宋体"/>
                <w:b w:val="0"/>
                <w:color w:val="000000" w:themeColor="text1"/>
                <w:sz w:val="18"/>
                <w:szCs w:val="18"/>
                <w:highlight w:val="none"/>
                <w14:textFill>
                  <w14:solidFill>
                    <w14:schemeClr w14:val="tx1"/>
                  </w14:solidFill>
                </w14:textFill>
              </w:rPr>
              <w:t>1.有且准确提供本项目售后服务总负责人及售后服务网点的姓名、职务、详细的地址和联系方式的得1分</w:t>
            </w:r>
          </w:p>
          <w:p>
            <w:pPr>
              <w:pStyle w:val="32"/>
              <w:keepNext w:val="0"/>
              <w:keepLines w:val="0"/>
              <w:pageBreakBefore w:val="0"/>
              <w:widowControl/>
              <w:numPr>
                <w:ilvl w:val="0"/>
                <w:numId w:val="0"/>
              </w:numPr>
              <w:kinsoku/>
              <w:overflowPunct/>
              <w:topLinePunct w:val="0"/>
              <w:autoSpaceDE/>
              <w:autoSpaceDN/>
              <w:bidi w:val="0"/>
              <w:adjustRightInd/>
              <w:snapToGrid/>
              <w:spacing w:line="360" w:lineRule="auto"/>
              <w:ind w:leftChars="0"/>
              <w:jc w:val="left"/>
              <w:textAlignment w:val="auto"/>
              <w:rPr>
                <w:rFonts w:hint="eastAsia" w:ascii="宋体" w:hAnsi="宋体" w:eastAsia="宋体" w:cs="宋体"/>
                <w:b w:val="0"/>
                <w:color w:val="000000" w:themeColor="text1"/>
                <w:sz w:val="18"/>
                <w:szCs w:val="18"/>
                <w:highlight w:val="none"/>
                <w14:textFill>
                  <w14:solidFill>
                    <w14:schemeClr w14:val="tx1"/>
                  </w14:solidFill>
                </w14:textFill>
              </w:rPr>
            </w:pPr>
            <w:r>
              <w:rPr>
                <w:rFonts w:hint="eastAsia" w:ascii="宋体" w:hAnsi="宋体" w:eastAsia="宋体" w:cs="宋体"/>
                <w:b w:val="0"/>
                <w:color w:val="000000" w:themeColor="text1"/>
                <w:sz w:val="18"/>
                <w:szCs w:val="18"/>
                <w:highlight w:val="none"/>
                <w14:textFill>
                  <w14:solidFill>
                    <w14:schemeClr w14:val="tx1"/>
                  </w14:solidFill>
                </w14:textFill>
              </w:rPr>
              <w:t>2.具有本地化服务能力的得</w:t>
            </w:r>
            <w:r>
              <w:rPr>
                <w:rFonts w:hint="eastAsia" w:ascii="宋体" w:hAnsi="宋体" w:eastAsia="宋体" w:cs="宋体"/>
                <w:b w:val="0"/>
                <w:color w:val="000000" w:themeColor="text1"/>
                <w:sz w:val="18"/>
                <w:szCs w:val="18"/>
                <w:highlight w:val="none"/>
                <w:lang w:val="en-US" w:eastAsia="zh-CN"/>
                <w14:textFill>
                  <w14:solidFill>
                    <w14:schemeClr w14:val="tx1"/>
                  </w14:solidFill>
                </w14:textFill>
              </w:rPr>
              <w:t>3</w:t>
            </w:r>
            <w:r>
              <w:rPr>
                <w:rFonts w:hint="eastAsia" w:ascii="宋体" w:hAnsi="宋体" w:eastAsia="宋体" w:cs="宋体"/>
                <w:b w:val="0"/>
                <w:color w:val="000000" w:themeColor="text1"/>
                <w:sz w:val="18"/>
                <w:szCs w:val="18"/>
                <w:highlight w:val="none"/>
                <w14:textFill>
                  <w14:solidFill>
                    <w14:schemeClr w14:val="tx1"/>
                  </w14:solidFill>
                </w14:textFill>
              </w:rPr>
              <w:t>分（本地化服务能力指具有下列条件之一a.在和田县具有固定的办公场所或分公司;b.在和田县或注册成立的）</w:t>
            </w:r>
          </w:p>
          <w:p>
            <w:pPr>
              <w:pStyle w:val="32"/>
              <w:keepNext w:val="0"/>
              <w:keepLines w:val="0"/>
              <w:pageBreakBefore w:val="0"/>
              <w:widowControl/>
              <w:numPr>
                <w:ilvl w:val="0"/>
                <w:numId w:val="0"/>
              </w:numPr>
              <w:kinsoku/>
              <w:overflowPunct/>
              <w:topLinePunct w:val="0"/>
              <w:autoSpaceDE/>
              <w:autoSpaceDN/>
              <w:bidi w:val="0"/>
              <w:adjustRightInd/>
              <w:snapToGrid/>
              <w:spacing w:line="360" w:lineRule="auto"/>
              <w:ind w:leftChars="0"/>
              <w:jc w:val="left"/>
              <w:textAlignment w:val="auto"/>
              <w:rPr>
                <w:rFonts w:hint="eastAsia" w:ascii="宋体" w:hAnsi="宋体" w:eastAsia="宋体" w:cs="宋体"/>
                <w:b w:val="0"/>
                <w:color w:val="000000" w:themeColor="text1"/>
                <w:sz w:val="18"/>
                <w:szCs w:val="18"/>
                <w:highlight w:val="none"/>
                <w14:textFill>
                  <w14:solidFill>
                    <w14:schemeClr w14:val="tx1"/>
                  </w14:solidFill>
                </w14:textFill>
              </w:rPr>
            </w:pPr>
            <w:r>
              <w:rPr>
                <w:rFonts w:hint="eastAsia" w:ascii="宋体" w:hAnsi="宋体" w:eastAsia="宋体" w:cs="宋体"/>
                <w:b w:val="0"/>
                <w:color w:val="000000" w:themeColor="text1"/>
                <w:sz w:val="18"/>
                <w:szCs w:val="18"/>
                <w:highlight w:val="none"/>
                <w14:textFill>
                  <w14:solidFill>
                    <w14:schemeClr w14:val="tx1"/>
                  </w14:solidFill>
                </w14:textFill>
              </w:rPr>
              <w:t>备注：投标人需提供相关人员的社保证明加盖公章。</w:t>
            </w:r>
          </w:p>
        </w:tc>
      </w:tr>
    </w:tbl>
    <w:p>
      <w:pPr>
        <w:pStyle w:val="32"/>
        <w:numPr>
          <w:ilvl w:val="0"/>
          <w:numId w:val="0"/>
        </w:numPr>
        <w:spacing w:line="240" w:lineRule="auto"/>
        <w:ind w:leftChars="0"/>
        <w:jc w:val="left"/>
        <w:rPr>
          <w:rFonts w:hint="eastAsia" w:ascii="宋体" w:hAnsi="宋体" w:eastAsia="宋体" w:cs="宋体"/>
          <w:b w:val="0"/>
          <w:color w:val="000000" w:themeColor="text1"/>
          <w:sz w:val="18"/>
          <w:szCs w:val="18"/>
          <w:highlight w:val="none"/>
          <w14:textFill>
            <w14:solidFill>
              <w14:schemeClr w14:val="tx1"/>
            </w14:solidFill>
          </w14:textFill>
        </w:rPr>
      </w:pPr>
    </w:p>
    <w:p>
      <w:pPr>
        <w:pStyle w:val="32"/>
        <w:numPr>
          <w:ilvl w:val="0"/>
          <w:numId w:val="0"/>
        </w:numPr>
        <w:spacing w:line="240" w:lineRule="auto"/>
        <w:ind w:leftChars="0"/>
        <w:jc w:val="left"/>
        <w:rPr>
          <w:rFonts w:hint="eastAsia" w:ascii="宋体" w:hAnsi="宋体" w:eastAsia="宋体" w:cs="宋体"/>
          <w:b w:val="0"/>
          <w:color w:val="000000" w:themeColor="text1"/>
          <w:sz w:val="18"/>
          <w:szCs w:val="18"/>
          <w:highlight w:val="none"/>
          <w14:textFill>
            <w14:solidFill>
              <w14:schemeClr w14:val="tx1"/>
            </w14:solidFill>
          </w14:textFill>
        </w:rPr>
      </w:pPr>
    </w:p>
    <w:p>
      <w:pPr>
        <w:pStyle w:val="32"/>
        <w:numPr>
          <w:ilvl w:val="0"/>
          <w:numId w:val="0"/>
        </w:numPr>
        <w:spacing w:line="240" w:lineRule="auto"/>
        <w:ind w:leftChars="0"/>
        <w:jc w:val="left"/>
        <w:rPr>
          <w:rFonts w:hint="eastAsia" w:ascii="宋体" w:hAnsi="宋体" w:eastAsia="宋体" w:cs="宋体"/>
          <w:b w:val="0"/>
          <w:color w:val="000000" w:themeColor="text1"/>
          <w:sz w:val="18"/>
          <w:szCs w:val="18"/>
          <w:highlight w:val="none"/>
          <w:lang w:val="en-US" w:eastAsia="zh-CN"/>
          <w14:textFill>
            <w14:solidFill>
              <w14:schemeClr w14:val="tx1"/>
            </w14:solidFill>
          </w14:textFill>
        </w:rPr>
      </w:pPr>
    </w:p>
    <w:p>
      <w:pPr>
        <w:pStyle w:val="32"/>
        <w:numPr>
          <w:ilvl w:val="0"/>
          <w:numId w:val="0"/>
        </w:numPr>
        <w:spacing w:line="240" w:lineRule="auto"/>
        <w:ind w:leftChars="0"/>
        <w:jc w:val="left"/>
        <w:rPr>
          <w:rFonts w:hint="eastAsia" w:ascii="宋体" w:hAnsi="宋体" w:eastAsia="宋体" w:cs="宋体"/>
          <w:b w:val="0"/>
          <w:color w:val="000000" w:themeColor="text1"/>
          <w:sz w:val="18"/>
          <w:szCs w:val="18"/>
          <w:highlight w:val="none"/>
          <w:lang w:val="en-US" w:eastAsia="zh-CN"/>
          <w14:textFill>
            <w14:solidFill>
              <w14:schemeClr w14:val="tx1"/>
            </w14:solidFill>
          </w14:textFill>
        </w:rPr>
      </w:pPr>
    </w:p>
    <w:p>
      <w:pPr>
        <w:pStyle w:val="32"/>
        <w:numPr>
          <w:ilvl w:val="0"/>
          <w:numId w:val="0"/>
        </w:numPr>
        <w:spacing w:line="240" w:lineRule="auto"/>
        <w:ind w:leftChars="0"/>
        <w:jc w:val="left"/>
        <w:rPr>
          <w:rFonts w:hint="eastAsia" w:ascii="宋体" w:hAnsi="宋体" w:eastAsia="宋体" w:cs="宋体"/>
          <w:b w:val="0"/>
          <w:color w:val="000000" w:themeColor="text1"/>
          <w:sz w:val="18"/>
          <w:szCs w:val="18"/>
          <w:highlight w:val="none"/>
          <w:lang w:val="en-US" w:eastAsia="zh-CN"/>
          <w14:textFill>
            <w14:solidFill>
              <w14:schemeClr w14:val="tx1"/>
            </w14:solidFill>
          </w14:textFill>
        </w:rPr>
      </w:pPr>
    </w:p>
    <w:p>
      <w:pPr>
        <w:pStyle w:val="32"/>
        <w:numPr>
          <w:ilvl w:val="0"/>
          <w:numId w:val="0"/>
        </w:numPr>
        <w:spacing w:line="240" w:lineRule="auto"/>
        <w:ind w:leftChars="0"/>
        <w:jc w:val="left"/>
        <w:rPr>
          <w:rFonts w:hint="eastAsia" w:ascii="宋体" w:hAnsi="宋体" w:eastAsia="宋体" w:cs="宋体"/>
          <w:b w:val="0"/>
          <w:color w:val="000000" w:themeColor="text1"/>
          <w:sz w:val="18"/>
          <w:szCs w:val="18"/>
          <w:highlight w:val="none"/>
          <w:lang w:val="en-US" w:eastAsia="zh-CN"/>
          <w14:textFill>
            <w14:solidFill>
              <w14:schemeClr w14:val="tx1"/>
            </w14:solidFill>
          </w14:textFill>
        </w:rPr>
      </w:pPr>
    </w:p>
    <w:p>
      <w:pPr>
        <w:pStyle w:val="32"/>
        <w:numPr>
          <w:ilvl w:val="0"/>
          <w:numId w:val="0"/>
        </w:numPr>
        <w:spacing w:line="240" w:lineRule="auto"/>
        <w:ind w:leftChars="0"/>
        <w:jc w:val="left"/>
        <w:rPr>
          <w:rFonts w:hint="eastAsia" w:ascii="宋体" w:hAnsi="宋体" w:eastAsia="宋体" w:cs="宋体"/>
          <w:b w:val="0"/>
          <w:color w:val="000000" w:themeColor="text1"/>
          <w:sz w:val="18"/>
          <w:szCs w:val="18"/>
          <w:highlight w:val="none"/>
          <w:lang w:val="en-US" w:eastAsia="zh-CN"/>
          <w14:textFill>
            <w14:solidFill>
              <w14:schemeClr w14:val="tx1"/>
            </w14:solidFill>
          </w14:textFill>
        </w:rPr>
      </w:pPr>
    </w:p>
    <w:p>
      <w:pPr>
        <w:pStyle w:val="32"/>
        <w:numPr>
          <w:ilvl w:val="0"/>
          <w:numId w:val="0"/>
        </w:numPr>
        <w:spacing w:line="240" w:lineRule="auto"/>
        <w:ind w:leftChars="0"/>
        <w:jc w:val="left"/>
        <w:rPr>
          <w:rFonts w:hint="eastAsia" w:ascii="宋体" w:hAnsi="宋体" w:eastAsia="宋体" w:cs="宋体"/>
          <w:b w:val="0"/>
          <w:color w:val="000000" w:themeColor="text1"/>
          <w:sz w:val="18"/>
          <w:szCs w:val="18"/>
          <w:highlight w:val="none"/>
          <w:lang w:val="en-US" w:eastAsia="zh-CN"/>
          <w14:textFill>
            <w14:solidFill>
              <w14:schemeClr w14:val="tx1"/>
            </w14:solidFill>
          </w14:textFill>
        </w:rPr>
      </w:pPr>
    </w:p>
    <w:p>
      <w:pPr>
        <w:pStyle w:val="32"/>
        <w:numPr>
          <w:ilvl w:val="0"/>
          <w:numId w:val="0"/>
        </w:numPr>
        <w:spacing w:line="240" w:lineRule="auto"/>
        <w:ind w:leftChars="0"/>
        <w:jc w:val="left"/>
        <w:rPr>
          <w:rFonts w:hint="eastAsia" w:ascii="宋体" w:hAnsi="宋体" w:eastAsia="宋体" w:cs="宋体"/>
          <w:b w:val="0"/>
          <w:color w:val="000000" w:themeColor="text1"/>
          <w:sz w:val="18"/>
          <w:szCs w:val="18"/>
          <w:highlight w:val="none"/>
          <w:lang w:val="en-US" w:eastAsia="zh-CN"/>
          <w14:textFill>
            <w14:solidFill>
              <w14:schemeClr w14:val="tx1"/>
            </w14:solidFill>
          </w14:textFill>
        </w:rPr>
      </w:pPr>
    </w:p>
    <w:p>
      <w:pPr>
        <w:pStyle w:val="32"/>
        <w:numPr>
          <w:ilvl w:val="0"/>
          <w:numId w:val="0"/>
        </w:numPr>
        <w:spacing w:line="240" w:lineRule="auto"/>
        <w:ind w:leftChars="0"/>
        <w:jc w:val="left"/>
        <w:rPr>
          <w:rFonts w:hint="eastAsia" w:ascii="宋体" w:hAnsi="宋体" w:eastAsia="宋体" w:cs="宋体"/>
          <w:b w:val="0"/>
          <w:color w:val="000000" w:themeColor="text1"/>
          <w:sz w:val="18"/>
          <w:szCs w:val="18"/>
          <w:highlight w:val="none"/>
          <w:lang w:val="en-US" w:eastAsia="zh-CN"/>
          <w14:textFill>
            <w14:solidFill>
              <w14:schemeClr w14:val="tx1"/>
            </w14:solidFill>
          </w14:textFill>
        </w:rPr>
      </w:pPr>
    </w:p>
    <w:p>
      <w:pPr>
        <w:pStyle w:val="32"/>
        <w:numPr>
          <w:ilvl w:val="0"/>
          <w:numId w:val="0"/>
        </w:numPr>
        <w:spacing w:line="240" w:lineRule="auto"/>
        <w:ind w:leftChars="0"/>
        <w:jc w:val="left"/>
        <w:rPr>
          <w:rFonts w:hint="eastAsia" w:ascii="宋体" w:hAnsi="宋体" w:eastAsia="宋体" w:cs="宋体"/>
          <w:b w:val="0"/>
          <w:color w:val="000000" w:themeColor="text1"/>
          <w:sz w:val="18"/>
          <w:szCs w:val="18"/>
          <w:highlight w:val="none"/>
          <w:lang w:val="en-US" w:eastAsia="zh-CN"/>
          <w14:textFill>
            <w14:solidFill>
              <w14:schemeClr w14:val="tx1"/>
            </w14:solidFill>
          </w14:textFill>
        </w:rPr>
      </w:pPr>
    </w:p>
    <w:p>
      <w:pPr>
        <w:pStyle w:val="32"/>
        <w:numPr>
          <w:ilvl w:val="0"/>
          <w:numId w:val="0"/>
        </w:numPr>
        <w:spacing w:line="240" w:lineRule="auto"/>
        <w:ind w:leftChars="0"/>
        <w:jc w:val="left"/>
        <w:rPr>
          <w:rFonts w:hint="eastAsia" w:ascii="宋体" w:hAnsi="宋体" w:eastAsia="宋体" w:cs="宋体"/>
          <w:b w:val="0"/>
          <w:color w:val="000000" w:themeColor="text1"/>
          <w:sz w:val="18"/>
          <w:szCs w:val="18"/>
          <w:highlight w:val="none"/>
          <w:lang w:val="en-US" w:eastAsia="zh-CN"/>
          <w14:textFill>
            <w14:solidFill>
              <w14:schemeClr w14:val="tx1"/>
            </w14:solidFill>
          </w14:textFill>
        </w:rPr>
      </w:pPr>
    </w:p>
    <w:p>
      <w:pPr>
        <w:pStyle w:val="32"/>
        <w:numPr>
          <w:ilvl w:val="0"/>
          <w:numId w:val="0"/>
        </w:numPr>
        <w:spacing w:line="240" w:lineRule="auto"/>
        <w:ind w:leftChars="0"/>
        <w:jc w:val="left"/>
        <w:rPr>
          <w:rFonts w:hint="eastAsia" w:ascii="宋体" w:hAnsi="宋体" w:eastAsia="宋体" w:cs="宋体"/>
          <w:b w:val="0"/>
          <w:color w:val="000000" w:themeColor="text1"/>
          <w:sz w:val="18"/>
          <w:szCs w:val="18"/>
          <w:highlight w:val="none"/>
          <w:lang w:val="en-US" w:eastAsia="zh-CN"/>
          <w14:textFill>
            <w14:solidFill>
              <w14:schemeClr w14:val="tx1"/>
            </w14:solidFill>
          </w14:textFill>
        </w:rPr>
      </w:pPr>
    </w:p>
    <w:p>
      <w:pPr>
        <w:pStyle w:val="32"/>
        <w:numPr>
          <w:ilvl w:val="0"/>
          <w:numId w:val="0"/>
        </w:numPr>
        <w:spacing w:line="240" w:lineRule="auto"/>
        <w:ind w:leftChars="0"/>
        <w:jc w:val="left"/>
        <w:rPr>
          <w:rFonts w:hint="eastAsia" w:ascii="宋体" w:hAnsi="宋体" w:eastAsia="宋体" w:cs="宋体"/>
          <w:b w:val="0"/>
          <w:color w:val="000000" w:themeColor="text1"/>
          <w:sz w:val="18"/>
          <w:szCs w:val="18"/>
          <w:highlight w:val="none"/>
          <w:lang w:val="en-US" w:eastAsia="zh-CN"/>
          <w14:textFill>
            <w14:solidFill>
              <w14:schemeClr w14:val="tx1"/>
            </w14:solidFill>
          </w14:textFill>
        </w:rPr>
      </w:pPr>
    </w:p>
    <w:p>
      <w:pPr>
        <w:pStyle w:val="32"/>
        <w:numPr>
          <w:ilvl w:val="0"/>
          <w:numId w:val="0"/>
        </w:numPr>
        <w:spacing w:line="240" w:lineRule="auto"/>
        <w:ind w:leftChars="0"/>
        <w:jc w:val="left"/>
        <w:rPr>
          <w:rFonts w:hint="eastAsia" w:ascii="宋体" w:hAnsi="宋体" w:eastAsia="宋体" w:cs="宋体"/>
          <w:b w:val="0"/>
          <w:color w:val="000000" w:themeColor="text1"/>
          <w:sz w:val="18"/>
          <w:szCs w:val="18"/>
          <w:highlight w:val="none"/>
          <w14:textFill>
            <w14:solidFill>
              <w14:schemeClr w14:val="tx1"/>
            </w14:solidFill>
          </w14:textFill>
        </w:rPr>
      </w:pPr>
      <w:r>
        <w:rPr>
          <w:rFonts w:hint="eastAsia" w:ascii="宋体" w:hAnsi="宋体" w:eastAsia="宋体" w:cs="宋体"/>
          <w:b w:val="0"/>
          <w:color w:val="000000" w:themeColor="text1"/>
          <w:sz w:val="18"/>
          <w:szCs w:val="18"/>
          <w:highlight w:val="none"/>
          <w:lang w:val="en-US" w:eastAsia="zh-CN"/>
          <w14:textFill>
            <w14:solidFill>
              <w14:schemeClr w14:val="tx1"/>
            </w14:solidFill>
          </w14:textFill>
        </w:rPr>
        <w:t>B、</w:t>
      </w:r>
      <w:r>
        <w:rPr>
          <w:rFonts w:hint="eastAsia" w:ascii="宋体" w:hAnsi="宋体" w:eastAsia="宋体" w:cs="宋体"/>
          <w:b w:val="0"/>
          <w:color w:val="000000" w:themeColor="text1"/>
          <w:sz w:val="18"/>
          <w:szCs w:val="18"/>
          <w:highlight w:val="none"/>
          <w14:textFill>
            <w14:solidFill>
              <w14:schemeClr w14:val="tx1"/>
            </w14:solidFill>
          </w14:textFill>
        </w:rPr>
        <w:t>技术部分</w:t>
      </w:r>
    </w:p>
    <w:p>
      <w:pPr>
        <w:snapToGrid w:val="0"/>
        <w:spacing w:line="360" w:lineRule="auto"/>
        <w:jc w:val="center"/>
        <w:rPr>
          <w:vanish/>
          <w:color w:val="000000" w:themeColor="text1"/>
          <w:szCs w:val="21"/>
          <w:highlight w:val="none"/>
          <w14:textFill>
            <w14:solidFill>
              <w14:schemeClr w14:val="tx1"/>
            </w14:solidFill>
          </w14:textFill>
        </w:rPr>
      </w:pPr>
    </w:p>
    <w:tbl>
      <w:tblPr>
        <w:tblStyle w:val="20"/>
        <w:tblpPr w:leftFromText="180" w:rightFromText="180" w:vertAnchor="text" w:horzAnchor="page" w:tblpX="976" w:tblpY="350"/>
        <w:tblOverlap w:val="never"/>
        <w:tblW w:w="10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2633"/>
        <w:gridCol w:w="1008"/>
        <w:gridCol w:w="5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trPr>
        <w:tc>
          <w:tcPr>
            <w:tcW w:w="1211" w:type="dxa"/>
            <w:tcBorders>
              <w:top w:val="single" w:color="auto" w:sz="4" w:space="0"/>
              <w:left w:val="single" w:color="auto" w:sz="4" w:space="0"/>
              <w:bottom w:val="single" w:color="auto" w:sz="4" w:space="0"/>
              <w:right w:val="single" w:color="auto" w:sz="4" w:space="0"/>
            </w:tcBorders>
            <w:vAlign w:val="center"/>
          </w:tcPr>
          <w:p>
            <w:pPr>
              <w:pStyle w:val="32"/>
              <w:ind w:firstLine="480"/>
              <w:rPr>
                <w:rFonts w:hint="eastAsia" w:ascii="宋体" w:hAnsi="宋体" w:eastAsia="宋体" w:cs="宋体"/>
                <w:b w:val="0"/>
                <w:color w:val="000000" w:themeColor="text1"/>
                <w:kern w:val="0"/>
                <w:sz w:val="18"/>
                <w:szCs w:val="18"/>
                <w:highlight w:val="none"/>
                <w14:textFill>
                  <w14:solidFill>
                    <w14:schemeClr w14:val="tx1"/>
                  </w14:solidFill>
                </w14:textFill>
              </w:rPr>
            </w:pPr>
          </w:p>
        </w:tc>
        <w:tc>
          <w:tcPr>
            <w:tcW w:w="2633" w:type="dxa"/>
            <w:tcBorders>
              <w:top w:val="single" w:color="auto" w:sz="4" w:space="0"/>
              <w:left w:val="single" w:color="auto" w:sz="4" w:space="0"/>
              <w:bottom w:val="single" w:color="auto" w:sz="4" w:space="0"/>
              <w:right w:val="single" w:color="auto" w:sz="4" w:space="0"/>
            </w:tcBorders>
            <w:vAlign w:val="center"/>
          </w:tcPr>
          <w:p>
            <w:pPr>
              <w:pStyle w:val="32"/>
              <w:ind w:firstLine="0" w:firstLineChars="0"/>
              <w:rPr>
                <w:rFonts w:hint="eastAsia" w:ascii="宋体" w:hAnsi="宋体" w:eastAsia="宋体" w:cs="宋体"/>
                <w:b w:val="0"/>
                <w:color w:val="000000" w:themeColor="text1"/>
                <w:kern w:val="0"/>
                <w:sz w:val="18"/>
                <w:szCs w:val="18"/>
                <w:highlight w:val="none"/>
                <w14:textFill>
                  <w14:solidFill>
                    <w14:schemeClr w14:val="tx1"/>
                  </w14:solidFill>
                </w14:textFill>
              </w:rPr>
            </w:pPr>
            <w:r>
              <w:rPr>
                <w:rFonts w:hint="eastAsia" w:ascii="宋体" w:hAnsi="宋体" w:eastAsia="宋体" w:cs="宋体"/>
                <w:b w:val="0"/>
                <w:color w:val="000000" w:themeColor="text1"/>
                <w:kern w:val="0"/>
                <w:sz w:val="18"/>
                <w:szCs w:val="18"/>
                <w:highlight w:val="none"/>
                <w14:textFill>
                  <w14:solidFill>
                    <w14:schemeClr w14:val="tx1"/>
                  </w14:solidFill>
                </w14:textFill>
              </w:rPr>
              <w:t>评审项目</w:t>
            </w:r>
          </w:p>
        </w:tc>
        <w:tc>
          <w:tcPr>
            <w:tcW w:w="1008" w:type="dxa"/>
            <w:tcBorders>
              <w:top w:val="single" w:color="auto" w:sz="4" w:space="0"/>
              <w:left w:val="single" w:color="auto" w:sz="4" w:space="0"/>
              <w:bottom w:val="single" w:color="auto" w:sz="4" w:space="0"/>
              <w:right w:val="single" w:color="auto" w:sz="4" w:space="0"/>
            </w:tcBorders>
            <w:vAlign w:val="center"/>
          </w:tcPr>
          <w:p>
            <w:pPr>
              <w:pStyle w:val="32"/>
              <w:ind w:firstLine="0" w:firstLineChars="0"/>
              <w:rPr>
                <w:rFonts w:hint="eastAsia" w:ascii="宋体" w:hAnsi="宋体" w:eastAsia="宋体" w:cs="宋体"/>
                <w:b w:val="0"/>
                <w:color w:val="000000" w:themeColor="text1"/>
                <w:kern w:val="0"/>
                <w:sz w:val="18"/>
                <w:szCs w:val="18"/>
                <w:highlight w:val="none"/>
                <w14:textFill>
                  <w14:solidFill>
                    <w14:schemeClr w14:val="tx1"/>
                  </w14:solidFill>
                </w14:textFill>
              </w:rPr>
            </w:pPr>
            <w:r>
              <w:rPr>
                <w:rFonts w:hint="eastAsia" w:ascii="宋体" w:hAnsi="宋体" w:eastAsia="宋体" w:cs="宋体"/>
                <w:b w:val="0"/>
                <w:color w:val="000000" w:themeColor="text1"/>
                <w:kern w:val="0"/>
                <w:sz w:val="18"/>
                <w:szCs w:val="18"/>
                <w:highlight w:val="none"/>
                <w14:textFill>
                  <w14:solidFill>
                    <w14:schemeClr w14:val="tx1"/>
                  </w14:solidFill>
                </w14:textFill>
              </w:rPr>
              <w:t>分值</w:t>
            </w:r>
          </w:p>
        </w:tc>
        <w:tc>
          <w:tcPr>
            <w:tcW w:w="5626" w:type="dxa"/>
            <w:tcBorders>
              <w:top w:val="single" w:color="auto" w:sz="4" w:space="0"/>
              <w:left w:val="single" w:color="auto" w:sz="4" w:space="0"/>
              <w:bottom w:val="single" w:color="auto" w:sz="4" w:space="0"/>
              <w:right w:val="single" w:color="auto" w:sz="4" w:space="0"/>
            </w:tcBorders>
            <w:vAlign w:val="center"/>
          </w:tcPr>
          <w:p>
            <w:pPr>
              <w:pStyle w:val="32"/>
              <w:ind w:firstLine="1440" w:firstLineChars="800"/>
              <w:jc w:val="both"/>
              <w:rPr>
                <w:rFonts w:hint="eastAsia" w:ascii="宋体" w:hAnsi="宋体" w:eastAsia="宋体" w:cs="宋体"/>
                <w:b w:val="0"/>
                <w:color w:val="000000" w:themeColor="text1"/>
                <w:kern w:val="0"/>
                <w:sz w:val="18"/>
                <w:szCs w:val="18"/>
                <w:highlight w:val="none"/>
                <w14:textFill>
                  <w14:solidFill>
                    <w14:schemeClr w14:val="tx1"/>
                  </w14:solidFill>
                </w14:textFill>
              </w:rPr>
            </w:pPr>
            <w:r>
              <w:rPr>
                <w:rFonts w:hint="eastAsia" w:ascii="宋体" w:hAnsi="宋体" w:eastAsia="宋体" w:cs="宋体"/>
                <w:b w:val="0"/>
                <w:color w:val="000000" w:themeColor="text1"/>
                <w:kern w:val="0"/>
                <w:sz w:val="18"/>
                <w:szCs w:val="18"/>
                <w:highlight w:val="none"/>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tblHeader/>
        </w:trPr>
        <w:tc>
          <w:tcPr>
            <w:tcW w:w="1211" w:type="dxa"/>
            <w:vMerge w:val="restart"/>
            <w:tcBorders>
              <w:top w:val="single" w:color="auto" w:sz="4" w:space="0"/>
              <w:left w:val="single" w:color="auto" w:sz="4" w:space="0"/>
              <w:right w:val="single" w:color="auto" w:sz="4" w:space="0"/>
            </w:tcBorders>
            <w:vAlign w:val="center"/>
          </w:tcPr>
          <w:p>
            <w:pPr>
              <w:pStyle w:val="32"/>
              <w:snapToGrid w:val="0"/>
              <w:spacing w:line="240" w:lineRule="auto"/>
              <w:ind w:firstLine="0" w:firstLineChars="0"/>
              <w:jc w:val="both"/>
              <w:rPr>
                <w:rFonts w:hint="eastAsia" w:ascii="宋体" w:hAnsi="宋体" w:eastAsia="宋体" w:cs="宋体"/>
                <w:b w:val="0"/>
                <w:color w:val="000000" w:themeColor="text1"/>
                <w:kern w:val="0"/>
                <w:sz w:val="18"/>
                <w:szCs w:val="18"/>
                <w:highlight w:val="none"/>
                <w14:textFill>
                  <w14:solidFill>
                    <w14:schemeClr w14:val="tx1"/>
                  </w14:solidFill>
                </w14:textFill>
              </w:rPr>
            </w:pPr>
            <w:r>
              <w:rPr>
                <w:rFonts w:hint="eastAsia" w:ascii="宋体" w:hAnsi="宋体" w:eastAsia="宋体" w:cs="宋体"/>
                <w:b w:val="0"/>
                <w:color w:val="000000" w:themeColor="text1"/>
                <w:kern w:val="0"/>
                <w:sz w:val="18"/>
                <w:szCs w:val="18"/>
                <w:highlight w:val="none"/>
                <w14:textFill>
                  <w14:solidFill>
                    <w14:schemeClr w14:val="tx1"/>
                  </w14:solidFill>
                </w14:textFill>
              </w:rPr>
              <w:t>技术部分</w:t>
            </w:r>
            <w:r>
              <w:rPr>
                <w:rFonts w:hint="eastAsia" w:ascii="宋体" w:hAnsi="宋体" w:eastAsia="宋体" w:cs="宋体"/>
                <w:b w:val="0"/>
                <w:color w:val="000000" w:themeColor="text1"/>
                <w:kern w:val="0"/>
                <w:sz w:val="18"/>
                <w:szCs w:val="18"/>
                <w:highlight w:val="none"/>
                <w:lang w:val="en-US" w:eastAsia="zh-CN"/>
                <w14:textFill>
                  <w14:solidFill>
                    <w14:schemeClr w14:val="tx1"/>
                  </w14:solidFill>
                </w14:textFill>
              </w:rPr>
              <w:t>6</w:t>
            </w:r>
            <w:r>
              <w:rPr>
                <w:rFonts w:hint="eastAsia" w:ascii="宋体" w:hAnsi="宋体" w:eastAsia="宋体" w:cs="宋体"/>
                <w:b w:val="0"/>
                <w:color w:val="000000" w:themeColor="text1"/>
                <w:kern w:val="0"/>
                <w:sz w:val="18"/>
                <w:szCs w:val="18"/>
                <w:highlight w:val="none"/>
                <w14:textFill>
                  <w14:solidFill>
                    <w14:schemeClr w14:val="tx1"/>
                  </w14:solidFill>
                </w14:textFill>
              </w:rPr>
              <w:t>0分</w:t>
            </w:r>
          </w:p>
        </w:tc>
        <w:tc>
          <w:tcPr>
            <w:tcW w:w="2633" w:type="dxa"/>
            <w:tcBorders>
              <w:top w:val="single" w:color="auto" w:sz="4" w:space="0"/>
              <w:left w:val="single" w:color="auto" w:sz="4" w:space="0"/>
              <w:bottom w:val="single" w:color="auto" w:sz="4" w:space="0"/>
              <w:right w:val="single" w:color="auto" w:sz="4" w:space="0"/>
            </w:tcBorders>
            <w:vAlign w:val="center"/>
          </w:tcPr>
          <w:p>
            <w:pPr>
              <w:pStyle w:val="32"/>
              <w:ind w:firstLine="0" w:firstLineChars="0"/>
              <w:rPr>
                <w:rFonts w:hint="eastAsia" w:ascii="宋体" w:hAnsi="宋体" w:eastAsia="宋体" w:cs="宋体"/>
                <w:b w:val="0"/>
                <w:color w:val="000000" w:themeColor="text1"/>
                <w:kern w:val="0"/>
                <w:sz w:val="18"/>
                <w:szCs w:val="18"/>
                <w:highlight w:val="none"/>
                <w14:textFill>
                  <w14:solidFill>
                    <w14:schemeClr w14:val="tx1"/>
                  </w14:solidFill>
                </w14:textFill>
              </w:rPr>
            </w:pPr>
            <w:r>
              <w:rPr>
                <w:rFonts w:hint="eastAsia" w:ascii="宋体" w:hAnsi="宋体" w:eastAsia="宋体" w:cs="宋体"/>
                <w:b w:val="0"/>
                <w:color w:val="000000" w:themeColor="text1"/>
                <w:kern w:val="0"/>
                <w:sz w:val="18"/>
                <w:szCs w:val="18"/>
                <w:highlight w:val="none"/>
                <w14:textFill>
                  <w14:solidFill>
                    <w14:schemeClr w14:val="tx1"/>
                  </w14:solidFill>
                </w14:textFill>
              </w:rPr>
              <w:t>技术参数响应</w:t>
            </w:r>
          </w:p>
        </w:tc>
        <w:tc>
          <w:tcPr>
            <w:tcW w:w="1008" w:type="dxa"/>
            <w:tcBorders>
              <w:top w:val="single" w:color="auto" w:sz="4" w:space="0"/>
              <w:left w:val="single" w:color="auto" w:sz="4" w:space="0"/>
              <w:bottom w:val="single" w:color="auto" w:sz="4" w:space="0"/>
              <w:right w:val="single" w:color="auto" w:sz="4" w:space="0"/>
            </w:tcBorders>
            <w:vAlign w:val="center"/>
          </w:tcPr>
          <w:p>
            <w:pPr>
              <w:pStyle w:val="32"/>
              <w:ind w:firstLine="0" w:firstLineChars="0"/>
              <w:rPr>
                <w:rFonts w:hint="eastAsia" w:ascii="宋体" w:hAnsi="宋体" w:eastAsia="宋体" w:cs="宋体"/>
                <w:b w:val="0"/>
                <w:color w:val="000000" w:themeColor="text1"/>
                <w:kern w:val="0"/>
                <w:sz w:val="18"/>
                <w:szCs w:val="18"/>
                <w:highlight w:val="none"/>
                <w14:textFill>
                  <w14:solidFill>
                    <w14:schemeClr w14:val="tx1"/>
                  </w14:solidFill>
                </w14:textFill>
              </w:rPr>
            </w:pPr>
            <w:r>
              <w:rPr>
                <w:rFonts w:hint="eastAsia" w:ascii="宋体" w:hAnsi="宋体" w:eastAsia="宋体" w:cs="宋体"/>
                <w:b w:val="0"/>
                <w:color w:val="000000" w:themeColor="text1"/>
                <w:kern w:val="0"/>
                <w:sz w:val="18"/>
                <w:szCs w:val="18"/>
                <w:highlight w:val="none"/>
                <w:lang w:val="en-US" w:eastAsia="zh-CN"/>
                <w14:textFill>
                  <w14:solidFill>
                    <w14:schemeClr w14:val="tx1"/>
                  </w14:solidFill>
                </w14:textFill>
              </w:rPr>
              <w:t>20</w:t>
            </w:r>
            <w:r>
              <w:rPr>
                <w:rFonts w:hint="eastAsia" w:ascii="宋体" w:hAnsi="宋体" w:eastAsia="宋体" w:cs="宋体"/>
                <w:b w:val="0"/>
                <w:color w:val="000000" w:themeColor="text1"/>
                <w:kern w:val="0"/>
                <w:sz w:val="18"/>
                <w:szCs w:val="18"/>
                <w:highlight w:val="none"/>
                <w14:textFill>
                  <w14:solidFill>
                    <w14:schemeClr w14:val="tx1"/>
                  </w14:solidFill>
                </w14:textFill>
              </w:rPr>
              <w:t>分</w:t>
            </w:r>
          </w:p>
        </w:tc>
        <w:tc>
          <w:tcPr>
            <w:tcW w:w="5626"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依据投标人对项目需求的逐点响应进行综合评分：</w:t>
            </w:r>
          </w:p>
          <w:p>
            <w:pPr>
              <w:widowControl/>
              <w:snapToGrid w:val="0"/>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带“</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kern w:val="0"/>
                <w:sz w:val="18"/>
                <w:szCs w:val="18"/>
                <w:highlight w:val="none"/>
                <w14:textFill>
                  <w14:solidFill>
                    <w14:schemeClr w14:val="tx1"/>
                  </w14:solidFill>
                </w14:textFill>
              </w:rPr>
              <w:t>”部分,每负偏离一项扣2分，非“</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kern w:val="0"/>
                <w:sz w:val="18"/>
                <w:szCs w:val="18"/>
                <w:highlight w:val="none"/>
                <w14:textFill>
                  <w14:solidFill>
                    <w14:schemeClr w14:val="tx1"/>
                  </w14:solidFill>
                </w14:textFill>
              </w:rPr>
              <w:t>”每负偏离一项扣1分；本项扣至0分为止。</w:t>
            </w:r>
          </w:p>
          <w:p>
            <w:pPr>
              <w:widowControl/>
              <w:snapToGrid w:val="0"/>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注：招标文件中标注 “</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kern w:val="0"/>
                <w:sz w:val="18"/>
                <w:szCs w:val="18"/>
                <w:highlight w:val="none"/>
                <w14:textFill>
                  <w14:solidFill>
                    <w14:schemeClr w14:val="tx1"/>
                  </w14:solidFill>
                </w14:textFill>
              </w:rPr>
              <w:t>”的参数均为重要技术、商务参数，投标文件中须按照招标文件要求提供相关证明文件或界面截图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blHeader/>
        </w:trPr>
        <w:tc>
          <w:tcPr>
            <w:tcW w:w="1211" w:type="dxa"/>
            <w:vMerge w:val="continue"/>
            <w:tcBorders>
              <w:left w:val="single" w:color="auto" w:sz="4" w:space="0"/>
              <w:right w:val="single" w:color="auto" w:sz="4" w:space="0"/>
            </w:tcBorders>
            <w:vAlign w:val="center"/>
          </w:tcPr>
          <w:p>
            <w:pPr>
              <w:pStyle w:val="32"/>
              <w:snapToGrid w:val="0"/>
              <w:spacing w:line="240" w:lineRule="auto"/>
              <w:ind w:firstLine="480"/>
              <w:rPr>
                <w:rFonts w:hint="eastAsia" w:ascii="宋体" w:hAnsi="宋体" w:eastAsia="宋体" w:cs="宋体"/>
                <w:b w:val="0"/>
                <w:color w:val="000000" w:themeColor="text1"/>
                <w:kern w:val="0"/>
                <w:sz w:val="18"/>
                <w:szCs w:val="18"/>
                <w:highlight w:val="none"/>
                <w14:textFill>
                  <w14:solidFill>
                    <w14:schemeClr w14:val="tx1"/>
                  </w14:solidFill>
                </w14:textFill>
              </w:rPr>
            </w:pPr>
          </w:p>
        </w:tc>
        <w:tc>
          <w:tcPr>
            <w:tcW w:w="2633" w:type="dxa"/>
            <w:vMerge w:val="restart"/>
            <w:tcBorders>
              <w:top w:val="single" w:color="auto" w:sz="4" w:space="0"/>
              <w:left w:val="single" w:color="auto" w:sz="4" w:space="0"/>
              <w:right w:val="single" w:color="auto" w:sz="4" w:space="0"/>
            </w:tcBorders>
            <w:vAlign w:val="center"/>
          </w:tcPr>
          <w:p>
            <w:pPr>
              <w:widowControl/>
              <w:snapToGrid w:val="0"/>
              <w:jc w:val="center"/>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产品及方案要求</w:t>
            </w:r>
          </w:p>
        </w:tc>
        <w:tc>
          <w:tcPr>
            <w:tcW w:w="1008" w:type="dxa"/>
            <w:tcBorders>
              <w:top w:val="single" w:color="auto" w:sz="4" w:space="0"/>
              <w:left w:val="single" w:color="auto" w:sz="4" w:space="0"/>
              <w:right w:val="single" w:color="auto" w:sz="4" w:space="0"/>
            </w:tcBorders>
            <w:vAlign w:val="center"/>
          </w:tcPr>
          <w:p>
            <w:pPr>
              <w:widowControl/>
              <w:snapToGrid w:val="0"/>
              <w:jc w:val="center"/>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18分</w:t>
            </w:r>
          </w:p>
        </w:tc>
        <w:tc>
          <w:tcPr>
            <w:tcW w:w="5626" w:type="dxa"/>
            <w:tcBorders>
              <w:top w:val="single" w:color="auto" w:sz="4" w:space="0"/>
              <w:left w:val="single" w:color="auto" w:sz="4" w:space="0"/>
              <w:right w:val="single" w:color="auto" w:sz="4" w:space="0"/>
            </w:tcBorders>
            <w:vAlign w:val="center"/>
          </w:tcPr>
          <w:p>
            <w:pPr>
              <w:pStyle w:val="45"/>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t>对采购人系统现状和业务需求理解与分析的内容进行综合评审，好的得18分，较好的得14分，一般的得8分，差的或不提供的不得分。</w:t>
            </w:r>
          </w:p>
          <w:p>
            <w:pPr>
              <w:pStyle w:val="45"/>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t>具体包括：对系统现状、应用环境、体系结构需求、功能需求、性能要求和实施要求等内容。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blHeader/>
        </w:trPr>
        <w:tc>
          <w:tcPr>
            <w:tcW w:w="1211" w:type="dxa"/>
            <w:vMerge w:val="continue"/>
            <w:tcBorders>
              <w:left w:val="single" w:color="auto" w:sz="4" w:space="0"/>
              <w:right w:val="single" w:color="auto" w:sz="4" w:space="0"/>
            </w:tcBorders>
            <w:vAlign w:val="center"/>
          </w:tcPr>
          <w:p>
            <w:pPr>
              <w:widowControl/>
              <w:snapToGrid w:val="0"/>
              <w:rPr>
                <w:color w:val="000000" w:themeColor="text1"/>
                <w:highlight w:val="none"/>
                <w14:textFill>
                  <w14:solidFill>
                    <w14:schemeClr w14:val="tx1"/>
                  </w14:solidFill>
                </w14:textFill>
              </w:rPr>
            </w:pPr>
          </w:p>
        </w:tc>
        <w:tc>
          <w:tcPr>
            <w:tcW w:w="2633" w:type="dxa"/>
            <w:vMerge w:val="continue"/>
            <w:tcBorders>
              <w:left w:val="single" w:color="auto" w:sz="4" w:space="0"/>
              <w:right w:val="single" w:color="auto" w:sz="4" w:space="0"/>
            </w:tcBorders>
            <w:vAlign w:val="center"/>
          </w:tcPr>
          <w:p>
            <w:pPr>
              <w:widowControl/>
              <w:snapToGrid w:val="0"/>
              <w:rPr>
                <w:color w:val="000000" w:themeColor="text1"/>
                <w:highlight w:val="none"/>
                <w14:textFill>
                  <w14:solidFill>
                    <w14:schemeClr w14:val="tx1"/>
                  </w14:solidFill>
                </w14:textFill>
              </w:rPr>
            </w:pPr>
          </w:p>
        </w:tc>
        <w:tc>
          <w:tcPr>
            <w:tcW w:w="1008" w:type="dxa"/>
            <w:tcBorders>
              <w:left w:val="single" w:color="auto" w:sz="4" w:space="0"/>
              <w:right w:val="single" w:color="auto" w:sz="4" w:space="0"/>
            </w:tcBorders>
            <w:vAlign w:val="center"/>
          </w:tcPr>
          <w:p>
            <w:pPr>
              <w:widowControl/>
              <w:snapToGrid w:val="0"/>
              <w:jc w:val="center"/>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12分</w:t>
            </w:r>
          </w:p>
        </w:tc>
        <w:tc>
          <w:tcPr>
            <w:tcW w:w="5626" w:type="dxa"/>
            <w:tcBorders>
              <w:left w:val="single" w:color="auto" w:sz="4" w:space="0"/>
              <w:right w:val="single" w:color="auto" w:sz="4" w:space="0"/>
            </w:tcBorders>
            <w:vAlign w:val="center"/>
          </w:tcPr>
          <w:p>
            <w:pPr>
              <w:pStyle w:val="45"/>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pPr>
            <w:r>
              <w:rPr>
                <w:rFonts w:hint="eastAsia" w:ascii="宋体" w:hAnsi="宋体" w:cs="宋体"/>
                <w:color w:val="000000" w:themeColor="text1"/>
                <w:kern w:val="0"/>
                <w:sz w:val="18"/>
                <w:szCs w:val="18"/>
                <w:highlight w:val="none"/>
                <w:lang w:val="en-US" w:eastAsia="zh-CN" w:bidi="ar-SA"/>
                <w14:textFill>
                  <w14:solidFill>
                    <w14:schemeClr w14:val="tx1"/>
                  </w14:solidFill>
                </w14:textFill>
              </w:rPr>
              <w:t>1.</w:t>
            </w:r>
            <w:r>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t>结合招标文件业务需求对各系统进行阐述，并提供相关系统功能点描述，好的得10分，较好的得5分，一般的得2分，差的或不提供的不得分。</w:t>
            </w:r>
          </w:p>
          <w:p>
            <w:pPr>
              <w:pStyle w:val="45"/>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pPr>
            <w:r>
              <w:rPr>
                <w:rFonts w:hint="eastAsia" w:ascii="宋体" w:hAnsi="宋体" w:cs="宋体"/>
                <w:color w:val="000000" w:themeColor="text1"/>
                <w:kern w:val="0"/>
                <w:sz w:val="18"/>
                <w:szCs w:val="18"/>
                <w:highlight w:val="none"/>
                <w:lang w:val="en-US" w:eastAsia="zh-CN" w:bidi="ar-SA"/>
                <w14:textFill>
                  <w14:solidFill>
                    <w14:schemeClr w14:val="tx1"/>
                  </w14:solidFill>
                </w14:textFill>
              </w:rPr>
              <w:t>2.</w:t>
            </w:r>
            <w:r>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t>项目培训方案完整，包括培训计划、培训内容。好的得2分，一般的得1分，差的或不提供的得0分。（2分）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4" w:hRule="atLeast"/>
          <w:tblHeader/>
        </w:trPr>
        <w:tc>
          <w:tcPr>
            <w:tcW w:w="1211" w:type="dxa"/>
            <w:vMerge w:val="continue"/>
            <w:tcBorders>
              <w:left w:val="single" w:color="auto" w:sz="4" w:space="0"/>
              <w:right w:val="single" w:color="auto" w:sz="4" w:space="0"/>
            </w:tcBorders>
            <w:vAlign w:val="center"/>
          </w:tcPr>
          <w:p>
            <w:pPr>
              <w:widowControl/>
              <w:snapToGrid w:val="0"/>
              <w:rPr>
                <w:rFonts w:hint="eastAsia" w:ascii="宋体" w:hAnsi="宋体" w:eastAsia="宋体" w:cs="宋体"/>
                <w:color w:val="000000" w:themeColor="text1"/>
                <w:kern w:val="0"/>
                <w:sz w:val="18"/>
                <w:szCs w:val="18"/>
                <w:highlight w:val="none"/>
                <w14:textFill>
                  <w14:solidFill>
                    <w14:schemeClr w14:val="tx1"/>
                  </w14:solidFill>
                </w14:textFill>
              </w:rPr>
            </w:pPr>
          </w:p>
        </w:tc>
        <w:tc>
          <w:tcPr>
            <w:tcW w:w="2633" w:type="dxa"/>
            <w:tcBorders>
              <w:top w:val="single" w:color="auto" w:sz="4" w:space="0"/>
              <w:left w:val="single" w:color="auto" w:sz="4" w:space="0"/>
              <w:right w:val="single" w:color="auto" w:sz="4" w:space="0"/>
            </w:tcBorders>
            <w:vAlign w:val="center"/>
          </w:tcPr>
          <w:p>
            <w:pPr>
              <w:widowControl/>
              <w:snapToGrid w:val="0"/>
              <w:jc w:val="center"/>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组织实施保障</w:t>
            </w:r>
          </w:p>
        </w:tc>
        <w:tc>
          <w:tcPr>
            <w:tcW w:w="1008" w:type="dxa"/>
            <w:tcBorders>
              <w:left w:val="single" w:color="auto" w:sz="4" w:space="0"/>
              <w:right w:val="single" w:color="auto" w:sz="4" w:space="0"/>
            </w:tcBorders>
            <w:vAlign w:val="center"/>
          </w:tcPr>
          <w:p>
            <w:pPr>
              <w:pStyle w:val="32"/>
              <w:ind w:firstLine="0" w:firstLineChars="0"/>
              <w:jc w:val="center"/>
              <w:rPr>
                <w:rFonts w:hint="eastAsia" w:ascii="宋体" w:hAnsi="宋体" w:eastAsia="宋体" w:cs="宋体"/>
                <w:b w:val="0"/>
                <w:color w:val="000000" w:themeColor="text1"/>
                <w:kern w:val="0"/>
                <w:sz w:val="18"/>
                <w:szCs w:val="18"/>
                <w:highlight w:val="none"/>
                <w14:textFill>
                  <w14:solidFill>
                    <w14:schemeClr w14:val="tx1"/>
                  </w14:solidFill>
                </w14:textFill>
              </w:rPr>
            </w:pPr>
            <w:r>
              <w:rPr>
                <w:rFonts w:hint="eastAsia" w:ascii="宋体" w:hAnsi="宋体" w:eastAsia="宋体" w:cs="宋体"/>
                <w:b w:val="0"/>
                <w:color w:val="000000" w:themeColor="text1"/>
                <w:kern w:val="0"/>
                <w:sz w:val="18"/>
                <w:szCs w:val="18"/>
                <w:highlight w:val="none"/>
                <w:lang w:val="en-US" w:eastAsia="zh-CN"/>
                <w14:textFill>
                  <w14:solidFill>
                    <w14:schemeClr w14:val="tx1"/>
                  </w14:solidFill>
                </w14:textFill>
              </w:rPr>
              <w:t>10</w:t>
            </w:r>
            <w:r>
              <w:rPr>
                <w:rFonts w:hint="eastAsia" w:ascii="宋体" w:hAnsi="宋体" w:eastAsia="宋体" w:cs="宋体"/>
                <w:b w:val="0"/>
                <w:color w:val="000000" w:themeColor="text1"/>
                <w:kern w:val="0"/>
                <w:sz w:val="18"/>
                <w:szCs w:val="18"/>
                <w:highlight w:val="none"/>
                <w14:textFill>
                  <w14:solidFill>
                    <w14:schemeClr w14:val="tx1"/>
                  </w14:solidFill>
                </w14:textFill>
              </w:rPr>
              <w:t>分</w:t>
            </w:r>
          </w:p>
        </w:tc>
        <w:tc>
          <w:tcPr>
            <w:tcW w:w="5626" w:type="dxa"/>
            <w:tcBorders>
              <w:left w:val="single" w:color="auto" w:sz="4" w:space="0"/>
              <w:bottom w:val="single" w:color="auto" w:sz="4" w:space="0"/>
              <w:right w:val="single" w:color="auto" w:sz="4" w:space="0"/>
            </w:tcBorders>
            <w:vAlign w:val="center"/>
          </w:tcPr>
          <w:p>
            <w:pPr>
              <w:pStyle w:val="45"/>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t>1．项目总体实施计划进度安排合理、措施可行、针对性强，能较好保证项目按时完成的得4分，否则得0-2分。（4分）</w:t>
            </w:r>
          </w:p>
          <w:p>
            <w:pPr>
              <w:pStyle w:val="45"/>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t>2．项目质量管理全面到位，能较好满足本文件提出的各项需求的得2分，否则得0-1分。（2分）</w:t>
            </w:r>
          </w:p>
          <w:p>
            <w:pPr>
              <w:pStyle w:val="45"/>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t>3．项目配置管理阐述完整，措施可行、针对性强的得2分，否则得0-1分。（2分）</w:t>
            </w:r>
          </w:p>
          <w:p>
            <w:pPr>
              <w:pStyle w:val="45"/>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t>4．项目风险控制方案完整，并提出本项目实施的主要风险以及降低风险的策略与措施的得2分，否则得0-1分。（2分）</w:t>
            </w:r>
          </w:p>
        </w:tc>
      </w:tr>
    </w:tbl>
    <w:p>
      <w:pPr>
        <w:autoSpaceDE w:val="0"/>
        <w:autoSpaceDN w:val="0"/>
        <w:snapToGrid w:val="0"/>
        <w:spacing w:line="360" w:lineRule="auto"/>
        <w:rPr>
          <w:rFonts w:hint="eastAsia" w:ascii="宋体" w:hAnsi="宋体" w:cs="宋体"/>
          <w:b/>
          <w:bCs/>
          <w:color w:val="000000" w:themeColor="text1"/>
          <w:szCs w:val="21"/>
          <w:highlight w:val="none"/>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snapToGrid w:val="0"/>
        <w:spacing w:line="240" w:lineRule="auto"/>
        <w:textAlignment w:val="auto"/>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注：评标委员会根据汇总各投标企业的综合得分，按照得分高低进行排序，取前三名作为中标候选人推荐给招标人。如果投标人的得分相同，取投标报价低的排在前；如报价也相同，则由评标委员会抽签确定。</w:t>
      </w:r>
    </w:p>
    <w:p>
      <w:pPr>
        <w:shd w:val="clear" w:color="auto" w:fill="FFFFFF"/>
        <w:snapToGrid w:val="0"/>
        <w:spacing w:line="360" w:lineRule="auto"/>
        <w:jc w:val="center"/>
        <w:outlineLvl w:val="3"/>
        <w:rPr>
          <w:rFonts w:ascii="Tahoma" w:hAnsi="Tahoma" w:cs="Tahoma"/>
          <w:b/>
          <w:bCs/>
          <w:color w:val="000000" w:themeColor="text1"/>
          <w:kern w:val="0"/>
          <w:szCs w:val="21"/>
          <w:highlight w:val="none"/>
          <w14:textFill>
            <w14:solidFill>
              <w14:schemeClr w14:val="tx1"/>
            </w14:solidFill>
          </w14:textFill>
        </w:rPr>
        <w:sectPr>
          <w:headerReference r:id="rId6" w:type="default"/>
          <w:footerReference r:id="rId7" w:type="default"/>
          <w:pgSz w:w="12240" w:h="15840"/>
          <w:pgMar w:top="1440" w:right="1440" w:bottom="1440" w:left="1440" w:header="720" w:footer="720" w:gutter="0"/>
          <w:pgBorders>
            <w:top w:val="none" w:sz="0" w:space="0"/>
            <w:left w:val="none" w:sz="0" w:space="0"/>
            <w:bottom w:val="none" w:sz="0" w:space="0"/>
            <w:right w:val="none" w:sz="0" w:space="0"/>
          </w:pgBorders>
          <w:pgNumType w:fmt="decimal"/>
          <w:cols w:space="720" w:num="1"/>
          <w:docGrid w:linePitch="323" w:charSpace="0"/>
        </w:sectPr>
      </w:pPr>
    </w:p>
    <w:p>
      <w:pPr>
        <w:shd w:val="clear" w:color="auto" w:fill="FFFFFF"/>
        <w:snapToGrid w:val="0"/>
        <w:spacing w:line="340" w:lineRule="exact"/>
        <w:jc w:val="center"/>
        <w:outlineLvl w:val="3"/>
        <w:rPr>
          <w:rFonts w:ascii="Tahoma" w:hAnsi="Tahoma" w:cs="Tahoma"/>
          <w:b/>
          <w:bCs/>
          <w:color w:val="000000" w:themeColor="text1"/>
          <w:kern w:val="0"/>
          <w:sz w:val="24"/>
          <w:highlight w:val="none"/>
          <w14:textFill>
            <w14:solidFill>
              <w14:schemeClr w14:val="tx1"/>
            </w14:solidFill>
          </w14:textFill>
        </w:rPr>
      </w:pPr>
      <w:r>
        <w:rPr>
          <w:rFonts w:ascii="Tahoma" w:hAnsi="Tahoma" w:cs="Tahoma"/>
          <w:b/>
          <w:bCs/>
          <w:color w:val="000000" w:themeColor="text1"/>
          <w:kern w:val="0"/>
          <w:sz w:val="24"/>
          <w:highlight w:val="none"/>
          <w14:textFill>
            <w14:solidFill>
              <w14:schemeClr w14:val="tx1"/>
            </w14:solidFill>
          </w14:textFill>
        </w:rPr>
        <w:t>3、</w:t>
      </w:r>
      <w:r>
        <w:rPr>
          <w:rFonts w:ascii="Tahoma" w:hAnsi="Tahoma" w:eastAsia="黑体" w:cs="Tahoma"/>
          <w:b/>
          <w:bCs/>
          <w:color w:val="000000" w:themeColor="text1"/>
          <w:kern w:val="0"/>
          <w:sz w:val="24"/>
          <w:highlight w:val="none"/>
          <w14:textFill>
            <w14:solidFill>
              <w14:schemeClr w14:val="tx1"/>
            </w14:solidFill>
          </w14:textFill>
        </w:rPr>
        <w:t>评标程序</w:t>
      </w:r>
    </w:p>
    <w:p>
      <w:pPr>
        <w:spacing w:line="340" w:lineRule="exact"/>
        <w:rPr>
          <w:rFonts w:ascii="Tahoma" w:hAnsi="Tahoma" w:cs="Tahoma"/>
          <w:b/>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3.1 初步评审</w:t>
      </w:r>
    </w:p>
    <w:p>
      <w:pPr>
        <w:spacing w:line="340" w:lineRule="exact"/>
        <w:rPr>
          <w:rFonts w:ascii="Tahoma" w:hAnsi="Tahoma" w:cs="Tahoma"/>
          <w:color w:val="000000" w:themeColor="text1"/>
          <w:kern w:val="0"/>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3.1.1 </w:t>
      </w:r>
      <w:r>
        <w:rPr>
          <w:rFonts w:ascii="Tahoma" w:hAnsi="Tahoma" w:cs="Tahoma"/>
          <w:color w:val="000000" w:themeColor="text1"/>
          <w:kern w:val="0"/>
          <w:szCs w:val="21"/>
          <w:highlight w:val="none"/>
          <w14:textFill>
            <w14:solidFill>
              <w14:schemeClr w14:val="tx1"/>
            </w14:solidFill>
          </w14:textFill>
        </w:rPr>
        <w:t>评标委员会依据本章第2.1 款规定的标准对投标文件进行初步评审。有一项不符合评审标准的，按无效标处理。</w:t>
      </w:r>
    </w:p>
    <w:p>
      <w:pPr>
        <w:shd w:val="clear" w:color="auto" w:fill="FFFFFF"/>
        <w:snapToGrid w:val="0"/>
        <w:spacing w:line="340" w:lineRule="exact"/>
        <w:rPr>
          <w:rFonts w:ascii="Tahoma" w:hAnsi="Tahoma" w:cs="Tahoma"/>
          <w:color w:val="000000" w:themeColor="text1"/>
          <w:kern w:val="0"/>
          <w:szCs w:val="21"/>
          <w:highlight w:val="none"/>
          <w14:textFill>
            <w14:solidFill>
              <w14:schemeClr w14:val="tx1"/>
            </w14:solidFill>
          </w14:textFill>
        </w:rPr>
      </w:pPr>
      <w:r>
        <w:rPr>
          <w:rFonts w:ascii="Tahoma" w:hAnsi="Tahoma" w:cs="Tahoma"/>
          <w:color w:val="000000" w:themeColor="text1"/>
          <w:kern w:val="0"/>
          <w:szCs w:val="21"/>
          <w:highlight w:val="none"/>
          <w14:textFill>
            <w14:solidFill>
              <w14:schemeClr w14:val="tx1"/>
            </w14:solidFill>
          </w14:textFill>
        </w:rPr>
        <w:t>3.1.2 投标人有以下情形之一的，其投标作</w:t>
      </w:r>
      <w:r>
        <w:rPr>
          <w:rFonts w:hint="eastAsia" w:ascii="Tahoma" w:hAnsi="Tahoma" w:cs="Tahoma"/>
          <w:color w:val="000000" w:themeColor="text1"/>
          <w:kern w:val="0"/>
          <w:szCs w:val="21"/>
          <w:highlight w:val="none"/>
          <w14:textFill>
            <w14:solidFill>
              <w14:schemeClr w14:val="tx1"/>
            </w14:solidFill>
          </w14:textFill>
        </w:rPr>
        <w:t>无效</w:t>
      </w:r>
      <w:r>
        <w:rPr>
          <w:rFonts w:ascii="Tahoma" w:hAnsi="Tahoma" w:cs="Tahoma"/>
          <w:color w:val="000000" w:themeColor="text1"/>
          <w:kern w:val="0"/>
          <w:szCs w:val="21"/>
          <w:highlight w:val="none"/>
          <w14:textFill>
            <w14:solidFill>
              <w14:schemeClr w14:val="tx1"/>
            </w14:solidFill>
          </w14:textFill>
        </w:rPr>
        <w:t>标处理：</w:t>
      </w:r>
    </w:p>
    <w:p>
      <w:pPr>
        <w:shd w:val="clear" w:color="auto" w:fill="FFFFFF"/>
        <w:snapToGrid w:val="0"/>
        <w:spacing w:line="340" w:lineRule="exact"/>
        <w:ind w:firstLine="210" w:firstLineChars="100"/>
        <w:rPr>
          <w:rFonts w:ascii="Tahoma" w:hAnsi="Tahoma" w:cs="Tahoma"/>
          <w:color w:val="000000" w:themeColor="text1"/>
          <w:kern w:val="0"/>
          <w:szCs w:val="21"/>
          <w:highlight w:val="none"/>
          <w14:textFill>
            <w14:solidFill>
              <w14:schemeClr w14:val="tx1"/>
            </w14:solidFill>
          </w14:textFill>
        </w:rPr>
      </w:pPr>
      <w:r>
        <w:rPr>
          <w:rFonts w:hint="eastAsia" w:ascii="Tahoma" w:hAnsi="Tahoma" w:cs="Tahoma"/>
          <w:color w:val="000000" w:themeColor="text1"/>
          <w:kern w:val="0"/>
          <w:szCs w:val="21"/>
          <w:highlight w:val="none"/>
          <w14:textFill>
            <w14:solidFill>
              <w14:schemeClr w14:val="tx1"/>
            </w14:solidFill>
          </w14:textFill>
        </w:rPr>
        <w:t>（1）</w:t>
      </w:r>
      <w:r>
        <w:rPr>
          <w:rFonts w:ascii="Tahoma" w:hAnsi="Tahoma" w:cs="Tahoma"/>
          <w:color w:val="000000" w:themeColor="text1"/>
          <w:kern w:val="0"/>
          <w:szCs w:val="21"/>
          <w:highlight w:val="none"/>
          <w14:textFill>
            <w14:solidFill>
              <w14:schemeClr w14:val="tx1"/>
            </w14:solidFill>
          </w14:textFill>
        </w:rPr>
        <w:t>第二章</w:t>
      </w:r>
      <w:r>
        <w:rPr>
          <w:rFonts w:hint="eastAsia" w:ascii="宋体" w:hAnsi="宋体" w:cs="Tahoma"/>
          <w:color w:val="000000" w:themeColor="text1"/>
          <w:kern w:val="0"/>
          <w:szCs w:val="21"/>
          <w:highlight w:val="none"/>
          <w14:textFill>
            <w14:solidFill>
              <w14:schemeClr w14:val="tx1"/>
            </w14:solidFill>
          </w14:textFill>
        </w:rPr>
        <w:t>“投标人须知”</w:t>
      </w:r>
      <w:r>
        <w:rPr>
          <w:rFonts w:ascii="Tahoma" w:hAnsi="Tahoma" w:cs="Tahoma"/>
          <w:color w:val="000000" w:themeColor="text1"/>
          <w:kern w:val="0"/>
          <w:szCs w:val="21"/>
          <w:highlight w:val="none"/>
          <w14:textFill>
            <w14:solidFill>
              <w14:schemeClr w14:val="tx1"/>
            </w14:solidFill>
          </w14:textFill>
        </w:rPr>
        <w:t>第</w:t>
      </w:r>
      <w:r>
        <w:rPr>
          <w:rFonts w:ascii="Tahoma" w:hAnsi="Tahoma" w:cs="Tahoma"/>
          <w:b/>
          <w:bCs/>
          <w:color w:val="000000" w:themeColor="text1"/>
          <w:kern w:val="0"/>
          <w:szCs w:val="21"/>
          <w:highlight w:val="none"/>
          <w14:textFill>
            <w14:solidFill>
              <w14:schemeClr w14:val="tx1"/>
            </w14:solidFill>
          </w14:textFill>
        </w:rPr>
        <w:t>1.</w:t>
      </w:r>
      <w:r>
        <w:rPr>
          <w:rFonts w:hint="eastAsia" w:ascii="Tahoma" w:hAnsi="Tahoma" w:cs="Tahoma"/>
          <w:b/>
          <w:bCs/>
          <w:color w:val="000000" w:themeColor="text1"/>
          <w:kern w:val="0"/>
          <w:szCs w:val="21"/>
          <w:highlight w:val="none"/>
          <w14:textFill>
            <w14:solidFill>
              <w14:schemeClr w14:val="tx1"/>
            </w14:solidFill>
          </w14:textFill>
        </w:rPr>
        <w:t>3</w:t>
      </w:r>
      <w:r>
        <w:rPr>
          <w:rFonts w:ascii="Tahoma" w:hAnsi="Tahoma" w:cs="Tahoma"/>
          <w:color w:val="000000" w:themeColor="text1"/>
          <w:kern w:val="0"/>
          <w:szCs w:val="21"/>
          <w:highlight w:val="none"/>
          <w14:textFill>
            <w14:solidFill>
              <w14:schemeClr w14:val="tx1"/>
            </w14:solidFill>
          </w14:textFill>
        </w:rPr>
        <w:t>项规定的任何一种情形的：</w:t>
      </w:r>
    </w:p>
    <w:p>
      <w:pPr>
        <w:shd w:val="clear" w:color="auto" w:fill="FFFFFF"/>
        <w:snapToGrid w:val="0"/>
        <w:spacing w:line="340" w:lineRule="exact"/>
        <w:ind w:firstLine="210" w:firstLineChars="100"/>
        <w:rPr>
          <w:rFonts w:ascii="Tahoma" w:hAnsi="Tahoma" w:cs="Tahoma"/>
          <w:color w:val="000000" w:themeColor="text1"/>
          <w:kern w:val="0"/>
          <w:szCs w:val="21"/>
          <w:highlight w:val="none"/>
          <w14:textFill>
            <w14:solidFill>
              <w14:schemeClr w14:val="tx1"/>
            </w14:solidFill>
          </w14:textFill>
        </w:rPr>
      </w:pPr>
      <w:r>
        <w:rPr>
          <w:rFonts w:hint="eastAsia" w:ascii="Tahoma" w:hAnsi="Tahoma" w:cs="Tahoma"/>
          <w:color w:val="000000" w:themeColor="text1"/>
          <w:kern w:val="0"/>
          <w:szCs w:val="21"/>
          <w:highlight w:val="none"/>
          <w14:textFill>
            <w14:solidFill>
              <w14:schemeClr w14:val="tx1"/>
            </w14:solidFill>
          </w14:textFill>
        </w:rPr>
        <w:t>（2）</w:t>
      </w:r>
      <w:r>
        <w:rPr>
          <w:rFonts w:ascii="Tahoma" w:hAnsi="Tahoma" w:cs="Tahoma"/>
          <w:color w:val="000000" w:themeColor="text1"/>
          <w:kern w:val="0"/>
          <w:szCs w:val="21"/>
          <w:highlight w:val="none"/>
          <w14:textFill>
            <w14:solidFill>
              <w14:schemeClr w14:val="tx1"/>
            </w14:solidFill>
          </w14:textFill>
        </w:rPr>
        <w:t>串通投标或弄虚作假或有其他违法行为的；</w:t>
      </w:r>
    </w:p>
    <w:p>
      <w:pPr>
        <w:shd w:val="clear" w:color="auto" w:fill="FFFFFF"/>
        <w:snapToGrid w:val="0"/>
        <w:spacing w:line="340" w:lineRule="exact"/>
        <w:ind w:firstLine="210" w:firstLineChars="100"/>
        <w:rPr>
          <w:rFonts w:ascii="Tahoma" w:hAnsi="Tahoma" w:cs="Tahoma"/>
          <w:color w:val="000000" w:themeColor="text1"/>
          <w:kern w:val="0"/>
          <w:szCs w:val="21"/>
          <w:highlight w:val="none"/>
          <w14:textFill>
            <w14:solidFill>
              <w14:schemeClr w14:val="tx1"/>
            </w14:solidFill>
          </w14:textFill>
        </w:rPr>
      </w:pPr>
      <w:r>
        <w:rPr>
          <w:rFonts w:hint="eastAsia" w:ascii="Tahoma" w:hAnsi="Tahoma" w:cs="Tahoma"/>
          <w:color w:val="000000" w:themeColor="text1"/>
          <w:kern w:val="0"/>
          <w:szCs w:val="21"/>
          <w:highlight w:val="none"/>
          <w14:textFill>
            <w14:solidFill>
              <w14:schemeClr w14:val="tx1"/>
            </w14:solidFill>
          </w14:textFill>
        </w:rPr>
        <w:t>（3）</w:t>
      </w:r>
      <w:r>
        <w:rPr>
          <w:rFonts w:ascii="Tahoma" w:hAnsi="Tahoma" w:cs="Tahoma"/>
          <w:color w:val="000000" w:themeColor="text1"/>
          <w:kern w:val="0"/>
          <w:szCs w:val="21"/>
          <w:highlight w:val="none"/>
          <w14:textFill>
            <w14:solidFill>
              <w14:schemeClr w14:val="tx1"/>
            </w14:solidFill>
          </w14:textFill>
        </w:rPr>
        <w:t>不按评标委员会要求澄清、说明或补正的。</w:t>
      </w:r>
    </w:p>
    <w:p>
      <w:pPr>
        <w:spacing w:line="340" w:lineRule="exact"/>
        <w:rPr>
          <w:rFonts w:ascii="Arial" w:hAnsi="Arial" w:cs="Arial"/>
          <w:b/>
          <w:bCs/>
          <w:color w:val="000000" w:themeColor="text1"/>
          <w:kern w:val="0"/>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3</w:t>
      </w:r>
      <w:r>
        <w:rPr>
          <w:rFonts w:ascii="Tahoma" w:hAnsi="Tahoma" w:cs="Tahoma"/>
          <w:color w:val="000000" w:themeColor="text1"/>
          <w:szCs w:val="21"/>
          <w:highlight w:val="none"/>
          <w14:textFill>
            <w14:solidFill>
              <w14:schemeClr w14:val="tx1"/>
            </w14:solidFill>
          </w14:textFill>
        </w:rPr>
        <w:t>.1.</w:t>
      </w:r>
      <w:r>
        <w:rPr>
          <w:rFonts w:hint="eastAsia" w:ascii="Tahoma" w:hAnsi="Tahoma" w:cs="Tahoma"/>
          <w:color w:val="000000" w:themeColor="text1"/>
          <w:szCs w:val="21"/>
          <w:highlight w:val="none"/>
          <w14:textFill>
            <w14:solidFill>
              <w14:schemeClr w14:val="tx1"/>
            </w14:solidFill>
          </w14:textFill>
        </w:rPr>
        <w:t>3</w:t>
      </w:r>
      <w:r>
        <w:rPr>
          <w:rFonts w:ascii="Tahoma" w:hAnsi="Tahoma" w:cs="Tahoma"/>
          <w:color w:val="000000" w:themeColor="text1"/>
          <w:szCs w:val="21"/>
          <w:highlight w:val="none"/>
          <w14:textFill>
            <w14:solidFill>
              <w14:schemeClr w14:val="tx1"/>
            </w14:solidFill>
          </w14:textFill>
        </w:rPr>
        <w:t>评标委员会应根据招标文件的规定，对投标文件进行系统地评审和比较，在进行详细评审前，按下列规定对投标文件进行初步评审，</w:t>
      </w:r>
      <w:r>
        <w:rPr>
          <w:rFonts w:ascii="Arial" w:hAnsi="Arial" w:cs="Arial"/>
          <w:b/>
          <w:bCs/>
          <w:color w:val="000000" w:themeColor="text1"/>
          <w:kern w:val="0"/>
          <w:szCs w:val="21"/>
          <w:highlight w:val="none"/>
          <w14:textFill>
            <w14:solidFill>
              <w14:schemeClr w14:val="tx1"/>
            </w14:solidFill>
          </w14:textFill>
        </w:rPr>
        <w:t>投标文件属下列情况之一的，应当在资格性、符合性检查时按照无效标处理：</w:t>
      </w:r>
    </w:p>
    <w:p>
      <w:pPr>
        <w:spacing w:line="340" w:lineRule="exact"/>
        <w:ind w:firstLine="420" w:firstLineChars="200"/>
        <w:rPr>
          <w:rFonts w:ascii="Tahoma" w:cs="Tahoma"/>
          <w:color w:val="000000" w:themeColor="text1"/>
          <w:highlight w:val="none"/>
          <w14:textFill>
            <w14:solidFill>
              <w14:schemeClr w14:val="tx1"/>
            </w14:solidFill>
          </w14:textFill>
        </w:rPr>
      </w:pPr>
      <w:r>
        <w:rPr>
          <w:rFonts w:hint="eastAsia" w:ascii="Tahoma" w:cs="Tahoma"/>
          <w:color w:val="000000" w:themeColor="text1"/>
          <w:highlight w:val="none"/>
          <w14:textFill>
            <w14:solidFill>
              <w14:schemeClr w14:val="tx1"/>
            </w14:solidFill>
          </w14:textFill>
        </w:rPr>
        <w:t>（</w:t>
      </w:r>
      <w:r>
        <w:rPr>
          <w:rFonts w:ascii="Tahoma" w:cs="Tahoma"/>
          <w:color w:val="000000" w:themeColor="text1"/>
          <w:highlight w:val="none"/>
          <w14:textFill>
            <w14:solidFill>
              <w14:schemeClr w14:val="tx1"/>
            </w14:solidFill>
          </w14:textFill>
        </w:rPr>
        <w:t>1</w:t>
      </w:r>
      <w:r>
        <w:rPr>
          <w:rFonts w:hint="eastAsia" w:ascii="Tahoma" w:cs="Tahoma"/>
          <w:color w:val="000000" w:themeColor="text1"/>
          <w:highlight w:val="none"/>
          <w14:textFill>
            <w14:solidFill>
              <w14:schemeClr w14:val="tx1"/>
            </w14:solidFill>
          </w14:textFill>
        </w:rPr>
        <w:t>）不具备招标文件中规定的资格要求的，或投标文件中提供的资格证明文件与原件不一致的；</w:t>
      </w:r>
    </w:p>
    <w:p>
      <w:pPr>
        <w:spacing w:line="340" w:lineRule="exact"/>
        <w:ind w:firstLine="420" w:firstLineChars="200"/>
        <w:rPr>
          <w:rFonts w:ascii="Tahoma" w:cs="Tahoma"/>
          <w:color w:val="000000" w:themeColor="text1"/>
          <w:highlight w:val="none"/>
          <w14:textFill>
            <w14:solidFill>
              <w14:schemeClr w14:val="tx1"/>
            </w14:solidFill>
          </w14:textFill>
        </w:rPr>
      </w:pPr>
      <w:r>
        <w:rPr>
          <w:rFonts w:hint="eastAsia" w:ascii="Tahoma" w:cs="Tahoma"/>
          <w:color w:val="000000" w:themeColor="text1"/>
          <w:highlight w:val="none"/>
          <w14:textFill>
            <w14:solidFill>
              <w14:schemeClr w14:val="tx1"/>
            </w14:solidFill>
          </w14:textFill>
        </w:rPr>
        <w:t>（</w:t>
      </w:r>
      <w:r>
        <w:rPr>
          <w:rFonts w:ascii="Tahoma" w:cs="Tahoma"/>
          <w:color w:val="000000" w:themeColor="text1"/>
          <w:highlight w:val="none"/>
          <w14:textFill>
            <w14:solidFill>
              <w14:schemeClr w14:val="tx1"/>
            </w14:solidFill>
          </w14:textFill>
        </w:rPr>
        <w:t>2</w:t>
      </w:r>
      <w:r>
        <w:rPr>
          <w:rFonts w:hint="eastAsia" w:ascii="Tahoma" w:cs="Tahoma"/>
          <w:color w:val="000000" w:themeColor="text1"/>
          <w:highlight w:val="none"/>
          <w14:textFill>
            <w14:solidFill>
              <w14:schemeClr w14:val="tx1"/>
            </w14:solidFill>
          </w14:textFill>
        </w:rPr>
        <w:t>）投标文件未按招标文件规定进行装订、密封、标记的；</w:t>
      </w:r>
    </w:p>
    <w:p>
      <w:pPr>
        <w:spacing w:line="340" w:lineRule="exact"/>
        <w:ind w:firstLine="420" w:firstLineChars="200"/>
        <w:rPr>
          <w:rFonts w:ascii="Tahoma" w:cs="Tahoma"/>
          <w:color w:val="000000" w:themeColor="text1"/>
          <w:highlight w:val="none"/>
          <w14:textFill>
            <w14:solidFill>
              <w14:schemeClr w14:val="tx1"/>
            </w14:solidFill>
          </w14:textFill>
        </w:rPr>
      </w:pPr>
      <w:r>
        <w:rPr>
          <w:rFonts w:hint="eastAsia" w:ascii="Tahoma" w:cs="Tahoma"/>
          <w:color w:val="000000" w:themeColor="text1"/>
          <w:highlight w:val="none"/>
          <w14:textFill>
            <w14:solidFill>
              <w14:schemeClr w14:val="tx1"/>
            </w14:solidFill>
          </w14:textFill>
        </w:rPr>
        <w:t>（</w:t>
      </w:r>
      <w:r>
        <w:rPr>
          <w:rFonts w:ascii="Tahoma" w:cs="Tahoma"/>
          <w:color w:val="000000" w:themeColor="text1"/>
          <w:highlight w:val="none"/>
          <w14:textFill>
            <w14:solidFill>
              <w14:schemeClr w14:val="tx1"/>
            </w14:solidFill>
          </w14:textFill>
        </w:rPr>
        <w:t>3</w:t>
      </w:r>
      <w:r>
        <w:rPr>
          <w:rFonts w:hint="eastAsia" w:ascii="Tahoma" w:cs="Tahoma"/>
          <w:color w:val="000000" w:themeColor="text1"/>
          <w:highlight w:val="none"/>
          <w14:textFill>
            <w14:solidFill>
              <w14:schemeClr w14:val="tx1"/>
            </w14:solidFill>
          </w14:textFill>
        </w:rPr>
        <w:t>）投标文件未按招标文件要求签署、盖章的；</w:t>
      </w:r>
    </w:p>
    <w:p>
      <w:pPr>
        <w:spacing w:line="340" w:lineRule="exact"/>
        <w:ind w:firstLine="420" w:firstLineChars="200"/>
        <w:rPr>
          <w:rFonts w:ascii="Tahoma" w:cs="Tahoma"/>
          <w:color w:val="000000" w:themeColor="text1"/>
          <w:highlight w:val="none"/>
          <w14:textFill>
            <w14:solidFill>
              <w14:schemeClr w14:val="tx1"/>
            </w14:solidFill>
          </w14:textFill>
        </w:rPr>
      </w:pPr>
      <w:r>
        <w:rPr>
          <w:rFonts w:hint="eastAsia" w:ascii="Tahoma" w:cs="Tahoma"/>
          <w:color w:val="000000" w:themeColor="text1"/>
          <w:highlight w:val="none"/>
          <w14:textFill>
            <w14:solidFill>
              <w14:schemeClr w14:val="tx1"/>
            </w14:solidFill>
          </w14:textFill>
        </w:rPr>
        <w:t>（</w:t>
      </w:r>
      <w:r>
        <w:rPr>
          <w:rFonts w:ascii="Tahoma" w:cs="Tahoma"/>
          <w:color w:val="000000" w:themeColor="text1"/>
          <w:highlight w:val="none"/>
          <w14:textFill>
            <w14:solidFill>
              <w14:schemeClr w14:val="tx1"/>
            </w14:solidFill>
          </w14:textFill>
        </w:rPr>
        <w:t>4</w:t>
      </w:r>
      <w:r>
        <w:rPr>
          <w:rFonts w:hint="eastAsia" w:ascii="Tahoma" w:cs="Tahoma"/>
          <w:color w:val="000000" w:themeColor="text1"/>
          <w:highlight w:val="none"/>
          <w14:textFill>
            <w14:solidFill>
              <w14:schemeClr w14:val="tx1"/>
            </w14:solidFill>
          </w14:textFill>
        </w:rPr>
        <w:t>）未按照招标文件的规定提交投标保证金的；</w:t>
      </w:r>
    </w:p>
    <w:p>
      <w:pPr>
        <w:spacing w:line="340" w:lineRule="exact"/>
        <w:ind w:firstLine="420" w:firstLineChars="200"/>
        <w:rPr>
          <w:rFonts w:ascii="Tahoma" w:cs="Tahoma"/>
          <w:color w:val="000000" w:themeColor="text1"/>
          <w:highlight w:val="none"/>
          <w14:textFill>
            <w14:solidFill>
              <w14:schemeClr w14:val="tx1"/>
            </w14:solidFill>
          </w14:textFill>
        </w:rPr>
      </w:pPr>
      <w:r>
        <w:rPr>
          <w:rFonts w:hint="eastAsia" w:ascii="Tahoma" w:cs="Tahoma"/>
          <w:color w:val="000000" w:themeColor="text1"/>
          <w:highlight w:val="none"/>
          <w14:textFill>
            <w14:solidFill>
              <w14:schemeClr w14:val="tx1"/>
            </w14:solidFill>
          </w14:textFill>
        </w:rPr>
        <w:t>（</w:t>
      </w:r>
      <w:r>
        <w:rPr>
          <w:rFonts w:ascii="Tahoma" w:cs="Tahoma"/>
          <w:color w:val="000000" w:themeColor="text1"/>
          <w:highlight w:val="none"/>
          <w14:textFill>
            <w14:solidFill>
              <w14:schemeClr w14:val="tx1"/>
            </w14:solidFill>
          </w14:textFill>
        </w:rPr>
        <w:t>5</w:t>
      </w:r>
      <w:r>
        <w:rPr>
          <w:rFonts w:hint="eastAsia" w:ascii="Tahoma" w:cs="Tahoma"/>
          <w:color w:val="000000" w:themeColor="text1"/>
          <w:highlight w:val="none"/>
          <w14:textFill>
            <w14:solidFill>
              <w14:schemeClr w14:val="tx1"/>
            </w14:solidFill>
          </w14:textFill>
        </w:rPr>
        <w:t>）投标文件含有采购人不能接受的附加条件的；</w:t>
      </w:r>
    </w:p>
    <w:p>
      <w:pPr>
        <w:spacing w:line="340" w:lineRule="exact"/>
        <w:ind w:firstLine="420" w:firstLineChars="200"/>
        <w:rPr>
          <w:rFonts w:ascii="Tahoma" w:cs="Tahoma"/>
          <w:color w:val="000000" w:themeColor="text1"/>
          <w:highlight w:val="none"/>
          <w14:textFill>
            <w14:solidFill>
              <w14:schemeClr w14:val="tx1"/>
            </w14:solidFill>
          </w14:textFill>
        </w:rPr>
      </w:pPr>
      <w:r>
        <w:rPr>
          <w:rFonts w:hint="eastAsia" w:ascii="Tahoma" w:cs="Tahoma"/>
          <w:color w:val="000000" w:themeColor="text1"/>
          <w:highlight w:val="none"/>
          <w14:textFill>
            <w14:solidFill>
              <w14:schemeClr w14:val="tx1"/>
            </w14:solidFill>
          </w14:textFill>
        </w:rPr>
        <w:t>（</w:t>
      </w:r>
      <w:r>
        <w:rPr>
          <w:rFonts w:ascii="Tahoma" w:cs="Tahoma"/>
          <w:color w:val="000000" w:themeColor="text1"/>
          <w:highlight w:val="none"/>
          <w14:textFill>
            <w14:solidFill>
              <w14:schemeClr w14:val="tx1"/>
            </w14:solidFill>
          </w14:textFill>
        </w:rPr>
        <w:t>6</w:t>
      </w:r>
      <w:r>
        <w:rPr>
          <w:rFonts w:hint="eastAsia" w:ascii="Tahoma" w:cs="Tahoma"/>
          <w:color w:val="000000" w:themeColor="text1"/>
          <w:highlight w:val="none"/>
          <w14:textFill>
            <w14:solidFill>
              <w14:schemeClr w14:val="tx1"/>
            </w14:solidFill>
          </w14:textFill>
        </w:rPr>
        <w:t>）投标有效期不满足招标文件要求的；</w:t>
      </w:r>
    </w:p>
    <w:p>
      <w:pPr>
        <w:spacing w:line="340" w:lineRule="exact"/>
        <w:ind w:firstLine="420" w:firstLineChars="200"/>
        <w:rPr>
          <w:rFonts w:ascii="Tahoma" w:cs="Tahoma"/>
          <w:color w:val="000000" w:themeColor="text1"/>
          <w:highlight w:val="none"/>
          <w14:textFill>
            <w14:solidFill>
              <w14:schemeClr w14:val="tx1"/>
            </w14:solidFill>
          </w14:textFill>
        </w:rPr>
      </w:pPr>
      <w:r>
        <w:rPr>
          <w:rFonts w:hint="eastAsia" w:ascii="Tahoma" w:cs="Tahoma"/>
          <w:color w:val="000000" w:themeColor="text1"/>
          <w:highlight w:val="none"/>
          <w14:textFill>
            <w14:solidFill>
              <w14:schemeClr w14:val="tx1"/>
            </w14:solidFill>
          </w14:textFill>
        </w:rPr>
        <w:t>（</w:t>
      </w:r>
      <w:r>
        <w:rPr>
          <w:rFonts w:ascii="Tahoma" w:cs="Tahoma"/>
          <w:color w:val="000000" w:themeColor="text1"/>
          <w:highlight w:val="none"/>
          <w14:textFill>
            <w14:solidFill>
              <w14:schemeClr w14:val="tx1"/>
            </w14:solidFill>
          </w14:textFill>
        </w:rPr>
        <w:t>7</w:t>
      </w:r>
      <w:r>
        <w:rPr>
          <w:rFonts w:hint="eastAsia" w:ascii="Tahoma" w:cs="Tahoma"/>
          <w:color w:val="000000" w:themeColor="text1"/>
          <w:highlight w:val="none"/>
          <w14:textFill>
            <w14:solidFill>
              <w14:schemeClr w14:val="tx1"/>
            </w14:solidFill>
          </w14:textFill>
        </w:rPr>
        <w:t>）报价超过招标文件中规定的预算金额或者最高限价的；或提供的报价是可供选择的（不是唯一报价）；</w:t>
      </w:r>
    </w:p>
    <w:p>
      <w:pPr>
        <w:spacing w:line="340" w:lineRule="exact"/>
        <w:ind w:firstLine="420" w:firstLineChars="200"/>
        <w:rPr>
          <w:rFonts w:ascii="Tahoma" w:cs="Tahoma"/>
          <w:color w:val="000000" w:themeColor="text1"/>
          <w:highlight w:val="none"/>
          <w14:textFill>
            <w14:solidFill>
              <w14:schemeClr w14:val="tx1"/>
            </w14:solidFill>
          </w14:textFill>
        </w:rPr>
      </w:pPr>
      <w:r>
        <w:rPr>
          <w:rFonts w:hint="eastAsia" w:ascii="Tahoma" w:cs="Tahoma"/>
          <w:color w:val="000000" w:themeColor="text1"/>
          <w:highlight w:val="none"/>
          <w14:textFill>
            <w14:solidFill>
              <w14:schemeClr w14:val="tx1"/>
            </w14:solidFill>
          </w14:textFill>
        </w:rPr>
        <w:t>（</w:t>
      </w:r>
      <w:r>
        <w:rPr>
          <w:rFonts w:ascii="Tahoma" w:cs="Tahoma"/>
          <w:color w:val="000000" w:themeColor="text1"/>
          <w:highlight w:val="none"/>
          <w14:textFill>
            <w14:solidFill>
              <w14:schemeClr w14:val="tx1"/>
            </w14:solidFill>
          </w14:textFill>
        </w:rPr>
        <w:t>8</w:t>
      </w:r>
      <w:r>
        <w:rPr>
          <w:rFonts w:hint="eastAsia" w:ascii="Tahoma" w:cs="Tahoma"/>
          <w:color w:val="000000" w:themeColor="text1"/>
          <w:highlight w:val="none"/>
          <w14:textFill>
            <w14:solidFill>
              <w14:schemeClr w14:val="tx1"/>
            </w14:solidFill>
          </w14:textFill>
        </w:rPr>
        <w:t>）供应商未进行分项报价或分项报价的构成未能准确全部反映产品价格组成或有所隐含，有可能致使在合同履行过程中引起纠纷（非正常的追加或索赔等）或不能诚信履约的；</w:t>
      </w:r>
    </w:p>
    <w:p>
      <w:pPr>
        <w:spacing w:line="340" w:lineRule="exact"/>
        <w:ind w:firstLine="420" w:firstLineChars="200"/>
        <w:rPr>
          <w:rFonts w:ascii="Tahoma" w:cs="Tahoma"/>
          <w:color w:val="000000" w:themeColor="text1"/>
          <w:highlight w:val="none"/>
          <w14:textFill>
            <w14:solidFill>
              <w14:schemeClr w14:val="tx1"/>
            </w14:solidFill>
          </w14:textFill>
        </w:rPr>
      </w:pPr>
      <w:r>
        <w:rPr>
          <w:rFonts w:hint="eastAsia" w:ascii="Tahoma" w:cs="Tahoma"/>
          <w:color w:val="000000" w:themeColor="text1"/>
          <w:highlight w:val="none"/>
          <w14:textFill>
            <w14:solidFill>
              <w14:schemeClr w14:val="tx1"/>
            </w14:solidFill>
          </w14:textFill>
        </w:rPr>
        <w:t>（</w:t>
      </w:r>
      <w:r>
        <w:rPr>
          <w:rFonts w:ascii="Tahoma" w:cs="Tahoma"/>
          <w:color w:val="000000" w:themeColor="text1"/>
          <w:highlight w:val="none"/>
          <w14:textFill>
            <w14:solidFill>
              <w14:schemeClr w14:val="tx1"/>
            </w14:solidFill>
          </w14:textFill>
        </w:rPr>
        <w:t>9</w:t>
      </w:r>
      <w:r>
        <w:rPr>
          <w:rFonts w:hint="eastAsia" w:ascii="Tahoma" w:cs="Tahoma"/>
          <w:color w:val="000000" w:themeColor="text1"/>
          <w:highlight w:val="none"/>
          <w14:textFill>
            <w14:solidFill>
              <w14:schemeClr w14:val="tx1"/>
            </w14:solidFill>
          </w14:textFill>
        </w:rPr>
        <w:t>）投标文件的内容与采购内容（质量要求、交货期、付款方式等）及要求有重大偏离或保留的；</w:t>
      </w:r>
    </w:p>
    <w:p>
      <w:pPr>
        <w:spacing w:line="340" w:lineRule="exact"/>
        <w:ind w:firstLine="420" w:firstLineChars="200"/>
        <w:rPr>
          <w:rFonts w:ascii="Tahoma" w:cs="Tahoma"/>
          <w:color w:val="000000" w:themeColor="text1"/>
          <w:highlight w:val="none"/>
          <w14:textFill>
            <w14:solidFill>
              <w14:schemeClr w14:val="tx1"/>
            </w14:solidFill>
          </w14:textFill>
        </w:rPr>
      </w:pPr>
      <w:r>
        <w:rPr>
          <w:rFonts w:hint="eastAsia" w:ascii="Tahoma" w:cs="Tahoma"/>
          <w:color w:val="000000" w:themeColor="text1"/>
          <w:highlight w:val="none"/>
          <w14:textFill>
            <w14:solidFill>
              <w14:schemeClr w14:val="tx1"/>
            </w14:solidFill>
          </w14:textFill>
        </w:rPr>
        <w:t>（</w:t>
      </w:r>
      <w:r>
        <w:rPr>
          <w:rFonts w:ascii="Tahoma" w:cs="Tahoma"/>
          <w:color w:val="000000" w:themeColor="text1"/>
          <w:highlight w:val="none"/>
          <w14:textFill>
            <w14:solidFill>
              <w14:schemeClr w14:val="tx1"/>
            </w14:solidFill>
          </w14:textFill>
        </w:rPr>
        <w:t>10</w:t>
      </w:r>
      <w:r>
        <w:rPr>
          <w:rFonts w:hint="eastAsia" w:ascii="Tahoma" w:cs="Tahoma"/>
          <w:color w:val="000000" w:themeColor="text1"/>
          <w:highlight w:val="none"/>
          <w14:textFill>
            <w14:solidFill>
              <w14:schemeClr w14:val="tx1"/>
            </w14:solidFill>
          </w14:textFill>
        </w:rPr>
        <w:t>）存在财政部令第</w:t>
      </w:r>
      <w:r>
        <w:rPr>
          <w:rFonts w:ascii="Tahoma" w:cs="Tahoma"/>
          <w:color w:val="000000" w:themeColor="text1"/>
          <w:highlight w:val="none"/>
          <w14:textFill>
            <w14:solidFill>
              <w14:schemeClr w14:val="tx1"/>
            </w14:solidFill>
          </w14:textFill>
        </w:rPr>
        <w:t>87</w:t>
      </w:r>
      <w:r>
        <w:rPr>
          <w:rFonts w:hint="eastAsia" w:ascii="Tahoma" w:cs="Tahoma"/>
          <w:color w:val="000000" w:themeColor="text1"/>
          <w:highlight w:val="none"/>
          <w14:textFill>
            <w14:solidFill>
              <w14:schemeClr w14:val="tx1"/>
            </w14:solidFill>
          </w14:textFill>
        </w:rPr>
        <w:t>号文第三十七条规定串通投标的情形之一的；</w:t>
      </w:r>
    </w:p>
    <w:p>
      <w:pPr>
        <w:spacing w:line="340" w:lineRule="exact"/>
        <w:ind w:firstLine="420" w:firstLineChars="200"/>
        <w:rPr>
          <w:rFonts w:ascii="Tahoma" w:cs="Tahoma"/>
          <w:color w:val="000000" w:themeColor="text1"/>
          <w:highlight w:val="none"/>
          <w14:textFill>
            <w14:solidFill>
              <w14:schemeClr w14:val="tx1"/>
            </w14:solidFill>
          </w14:textFill>
        </w:rPr>
      </w:pPr>
      <w:r>
        <w:rPr>
          <w:rFonts w:hint="eastAsia" w:ascii="Tahoma" w:cs="Tahoma"/>
          <w:color w:val="000000" w:themeColor="text1"/>
          <w:highlight w:val="none"/>
          <w14:textFill>
            <w14:solidFill>
              <w14:schemeClr w14:val="tx1"/>
            </w14:solidFill>
          </w14:textFill>
        </w:rPr>
        <w:t>（</w:t>
      </w:r>
      <w:r>
        <w:rPr>
          <w:rFonts w:ascii="Tahoma" w:cs="Tahoma"/>
          <w:color w:val="000000" w:themeColor="text1"/>
          <w:highlight w:val="none"/>
          <w14:textFill>
            <w14:solidFill>
              <w14:schemeClr w14:val="tx1"/>
            </w14:solidFill>
          </w14:textFill>
        </w:rPr>
        <w:t>11</w:t>
      </w:r>
      <w:r>
        <w:rPr>
          <w:rFonts w:hint="eastAsia" w:ascii="Tahoma" w:cs="Tahoma"/>
          <w:color w:val="000000" w:themeColor="text1"/>
          <w:highlight w:val="none"/>
          <w14:textFill>
            <w14:solidFill>
              <w14:schemeClr w14:val="tx1"/>
            </w14:solidFill>
          </w14:textFill>
        </w:rPr>
        <w:t>）投标文件的内容组成不符合招标文件要求的；</w:t>
      </w:r>
    </w:p>
    <w:p>
      <w:pPr>
        <w:spacing w:line="340" w:lineRule="exact"/>
        <w:ind w:firstLine="420" w:firstLineChars="200"/>
        <w:rPr>
          <w:rFonts w:ascii="Tahoma" w:cs="Tahoma"/>
          <w:color w:val="000000" w:themeColor="text1"/>
          <w:highlight w:val="none"/>
          <w14:textFill>
            <w14:solidFill>
              <w14:schemeClr w14:val="tx1"/>
            </w14:solidFill>
          </w14:textFill>
        </w:rPr>
      </w:pPr>
      <w:r>
        <w:rPr>
          <w:rFonts w:hint="eastAsia" w:ascii="Tahoma" w:cs="Tahoma"/>
          <w:color w:val="000000" w:themeColor="text1"/>
          <w:highlight w:val="none"/>
          <w14:textFill>
            <w14:solidFill>
              <w14:schemeClr w14:val="tx1"/>
            </w14:solidFill>
          </w14:textFill>
        </w:rPr>
        <w:t>（</w:t>
      </w:r>
      <w:r>
        <w:rPr>
          <w:rFonts w:ascii="Tahoma" w:cs="Tahoma"/>
          <w:color w:val="000000" w:themeColor="text1"/>
          <w:highlight w:val="none"/>
          <w14:textFill>
            <w14:solidFill>
              <w14:schemeClr w14:val="tx1"/>
            </w14:solidFill>
          </w14:textFill>
        </w:rPr>
        <w:t>12</w:t>
      </w:r>
      <w:r>
        <w:rPr>
          <w:rFonts w:hint="eastAsia" w:ascii="Tahoma" w:cs="Tahoma"/>
          <w:color w:val="000000" w:themeColor="text1"/>
          <w:highlight w:val="none"/>
          <w14:textFill>
            <w14:solidFill>
              <w14:schemeClr w14:val="tx1"/>
            </w14:solidFill>
          </w14:textFill>
        </w:rPr>
        <w:t>）投标文件中提供虚假或失实资料的；</w:t>
      </w:r>
    </w:p>
    <w:p>
      <w:pPr>
        <w:spacing w:line="340" w:lineRule="exact"/>
        <w:ind w:firstLine="420" w:firstLineChars="200"/>
        <w:rPr>
          <w:rFonts w:ascii="Tahoma" w:hAnsi="Tahoma" w:cs="Tahoma"/>
          <w:color w:val="000000" w:themeColor="text1"/>
          <w:highlight w:val="none"/>
          <w14:textFill>
            <w14:solidFill>
              <w14:schemeClr w14:val="tx1"/>
            </w14:solidFill>
          </w14:textFill>
        </w:rPr>
      </w:pPr>
      <w:r>
        <w:rPr>
          <w:rFonts w:hint="eastAsia" w:ascii="Tahoma" w:cs="Tahoma"/>
          <w:color w:val="000000" w:themeColor="text1"/>
          <w:highlight w:val="none"/>
          <w14:textFill>
            <w14:solidFill>
              <w14:schemeClr w14:val="tx1"/>
            </w14:solidFill>
          </w14:textFill>
        </w:rPr>
        <w:t>（</w:t>
      </w:r>
      <w:r>
        <w:rPr>
          <w:rFonts w:ascii="Tahoma" w:cs="Tahoma"/>
          <w:color w:val="000000" w:themeColor="text1"/>
          <w:highlight w:val="none"/>
          <w14:textFill>
            <w14:solidFill>
              <w14:schemeClr w14:val="tx1"/>
            </w14:solidFill>
          </w14:textFill>
        </w:rPr>
        <w:t>13</w:t>
      </w:r>
      <w:r>
        <w:rPr>
          <w:rFonts w:hint="eastAsia" w:ascii="Tahoma" w:cs="Tahoma"/>
          <w:color w:val="000000" w:themeColor="text1"/>
          <w:highlight w:val="none"/>
          <w14:textFill>
            <w14:solidFill>
              <w14:schemeClr w14:val="tx1"/>
            </w14:solidFill>
          </w14:textFill>
        </w:rPr>
        <w:t>）法律、法规和招标文件规定的其他无效情形。</w:t>
      </w:r>
    </w:p>
    <w:p>
      <w:pPr>
        <w:spacing w:line="340" w:lineRule="exact"/>
        <w:rPr>
          <w:rFonts w:ascii="Tahoma" w:hAnsi="Tahoma" w:cs="Tahoma"/>
          <w:color w:val="000000" w:themeColor="text1"/>
          <w:highlight w:val="none"/>
          <w14:textFill>
            <w14:solidFill>
              <w14:schemeClr w14:val="tx1"/>
            </w14:solidFill>
          </w14:textFill>
        </w:rPr>
      </w:pPr>
      <w:r>
        <w:rPr>
          <w:rFonts w:ascii="Tahoma" w:hAnsi="Tahoma" w:cs="Tahoma"/>
          <w:color w:val="000000" w:themeColor="text1"/>
          <w:highlight w:val="none"/>
          <w14:textFill>
            <w14:solidFill>
              <w14:schemeClr w14:val="tx1"/>
            </w14:solidFill>
          </w14:textFill>
        </w:rPr>
        <w:t>3.1.4评标委员会判断投标文件的响应性仅基于投标文件本身而不靠外部证据。</w:t>
      </w:r>
    </w:p>
    <w:p>
      <w:pPr>
        <w:spacing w:line="340" w:lineRule="exact"/>
        <w:rPr>
          <w:rFonts w:ascii="Tahoma" w:hAnsi="Tahoma" w:cs="Tahoma"/>
          <w:color w:val="000000" w:themeColor="text1"/>
          <w:highlight w:val="none"/>
          <w14:textFill>
            <w14:solidFill>
              <w14:schemeClr w14:val="tx1"/>
            </w14:solidFill>
          </w14:textFill>
        </w:rPr>
      </w:pPr>
      <w:r>
        <w:rPr>
          <w:rFonts w:ascii="Tahoma" w:hAnsi="Tahoma" w:cs="Tahoma"/>
          <w:color w:val="000000" w:themeColor="text1"/>
          <w:highlight w:val="none"/>
          <w14:textFill>
            <w14:solidFill>
              <w14:schemeClr w14:val="tx1"/>
            </w14:solidFill>
          </w14:textFill>
        </w:rPr>
        <w:t>3.1.5评标委员会将拒绝被确定为非实质性响应的投标，投标人不能通过修正或撤销不符之处而使其投标成为实质性响应的投标。</w:t>
      </w:r>
    </w:p>
    <w:p>
      <w:pPr>
        <w:spacing w:line="340" w:lineRule="exact"/>
        <w:rPr>
          <w:rFonts w:ascii="Tahoma" w:hAnsi="Tahoma" w:cs="Tahoma"/>
          <w:color w:val="000000" w:themeColor="text1"/>
          <w:kern w:val="0"/>
          <w:szCs w:val="21"/>
          <w:highlight w:val="none"/>
          <w14:textFill>
            <w14:solidFill>
              <w14:schemeClr w14:val="tx1"/>
            </w14:solidFill>
          </w14:textFill>
        </w:rPr>
      </w:pPr>
      <w:r>
        <w:rPr>
          <w:rFonts w:ascii="Tahoma" w:hAnsi="Tahoma" w:cs="Tahoma"/>
          <w:b/>
          <w:bCs/>
          <w:color w:val="000000" w:themeColor="text1"/>
          <w:szCs w:val="21"/>
          <w:highlight w:val="none"/>
          <w14:textFill>
            <w14:solidFill>
              <w14:schemeClr w14:val="tx1"/>
            </w14:solidFill>
          </w14:textFill>
        </w:rPr>
        <w:t>3.2 投标文件的</w:t>
      </w:r>
      <w:r>
        <w:rPr>
          <w:rFonts w:ascii="Tahoma" w:hAnsi="Tahoma" w:cs="Tahoma"/>
          <w:b/>
          <w:bCs/>
          <w:color w:val="000000" w:themeColor="text1"/>
          <w:kern w:val="0"/>
          <w:szCs w:val="21"/>
          <w:highlight w:val="none"/>
          <w14:textFill>
            <w14:solidFill>
              <w14:schemeClr w14:val="tx1"/>
            </w14:solidFill>
          </w14:textFill>
        </w:rPr>
        <w:t>澄清</w:t>
      </w:r>
    </w:p>
    <w:p>
      <w:pPr>
        <w:spacing w:line="340" w:lineRule="exact"/>
        <w:rPr>
          <w:rFonts w:ascii="Tahoma" w:hAnsi="Tahoma" w:cs="Tahoma"/>
          <w:color w:val="000000" w:themeColor="text1"/>
          <w:kern w:val="0"/>
          <w:szCs w:val="21"/>
          <w:highlight w:val="none"/>
          <w14:textFill>
            <w14:solidFill>
              <w14:schemeClr w14:val="tx1"/>
            </w14:solidFill>
          </w14:textFill>
        </w:rPr>
      </w:pPr>
      <w:r>
        <w:rPr>
          <w:rFonts w:ascii="Tahoma" w:hAnsi="Tahoma" w:cs="Tahoma"/>
          <w:color w:val="000000" w:themeColor="text1"/>
          <w:kern w:val="0"/>
          <w:szCs w:val="21"/>
          <w:highlight w:val="none"/>
          <w14:textFill>
            <w14:solidFill>
              <w14:schemeClr w14:val="tx1"/>
            </w14:solidFill>
          </w14:textFill>
        </w:rPr>
        <w:t>3.2.1</w:t>
      </w:r>
      <w:r>
        <w:rPr>
          <w:rFonts w:hint="eastAsia" w:ascii="Tahoma" w:hAnsi="Tahoma" w:cs="Tahoma"/>
          <w:color w:val="000000" w:themeColor="text1"/>
          <w:kern w:val="0"/>
          <w:szCs w:val="21"/>
          <w:highlight w:val="none"/>
          <w14:textFill>
            <w14:solidFill>
              <w14:schemeClr w14:val="tx1"/>
            </w14:solidFill>
          </w14:textFill>
        </w:rPr>
        <w:t>评标委员会将允许投标人修改投标文件中不构成重大偏离的微小的、非正规、不一致或不规则地方，但这种允许不能损害或影响任何投标人的相对排序。</w:t>
      </w:r>
    </w:p>
    <w:p>
      <w:pPr>
        <w:spacing w:line="340" w:lineRule="exact"/>
        <w:rPr>
          <w:rFonts w:ascii="Tahoma" w:hAnsi="Tahoma" w:cs="Tahoma"/>
          <w:color w:val="000000" w:themeColor="text1"/>
          <w:kern w:val="0"/>
          <w:szCs w:val="21"/>
          <w:highlight w:val="none"/>
          <w14:textFill>
            <w14:solidFill>
              <w14:schemeClr w14:val="tx1"/>
            </w14:solidFill>
          </w14:textFill>
        </w:rPr>
      </w:pPr>
      <w:r>
        <w:rPr>
          <w:rFonts w:ascii="Tahoma" w:hAnsi="Tahoma" w:cs="Tahoma"/>
          <w:color w:val="000000" w:themeColor="text1"/>
          <w:kern w:val="0"/>
          <w:szCs w:val="21"/>
          <w:highlight w:val="none"/>
          <w14:textFill>
            <w14:solidFill>
              <w14:schemeClr w14:val="tx1"/>
            </w14:solidFill>
          </w14:textFill>
        </w:rPr>
        <w:t>3.2.2</w:t>
      </w:r>
      <w:r>
        <w:rPr>
          <w:rFonts w:hint="eastAsia" w:ascii="Tahoma" w:hAnsi="Tahoma" w:cs="Tahoma"/>
          <w:color w:val="000000" w:themeColor="text1"/>
          <w:kern w:val="0"/>
          <w:szCs w:val="21"/>
          <w:highlight w:val="none"/>
          <w14:textFill>
            <w14:solidFill>
              <w14:schemeClr w14:val="tx1"/>
            </w14:solidFill>
          </w14:textFill>
        </w:rPr>
        <w:t>对于投标文件中含义不明确、同类问题表述不一致或者有明显文字和计算错误的内容，评标委员会应当以书面形式要求投标人作出必要的澄清、说明或者补正。</w:t>
      </w:r>
    </w:p>
    <w:p>
      <w:pPr>
        <w:spacing w:line="340" w:lineRule="exact"/>
        <w:rPr>
          <w:rFonts w:ascii="Tahoma" w:hAnsi="Tahoma" w:cs="Tahoma"/>
          <w:color w:val="000000" w:themeColor="text1"/>
          <w:kern w:val="0"/>
          <w:szCs w:val="21"/>
          <w:highlight w:val="none"/>
          <w14:textFill>
            <w14:solidFill>
              <w14:schemeClr w14:val="tx1"/>
            </w14:solidFill>
          </w14:textFill>
        </w:rPr>
      </w:pPr>
      <w:r>
        <w:rPr>
          <w:rFonts w:hint="eastAsia" w:ascii="Tahoma" w:hAnsi="Tahoma" w:cs="Tahoma"/>
          <w:color w:val="000000" w:themeColor="text1"/>
          <w:kern w:val="0"/>
          <w:szCs w:val="21"/>
          <w:highlight w:val="none"/>
          <w14:textFill>
            <w14:solidFill>
              <w14:schemeClr w14:val="tx1"/>
            </w14:solidFill>
          </w14:textFill>
        </w:rPr>
        <w:t>　投标人的澄清、说明或者补正应当采用书面形式，并加盖公章，或者由法定代表人或其授权的代表签字。投标人的澄清、说明或者补正不得超出投标文件的范围或者改变投标文件的实质性内容。</w:t>
      </w:r>
    </w:p>
    <w:p>
      <w:pPr>
        <w:spacing w:line="340" w:lineRule="exact"/>
        <w:rPr>
          <w:rFonts w:ascii="Tahoma" w:hAnsi="Tahoma" w:cs="Tahoma"/>
          <w:color w:val="000000" w:themeColor="text1"/>
          <w:kern w:val="0"/>
          <w:szCs w:val="21"/>
          <w:highlight w:val="none"/>
          <w14:textFill>
            <w14:solidFill>
              <w14:schemeClr w14:val="tx1"/>
            </w14:solidFill>
          </w14:textFill>
        </w:rPr>
      </w:pPr>
      <w:r>
        <w:rPr>
          <w:rFonts w:ascii="Tahoma" w:hAnsi="Tahoma" w:cs="Tahoma"/>
          <w:color w:val="000000" w:themeColor="text1"/>
          <w:kern w:val="0"/>
          <w:szCs w:val="21"/>
          <w:highlight w:val="none"/>
          <w14:textFill>
            <w14:solidFill>
              <w14:schemeClr w14:val="tx1"/>
            </w14:solidFill>
          </w14:textFill>
        </w:rPr>
        <w:t>3.2.3</w:t>
      </w:r>
      <w:r>
        <w:rPr>
          <w:rFonts w:hint="eastAsia" w:ascii="Tahoma" w:hAnsi="Tahoma" w:cs="Tahoma"/>
          <w:color w:val="000000" w:themeColor="text1"/>
          <w:kern w:val="0"/>
          <w:szCs w:val="21"/>
          <w:highlight w:val="none"/>
          <w14:textFill>
            <w14:solidFill>
              <w14:schemeClr w14:val="tx1"/>
            </w14:solidFill>
          </w14:textFill>
        </w:rPr>
        <w:t>投标文件报价出现前后不一致的，除招标文件另有规定外，按照下列规定修正：</w:t>
      </w:r>
    </w:p>
    <w:p>
      <w:pPr>
        <w:spacing w:line="340" w:lineRule="exact"/>
        <w:ind w:firstLine="210" w:firstLineChars="100"/>
        <w:rPr>
          <w:rFonts w:ascii="Tahoma" w:hAnsi="Tahoma" w:cs="Tahoma"/>
          <w:color w:val="000000" w:themeColor="text1"/>
          <w:kern w:val="0"/>
          <w:szCs w:val="21"/>
          <w:highlight w:val="none"/>
          <w14:textFill>
            <w14:solidFill>
              <w14:schemeClr w14:val="tx1"/>
            </w14:solidFill>
          </w14:textFill>
        </w:rPr>
      </w:pPr>
      <w:r>
        <w:rPr>
          <w:rFonts w:hint="eastAsia" w:ascii="Tahoma" w:hAnsi="Tahoma" w:cs="Tahoma"/>
          <w:color w:val="000000" w:themeColor="text1"/>
          <w:kern w:val="0"/>
          <w:szCs w:val="21"/>
          <w:highlight w:val="none"/>
          <w14:textFill>
            <w14:solidFill>
              <w14:schemeClr w14:val="tx1"/>
            </w14:solidFill>
          </w14:textFill>
        </w:rPr>
        <w:t>（一）投标文件中开标一览表（报价表）内容与投标文件中相应内容不一致的，以开标一览表（报价表）为准；</w:t>
      </w:r>
    </w:p>
    <w:p>
      <w:pPr>
        <w:spacing w:line="340" w:lineRule="exact"/>
        <w:ind w:firstLine="210" w:firstLineChars="100"/>
        <w:rPr>
          <w:rFonts w:ascii="Tahoma" w:hAnsi="Tahoma" w:cs="Tahoma"/>
          <w:color w:val="000000" w:themeColor="text1"/>
          <w:kern w:val="0"/>
          <w:szCs w:val="21"/>
          <w:highlight w:val="none"/>
          <w14:textFill>
            <w14:solidFill>
              <w14:schemeClr w14:val="tx1"/>
            </w14:solidFill>
          </w14:textFill>
        </w:rPr>
      </w:pPr>
      <w:r>
        <w:rPr>
          <w:rFonts w:hint="eastAsia" w:ascii="Tahoma" w:hAnsi="Tahoma" w:cs="Tahoma"/>
          <w:color w:val="000000" w:themeColor="text1"/>
          <w:kern w:val="0"/>
          <w:szCs w:val="21"/>
          <w:highlight w:val="none"/>
          <w14:textFill>
            <w14:solidFill>
              <w14:schemeClr w14:val="tx1"/>
            </w14:solidFill>
          </w14:textFill>
        </w:rPr>
        <w:t>（二）大写金额和小写金额不一致的，以大写金额为准；</w:t>
      </w:r>
    </w:p>
    <w:p>
      <w:pPr>
        <w:spacing w:line="340" w:lineRule="exact"/>
        <w:ind w:firstLine="210" w:firstLineChars="100"/>
        <w:rPr>
          <w:rFonts w:ascii="Tahoma" w:hAnsi="Tahoma" w:cs="Tahoma"/>
          <w:color w:val="000000" w:themeColor="text1"/>
          <w:kern w:val="0"/>
          <w:szCs w:val="21"/>
          <w:highlight w:val="none"/>
          <w14:textFill>
            <w14:solidFill>
              <w14:schemeClr w14:val="tx1"/>
            </w14:solidFill>
          </w14:textFill>
        </w:rPr>
      </w:pPr>
      <w:r>
        <w:rPr>
          <w:rFonts w:hint="eastAsia" w:ascii="Tahoma" w:hAnsi="Tahoma" w:cs="Tahoma"/>
          <w:color w:val="000000" w:themeColor="text1"/>
          <w:kern w:val="0"/>
          <w:szCs w:val="21"/>
          <w:highlight w:val="none"/>
          <w14:textFill>
            <w14:solidFill>
              <w14:schemeClr w14:val="tx1"/>
            </w14:solidFill>
          </w14:textFill>
        </w:rPr>
        <w:t>（三）单价金额小数点或者百分比有明显错位的，以开标一览表的总价为准，并修改单价；</w:t>
      </w:r>
    </w:p>
    <w:p>
      <w:pPr>
        <w:spacing w:line="340" w:lineRule="exact"/>
        <w:ind w:firstLine="210" w:firstLineChars="100"/>
        <w:rPr>
          <w:rFonts w:ascii="Tahoma" w:hAnsi="Tahoma" w:cs="Tahoma"/>
          <w:color w:val="000000" w:themeColor="text1"/>
          <w:kern w:val="0"/>
          <w:szCs w:val="21"/>
          <w:highlight w:val="none"/>
          <w14:textFill>
            <w14:solidFill>
              <w14:schemeClr w14:val="tx1"/>
            </w14:solidFill>
          </w14:textFill>
        </w:rPr>
      </w:pPr>
      <w:r>
        <w:rPr>
          <w:rFonts w:hint="eastAsia" w:ascii="Tahoma" w:hAnsi="Tahoma" w:cs="Tahoma"/>
          <w:color w:val="000000" w:themeColor="text1"/>
          <w:kern w:val="0"/>
          <w:szCs w:val="21"/>
          <w:highlight w:val="none"/>
          <w14:textFill>
            <w14:solidFill>
              <w14:schemeClr w14:val="tx1"/>
            </w14:solidFill>
          </w14:textFill>
        </w:rPr>
        <w:t>（四）总价金额与按单价汇总金额不一致的，以单价金额计算结果为准。</w:t>
      </w:r>
    </w:p>
    <w:p>
      <w:pPr>
        <w:spacing w:line="340" w:lineRule="exact"/>
        <w:rPr>
          <w:rFonts w:ascii="Tahoma" w:hAnsi="Tahoma" w:cs="Tahoma"/>
          <w:color w:val="000000" w:themeColor="text1"/>
          <w:highlight w:val="none"/>
          <w14:textFill>
            <w14:solidFill>
              <w14:schemeClr w14:val="tx1"/>
            </w14:solidFill>
          </w14:textFill>
        </w:rPr>
      </w:pPr>
      <w:r>
        <w:rPr>
          <w:rFonts w:hint="eastAsia" w:ascii="Tahoma" w:hAnsi="Tahoma" w:cs="Tahoma"/>
          <w:color w:val="000000" w:themeColor="text1"/>
          <w:kern w:val="0"/>
          <w:szCs w:val="21"/>
          <w:highlight w:val="none"/>
          <w14:textFill>
            <w14:solidFill>
              <w14:schemeClr w14:val="tx1"/>
            </w14:solidFill>
          </w14:textFill>
        </w:rPr>
        <w:t>同时出现两种以上不一致的，按照前款规定的顺序修正。修正后的报价按照投标人须知第</w:t>
      </w:r>
      <w:r>
        <w:rPr>
          <w:rFonts w:ascii="Tahoma" w:hAnsi="Tahoma" w:cs="Tahoma"/>
          <w:color w:val="000000" w:themeColor="text1"/>
          <w:kern w:val="0"/>
          <w:szCs w:val="21"/>
          <w:highlight w:val="none"/>
          <w14:textFill>
            <w14:solidFill>
              <w14:schemeClr w14:val="tx1"/>
            </w14:solidFill>
          </w14:textFill>
        </w:rPr>
        <w:t>6.5.2</w:t>
      </w:r>
      <w:r>
        <w:rPr>
          <w:rFonts w:hint="eastAsia" w:ascii="Tahoma" w:hAnsi="Tahoma" w:cs="Tahoma"/>
          <w:color w:val="000000" w:themeColor="text1"/>
          <w:kern w:val="0"/>
          <w:szCs w:val="21"/>
          <w:highlight w:val="none"/>
          <w14:textFill>
            <w14:solidFill>
              <w14:schemeClr w14:val="tx1"/>
            </w14:solidFill>
          </w14:textFill>
        </w:rPr>
        <w:t>条第二款的规定经投标人确认后产生约束力，</w:t>
      </w:r>
      <w:r>
        <w:rPr>
          <w:rFonts w:hint="eastAsia" w:ascii="Tahoma" w:hAnsi="Tahoma" w:cs="Tahoma"/>
          <w:b/>
          <w:color w:val="000000" w:themeColor="text1"/>
          <w:kern w:val="0"/>
          <w:szCs w:val="21"/>
          <w:highlight w:val="none"/>
          <w14:textFill>
            <w14:solidFill>
              <w14:schemeClr w14:val="tx1"/>
            </w14:solidFill>
          </w14:textFill>
        </w:rPr>
        <w:t>投标人不确认的，其投标无效。</w:t>
      </w:r>
    </w:p>
    <w:p>
      <w:pPr>
        <w:spacing w:line="340" w:lineRule="exact"/>
        <w:rPr>
          <w:rFonts w:ascii="Tahoma" w:hAnsi="Tahoma" w:cs="Tahoma"/>
          <w:b/>
          <w:color w:val="000000" w:themeColor="text1"/>
          <w:highlight w:val="none"/>
          <w14:textFill>
            <w14:solidFill>
              <w14:schemeClr w14:val="tx1"/>
            </w14:solidFill>
          </w14:textFill>
        </w:rPr>
      </w:pPr>
      <w:r>
        <w:rPr>
          <w:rFonts w:ascii="Tahoma" w:hAnsi="Tahoma" w:cs="Tahoma"/>
          <w:b/>
          <w:color w:val="000000" w:themeColor="text1"/>
          <w:highlight w:val="none"/>
          <w14:textFill>
            <w14:solidFill>
              <w14:schemeClr w14:val="tx1"/>
            </w14:solidFill>
          </w14:textFill>
        </w:rPr>
        <w:t>3.3 比较与评价</w:t>
      </w:r>
    </w:p>
    <w:p>
      <w:pPr>
        <w:spacing w:line="340" w:lineRule="exact"/>
        <w:rPr>
          <w:rFonts w:ascii="Tahoma" w:hAnsi="Tahoma" w:cs="Tahoma"/>
          <w:color w:val="000000" w:themeColor="text1"/>
          <w:highlight w:val="none"/>
          <w14:textFill>
            <w14:solidFill>
              <w14:schemeClr w14:val="tx1"/>
            </w14:solidFill>
          </w14:textFill>
        </w:rPr>
      </w:pPr>
      <w:r>
        <w:rPr>
          <w:rFonts w:ascii="Tahoma" w:hAnsi="Tahoma" w:cs="Tahoma"/>
          <w:color w:val="000000" w:themeColor="text1"/>
          <w:highlight w:val="none"/>
          <w14:textFill>
            <w14:solidFill>
              <w14:schemeClr w14:val="tx1"/>
            </w14:solidFill>
          </w14:textFill>
        </w:rPr>
        <w:t>3.3.1评标委员会按照招标文件中规定的评标方法和标准，对符合性审查合格的投标文件进行商务和技术评估，综合比较与评价。评价投标文件是否符合招标文件的商务、技术等实质性要求。</w:t>
      </w:r>
    </w:p>
    <w:p>
      <w:pPr>
        <w:spacing w:line="340" w:lineRule="exact"/>
        <w:rPr>
          <w:rFonts w:ascii="Tahoma" w:cs="Tahoma"/>
          <w:color w:val="000000" w:themeColor="text1"/>
          <w:highlight w:val="none"/>
          <w14:textFill>
            <w14:solidFill>
              <w14:schemeClr w14:val="tx1"/>
            </w14:solidFill>
          </w14:textFill>
        </w:rPr>
      </w:pPr>
      <w:r>
        <w:rPr>
          <w:rFonts w:hint="eastAsia" w:ascii="Tahoma" w:hAnsi="Tahoma" w:cs="Tahoma"/>
          <w:color w:val="000000" w:themeColor="text1"/>
          <w:highlight w:val="none"/>
          <w14:textFill>
            <w14:solidFill>
              <w14:schemeClr w14:val="tx1"/>
            </w14:solidFill>
          </w14:textFill>
        </w:rPr>
        <w:t>3.3</w:t>
      </w:r>
      <w:r>
        <w:rPr>
          <w:rFonts w:ascii="Tahoma" w:hAnsi="Tahoma" w:cs="Tahoma"/>
          <w:color w:val="000000" w:themeColor="text1"/>
          <w:highlight w:val="none"/>
          <w14:textFill>
            <w14:solidFill>
              <w14:schemeClr w14:val="tx1"/>
            </w14:solidFill>
          </w14:textFill>
        </w:rPr>
        <w:t>.2</w:t>
      </w:r>
      <w:r>
        <w:rPr>
          <w:rFonts w:hint="eastAsia" w:ascii="Tahoma" w:cs="Tahoma"/>
          <w:color w:val="000000" w:themeColor="text1"/>
          <w:highlight w:val="none"/>
          <w14:textFill>
            <w14:solidFill>
              <w14:schemeClr w14:val="tx1"/>
            </w14:solidFill>
          </w14:textFill>
        </w:rPr>
        <w:t>评标委员会按招标文件规定的评审因素和量化指标由评标委员会采用综合评分法对投标文件进行综合评分。评审时，各成员应当独立对每个全部实质性响应的投标文件进行评价、打分，然后汇总每个供应商每项评分因素的得分。</w:t>
      </w:r>
    </w:p>
    <w:p>
      <w:pPr>
        <w:spacing w:line="340" w:lineRule="exact"/>
        <w:rPr>
          <w:rFonts w:ascii="Tahoma" w:hAnsi="Tahoma" w:cs="Tahoma"/>
          <w:color w:val="000000" w:themeColor="text1"/>
          <w:highlight w:val="none"/>
          <w14:textFill>
            <w14:solidFill>
              <w14:schemeClr w14:val="tx1"/>
            </w14:solidFill>
          </w14:textFill>
        </w:rPr>
      </w:pPr>
      <w:r>
        <w:rPr>
          <w:rFonts w:hint="eastAsia" w:ascii="Tahoma" w:hAnsi="Tahoma" w:cs="Tahoma"/>
          <w:color w:val="000000" w:themeColor="text1"/>
          <w:highlight w:val="none"/>
          <w14:textFill>
            <w14:solidFill>
              <w14:schemeClr w14:val="tx1"/>
            </w14:solidFill>
          </w14:textFill>
        </w:rPr>
        <w:t>3.3.3对于非专门面向中小企业的项目，对小型和微型企业产品的价格扣除，按“投标须知前附表”中的第10.3.2款的规定，用扣除后的价格参与评审。</w:t>
      </w:r>
    </w:p>
    <w:p>
      <w:pPr>
        <w:spacing w:line="340" w:lineRule="exact"/>
        <w:rPr>
          <w:rFonts w:ascii="Tahoma" w:cs="Tahoma"/>
          <w:color w:val="000000" w:themeColor="text1"/>
          <w:highlight w:val="none"/>
          <w14:textFill>
            <w14:solidFill>
              <w14:schemeClr w14:val="tx1"/>
            </w14:solidFill>
          </w14:textFill>
        </w:rPr>
      </w:pPr>
      <w:r>
        <w:rPr>
          <w:rFonts w:hint="eastAsia" w:ascii="Tahoma" w:hAnsi="Tahoma" w:cs="Tahoma"/>
          <w:color w:val="000000" w:themeColor="text1"/>
          <w:highlight w:val="none"/>
          <w14:textFill>
            <w14:solidFill>
              <w14:schemeClr w14:val="tx1"/>
            </w14:solidFill>
          </w14:textFill>
        </w:rPr>
        <w:t>3.3.4对于非专门面向中小企业的项目，采用联合体投标的，符合“投标人须知”正文第1.4.4条规定的投标人产品的价格扣除按1.4.4条的规定，用扣除后的价格参与评审。</w:t>
      </w:r>
    </w:p>
    <w:p>
      <w:pPr>
        <w:spacing w:line="340" w:lineRule="exact"/>
        <w:rPr>
          <w:rFonts w:ascii="Tahoma" w:hAnsi="Tahoma" w:cs="Tahoma"/>
          <w:color w:val="000000" w:themeColor="text1"/>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3.3.5</w:t>
      </w:r>
      <w:r>
        <w:rPr>
          <w:b/>
          <w:color w:val="000000" w:themeColor="text1"/>
          <w:highlight w:val="none"/>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ascii="Tahoma" w:hAnsi="Tahoma" w:cs="Tahoma"/>
          <w:color w:val="000000" w:themeColor="text1"/>
          <w:szCs w:val="21"/>
          <w:highlight w:val="none"/>
          <w14:textFill>
            <w14:solidFill>
              <w14:schemeClr w14:val="tx1"/>
            </w14:solidFill>
          </w14:textFill>
        </w:rPr>
        <w:t>。</w:t>
      </w:r>
    </w:p>
    <w:p>
      <w:pPr>
        <w:spacing w:line="340" w:lineRule="exact"/>
        <w:rPr>
          <w:color w:val="000000" w:themeColor="text1"/>
          <w:highlight w:val="none"/>
          <w14:textFill>
            <w14:solidFill>
              <w14:schemeClr w14:val="tx1"/>
            </w14:solidFill>
          </w14:textFill>
        </w:rPr>
      </w:pPr>
      <w:r>
        <w:rPr>
          <w:rFonts w:hint="eastAsia" w:ascii="Tahoma" w:cs="Tahoma"/>
          <w:color w:val="000000" w:themeColor="text1"/>
          <w:highlight w:val="none"/>
          <w14:textFill>
            <w14:solidFill>
              <w14:schemeClr w14:val="tx1"/>
            </w14:solidFill>
          </w14:textFill>
        </w:rPr>
        <w:t>3.3.6</w:t>
      </w:r>
      <w:r>
        <w:rPr>
          <w:rFonts w:hint="eastAsia"/>
          <w:color w:val="000000" w:themeColor="text1"/>
          <w:highlight w:val="none"/>
          <w14:textFill>
            <w14:solidFill>
              <w14:schemeClr w14:val="tx1"/>
            </w14:solidFill>
          </w14:textFill>
        </w:rPr>
        <w:t>在</w:t>
      </w:r>
      <w:r>
        <w:rPr>
          <w:color w:val="000000" w:themeColor="text1"/>
          <w:highlight w:val="none"/>
          <w14:textFill>
            <w14:solidFill>
              <w14:schemeClr w14:val="tx1"/>
            </w14:solidFill>
          </w14:textFill>
        </w:rPr>
        <w:t>评审过程中出现投标人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340" w:lineRule="exact"/>
        <w:ind w:firstLine="424"/>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非单一产品采购项目，采购人应当根据采购项目技术构成、产品价格比重等合理确定核心产品，并在招标文件中载明。多家投标人提供的核心产品品牌相同的，按前两款规定处理。</w:t>
      </w:r>
    </w:p>
    <w:p>
      <w:pPr>
        <w:spacing w:line="340" w:lineRule="exact"/>
        <w:rPr>
          <w:color w:val="000000" w:themeColor="text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3.3</w:t>
      </w:r>
      <w:r>
        <w:rPr>
          <w:rFonts w:ascii="Tahoma" w:hAnsi="Tahoma" w:cs="Tahoma"/>
          <w:color w:val="000000" w:themeColor="text1"/>
          <w:szCs w:val="21"/>
          <w:highlight w:val="none"/>
          <w14:textFill>
            <w14:solidFill>
              <w14:schemeClr w14:val="tx1"/>
            </w14:solidFill>
          </w14:textFill>
        </w:rPr>
        <w:t>.</w:t>
      </w:r>
      <w:r>
        <w:rPr>
          <w:rFonts w:hint="eastAsia" w:ascii="Tahoma" w:hAnsi="Tahoma" w:cs="Tahoma"/>
          <w:color w:val="000000" w:themeColor="text1"/>
          <w:szCs w:val="21"/>
          <w:highlight w:val="none"/>
          <w14:textFill>
            <w14:solidFill>
              <w14:schemeClr w14:val="tx1"/>
            </w14:solidFill>
          </w14:textFill>
        </w:rPr>
        <w:t>7经评审后</w:t>
      </w:r>
      <w:r>
        <w:rPr>
          <w:rFonts w:ascii="Tahoma" w:hAnsi="Tahoma" w:cs="Tahoma"/>
          <w:color w:val="000000" w:themeColor="text1"/>
          <w:szCs w:val="21"/>
          <w:highlight w:val="none"/>
          <w14:textFill>
            <w14:solidFill>
              <w14:schemeClr w14:val="tx1"/>
            </w14:solidFill>
          </w14:textFill>
        </w:rPr>
        <w:t>，若出现符合本须知规定的所有投标条件的投标人不足三家情形的，本次招标终止，除采购任务取消情形外，招标单位将依法重新组织招标或者采取其他方式采购。</w:t>
      </w:r>
    </w:p>
    <w:p>
      <w:pPr>
        <w:spacing w:line="340" w:lineRule="exact"/>
        <w:rPr>
          <w:rFonts w:ascii="Tahoma" w:hAnsi="Tahoma" w:cs="Tahoma"/>
          <w:b/>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3.4</w:t>
      </w:r>
      <w:r>
        <w:rPr>
          <w:rFonts w:ascii="Arial" w:hAnsi="Arial" w:cs="Arial"/>
          <w:b/>
          <w:color w:val="000000" w:themeColor="text1"/>
          <w:kern w:val="0"/>
          <w:szCs w:val="21"/>
          <w:highlight w:val="none"/>
          <w14:textFill>
            <w14:solidFill>
              <w14:schemeClr w14:val="tx1"/>
            </w14:solidFill>
          </w14:textFill>
        </w:rPr>
        <w:t>推荐中标候选</w:t>
      </w:r>
      <w:r>
        <w:rPr>
          <w:rFonts w:hint="eastAsia" w:ascii="Arial" w:hAnsi="Arial" w:cs="Arial"/>
          <w:b/>
          <w:color w:val="000000" w:themeColor="text1"/>
          <w:kern w:val="0"/>
          <w:szCs w:val="21"/>
          <w:highlight w:val="none"/>
          <w14:textFill>
            <w14:solidFill>
              <w14:schemeClr w14:val="tx1"/>
            </w14:solidFill>
          </w14:textFill>
        </w:rPr>
        <w:t>人</w:t>
      </w:r>
    </w:p>
    <w:p>
      <w:pPr>
        <w:spacing w:line="34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3.4.1</w:t>
      </w:r>
      <w:r>
        <w:rPr>
          <w:rFonts w:ascii="Tahoma" w:cs="Tahoma"/>
          <w:color w:val="000000" w:themeColor="text1"/>
          <w:szCs w:val="21"/>
          <w:highlight w:val="none"/>
          <w14:textFill>
            <w14:solidFill>
              <w14:schemeClr w14:val="tx1"/>
            </w14:solidFill>
          </w14:textFill>
        </w:rPr>
        <w:t>中标候选供应商数量</w:t>
      </w:r>
      <w:r>
        <w:rPr>
          <w:rFonts w:hint="eastAsia" w:ascii="Tahoma" w:cs="Tahoma"/>
          <w:color w:val="000000" w:themeColor="text1"/>
          <w:szCs w:val="21"/>
          <w:highlight w:val="none"/>
          <w14:textFill>
            <w14:solidFill>
              <w14:schemeClr w14:val="tx1"/>
            </w14:solidFill>
          </w14:textFill>
        </w:rPr>
        <w:t>为3人</w:t>
      </w:r>
      <w:r>
        <w:rPr>
          <w:rFonts w:ascii="Tahoma" w:cs="Tahoma"/>
          <w:color w:val="000000" w:themeColor="text1"/>
          <w:szCs w:val="21"/>
          <w:highlight w:val="none"/>
          <w14:textFill>
            <w14:solidFill>
              <w14:schemeClr w14:val="tx1"/>
            </w14:solidFill>
          </w14:textFill>
        </w:rPr>
        <w:t>，但必须按顺序排列中标候选供应商。</w:t>
      </w:r>
      <w:r>
        <w:rPr>
          <w:rFonts w:ascii="Tahoma" w:hAnsi="Tahoma" w:cs="Tahoma"/>
          <w:color w:val="000000" w:themeColor="text1"/>
          <w:szCs w:val="21"/>
          <w:highlight w:val="none"/>
          <w14:textFill>
            <w14:solidFill>
              <w14:schemeClr w14:val="tx1"/>
            </w14:solidFill>
          </w14:textFill>
        </w:rPr>
        <w:t xml:space="preserve"> </w:t>
      </w:r>
    </w:p>
    <w:p>
      <w:pPr>
        <w:spacing w:line="340" w:lineRule="exact"/>
        <w:rPr>
          <w:color w:val="000000" w:themeColor="text1"/>
          <w:highlight w:val="none"/>
          <w14:textFill>
            <w14:solidFill>
              <w14:schemeClr w14:val="tx1"/>
            </w14:solidFill>
          </w14:textFill>
        </w:rPr>
      </w:pPr>
      <w:r>
        <w:rPr>
          <w:rFonts w:ascii="Tahoma" w:hAnsi="Tahoma" w:cs="Tahoma"/>
          <w:color w:val="000000" w:themeColor="text1"/>
          <w:highlight w:val="none"/>
          <w14:textFill>
            <w14:solidFill>
              <w14:schemeClr w14:val="tx1"/>
            </w14:solidFill>
          </w14:textFill>
        </w:rPr>
        <w:t>3.4.2</w:t>
      </w:r>
      <w:r>
        <w:rPr>
          <w:color w:val="000000" w:themeColor="text1"/>
          <w:highlight w:val="none"/>
          <w14:textFill>
            <w14:solidFill>
              <w14:schemeClr w14:val="tx1"/>
            </w14:solidFill>
          </w14:textFill>
        </w:rPr>
        <w:t>评标委员会对</w:t>
      </w:r>
      <w:r>
        <w:rPr>
          <w:rFonts w:hint="eastAsia"/>
          <w:color w:val="000000" w:themeColor="text1"/>
          <w:highlight w:val="none"/>
          <w14:textFill>
            <w14:solidFill>
              <w14:schemeClr w14:val="tx1"/>
            </w14:solidFill>
          </w14:textFill>
        </w:rPr>
        <w:t>全部</w:t>
      </w:r>
      <w:r>
        <w:rPr>
          <w:color w:val="000000" w:themeColor="text1"/>
          <w:highlight w:val="none"/>
          <w14:textFill>
            <w14:solidFill>
              <w14:schemeClr w14:val="tx1"/>
            </w14:solidFill>
          </w14:textFill>
        </w:rPr>
        <w:t>满足招标文件实质性要求前提下，按照招标文件中规定的各项因素进行综合评审后，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40" w:lineRule="exact"/>
        <w:rPr>
          <w:rFonts w:ascii="Tahoma" w:hAnsi="Tahoma" w:cs="Tahoma"/>
          <w:b/>
          <w:color w:val="000000" w:themeColor="text1"/>
          <w:highlight w:val="none"/>
          <w14:textFill>
            <w14:solidFill>
              <w14:schemeClr w14:val="tx1"/>
            </w14:solidFill>
          </w14:textFill>
        </w:rPr>
      </w:pPr>
      <w:r>
        <w:rPr>
          <w:rFonts w:ascii="Tahoma" w:hAnsi="Tahoma" w:cs="Tahoma"/>
          <w:b/>
          <w:color w:val="000000" w:themeColor="text1"/>
          <w:highlight w:val="none"/>
          <w14:textFill>
            <w14:solidFill>
              <w14:schemeClr w14:val="tx1"/>
            </w14:solidFill>
          </w14:textFill>
        </w:rPr>
        <w:t>3.5</w:t>
      </w:r>
      <w:r>
        <w:rPr>
          <w:rFonts w:ascii="Tahoma" w:cs="Tahoma"/>
          <w:b/>
          <w:color w:val="000000" w:themeColor="text1"/>
          <w:highlight w:val="none"/>
          <w14:textFill>
            <w14:solidFill>
              <w14:schemeClr w14:val="tx1"/>
            </w14:solidFill>
          </w14:textFill>
        </w:rPr>
        <w:t>编写评标报告</w:t>
      </w:r>
    </w:p>
    <w:p>
      <w:pPr>
        <w:spacing w:line="340" w:lineRule="exact"/>
        <w:rPr>
          <w:rFonts w:ascii="Tahoma" w:hAnsi="Tahoma" w:cs="Tahoma"/>
          <w:color w:val="000000" w:themeColor="text1"/>
          <w:highlight w:val="none"/>
          <w14:textFill>
            <w14:solidFill>
              <w14:schemeClr w14:val="tx1"/>
            </w14:solidFill>
          </w14:textFill>
        </w:rPr>
      </w:pPr>
      <w:r>
        <w:rPr>
          <w:rFonts w:ascii="Tahoma" w:hAnsi="Tahoma" w:cs="Tahoma"/>
          <w:color w:val="000000" w:themeColor="text1"/>
          <w:highlight w:val="none"/>
          <w14:textFill>
            <w14:solidFill>
              <w14:schemeClr w14:val="tx1"/>
            </w14:solidFill>
          </w14:textFill>
        </w:rPr>
        <w:t>3.5.1</w:t>
      </w:r>
      <w:r>
        <w:rPr>
          <w:rFonts w:ascii="Tahoma" w:cs="Tahoma"/>
          <w:color w:val="000000" w:themeColor="text1"/>
          <w:highlight w:val="none"/>
          <w14:textFill>
            <w14:solidFill>
              <w14:schemeClr w14:val="tx1"/>
            </w14:solidFill>
          </w14:textFill>
        </w:rPr>
        <w:t>评标委员会完成评标后，根据全体评标成员签字的原始评标记录和评标结果编写评标报告。评标报告应当包括以下内容：</w:t>
      </w:r>
      <w:r>
        <w:rPr>
          <w:rFonts w:ascii="Tahoma" w:hAnsi="Tahoma" w:cs="Tahoma"/>
          <w:color w:val="000000" w:themeColor="text1"/>
          <w:highlight w:val="none"/>
          <w14:textFill>
            <w14:solidFill>
              <w14:schemeClr w14:val="tx1"/>
            </w14:solidFill>
          </w14:textFill>
        </w:rPr>
        <w:t xml:space="preserve"> </w:t>
      </w:r>
    </w:p>
    <w:p>
      <w:pPr>
        <w:spacing w:line="340" w:lineRule="exact"/>
        <w:ind w:firstLine="210" w:firstLineChars="100"/>
        <w:rPr>
          <w:rFonts w:ascii="Tahoma" w:hAnsi="Tahoma" w:cs="Tahoma"/>
          <w:color w:val="000000" w:themeColor="text1"/>
          <w:highlight w:val="none"/>
          <w14:textFill>
            <w14:solidFill>
              <w14:schemeClr w14:val="tx1"/>
            </w14:solidFill>
          </w14:textFill>
        </w:rPr>
      </w:pPr>
      <w:r>
        <w:rPr>
          <w:rFonts w:ascii="Tahoma" w:cs="Tahoma"/>
          <w:color w:val="000000" w:themeColor="text1"/>
          <w:highlight w:val="none"/>
          <w14:textFill>
            <w14:solidFill>
              <w14:schemeClr w14:val="tx1"/>
            </w14:solidFill>
          </w14:textFill>
        </w:rPr>
        <w:t>（一）招标公告刊登的媒体名称、开标日期和地点；</w:t>
      </w:r>
    </w:p>
    <w:p>
      <w:pPr>
        <w:spacing w:line="340" w:lineRule="exact"/>
        <w:ind w:firstLine="210" w:firstLineChars="100"/>
        <w:rPr>
          <w:rFonts w:ascii="Tahoma" w:hAnsi="Tahoma" w:cs="Tahoma"/>
          <w:color w:val="000000" w:themeColor="text1"/>
          <w:highlight w:val="none"/>
          <w14:textFill>
            <w14:solidFill>
              <w14:schemeClr w14:val="tx1"/>
            </w14:solidFill>
          </w14:textFill>
        </w:rPr>
      </w:pPr>
      <w:r>
        <w:rPr>
          <w:rFonts w:ascii="Tahoma" w:cs="Tahoma"/>
          <w:color w:val="000000" w:themeColor="text1"/>
          <w:highlight w:val="none"/>
          <w14:textFill>
            <w14:solidFill>
              <w14:schemeClr w14:val="tx1"/>
            </w14:solidFill>
          </w14:textFill>
        </w:rPr>
        <w:t>（二）投标人名单和评标委员会成员名单；</w:t>
      </w:r>
      <w:r>
        <w:rPr>
          <w:rFonts w:ascii="Tahoma" w:hAnsi="Tahoma" w:cs="Tahoma"/>
          <w:color w:val="000000" w:themeColor="text1"/>
          <w:highlight w:val="none"/>
          <w14:textFill>
            <w14:solidFill>
              <w14:schemeClr w14:val="tx1"/>
            </w14:solidFill>
          </w14:textFill>
        </w:rPr>
        <w:t xml:space="preserve"> </w:t>
      </w:r>
    </w:p>
    <w:p>
      <w:pPr>
        <w:spacing w:line="340" w:lineRule="exact"/>
        <w:ind w:firstLine="210" w:firstLineChars="100"/>
        <w:rPr>
          <w:rFonts w:ascii="Tahoma" w:hAnsi="Tahoma" w:cs="Tahoma"/>
          <w:color w:val="000000" w:themeColor="text1"/>
          <w:highlight w:val="none"/>
          <w14:textFill>
            <w14:solidFill>
              <w14:schemeClr w14:val="tx1"/>
            </w14:solidFill>
          </w14:textFill>
        </w:rPr>
      </w:pPr>
      <w:r>
        <w:rPr>
          <w:rFonts w:ascii="Tahoma" w:cs="Tahoma"/>
          <w:color w:val="000000" w:themeColor="text1"/>
          <w:highlight w:val="none"/>
          <w14:textFill>
            <w14:solidFill>
              <w14:schemeClr w14:val="tx1"/>
            </w14:solidFill>
          </w14:textFill>
        </w:rPr>
        <w:t>（三）评标方法和标准；</w:t>
      </w:r>
    </w:p>
    <w:p>
      <w:pPr>
        <w:spacing w:line="340" w:lineRule="exact"/>
        <w:ind w:firstLine="210" w:firstLineChars="100"/>
        <w:rPr>
          <w:rFonts w:ascii="Tahoma" w:hAnsi="Tahoma" w:cs="Tahoma"/>
          <w:color w:val="000000" w:themeColor="text1"/>
          <w:highlight w:val="none"/>
          <w14:textFill>
            <w14:solidFill>
              <w14:schemeClr w14:val="tx1"/>
            </w14:solidFill>
          </w14:textFill>
        </w:rPr>
      </w:pPr>
      <w:r>
        <w:rPr>
          <w:rFonts w:ascii="Tahoma" w:cs="Tahoma"/>
          <w:color w:val="000000" w:themeColor="text1"/>
          <w:highlight w:val="none"/>
          <w14:textFill>
            <w14:solidFill>
              <w14:schemeClr w14:val="tx1"/>
            </w14:solidFill>
          </w14:textFill>
        </w:rPr>
        <w:t>（四）开标记录和评标情况及说明，包括无效投标人名单及原因；</w:t>
      </w:r>
    </w:p>
    <w:p>
      <w:pPr>
        <w:spacing w:line="340" w:lineRule="exact"/>
        <w:ind w:firstLine="210" w:firstLineChars="100"/>
        <w:rPr>
          <w:rFonts w:ascii="Tahoma" w:hAnsi="Tahoma" w:cs="Tahoma"/>
          <w:color w:val="000000" w:themeColor="text1"/>
          <w:highlight w:val="none"/>
          <w14:textFill>
            <w14:solidFill>
              <w14:schemeClr w14:val="tx1"/>
            </w14:solidFill>
          </w14:textFill>
        </w:rPr>
      </w:pPr>
      <w:r>
        <w:rPr>
          <w:rFonts w:ascii="Tahoma" w:cs="Tahoma"/>
          <w:color w:val="000000" w:themeColor="text1"/>
          <w:highlight w:val="none"/>
          <w14:textFill>
            <w14:solidFill>
              <w14:schemeClr w14:val="tx1"/>
            </w14:solidFill>
          </w14:textFill>
        </w:rPr>
        <w:t>（五）评标结果，确定的中标候选人名单或者经采购人委托直接确定的中标人；</w:t>
      </w:r>
    </w:p>
    <w:p>
      <w:pPr>
        <w:spacing w:line="340" w:lineRule="exact"/>
        <w:ind w:firstLine="210" w:firstLineChars="100"/>
        <w:rPr>
          <w:rFonts w:ascii="Tahoma" w:hAnsi="Tahoma" w:cs="Tahoma"/>
          <w:color w:val="000000" w:themeColor="text1"/>
          <w:highlight w:val="none"/>
          <w14:textFill>
            <w14:solidFill>
              <w14:schemeClr w14:val="tx1"/>
            </w14:solidFill>
          </w14:textFill>
        </w:rPr>
      </w:pPr>
      <w:r>
        <w:rPr>
          <w:rFonts w:ascii="Tahoma" w:cs="Tahoma"/>
          <w:color w:val="000000" w:themeColor="text1"/>
          <w:highlight w:val="none"/>
          <w14:textFill>
            <w14:solidFill>
              <w14:schemeClr w14:val="tx1"/>
            </w14:solidFill>
          </w14:textFill>
        </w:rPr>
        <w:t>（六）其他需要说明的情况，包括评标过程中投标人根据评标委员会要求进行的澄清、说明或者补正，评标委员会成员的更换等。</w:t>
      </w:r>
      <w:r>
        <w:rPr>
          <w:rFonts w:ascii="Tahoma" w:hAnsi="Tahoma" w:cs="Tahoma"/>
          <w:color w:val="000000" w:themeColor="text1"/>
          <w:highlight w:val="none"/>
          <w14:textFill>
            <w14:solidFill>
              <w14:schemeClr w14:val="tx1"/>
            </w14:solidFill>
          </w14:textFill>
        </w:rPr>
        <w:t xml:space="preserve"> </w:t>
      </w:r>
    </w:p>
    <w:p>
      <w:pPr>
        <w:spacing w:line="340" w:lineRule="exact"/>
        <w:rPr>
          <w:rFonts w:ascii="Tahoma" w:hAnsi="Tahoma" w:cs="Tahoma"/>
          <w:color w:val="000000" w:themeColor="text1"/>
          <w:highlight w:val="none"/>
          <w14:textFill>
            <w14:solidFill>
              <w14:schemeClr w14:val="tx1"/>
            </w14:solidFill>
          </w14:textFill>
        </w:rPr>
      </w:pPr>
      <w:r>
        <w:rPr>
          <w:rFonts w:ascii="Tahoma" w:hAnsi="Tahoma" w:cs="Tahoma"/>
          <w:color w:val="000000" w:themeColor="text1"/>
          <w:highlight w:val="none"/>
          <w14:textFill>
            <w14:solidFill>
              <w14:schemeClr w14:val="tx1"/>
            </w14:solidFill>
          </w14:textFill>
        </w:rPr>
        <w:t>3.5.2</w:t>
      </w:r>
      <w:r>
        <w:rPr>
          <w:color w:val="000000" w:themeColor="text1"/>
          <w:highlight w:val="none"/>
          <w14:textFill>
            <w14:solidFill>
              <w14:schemeClr w14:val="tx1"/>
            </w14:solidFill>
          </w14:textFill>
        </w:rPr>
        <w:t>采购代理机构在评标结束后</w:t>
      </w:r>
      <w:r>
        <w:rPr>
          <w:rFonts w:ascii="Tahoma" w:hAnsi="Tahoma" w:cs="Tahoma"/>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个工作日内将评标报告送采购人</w:t>
      </w:r>
      <w:r>
        <w:rPr>
          <w:rFonts w:ascii="Tahoma" w:cs="Tahoma"/>
          <w:color w:val="000000" w:themeColor="text1"/>
          <w:highlight w:val="none"/>
          <w14:textFill>
            <w14:solidFill>
              <w14:schemeClr w14:val="tx1"/>
            </w14:solidFill>
          </w14:textFill>
        </w:rPr>
        <w:t>。</w:t>
      </w:r>
    </w:p>
    <w:p>
      <w:pPr>
        <w:spacing w:line="340" w:lineRule="exact"/>
        <w:rPr>
          <w:rFonts w:ascii="Tahoma" w:hAnsi="Tahoma" w:cs="Tahoma"/>
          <w:b/>
          <w:color w:val="000000" w:themeColor="text1"/>
          <w:highlight w:val="none"/>
          <w14:textFill>
            <w14:solidFill>
              <w14:schemeClr w14:val="tx1"/>
            </w14:solidFill>
          </w14:textFill>
        </w:rPr>
      </w:pPr>
      <w:r>
        <w:rPr>
          <w:rFonts w:ascii="Tahoma" w:hAnsi="Tahoma" w:cs="Tahoma"/>
          <w:b/>
          <w:color w:val="000000" w:themeColor="text1"/>
          <w:highlight w:val="none"/>
          <w14:textFill>
            <w14:solidFill>
              <w14:schemeClr w14:val="tx1"/>
            </w14:solidFill>
          </w14:textFill>
        </w:rPr>
        <w:t>3.</w:t>
      </w:r>
      <w:r>
        <w:rPr>
          <w:rFonts w:hint="eastAsia" w:ascii="Tahoma" w:hAnsi="Tahoma" w:cs="Tahoma"/>
          <w:b/>
          <w:color w:val="000000" w:themeColor="text1"/>
          <w:highlight w:val="none"/>
          <w14:textFill>
            <w14:solidFill>
              <w14:schemeClr w14:val="tx1"/>
            </w14:solidFill>
          </w14:textFill>
        </w:rPr>
        <w:t>6</w:t>
      </w:r>
      <w:r>
        <w:rPr>
          <w:rFonts w:ascii="Tahoma" w:cs="Tahoma"/>
          <w:b/>
          <w:color w:val="000000" w:themeColor="text1"/>
          <w:highlight w:val="none"/>
          <w14:textFill>
            <w14:solidFill>
              <w14:schemeClr w14:val="tx1"/>
            </w14:solidFill>
          </w14:textFill>
        </w:rPr>
        <w:t>确定中标人</w:t>
      </w:r>
    </w:p>
    <w:p>
      <w:pPr>
        <w:spacing w:line="340" w:lineRule="exact"/>
        <w:rPr>
          <w:rFonts w:ascii="Tahoma" w:cs="Tahoma"/>
          <w:color w:val="000000" w:themeColor="text1"/>
          <w:highlight w:val="none"/>
          <w14:textFill>
            <w14:solidFill>
              <w14:schemeClr w14:val="tx1"/>
            </w14:solidFill>
          </w14:textFill>
        </w:rPr>
      </w:pPr>
      <w:r>
        <w:rPr>
          <w:rFonts w:ascii="Tahoma" w:hAnsi="Tahoma" w:cs="Tahoma"/>
          <w:color w:val="000000" w:themeColor="text1"/>
          <w:highlight w:val="none"/>
          <w14:textFill>
            <w14:solidFill>
              <w14:schemeClr w14:val="tx1"/>
            </w14:solidFill>
          </w14:textFill>
        </w:rPr>
        <w:t>3.6.1</w:t>
      </w:r>
      <w:r>
        <w:rPr>
          <w:rFonts w:ascii="Tahoma" w:cs="Tahoma"/>
          <w:color w:val="000000" w:themeColor="text1"/>
          <w:highlight w:val="none"/>
          <w14:textFill>
            <w14:solidFill>
              <w14:schemeClr w14:val="tx1"/>
            </w14:solidFill>
          </w14:textFill>
        </w:rPr>
        <w:t>采购人应当自收到评标报告之日起</w:t>
      </w:r>
      <w:r>
        <w:rPr>
          <w:rFonts w:hint="eastAsia" w:ascii="Tahoma" w:cs="Tahoma"/>
          <w:color w:val="000000" w:themeColor="text1"/>
          <w:highlight w:val="none"/>
          <w14:textFill>
            <w14:solidFill>
              <w14:schemeClr w14:val="tx1"/>
            </w14:solidFill>
          </w14:textFill>
        </w:rPr>
        <w:t>5</w:t>
      </w:r>
      <w:r>
        <w:rPr>
          <w:rFonts w:ascii="Tahoma" w:cs="Tahoma"/>
          <w:color w:val="000000" w:themeColor="text1"/>
          <w:highlight w:val="none"/>
          <w14:textFill>
            <w14:solidFill>
              <w14:schemeClr w14:val="tx1"/>
            </w14:solidFill>
          </w14:textFill>
        </w:rPr>
        <w:t>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spacing w:line="340" w:lineRule="exact"/>
        <w:rPr>
          <w:rFonts w:ascii="Tahoma" w:hAnsi="Tahoma" w:cs="Tahoma"/>
          <w:color w:val="000000" w:themeColor="text1"/>
          <w:highlight w:val="none"/>
          <w14:textFill>
            <w14:solidFill>
              <w14:schemeClr w14:val="tx1"/>
            </w14:solidFill>
          </w14:textFill>
        </w:rPr>
      </w:pPr>
      <w:r>
        <w:rPr>
          <w:rFonts w:ascii="Tahoma" w:hAnsi="Tahoma" w:cs="Tahoma"/>
          <w:color w:val="000000" w:themeColor="text1"/>
          <w:highlight w:val="none"/>
          <w14:textFill>
            <w14:solidFill>
              <w14:schemeClr w14:val="tx1"/>
            </w14:solidFill>
          </w14:textFill>
        </w:rPr>
        <w:t>3.6.</w:t>
      </w:r>
      <w:r>
        <w:rPr>
          <w:rFonts w:hint="eastAsia" w:ascii="Tahoma" w:hAnsi="Tahoma" w:cs="Tahoma"/>
          <w:color w:val="000000" w:themeColor="text1"/>
          <w:highlight w:val="none"/>
          <w14:textFill>
            <w14:solidFill>
              <w14:schemeClr w14:val="tx1"/>
            </w14:solidFill>
          </w14:textFill>
        </w:rPr>
        <w:t>2</w:t>
      </w:r>
      <w:r>
        <w:rPr>
          <w:rFonts w:ascii="Tahoma" w:cs="Tahoma"/>
          <w:color w:val="000000" w:themeColor="text1"/>
          <w:highlight w:val="none"/>
          <w14:textFill>
            <w14:solidFill>
              <w14:schemeClr w14:val="tx1"/>
            </w14:solidFill>
          </w14:textFill>
        </w:rPr>
        <w:t>采购人在收到评标报告</w:t>
      </w:r>
      <w:r>
        <w:rPr>
          <w:rFonts w:ascii="Tahoma" w:hAnsi="Tahoma" w:cs="Tahoma"/>
          <w:color w:val="000000" w:themeColor="text1"/>
          <w:highlight w:val="none"/>
          <w14:textFill>
            <w14:solidFill>
              <w14:schemeClr w14:val="tx1"/>
            </w14:solidFill>
          </w14:textFill>
        </w:rPr>
        <w:t>5</w:t>
      </w:r>
      <w:r>
        <w:rPr>
          <w:rFonts w:ascii="Tahoma" w:cs="Tahoma"/>
          <w:color w:val="000000" w:themeColor="text1"/>
          <w:highlight w:val="none"/>
          <w14:textFill>
            <w14:solidFill>
              <w14:schemeClr w14:val="tx1"/>
            </w14:solidFill>
          </w14:textFill>
        </w:rPr>
        <w:t>个工作日内未按评标报告推荐的中标候选人顺序确定中标人，又不能说明合法理由的，视同按评标报告推荐的顺序确定排名第一的中标候选人为中标人。</w:t>
      </w:r>
    </w:p>
    <w:p>
      <w:pPr>
        <w:spacing w:line="34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3.</w:t>
      </w:r>
      <w:r>
        <w:rPr>
          <w:rFonts w:hint="eastAsia" w:ascii="Tahoma" w:hAnsi="Tahoma" w:cs="Tahoma"/>
          <w:color w:val="000000" w:themeColor="text1"/>
          <w:szCs w:val="21"/>
          <w:highlight w:val="none"/>
          <w14:textFill>
            <w14:solidFill>
              <w14:schemeClr w14:val="tx1"/>
            </w14:solidFill>
          </w14:textFill>
        </w:rPr>
        <w:t>6</w:t>
      </w:r>
      <w:r>
        <w:rPr>
          <w:rFonts w:ascii="Tahoma" w:hAnsi="Tahoma" w:cs="Tahoma"/>
          <w:color w:val="000000" w:themeColor="text1"/>
          <w:szCs w:val="21"/>
          <w:highlight w:val="none"/>
          <w14:textFill>
            <w14:solidFill>
              <w14:schemeClr w14:val="tx1"/>
            </w14:solidFill>
          </w14:textFill>
        </w:rPr>
        <w:t>.</w:t>
      </w:r>
      <w:r>
        <w:rPr>
          <w:rFonts w:hint="eastAsia" w:ascii="Tahoma" w:hAnsi="Tahoma" w:cs="Tahoma"/>
          <w:color w:val="000000" w:themeColor="text1"/>
          <w:szCs w:val="21"/>
          <w:highlight w:val="none"/>
          <w14:textFill>
            <w14:solidFill>
              <w14:schemeClr w14:val="tx1"/>
            </w14:solidFill>
          </w14:textFill>
        </w:rPr>
        <w:t>3</w:t>
      </w:r>
      <w:r>
        <w:rPr>
          <w:rFonts w:ascii="Tahoma" w:hAnsi="Tahoma" w:cs="Tahoma"/>
          <w:color w:val="000000" w:themeColor="text1"/>
          <w:szCs w:val="21"/>
          <w:highlight w:val="none"/>
          <w14:textFill>
            <w14:solidFill>
              <w14:schemeClr w14:val="tx1"/>
            </w14:solidFill>
          </w14:textFill>
        </w:rPr>
        <w:t>如果排名第一的成交候选供应商，因不可抗力或自身原因放弃成交结果，可根据项目所需确定排名第二的成交候选供应商为成交供应商，以此类推。</w:t>
      </w:r>
    </w:p>
    <w:p>
      <w:pPr>
        <w:spacing w:line="340" w:lineRule="exact"/>
        <w:jc w:val="center"/>
        <w:rPr>
          <w:rFonts w:ascii="Tahoma" w:hAnsi="Tahoma" w:cs="Tahoma"/>
          <w:color w:val="000000" w:themeColor="text1"/>
          <w:kern w:val="0"/>
          <w:szCs w:val="21"/>
          <w:highlight w:val="none"/>
          <w14:textFill>
            <w14:solidFill>
              <w14:schemeClr w14:val="tx1"/>
            </w14:solidFill>
          </w14:textFill>
        </w:rPr>
      </w:pPr>
    </w:p>
    <w:p>
      <w:pPr>
        <w:rPr>
          <w:rFonts w:ascii="Tahoma" w:hAnsi="Tahoma" w:cs="Tahoma"/>
          <w:color w:val="000000" w:themeColor="text1"/>
          <w:highlight w:val="none"/>
          <w14:textFill>
            <w14:solidFill>
              <w14:schemeClr w14:val="tx1"/>
            </w14:solidFill>
          </w14:textFill>
        </w:rPr>
        <w:sectPr>
          <w:pgSz w:w="12240" w:h="15840"/>
          <w:pgMar w:top="1440" w:right="1440" w:bottom="1440" w:left="1440" w:header="720" w:footer="720" w:gutter="0"/>
          <w:pgBorders>
            <w:top w:val="none" w:sz="0" w:space="0"/>
            <w:left w:val="none" w:sz="0" w:space="0"/>
            <w:bottom w:val="none" w:sz="0" w:space="0"/>
            <w:right w:val="none" w:sz="0" w:space="0"/>
          </w:pgBorders>
          <w:pgNumType w:fmt="decimal"/>
          <w:cols w:space="720" w:num="1"/>
          <w:docGrid w:linePitch="323" w:charSpace="0"/>
        </w:sectPr>
      </w:pPr>
    </w:p>
    <w:p>
      <w:pPr>
        <w:rPr>
          <w:rFonts w:ascii="Tahoma" w:hAnsi="Tahoma" w:cs="Tahoma"/>
          <w:b/>
          <w:bCs/>
          <w:color w:val="000000" w:themeColor="text1"/>
          <w:highlight w:val="none"/>
          <w14:textFill>
            <w14:solidFill>
              <w14:schemeClr w14:val="tx1"/>
            </w14:solidFill>
          </w14:textFill>
        </w:rPr>
      </w:pPr>
      <w:r>
        <w:rPr>
          <w:rFonts w:hint="eastAsia" w:ascii="Tahoma" w:hAnsi="Tahoma" w:cs="Tahoma"/>
          <w:b/>
          <w:bCs/>
          <w:color w:val="000000" w:themeColor="text1"/>
          <w:highlight w:val="none"/>
          <w14:textFill>
            <w14:solidFill>
              <w14:schemeClr w14:val="tx1"/>
            </w14:solidFill>
          </w14:textFill>
        </w:rPr>
        <w:t>附件</w:t>
      </w:r>
    </w:p>
    <w:p>
      <w:pPr>
        <w:jc w:val="center"/>
        <w:rPr>
          <w:rFonts w:ascii="黑体" w:hAnsi="黑体" w:eastAsia="黑体"/>
          <w:b/>
          <w:bCs/>
          <w:color w:val="000000" w:themeColor="text1"/>
          <w:sz w:val="36"/>
          <w:szCs w:val="36"/>
          <w:highlight w:val="none"/>
          <w14:textFill>
            <w14:solidFill>
              <w14:schemeClr w14:val="tx1"/>
            </w14:solidFill>
          </w14:textFill>
        </w:rPr>
      </w:pPr>
      <w:r>
        <w:rPr>
          <w:rFonts w:hint="eastAsia" w:ascii="黑体" w:hAnsi="黑体" w:eastAsia="黑体"/>
          <w:b/>
          <w:bCs/>
          <w:color w:val="000000" w:themeColor="text1"/>
          <w:sz w:val="36"/>
          <w:szCs w:val="36"/>
          <w:highlight w:val="none"/>
          <w14:textFill>
            <w14:solidFill>
              <w14:schemeClr w14:val="tx1"/>
            </w14:solidFill>
          </w14:textFill>
        </w:rPr>
        <w:t>投标人资格现场监督检查结果表</w:t>
      </w:r>
    </w:p>
    <w:p>
      <w:pPr>
        <w:spacing w:line="320" w:lineRule="exact"/>
        <w:rPr>
          <w:rFonts w:hint="eastAsia" w:ascii="宋体" w:hAnsi="宋体" w:eastAsia="宋体"/>
          <w:b/>
          <w:bCs/>
          <w:color w:val="000000" w:themeColor="text1"/>
          <w:sz w:val="24"/>
          <w:highlight w:val="none"/>
          <w:lang w:eastAsia="zh-CN"/>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项目名称：</w:t>
      </w:r>
      <w:r>
        <w:rPr>
          <w:rFonts w:hint="eastAsia" w:ascii="宋体" w:hAnsi="宋体"/>
          <w:b/>
          <w:bCs/>
          <w:color w:val="000000" w:themeColor="text1"/>
          <w:sz w:val="24"/>
          <w:highlight w:val="none"/>
          <w:lang w:eastAsia="zh-CN"/>
          <w14:textFill>
            <w14:solidFill>
              <w14:schemeClr w14:val="tx1"/>
            </w14:solidFill>
          </w14:textFill>
        </w:rPr>
        <w:t>和田地区和田县人民医院综合能力提升及信息化建设项目</w:t>
      </w:r>
    </w:p>
    <w:p>
      <w:pPr>
        <w:spacing w:line="240" w:lineRule="atLeast"/>
        <w:rPr>
          <w:rFonts w:ascii="Tahoma" w:hAnsi="Tahoma" w:cs="Tahoma"/>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项目编号：</w:t>
      </w:r>
      <w:r>
        <w:rPr>
          <w:rFonts w:hint="eastAsia" w:ascii="宋体" w:hAnsi="宋体"/>
          <w:b/>
          <w:bCs/>
          <w:color w:val="000000" w:themeColor="text1"/>
          <w:sz w:val="24"/>
          <w:highlight w:val="none"/>
          <w:lang w:eastAsia="zh-CN"/>
          <w14:textFill>
            <w14:solidFill>
              <w14:schemeClr w14:val="tx1"/>
            </w14:solidFill>
          </w14:textFill>
        </w:rPr>
        <w:t>HTXZFCG（2022FS）039号</w:t>
      </w:r>
      <w:r>
        <w:rPr>
          <w:rFonts w:hint="eastAsia" w:ascii="Trebuchet MS" w:hAnsi="宋体" w:cs="宋体"/>
          <w:color w:val="000000" w:themeColor="text1"/>
          <w:sz w:val="24"/>
          <w:highlight w:val="none"/>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日期： 20</w:t>
      </w:r>
      <w:r>
        <w:rPr>
          <w:rFonts w:hint="eastAsia" w:ascii="宋体" w:hAnsi="宋体"/>
          <w:b/>
          <w:bCs/>
          <w:color w:val="000000" w:themeColor="text1"/>
          <w:sz w:val="24"/>
          <w:highlight w:val="none"/>
          <w:lang w:val="en-US" w:eastAsia="zh-CN"/>
          <w14:textFill>
            <w14:solidFill>
              <w14:schemeClr w14:val="tx1"/>
            </w14:solidFill>
          </w14:textFill>
        </w:rPr>
        <w:t>22</w:t>
      </w:r>
      <w:r>
        <w:rPr>
          <w:rFonts w:hint="eastAsia" w:ascii="宋体" w:hAnsi="宋体"/>
          <w:b/>
          <w:bCs/>
          <w:color w:val="000000" w:themeColor="text1"/>
          <w:sz w:val="24"/>
          <w:highlight w:val="none"/>
          <w14:textFill>
            <w14:solidFill>
              <w14:schemeClr w14:val="tx1"/>
            </w14:solidFill>
          </w14:textFill>
        </w:rPr>
        <w:t>年</w:t>
      </w:r>
      <w:r>
        <w:rPr>
          <w:rFonts w:hint="eastAsia" w:ascii="宋体" w:hAnsi="宋体"/>
          <w:b/>
          <w:bCs/>
          <w:color w:val="000000" w:themeColor="text1"/>
          <w:sz w:val="24"/>
          <w:highlight w:val="none"/>
          <w:lang w:val="en-US" w:eastAsia="zh-CN"/>
          <w14:textFill>
            <w14:solidFill>
              <w14:schemeClr w14:val="tx1"/>
            </w14:solidFill>
          </w14:textFill>
        </w:rPr>
        <w:t>6</w:t>
      </w:r>
      <w:r>
        <w:rPr>
          <w:rFonts w:hint="eastAsia" w:ascii="宋体" w:hAnsi="宋体"/>
          <w:b/>
          <w:bCs/>
          <w:color w:val="000000" w:themeColor="text1"/>
          <w:sz w:val="24"/>
          <w:highlight w:val="none"/>
          <w14:textFill>
            <w14:solidFill>
              <w14:schemeClr w14:val="tx1"/>
            </w14:solidFill>
          </w14:textFill>
        </w:rPr>
        <w:t>月</w:t>
      </w:r>
      <w:r>
        <w:rPr>
          <w:rFonts w:hint="eastAsia" w:ascii="宋体" w:hAnsi="宋体"/>
          <w:b/>
          <w:bCs/>
          <w:color w:val="000000" w:themeColor="text1"/>
          <w:sz w:val="24"/>
          <w:highlight w:val="none"/>
          <w:lang w:val="en-US" w:eastAsia="zh-CN"/>
          <w14:textFill>
            <w14:solidFill>
              <w14:schemeClr w14:val="tx1"/>
            </w14:solidFill>
          </w14:textFill>
        </w:rPr>
        <w:t>14</w:t>
      </w:r>
      <w:r>
        <w:rPr>
          <w:rFonts w:hint="eastAsia" w:ascii="宋体" w:hAnsi="宋体"/>
          <w:b/>
          <w:bCs/>
          <w:color w:val="000000" w:themeColor="text1"/>
          <w:sz w:val="24"/>
          <w:highlight w:val="none"/>
          <w14:textFill>
            <w14:solidFill>
              <w14:schemeClr w14:val="tx1"/>
            </w14:solidFill>
          </w14:textFill>
        </w:rPr>
        <w:t>日</w:t>
      </w:r>
    </w:p>
    <w:tbl>
      <w:tblPr>
        <w:tblStyle w:val="20"/>
        <w:tblW w:w="15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3399"/>
        <w:gridCol w:w="1636"/>
        <w:gridCol w:w="2760"/>
        <w:gridCol w:w="1577"/>
        <w:gridCol w:w="2452"/>
        <w:gridCol w:w="1645"/>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jc w:val="center"/>
        </w:trPr>
        <w:tc>
          <w:tcPr>
            <w:tcW w:w="494" w:type="dxa"/>
            <w:vAlign w:val="center"/>
          </w:tcPr>
          <w:p>
            <w:pPr>
              <w:spacing w:line="240" w:lineRule="atLeast"/>
              <w:jc w:val="center"/>
              <w:rPr>
                <w:rFonts w:ascii="Trebuchet MS" w:hAnsi="Trebuchet MS" w:cs="宋体"/>
                <w:b/>
                <w:bCs/>
                <w:color w:val="000000" w:themeColor="text1"/>
                <w:szCs w:val="21"/>
                <w:highlight w:val="none"/>
                <w14:textFill>
                  <w14:solidFill>
                    <w14:schemeClr w14:val="tx1"/>
                  </w14:solidFill>
                </w14:textFill>
              </w:rPr>
            </w:pPr>
            <w:r>
              <w:rPr>
                <w:rFonts w:hint="eastAsia" w:ascii="Trebuchet MS" w:hAnsi="Trebuchet MS" w:cs="宋体"/>
                <w:b/>
                <w:bCs/>
                <w:color w:val="000000" w:themeColor="text1"/>
                <w:szCs w:val="21"/>
                <w:highlight w:val="none"/>
                <w14:textFill>
                  <w14:solidFill>
                    <w14:schemeClr w14:val="tx1"/>
                  </w14:solidFill>
                </w14:textFill>
              </w:rPr>
              <w:t>序号</w:t>
            </w:r>
          </w:p>
        </w:tc>
        <w:tc>
          <w:tcPr>
            <w:tcW w:w="3399" w:type="dxa"/>
            <w:tcBorders>
              <w:tl2br w:val="single" w:color="auto" w:sz="4" w:space="0"/>
            </w:tcBorders>
          </w:tcPr>
          <w:p>
            <w:pPr>
              <w:spacing w:line="240" w:lineRule="atLeast"/>
              <w:ind w:firstLine="2319" w:firstLineChars="1100"/>
              <w:rPr>
                <w:rFonts w:ascii="Trebuchet MS" w:hAnsi="Trebuchet MS" w:cs="宋体"/>
                <w:b/>
                <w:bCs/>
                <w:color w:val="000000" w:themeColor="text1"/>
                <w:szCs w:val="21"/>
                <w:highlight w:val="none"/>
                <w14:textFill>
                  <w14:solidFill>
                    <w14:schemeClr w14:val="tx1"/>
                  </w14:solidFill>
                </w14:textFill>
              </w:rPr>
            </w:pPr>
            <w:r>
              <w:rPr>
                <w:rFonts w:hint="eastAsia" w:ascii="Trebuchet MS" w:hAnsi="Trebuchet MS" w:cs="宋体"/>
                <w:b/>
                <w:bCs/>
                <w:color w:val="000000" w:themeColor="text1"/>
                <w:szCs w:val="21"/>
                <w:highlight w:val="none"/>
                <w14:textFill>
                  <w14:solidFill>
                    <w14:schemeClr w14:val="tx1"/>
                  </w14:solidFill>
                </w14:textFill>
              </w:rPr>
              <w:t>审查项目</w:t>
            </w:r>
          </w:p>
          <w:p>
            <w:pPr>
              <w:spacing w:line="240" w:lineRule="atLeast"/>
              <w:rPr>
                <w:rFonts w:ascii="Trebuchet MS" w:hAnsi="Trebuchet MS" w:cs="宋体"/>
                <w:b/>
                <w:bCs/>
                <w:color w:val="000000" w:themeColor="text1"/>
                <w:szCs w:val="21"/>
                <w:highlight w:val="none"/>
                <w14:textFill>
                  <w14:solidFill>
                    <w14:schemeClr w14:val="tx1"/>
                  </w14:solidFill>
                </w14:textFill>
              </w:rPr>
            </w:pPr>
          </w:p>
          <w:p>
            <w:pPr>
              <w:spacing w:line="240" w:lineRule="atLeast"/>
              <w:rPr>
                <w:rFonts w:ascii="Trebuchet MS" w:hAnsi="Trebuchet MS" w:cs="宋体"/>
                <w:b/>
                <w:bCs/>
                <w:color w:val="000000" w:themeColor="text1"/>
                <w:szCs w:val="21"/>
                <w:highlight w:val="none"/>
                <w14:textFill>
                  <w14:solidFill>
                    <w14:schemeClr w14:val="tx1"/>
                  </w14:solidFill>
                </w14:textFill>
              </w:rPr>
            </w:pPr>
          </w:p>
          <w:p>
            <w:pPr>
              <w:spacing w:line="240" w:lineRule="atLeast"/>
              <w:rPr>
                <w:rFonts w:ascii="Trebuchet MS" w:hAnsi="Trebuchet MS" w:cs="宋体"/>
                <w:b/>
                <w:bCs/>
                <w:color w:val="000000" w:themeColor="text1"/>
                <w:szCs w:val="21"/>
                <w:highlight w:val="none"/>
                <w14:textFill>
                  <w14:solidFill>
                    <w14:schemeClr w14:val="tx1"/>
                  </w14:solidFill>
                </w14:textFill>
              </w:rPr>
            </w:pPr>
          </w:p>
          <w:p>
            <w:pPr>
              <w:spacing w:line="240" w:lineRule="atLeast"/>
              <w:rPr>
                <w:rFonts w:ascii="Trebuchet MS" w:hAnsi="Trebuchet MS" w:cs="宋体"/>
                <w:b/>
                <w:bCs/>
                <w:color w:val="000000" w:themeColor="text1"/>
                <w:szCs w:val="21"/>
                <w:highlight w:val="none"/>
                <w14:textFill>
                  <w14:solidFill>
                    <w14:schemeClr w14:val="tx1"/>
                  </w14:solidFill>
                </w14:textFill>
              </w:rPr>
            </w:pPr>
          </w:p>
          <w:p>
            <w:pPr>
              <w:spacing w:line="240" w:lineRule="atLeast"/>
              <w:rPr>
                <w:rFonts w:ascii="Trebuchet MS" w:hAnsi="Trebuchet MS" w:cs="宋体"/>
                <w:b/>
                <w:bCs/>
                <w:color w:val="000000" w:themeColor="text1"/>
                <w:szCs w:val="21"/>
                <w:highlight w:val="none"/>
                <w14:textFill>
                  <w14:solidFill>
                    <w14:schemeClr w14:val="tx1"/>
                  </w14:solidFill>
                </w14:textFill>
              </w:rPr>
            </w:pPr>
            <w:r>
              <w:rPr>
                <w:rFonts w:hint="eastAsia" w:ascii="Trebuchet MS" w:hAnsi="Trebuchet MS" w:cs="宋体"/>
                <w:b/>
                <w:bCs/>
                <w:color w:val="000000" w:themeColor="text1"/>
                <w:szCs w:val="21"/>
                <w:highlight w:val="none"/>
                <w14:textFill>
                  <w14:solidFill>
                    <w14:schemeClr w14:val="tx1"/>
                  </w14:solidFill>
                </w14:textFill>
              </w:rPr>
              <w:t>投标人</w:t>
            </w:r>
          </w:p>
        </w:tc>
        <w:tc>
          <w:tcPr>
            <w:tcW w:w="1636" w:type="dxa"/>
            <w:vAlign w:val="center"/>
          </w:tcPr>
          <w:p>
            <w:pPr>
              <w:spacing w:line="240" w:lineRule="atLeas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（营业执照、税务登记证、组织机构代码证）或三证合一</w:t>
            </w:r>
          </w:p>
        </w:tc>
        <w:tc>
          <w:tcPr>
            <w:tcW w:w="2760" w:type="dxa"/>
            <w:vAlign w:val="center"/>
          </w:tcPr>
          <w:p>
            <w:pPr>
              <w:spacing w:line="240" w:lineRule="atLeas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法人提供法人身份证明文件及身份证、法人委托人须提供法人代表授权书（授权书需附法人身份证及委托人身份证复印件）</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委托人身份证</w:t>
            </w:r>
            <w:r>
              <w:rPr>
                <w:rFonts w:hint="eastAsia" w:ascii="Tahoma" w:hAnsi="Tahoma" w:cs="Tahoma"/>
                <w:color w:val="000000" w:themeColor="text1"/>
                <w:highlight w:val="none"/>
                <w:lang w:val="en-US" w:eastAsia="zh-CN"/>
                <w14:textFill>
                  <w14:solidFill>
                    <w14:schemeClr w14:val="tx1"/>
                  </w14:solidFill>
                </w14:textFill>
              </w:rPr>
              <w:t>及委托人2022年2月至5月社保缴纳凭证</w:t>
            </w:r>
            <w:r>
              <w:rPr>
                <w:rFonts w:hint="eastAsia" w:ascii="宋体" w:hAnsi="宋体" w:cs="宋体"/>
                <w:color w:val="000000" w:themeColor="text1"/>
                <w:szCs w:val="21"/>
                <w:highlight w:val="none"/>
                <w14:textFill>
                  <w14:solidFill>
                    <w14:schemeClr w14:val="tx1"/>
                  </w14:solidFill>
                </w14:textFill>
              </w:rPr>
              <w:t>；</w:t>
            </w:r>
          </w:p>
        </w:tc>
        <w:tc>
          <w:tcPr>
            <w:tcW w:w="1577" w:type="dxa"/>
            <w:vAlign w:val="center"/>
          </w:tcPr>
          <w:p>
            <w:pPr>
              <w:spacing w:line="240" w:lineRule="atLeas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w:t>
            </w:r>
            <w:r>
              <w:rPr>
                <w:rFonts w:hint="eastAsia" w:ascii="宋体" w:hAnsi="宋体" w:cs="宋体"/>
                <w:color w:val="000000" w:themeColor="text1"/>
                <w:szCs w:val="21"/>
                <w:highlight w:val="none"/>
                <w:lang w:val="en-US" w:eastAsia="zh-CN"/>
                <w14:textFill>
                  <w14:solidFill>
                    <w14:schemeClr w14:val="tx1"/>
                  </w14:solidFill>
                </w14:textFill>
              </w:rPr>
              <w:t>提供2021年度财务审计报告（2021年新成立公司提供银行出具资信证明）</w:t>
            </w:r>
            <w:r>
              <w:rPr>
                <w:rFonts w:hint="eastAsia" w:ascii="宋体" w:hAnsi="宋体" w:cs="宋体"/>
                <w:color w:val="000000" w:themeColor="text1"/>
                <w:szCs w:val="21"/>
                <w:highlight w:val="none"/>
                <w14:textFill>
                  <w14:solidFill>
                    <w14:schemeClr w14:val="tx1"/>
                  </w14:solidFill>
                </w14:textFill>
              </w:rPr>
              <w:t>及近三个月完税证明；</w:t>
            </w:r>
          </w:p>
        </w:tc>
        <w:tc>
          <w:tcPr>
            <w:tcW w:w="2452" w:type="dxa"/>
            <w:vAlign w:val="center"/>
          </w:tcPr>
          <w:p>
            <w:pPr>
              <w:keepNext w:val="0"/>
              <w:keepLines w:val="0"/>
              <w:pageBreakBefore w:val="0"/>
              <w:widowControl/>
              <w:kinsoku/>
              <w:wordWrap/>
              <w:overflowPunct/>
              <w:topLinePunct w:val="0"/>
              <w:autoSpaceDE/>
              <w:autoSpaceDN/>
              <w:bidi w:val="0"/>
              <w:adjustRightInd/>
              <w:snapToGrid/>
              <w:spacing w:line="300" w:lineRule="atLeast"/>
              <w:jc w:val="center"/>
              <w:textAlignment w:val="auto"/>
              <w:rPr>
                <w:rFonts w:ascii="宋体" w:hAnsi="宋体" w:cs="宋体"/>
                <w:color w:val="000000" w:themeColor="text1"/>
                <w:szCs w:val="21"/>
                <w:highlight w:val="none"/>
                <w14:textFill>
                  <w14:solidFill>
                    <w14:schemeClr w14:val="tx1"/>
                  </w14:solidFill>
                </w14:textFill>
              </w:rPr>
            </w:pPr>
            <w:r>
              <w:rPr>
                <w:rFonts w:hint="eastAsia" w:ascii="Tahoma" w:hAnsi="Tahoma" w:cs="Tahoma"/>
                <w:color w:val="000000" w:themeColor="text1"/>
                <w:highlight w:val="none"/>
                <w:lang w:val="en-US" w:eastAsia="zh-CN"/>
                <w14:textFill>
                  <w14:solidFill>
                    <w14:schemeClr w14:val="tx1"/>
                  </w14:solidFill>
                </w14:textFill>
              </w:rPr>
              <w:t>提供数字化医院信息平台软件、医院信息集成平台软件、电子病历管理软件原始著作权登记证书（著作权必须在本招标文件发布之前取得，所登记注册的软件名称可以与上述名称略有不同，但必须是功能相同的产品）；</w:t>
            </w:r>
          </w:p>
        </w:tc>
        <w:tc>
          <w:tcPr>
            <w:tcW w:w="1645" w:type="dxa"/>
            <w:vAlign w:val="center"/>
          </w:tcPr>
          <w:p>
            <w:pPr>
              <w:spacing w:line="240" w:lineRule="atLeast"/>
              <w:jc w:val="center"/>
              <w:rPr>
                <w:rFonts w:ascii="宋体" w:hAnsi="宋体" w:cs="宋体"/>
                <w:color w:val="000000" w:themeColor="text1"/>
                <w:szCs w:val="21"/>
                <w:highlight w:val="none"/>
                <w14:textFill>
                  <w14:solidFill>
                    <w14:schemeClr w14:val="tx1"/>
                  </w14:solidFill>
                </w14:textFill>
              </w:rPr>
            </w:pPr>
            <w:r>
              <w:rPr>
                <w:rFonts w:hint="eastAsia" w:ascii="Tahoma" w:hAnsi="Tahoma" w:cs="Tahoma"/>
                <w:color w:val="000000" w:themeColor="text1"/>
                <w:kern w:val="2"/>
                <w:sz w:val="21"/>
                <w:szCs w:val="24"/>
                <w:highlight w:val="none"/>
                <w:lang w:val="en-US" w:eastAsia="zh-CN" w:bidi="ar-SA"/>
                <w14:textFill>
                  <w14:solidFill>
                    <w14:schemeClr w14:val="tx1"/>
                  </w14:solidFill>
                </w14:textFill>
              </w:rPr>
              <w:t>提供医院桌面云系统及超融合部分原厂家售后服务承诺书</w:t>
            </w:r>
          </w:p>
        </w:tc>
        <w:tc>
          <w:tcPr>
            <w:tcW w:w="1435" w:type="dxa"/>
            <w:vAlign w:val="center"/>
          </w:tcPr>
          <w:p>
            <w:pPr>
              <w:spacing w:line="240" w:lineRule="atLeast"/>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投标保证金收据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494" w:type="dxa"/>
            <w:vAlign w:val="center"/>
          </w:tcPr>
          <w:p>
            <w:pPr>
              <w:spacing w:line="280" w:lineRule="exact"/>
              <w:jc w:val="cente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w:t>
            </w:r>
          </w:p>
        </w:tc>
        <w:tc>
          <w:tcPr>
            <w:tcW w:w="3399" w:type="dxa"/>
            <w:vAlign w:val="center"/>
          </w:tcPr>
          <w:p>
            <w:pPr>
              <w:rPr>
                <w:rFonts w:ascii="Tahoma" w:hAnsi="Tahoma" w:cs="Tahoma"/>
                <w:color w:val="000000" w:themeColor="text1"/>
                <w:highlight w:val="none"/>
                <w14:textFill>
                  <w14:solidFill>
                    <w14:schemeClr w14:val="tx1"/>
                  </w14:solidFill>
                </w14:textFill>
              </w:rPr>
            </w:pPr>
          </w:p>
        </w:tc>
        <w:tc>
          <w:tcPr>
            <w:tcW w:w="1636" w:type="dxa"/>
            <w:vAlign w:val="center"/>
          </w:tcPr>
          <w:p>
            <w:pPr>
              <w:spacing w:line="280" w:lineRule="exact"/>
              <w:jc w:val="center"/>
              <w:rPr>
                <w:rFonts w:ascii="Trebuchet MS" w:hAnsi="Trebuchet MS" w:cs="宋体"/>
                <w:bCs/>
                <w:color w:val="000000" w:themeColor="text1"/>
                <w:szCs w:val="21"/>
                <w:highlight w:val="none"/>
                <w14:textFill>
                  <w14:solidFill>
                    <w14:schemeClr w14:val="tx1"/>
                  </w14:solidFill>
                </w14:textFill>
              </w:rPr>
            </w:pPr>
          </w:p>
        </w:tc>
        <w:tc>
          <w:tcPr>
            <w:tcW w:w="2760" w:type="dxa"/>
            <w:vAlign w:val="center"/>
          </w:tcPr>
          <w:p>
            <w:pPr>
              <w:spacing w:line="280" w:lineRule="exact"/>
              <w:jc w:val="center"/>
              <w:rPr>
                <w:rFonts w:ascii="Trebuchet MS" w:hAnsi="Trebuchet MS" w:cs="宋体"/>
                <w:bCs/>
                <w:color w:val="000000" w:themeColor="text1"/>
                <w:szCs w:val="21"/>
                <w:highlight w:val="none"/>
                <w14:textFill>
                  <w14:solidFill>
                    <w14:schemeClr w14:val="tx1"/>
                  </w14:solidFill>
                </w14:textFill>
              </w:rPr>
            </w:pPr>
          </w:p>
        </w:tc>
        <w:tc>
          <w:tcPr>
            <w:tcW w:w="1577" w:type="dxa"/>
          </w:tcPr>
          <w:p>
            <w:pPr>
              <w:spacing w:line="280" w:lineRule="exact"/>
              <w:jc w:val="center"/>
              <w:rPr>
                <w:rFonts w:ascii="Trebuchet MS" w:hAnsi="Trebuchet MS" w:cs="宋体"/>
                <w:bCs/>
                <w:color w:val="000000" w:themeColor="text1"/>
                <w:szCs w:val="21"/>
                <w:highlight w:val="none"/>
                <w14:textFill>
                  <w14:solidFill>
                    <w14:schemeClr w14:val="tx1"/>
                  </w14:solidFill>
                </w14:textFill>
              </w:rPr>
            </w:pPr>
          </w:p>
        </w:tc>
        <w:tc>
          <w:tcPr>
            <w:tcW w:w="2452" w:type="dxa"/>
          </w:tcPr>
          <w:p>
            <w:pPr>
              <w:spacing w:line="280" w:lineRule="exact"/>
              <w:jc w:val="center"/>
              <w:rPr>
                <w:rFonts w:ascii="Trebuchet MS" w:hAnsi="Trebuchet MS" w:cs="宋体"/>
                <w:bCs/>
                <w:color w:val="000000" w:themeColor="text1"/>
                <w:szCs w:val="21"/>
                <w:highlight w:val="none"/>
                <w14:textFill>
                  <w14:solidFill>
                    <w14:schemeClr w14:val="tx1"/>
                  </w14:solidFill>
                </w14:textFill>
              </w:rPr>
            </w:pPr>
          </w:p>
        </w:tc>
        <w:tc>
          <w:tcPr>
            <w:tcW w:w="1645" w:type="dxa"/>
          </w:tcPr>
          <w:p>
            <w:pPr>
              <w:spacing w:line="280" w:lineRule="exact"/>
              <w:jc w:val="center"/>
              <w:rPr>
                <w:rFonts w:ascii="Trebuchet MS" w:hAnsi="Trebuchet MS" w:cs="宋体"/>
                <w:bCs/>
                <w:color w:val="000000" w:themeColor="text1"/>
                <w:szCs w:val="21"/>
                <w:highlight w:val="none"/>
                <w14:textFill>
                  <w14:solidFill>
                    <w14:schemeClr w14:val="tx1"/>
                  </w14:solidFill>
                </w14:textFill>
              </w:rPr>
            </w:pPr>
          </w:p>
        </w:tc>
        <w:tc>
          <w:tcPr>
            <w:tcW w:w="1435" w:type="dxa"/>
          </w:tcPr>
          <w:p>
            <w:pPr>
              <w:spacing w:line="280" w:lineRule="exact"/>
              <w:jc w:val="center"/>
              <w:rPr>
                <w:rFonts w:ascii="Trebuchet MS" w:hAnsi="Trebuchet MS" w:cs="宋体"/>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494" w:type="dxa"/>
            <w:vAlign w:val="center"/>
          </w:tcPr>
          <w:p>
            <w:pPr>
              <w:spacing w:line="280" w:lineRule="exact"/>
              <w:jc w:val="cente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2</w:t>
            </w:r>
          </w:p>
        </w:tc>
        <w:tc>
          <w:tcPr>
            <w:tcW w:w="3399" w:type="dxa"/>
            <w:vAlign w:val="center"/>
          </w:tcPr>
          <w:p>
            <w:pPr>
              <w:spacing w:line="360" w:lineRule="exact"/>
              <w:rPr>
                <w:rFonts w:ascii="Tahoma" w:hAnsi="Tahoma" w:cs="Tahoma"/>
                <w:color w:val="000000" w:themeColor="text1"/>
                <w:highlight w:val="none"/>
                <w14:textFill>
                  <w14:solidFill>
                    <w14:schemeClr w14:val="tx1"/>
                  </w14:solidFill>
                </w14:textFill>
              </w:rPr>
            </w:pPr>
          </w:p>
        </w:tc>
        <w:tc>
          <w:tcPr>
            <w:tcW w:w="1636" w:type="dxa"/>
            <w:vAlign w:val="center"/>
          </w:tcPr>
          <w:p>
            <w:pPr>
              <w:spacing w:line="280" w:lineRule="exact"/>
              <w:jc w:val="center"/>
              <w:rPr>
                <w:rFonts w:ascii="Trebuchet MS" w:hAnsi="Trebuchet MS" w:cs="宋体"/>
                <w:bCs/>
                <w:color w:val="000000" w:themeColor="text1"/>
                <w:szCs w:val="21"/>
                <w:highlight w:val="none"/>
                <w14:textFill>
                  <w14:solidFill>
                    <w14:schemeClr w14:val="tx1"/>
                  </w14:solidFill>
                </w14:textFill>
              </w:rPr>
            </w:pPr>
          </w:p>
        </w:tc>
        <w:tc>
          <w:tcPr>
            <w:tcW w:w="2760" w:type="dxa"/>
            <w:vAlign w:val="center"/>
          </w:tcPr>
          <w:p>
            <w:pPr>
              <w:spacing w:line="280" w:lineRule="exact"/>
              <w:jc w:val="center"/>
              <w:rPr>
                <w:rFonts w:ascii="Trebuchet MS" w:hAnsi="Trebuchet MS" w:cs="宋体"/>
                <w:bCs/>
                <w:color w:val="000000" w:themeColor="text1"/>
                <w:szCs w:val="21"/>
                <w:highlight w:val="none"/>
                <w14:textFill>
                  <w14:solidFill>
                    <w14:schemeClr w14:val="tx1"/>
                  </w14:solidFill>
                </w14:textFill>
              </w:rPr>
            </w:pPr>
          </w:p>
        </w:tc>
        <w:tc>
          <w:tcPr>
            <w:tcW w:w="1577" w:type="dxa"/>
          </w:tcPr>
          <w:p>
            <w:pPr>
              <w:spacing w:line="280" w:lineRule="exact"/>
              <w:jc w:val="center"/>
              <w:rPr>
                <w:rFonts w:ascii="Trebuchet MS" w:hAnsi="Trebuchet MS" w:cs="宋体"/>
                <w:bCs/>
                <w:color w:val="000000" w:themeColor="text1"/>
                <w:szCs w:val="21"/>
                <w:highlight w:val="none"/>
                <w14:textFill>
                  <w14:solidFill>
                    <w14:schemeClr w14:val="tx1"/>
                  </w14:solidFill>
                </w14:textFill>
              </w:rPr>
            </w:pPr>
          </w:p>
        </w:tc>
        <w:tc>
          <w:tcPr>
            <w:tcW w:w="2452" w:type="dxa"/>
          </w:tcPr>
          <w:p>
            <w:pPr>
              <w:spacing w:line="280" w:lineRule="exact"/>
              <w:jc w:val="center"/>
              <w:rPr>
                <w:rFonts w:ascii="Trebuchet MS" w:hAnsi="Trebuchet MS" w:cs="宋体"/>
                <w:bCs/>
                <w:color w:val="000000" w:themeColor="text1"/>
                <w:szCs w:val="21"/>
                <w:highlight w:val="none"/>
                <w14:textFill>
                  <w14:solidFill>
                    <w14:schemeClr w14:val="tx1"/>
                  </w14:solidFill>
                </w14:textFill>
              </w:rPr>
            </w:pPr>
          </w:p>
        </w:tc>
        <w:tc>
          <w:tcPr>
            <w:tcW w:w="1645" w:type="dxa"/>
          </w:tcPr>
          <w:p>
            <w:pPr>
              <w:spacing w:line="280" w:lineRule="exact"/>
              <w:jc w:val="center"/>
              <w:rPr>
                <w:rFonts w:ascii="Trebuchet MS" w:hAnsi="Trebuchet MS" w:cs="宋体"/>
                <w:bCs/>
                <w:color w:val="000000" w:themeColor="text1"/>
                <w:szCs w:val="21"/>
                <w:highlight w:val="none"/>
                <w14:textFill>
                  <w14:solidFill>
                    <w14:schemeClr w14:val="tx1"/>
                  </w14:solidFill>
                </w14:textFill>
              </w:rPr>
            </w:pPr>
          </w:p>
        </w:tc>
        <w:tc>
          <w:tcPr>
            <w:tcW w:w="1435" w:type="dxa"/>
          </w:tcPr>
          <w:p>
            <w:pPr>
              <w:spacing w:line="280" w:lineRule="exact"/>
              <w:jc w:val="center"/>
              <w:rPr>
                <w:rFonts w:ascii="Trebuchet MS" w:hAnsi="Trebuchet MS" w:cs="宋体"/>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494" w:type="dxa"/>
            <w:vAlign w:val="center"/>
          </w:tcPr>
          <w:p>
            <w:pPr>
              <w:spacing w:line="280" w:lineRule="exact"/>
              <w:jc w:val="cente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3</w:t>
            </w:r>
          </w:p>
        </w:tc>
        <w:tc>
          <w:tcPr>
            <w:tcW w:w="3399" w:type="dxa"/>
            <w:vAlign w:val="center"/>
          </w:tcPr>
          <w:p>
            <w:pPr>
              <w:rPr>
                <w:color w:val="000000" w:themeColor="text1"/>
                <w:highlight w:val="none"/>
                <w14:textFill>
                  <w14:solidFill>
                    <w14:schemeClr w14:val="tx1"/>
                  </w14:solidFill>
                </w14:textFill>
              </w:rPr>
            </w:pPr>
          </w:p>
        </w:tc>
        <w:tc>
          <w:tcPr>
            <w:tcW w:w="1636" w:type="dxa"/>
            <w:vAlign w:val="center"/>
          </w:tcPr>
          <w:p>
            <w:pPr>
              <w:spacing w:line="280" w:lineRule="exact"/>
              <w:jc w:val="center"/>
              <w:rPr>
                <w:rFonts w:ascii="Trebuchet MS" w:hAnsi="Trebuchet MS" w:cs="宋体"/>
                <w:bCs/>
                <w:color w:val="000000" w:themeColor="text1"/>
                <w:szCs w:val="21"/>
                <w:highlight w:val="none"/>
                <w14:textFill>
                  <w14:solidFill>
                    <w14:schemeClr w14:val="tx1"/>
                  </w14:solidFill>
                </w14:textFill>
              </w:rPr>
            </w:pPr>
          </w:p>
        </w:tc>
        <w:tc>
          <w:tcPr>
            <w:tcW w:w="2760" w:type="dxa"/>
            <w:vAlign w:val="center"/>
          </w:tcPr>
          <w:p>
            <w:pPr>
              <w:spacing w:line="280" w:lineRule="exact"/>
              <w:jc w:val="center"/>
              <w:rPr>
                <w:rFonts w:ascii="Trebuchet MS" w:hAnsi="Trebuchet MS" w:cs="宋体"/>
                <w:bCs/>
                <w:color w:val="000000" w:themeColor="text1"/>
                <w:szCs w:val="21"/>
                <w:highlight w:val="none"/>
                <w14:textFill>
                  <w14:solidFill>
                    <w14:schemeClr w14:val="tx1"/>
                  </w14:solidFill>
                </w14:textFill>
              </w:rPr>
            </w:pPr>
          </w:p>
        </w:tc>
        <w:tc>
          <w:tcPr>
            <w:tcW w:w="1577" w:type="dxa"/>
          </w:tcPr>
          <w:p>
            <w:pPr>
              <w:spacing w:line="280" w:lineRule="exact"/>
              <w:jc w:val="center"/>
              <w:rPr>
                <w:rFonts w:ascii="Trebuchet MS" w:hAnsi="Trebuchet MS" w:cs="宋体"/>
                <w:bCs/>
                <w:color w:val="000000" w:themeColor="text1"/>
                <w:szCs w:val="21"/>
                <w:highlight w:val="none"/>
                <w14:textFill>
                  <w14:solidFill>
                    <w14:schemeClr w14:val="tx1"/>
                  </w14:solidFill>
                </w14:textFill>
              </w:rPr>
            </w:pPr>
          </w:p>
        </w:tc>
        <w:tc>
          <w:tcPr>
            <w:tcW w:w="2452" w:type="dxa"/>
          </w:tcPr>
          <w:p>
            <w:pPr>
              <w:spacing w:line="280" w:lineRule="exact"/>
              <w:jc w:val="center"/>
              <w:rPr>
                <w:rFonts w:ascii="Trebuchet MS" w:hAnsi="Trebuchet MS" w:cs="宋体"/>
                <w:bCs/>
                <w:color w:val="000000" w:themeColor="text1"/>
                <w:szCs w:val="21"/>
                <w:highlight w:val="none"/>
                <w14:textFill>
                  <w14:solidFill>
                    <w14:schemeClr w14:val="tx1"/>
                  </w14:solidFill>
                </w14:textFill>
              </w:rPr>
            </w:pPr>
          </w:p>
        </w:tc>
        <w:tc>
          <w:tcPr>
            <w:tcW w:w="1645" w:type="dxa"/>
          </w:tcPr>
          <w:p>
            <w:pPr>
              <w:spacing w:line="280" w:lineRule="exact"/>
              <w:jc w:val="center"/>
              <w:rPr>
                <w:rFonts w:ascii="Trebuchet MS" w:hAnsi="Trebuchet MS" w:cs="宋体"/>
                <w:bCs/>
                <w:color w:val="000000" w:themeColor="text1"/>
                <w:szCs w:val="21"/>
                <w:highlight w:val="none"/>
                <w14:textFill>
                  <w14:solidFill>
                    <w14:schemeClr w14:val="tx1"/>
                  </w14:solidFill>
                </w14:textFill>
              </w:rPr>
            </w:pPr>
          </w:p>
        </w:tc>
        <w:tc>
          <w:tcPr>
            <w:tcW w:w="1435" w:type="dxa"/>
          </w:tcPr>
          <w:p>
            <w:pPr>
              <w:spacing w:line="280" w:lineRule="exact"/>
              <w:jc w:val="center"/>
              <w:rPr>
                <w:rFonts w:ascii="Trebuchet MS" w:hAnsi="Trebuchet MS" w:cs="宋体"/>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494" w:type="dxa"/>
            <w:vAlign w:val="center"/>
          </w:tcPr>
          <w:p>
            <w:pPr>
              <w:spacing w:line="280" w:lineRule="exact"/>
              <w:jc w:val="center"/>
              <w:rPr>
                <w:rFonts w:ascii="Tahoma" w:hAnsi="Tahoma" w:cs="Tahoma"/>
                <w:bCs/>
                <w:color w:val="000000" w:themeColor="text1"/>
                <w:szCs w:val="21"/>
                <w:highlight w:val="none"/>
                <w14:textFill>
                  <w14:solidFill>
                    <w14:schemeClr w14:val="tx1"/>
                  </w14:solidFill>
                </w14:textFill>
              </w:rPr>
            </w:pPr>
            <w:r>
              <w:rPr>
                <w:rFonts w:hint="eastAsia" w:ascii="Tahoma" w:hAnsi="Tahoma" w:cs="Tahoma"/>
                <w:bCs/>
                <w:color w:val="000000" w:themeColor="text1"/>
                <w:szCs w:val="21"/>
                <w:highlight w:val="none"/>
                <w14:textFill>
                  <w14:solidFill>
                    <w14:schemeClr w14:val="tx1"/>
                  </w14:solidFill>
                </w14:textFill>
              </w:rPr>
              <w:t>4</w:t>
            </w:r>
          </w:p>
        </w:tc>
        <w:tc>
          <w:tcPr>
            <w:tcW w:w="3399" w:type="dxa"/>
            <w:vAlign w:val="center"/>
          </w:tcPr>
          <w:p>
            <w:pPr>
              <w:rPr>
                <w:color w:val="000000" w:themeColor="text1"/>
                <w:highlight w:val="none"/>
                <w14:textFill>
                  <w14:solidFill>
                    <w14:schemeClr w14:val="tx1"/>
                  </w14:solidFill>
                </w14:textFill>
              </w:rPr>
            </w:pPr>
          </w:p>
        </w:tc>
        <w:tc>
          <w:tcPr>
            <w:tcW w:w="1636" w:type="dxa"/>
            <w:vAlign w:val="center"/>
          </w:tcPr>
          <w:p>
            <w:pPr>
              <w:spacing w:line="280" w:lineRule="exact"/>
              <w:jc w:val="center"/>
              <w:rPr>
                <w:rFonts w:ascii="Trebuchet MS" w:hAnsi="Trebuchet MS" w:cs="宋体"/>
                <w:bCs/>
                <w:color w:val="000000" w:themeColor="text1"/>
                <w:szCs w:val="21"/>
                <w:highlight w:val="none"/>
                <w14:textFill>
                  <w14:solidFill>
                    <w14:schemeClr w14:val="tx1"/>
                  </w14:solidFill>
                </w14:textFill>
              </w:rPr>
            </w:pPr>
          </w:p>
        </w:tc>
        <w:tc>
          <w:tcPr>
            <w:tcW w:w="2760" w:type="dxa"/>
            <w:vAlign w:val="center"/>
          </w:tcPr>
          <w:p>
            <w:pPr>
              <w:spacing w:line="280" w:lineRule="exact"/>
              <w:jc w:val="center"/>
              <w:rPr>
                <w:rFonts w:ascii="Trebuchet MS" w:hAnsi="Trebuchet MS" w:cs="宋体"/>
                <w:bCs/>
                <w:color w:val="000000" w:themeColor="text1"/>
                <w:szCs w:val="21"/>
                <w:highlight w:val="none"/>
                <w14:textFill>
                  <w14:solidFill>
                    <w14:schemeClr w14:val="tx1"/>
                  </w14:solidFill>
                </w14:textFill>
              </w:rPr>
            </w:pPr>
          </w:p>
        </w:tc>
        <w:tc>
          <w:tcPr>
            <w:tcW w:w="1577" w:type="dxa"/>
          </w:tcPr>
          <w:p>
            <w:pPr>
              <w:spacing w:line="280" w:lineRule="exact"/>
              <w:jc w:val="center"/>
              <w:rPr>
                <w:rFonts w:ascii="Trebuchet MS" w:hAnsi="Trebuchet MS" w:cs="宋体"/>
                <w:bCs/>
                <w:color w:val="000000" w:themeColor="text1"/>
                <w:szCs w:val="21"/>
                <w:highlight w:val="none"/>
                <w14:textFill>
                  <w14:solidFill>
                    <w14:schemeClr w14:val="tx1"/>
                  </w14:solidFill>
                </w14:textFill>
              </w:rPr>
            </w:pPr>
          </w:p>
        </w:tc>
        <w:tc>
          <w:tcPr>
            <w:tcW w:w="2452" w:type="dxa"/>
          </w:tcPr>
          <w:p>
            <w:pPr>
              <w:spacing w:line="280" w:lineRule="exact"/>
              <w:jc w:val="center"/>
              <w:rPr>
                <w:rFonts w:ascii="Trebuchet MS" w:hAnsi="Trebuchet MS" w:cs="宋体"/>
                <w:bCs/>
                <w:color w:val="000000" w:themeColor="text1"/>
                <w:szCs w:val="21"/>
                <w:highlight w:val="none"/>
                <w14:textFill>
                  <w14:solidFill>
                    <w14:schemeClr w14:val="tx1"/>
                  </w14:solidFill>
                </w14:textFill>
              </w:rPr>
            </w:pPr>
          </w:p>
        </w:tc>
        <w:tc>
          <w:tcPr>
            <w:tcW w:w="1645" w:type="dxa"/>
          </w:tcPr>
          <w:p>
            <w:pPr>
              <w:spacing w:line="280" w:lineRule="exact"/>
              <w:jc w:val="center"/>
              <w:rPr>
                <w:rFonts w:ascii="Trebuchet MS" w:hAnsi="Trebuchet MS" w:cs="宋体"/>
                <w:bCs/>
                <w:color w:val="000000" w:themeColor="text1"/>
                <w:szCs w:val="21"/>
                <w:highlight w:val="none"/>
                <w14:textFill>
                  <w14:solidFill>
                    <w14:schemeClr w14:val="tx1"/>
                  </w14:solidFill>
                </w14:textFill>
              </w:rPr>
            </w:pPr>
          </w:p>
        </w:tc>
        <w:tc>
          <w:tcPr>
            <w:tcW w:w="1435" w:type="dxa"/>
          </w:tcPr>
          <w:p>
            <w:pPr>
              <w:spacing w:line="280" w:lineRule="exact"/>
              <w:jc w:val="center"/>
              <w:rPr>
                <w:rFonts w:ascii="Trebuchet MS" w:hAnsi="Trebuchet MS" w:cs="宋体"/>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494" w:type="dxa"/>
            <w:vAlign w:val="center"/>
          </w:tcPr>
          <w:p>
            <w:pPr>
              <w:spacing w:line="280" w:lineRule="exact"/>
              <w:jc w:val="center"/>
              <w:rPr>
                <w:rFonts w:ascii="Tahoma" w:hAnsi="Tahoma" w:cs="Tahoma"/>
                <w:bCs/>
                <w:color w:val="000000" w:themeColor="text1"/>
                <w:szCs w:val="21"/>
                <w:highlight w:val="none"/>
                <w14:textFill>
                  <w14:solidFill>
                    <w14:schemeClr w14:val="tx1"/>
                  </w14:solidFill>
                </w14:textFill>
              </w:rPr>
            </w:pPr>
            <w:r>
              <w:rPr>
                <w:rFonts w:hint="eastAsia" w:ascii="Tahoma" w:hAnsi="Tahoma" w:cs="Tahoma"/>
                <w:bCs/>
                <w:color w:val="000000" w:themeColor="text1"/>
                <w:szCs w:val="21"/>
                <w:highlight w:val="none"/>
                <w14:textFill>
                  <w14:solidFill>
                    <w14:schemeClr w14:val="tx1"/>
                  </w14:solidFill>
                </w14:textFill>
              </w:rPr>
              <w:t>备注</w:t>
            </w:r>
          </w:p>
        </w:tc>
        <w:tc>
          <w:tcPr>
            <w:tcW w:w="14904" w:type="dxa"/>
            <w:gridSpan w:val="7"/>
            <w:vAlign w:val="center"/>
          </w:tcPr>
          <w:p>
            <w:pPr>
              <w:spacing w:line="280" w:lineRule="exact"/>
              <w:jc w:val="center"/>
              <w:rPr>
                <w:rFonts w:ascii="Trebuchet MS" w:hAnsi="宋体" w:cs="宋体"/>
                <w:color w:val="000000" w:themeColor="text1"/>
                <w:kern w:val="0"/>
                <w:szCs w:val="21"/>
                <w:highlight w:val="none"/>
                <w14:textFill>
                  <w14:solidFill>
                    <w14:schemeClr w14:val="tx1"/>
                  </w14:solidFill>
                </w14:textFill>
              </w:rPr>
            </w:pPr>
            <w:r>
              <w:rPr>
                <w:rFonts w:ascii="Trebuchet MS" w:hAnsi="宋体" w:cs="宋体"/>
                <w:color w:val="000000" w:themeColor="text1"/>
                <w:kern w:val="0"/>
                <w:szCs w:val="21"/>
                <w:highlight w:val="none"/>
                <w14:textFill>
                  <w14:solidFill>
                    <w14:schemeClr w14:val="tx1"/>
                  </w14:solidFill>
                </w14:textFill>
              </w:rPr>
              <w:t>若</w:t>
            </w:r>
            <w:r>
              <w:rPr>
                <w:rFonts w:hint="eastAsia" w:ascii="宋体" w:hAnsi="宋体" w:cs="宋体"/>
                <w:color w:val="000000" w:themeColor="text1"/>
                <w:kern w:val="0"/>
                <w:szCs w:val="21"/>
                <w:highlight w:val="none"/>
                <w14:textFill>
                  <w14:solidFill>
                    <w14:schemeClr w14:val="tx1"/>
                  </w14:solidFill>
                </w14:textFill>
              </w:rPr>
              <w:t>“有”</w:t>
            </w:r>
            <w:r>
              <w:rPr>
                <w:rFonts w:ascii="Trebuchet MS" w:hAnsi="宋体" w:cs="宋体"/>
                <w:color w:val="000000" w:themeColor="text1"/>
                <w:kern w:val="0"/>
                <w:szCs w:val="21"/>
                <w:highlight w:val="none"/>
                <w14:textFill>
                  <w14:solidFill>
                    <w14:schemeClr w14:val="tx1"/>
                  </w14:solidFill>
                </w14:textFill>
              </w:rPr>
              <w:t>请在该投标人格内打</w:t>
            </w:r>
            <w:r>
              <w:rPr>
                <w:rFonts w:ascii="Trebuchet MS" w:hAnsi="Trebuchet MS" w:cs="宋体"/>
                <w:color w:val="000000" w:themeColor="text1"/>
                <w:kern w:val="0"/>
                <w:szCs w:val="21"/>
                <w:highlight w:val="none"/>
                <w14:textFill>
                  <w14:solidFill>
                    <w14:schemeClr w14:val="tx1"/>
                  </w14:solidFill>
                </w14:textFill>
              </w:rPr>
              <w:t>“√”</w:t>
            </w:r>
            <w:r>
              <w:rPr>
                <w:rFonts w:ascii="Trebuchet MS" w:hAnsi="宋体" w:cs="宋体"/>
                <w:color w:val="000000" w:themeColor="text1"/>
                <w:kern w:val="0"/>
                <w:szCs w:val="21"/>
                <w:highlight w:val="none"/>
                <w14:textFill>
                  <w14:solidFill>
                    <w14:schemeClr w14:val="tx1"/>
                  </w14:solidFill>
                </w14:textFill>
              </w:rPr>
              <w:t>，若</w:t>
            </w:r>
            <w:r>
              <w:rPr>
                <w:rFonts w:hint="eastAsia" w:ascii="宋体" w:hAnsi="宋体" w:cs="宋体"/>
                <w:color w:val="000000" w:themeColor="text1"/>
                <w:kern w:val="0"/>
                <w:szCs w:val="21"/>
                <w:highlight w:val="none"/>
                <w14:textFill>
                  <w14:solidFill>
                    <w14:schemeClr w14:val="tx1"/>
                  </w14:solidFill>
                </w14:textFill>
              </w:rPr>
              <w:t>“无”</w:t>
            </w:r>
            <w:r>
              <w:rPr>
                <w:rFonts w:ascii="Trebuchet MS" w:hAnsi="宋体" w:cs="宋体"/>
                <w:color w:val="000000" w:themeColor="text1"/>
                <w:kern w:val="0"/>
                <w:szCs w:val="21"/>
                <w:highlight w:val="none"/>
                <w14:textFill>
                  <w14:solidFill>
                    <w14:schemeClr w14:val="tx1"/>
                  </w14:solidFill>
                </w14:textFill>
              </w:rPr>
              <w:t>则打</w:t>
            </w:r>
            <w:r>
              <w:rPr>
                <w:rFonts w:ascii="Trebuchet MS" w:hAnsi="Trebuchet MS" w:cs="宋体"/>
                <w:color w:val="000000" w:themeColor="text1"/>
                <w:kern w:val="0"/>
                <w:szCs w:val="21"/>
                <w:highlight w:val="none"/>
                <w14:textFill>
                  <w14:solidFill>
                    <w14:schemeClr w14:val="tx1"/>
                  </w14:solidFill>
                </w14:textFill>
              </w:rPr>
              <w:t>“×”</w:t>
            </w:r>
            <w:r>
              <w:rPr>
                <w:rFonts w:ascii="Trebuchet MS" w:hAnsi="宋体" w:cs="宋体"/>
                <w:color w:val="000000" w:themeColor="text1"/>
                <w:kern w:val="0"/>
                <w:szCs w:val="21"/>
                <w:highlight w:val="none"/>
                <w14:textFill>
                  <w14:solidFill>
                    <w14:schemeClr w14:val="tx1"/>
                  </w14:solidFill>
                </w14:textFill>
              </w:rPr>
              <w:t>，其他情况请另附文说明。</w:t>
            </w:r>
          </w:p>
        </w:tc>
      </w:tr>
    </w:tbl>
    <w:p>
      <w:pPr>
        <w:spacing w:line="320" w:lineRule="exact"/>
        <w:rPr>
          <w:rFonts w:ascii="Trebuchet MS" w:hAnsi="宋体" w:cs="宋体"/>
          <w:b/>
          <w:bCs/>
          <w:color w:val="000000" w:themeColor="text1"/>
          <w:sz w:val="24"/>
          <w:highlight w:val="none"/>
          <w14:textFill>
            <w14:solidFill>
              <w14:schemeClr w14:val="tx1"/>
            </w14:solidFill>
          </w14:textFill>
        </w:rPr>
      </w:pPr>
      <w:r>
        <w:rPr>
          <w:rFonts w:hint="eastAsia" w:ascii="Tahoma" w:hAnsi="Tahoma" w:cs="Tahoma"/>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 xml:space="preserve"> </w:t>
      </w:r>
      <w:r>
        <w:rPr>
          <w:rFonts w:hint="eastAsia" w:ascii="Tahoma" w:hAnsi="Tahoma" w:cs="Tahoma"/>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 xml:space="preserve">   </w:t>
      </w:r>
      <w:r>
        <w:rPr>
          <w:rFonts w:hint="eastAsia" w:ascii="黑体" w:eastAsia="黑体"/>
          <w:bCs/>
          <w:color w:val="000000" w:themeColor="text1"/>
          <w:sz w:val="28"/>
          <w:szCs w:val="28"/>
          <w:highlight w:val="none"/>
          <w14:textFill>
            <w14:solidFill>
              <w14:schemeClr w14:val="tx1"/>
            </w14:solidFill>
          </w14:textFill>
        </w:rPr>
        <w:t xml:space="preserve">                                           </w:t>
      </w:r>
    </w:p>
    <w:p>
      <w:pPr>
        <w:ind w:firstLine="480" w:firstLineChars="200"/>
        <w:rPr>
          <w:color w:val="000000" w:themeColor="text1"/>
          <w:highlight w:val="none"/>
          <w14:textFill>
            <w14:solidFill>
              <w14:schemeClr w14:val="tx1"/>
            </w14:solidFill>
          </w14:textFill>
        </w:rPr>
        <w:sectPr>
          <w:headerReference r:id="rId8" w:type="default"/>
          <w:pgSz w:w="16838" w:h="11906" w:orient="landscape"/>
          <w:pgMar w:top="1417" w:right="1247" w:bottom="1417" w:left="1247"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ascii="Trebuchet MS" w:hAnsi="宋体" w:cs="宋体"/>
          <w:color w:val="000000" w:themeColor="text1"/>
          <w:sz w:val="24"/>
          <w:highlight w:val="none"/>
          <w14:textFill>
            <w14:solidFill>
              <w14:schemeClr w14:val="tx1"/>
            </w14:solidFill>
          </w14:textFill>
        </w:rPr>
        <w:t>现场监标人签名：</w:t>
      </w:r>
      <w:r>
        <w:rPr>
          <w:rFonts w:hint="eastAsia" w:ascii="Trebuchet MS" w:hAnsi="宋体" w:cs="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szCs w:val="21"/>
          <w:highlight w:val="none"/>
          <w14:textFill>
            <w14:solidFill>
              <w14:schemeClr w14:val="tx1"/>
            </w14:solidFill>
          </w14:textFill>
        </w:rPr>
        <w:t xml:space="preserve">                                                                                              </w:t>
      </w:r>
    </w:p>
    <w:p>
      <w:pPr>
        <w:spacing w:before="120" w:beforeLines="50" w:line="440" w:lineRule="exact"/>
        <w:jc w:val="center"/>
        <w:rPr>
          <w:rFonts w:ascii="黑体" w:hAnsi="黑体" w:eastAsia="黑体"/>
          <w:b/>
          <w:bCs/>
          <w:color w:val="000000" w:themeColor="text1"/>
          <w:sz w:val="32"/>
          <w:szCs w:val="32"/>
          <w:highlight w:val="none"/>
          <w14:textFill>
            <w14:solidFill>
              <w14:schemeClr w14:val="tx1"/>
            </w14:solidFill>
          </w14:textFill>
        </w:rPr>
      </w:pPr>
      <w:r>
        <w:rPr>
          <w:rFonts w:hint="eastAsia" w:ascii="黑体" w:hAnsi="黑体" w:eastAsia="黑体" w:cs="Tahoma"/>
          <w:b/>
          <w:bCs/>
          <w:color w:val="000000" w:themeColor="text1"/>
          <w:sz w:val="32"/>
          <w:szCs w:val="32"/>
          <w:highlight w:val="none"/>
          <w14:textFill>
            <w14:solidFill>
              <w14:schemeClr w14:val="tx1"/>
            </w14:solidFill>
          </w14:textFill>
        </w:rPr>
        <w:t>资格性检查</w:t>
      </w:r>
      <w:r>
        <w:rPr>
          <w:rFonts w:hint="eastAsia" w:ascii="黑体" w:hAnsi="黑体" w:eastAsia="黑体"/>
          <w:b/>
          <w:bCs/>
          <w:color w:val="000000" w:themeColor="text1"/>
          <w:sz w:val="32"/>
          <w:szCs w:val="32"/>
          <w:highlight w:val="none"/>
          <w14:textFill>
            <w14:solidFill>
              <w14:schemeClr w14:val="tx1"/>
            </w14:solidFill>
          </w14:textFill>
        </w:rPr>
        <w:t>评审记录表（1）</w:t>
      </w:r>
    </w:p>
    <w:p>
      <w:pPr>
        <w:pStyle w:val="16"/>
        <w:rPr>
          <w:color w:val="000000" w:themeColor="text1"/>
          <w:highlight w:val="none"/>
          <w14:textFill>
            <w14:solidFill>
              <w14:schemeClr w14:val="tx1"/>
            </w14:solidFill>
          </w14:textFill>
        </w:rPr>
      </w:pPr>
    </w:p>
    <w:p>
      <w:pPr>
        <w:spacing w:line="320" w:lineRule="exact"/>
        <w:rPr>
          <w:rFonts w:hint="eastAsia" w:ascii="宋体" w:hAnsi="宋体" w:eastAsia="宋体"/>
          <w:b/>
          <w:bCs/>
          <w:color w:val="000000" w:themeColor="text1"/>
          <w:sz w:val="24"/>
          <w:highlight w:val="none"/>
          <w:lang w:eastAsia="zh-CN"/>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项目名称：</w:t>
      </w:r>
      <w:r>
        <w:rPr>
          <w:rFonts w:hint="eastAsia" w:ascii="宋体" w:hAnsi="宋体"/>
          <w:b/>
          <w:bCs/>
          <w:color w:val="000000" w:themeColor="text1"/>
          <w:sz w:val="24"/>
          <w:highlight w:val="none"/>
          <w:lang w:eastAsia="zh-CN"/>
          <w14:textFill>
            <w14:solidFill>
              <w14:schemeClr w14:val="tx1"/>
            </w14:solidFill>
          </w14:textFill>
        </w:rPr>
        <w:t>和田地区和田县人民医院综合能力提升及信息化建设项目</w:t>
      </w:r>
    </w:p>
    <w:p>
      <w:pPr>
        <w:spacing w:line="320" w:lineRule="exac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项目编号：</w:t>
      </w:r>
      <w:r>
        <w:rPr>
          <w:rFonts w:hint="eastAsia" w:ascii="宋体" w:hAnsi="宋体"/>
          <w:b/>
          <w:bCs/>
          <w:color w:val="000000" w:themeColor="text1"/>
          <w:sz w:val="24"/>
          <w:highlight w:val="none"/>
          <w:lang w:eastAsia="zh-CN"/>
          <w14:textFill>
            <w14:solidFill>
              <w14:schemeClr w14:val="tx1"/>
            </w14:solidFill>
          </w14:textFill>
        </w:rPr>
        <w:t>HTXZFCG（2022FS）039号</w:t>
      </w:r>
      <w:r>
        <w:rPr>
          <w:rFonts w:hint="eastAsia" w:ascii="宋体" w:hAnsi="宋体"/>
          <w:b/>
          <w:bCs/>
          <w:color w:val="000000" w:themeColor="text1"/>
          <w:sz w:val="24"/>
          <w:highlight w:val="none"/>
          <w14:textFill>
            <w14:solidFill>
              <w14:schemeClr w14:val="tx1"/>
            </w14:solidFill>
          </w14:textFill>
        </w:rPr>
        <w:t xml:space="preserve">                                                    日期： 2</w:t>
      </w:r>
      <w:r>
        <w:rPr>
          <w:rFonts w:hint="eastAsia" w:ascii="宋体" w:hAnsi="宋体"/>
          <w:b/>
          <w:bCs/>
          <w:color w:val="000000" w:themeColor="text1"/>
          <w:sz w:val="24"/>
          <w:highlight w:val="none"/>
          <w:lang w:val="en-US" w:eastAsia="zh-CN"/>
          <w14:textFill>
            <w14:solidFill>
              <w14:schemeClr w14:val="tx1"/>
            </w14:solidFill>
          </w14:textFill>
        </w:rPr>
        <w:t xml:space="preserve">022 </w:t>
      </w:r>
      <w:r>
        <w:rPr>
          <w:rFonts w:hint="eastAsia" w:ascii="宋体" w:hAnsi="宋体"/>
          <w:b/>
          <w:bCs/>
          <w:color w:val="000000" w:themeColor="text1"/>
          <w:sz w:val="24"/>
          <w:highlight w:val="none"/>
          <w14:textFill>
            <w14:solidFill>
              <w14:schemeClr w14:val="tx1"/>
            </w14:solidFill>
          </w14:textFill>
        </w:rPr>
        <w:t>年</w:t>
      </w:r>
      <w:r>
        <w:rPr>
          <w:rFonts w:hint="eastAsia" w:ascii="宋体" w:hAnsi="宋体"/>
          <w:b/>
          <w:bCs/>
          <w:color w:val="000000" w:themeColor="text1"/>
          <w:sz w:val="24"/>
          <w:highlight w:val="none"/>
          <w:lang w:val="en-US" w:eastAsia="zh-CN"/>
          <w14:textFill>
            <w14:solidFill>
              <w14:schemeClr w14:val="tx1"/>
            </w14:solidFill>
          </w14:textFill>
        </w:rPr>
        <w:t>6</w:t>
      </w:r>
      <w:r>
        <w:rPr>
          <w:rFonts w:hint="eastAsia" w:ascii="宋体" w:hAnsi="宋体"/>
          <w:b/>
          <w:bCs/>
          <w:color w:val="000000" w:themeColor="text1"/>
          <w:sz w:val="24"/>
          <w:highlight w:val="none"/>
          <w14:textFill>
            <w14:solidFill>
              <w14:schemeClr w14:val="tx1"/>
            </w14:solidFill>
          </w14:textFill>
        </w:rPr>
        <w:t>月</w:t>
      </w:r>
      <w:r>
        <w:rPr>
          <w:rFonts w:hint="eastAsia" w:ascii="宋体" w:hAnsi="宋体"/>
          <w:b/>
          <w:bCs/>
          <w:color w:val="000000" w:themeColor="text1"/>
          <w:sz w:val="24"/>
          <w:highlight w:val="none"/>
          <w:lang w:val="en-US" w:eastAsia="zh-CN"/>
          <w14:textFill>
            <w14:solidFill>
              <w14:schemeClr w14:val="tx1"/>
            </w14:solidFill>
          </w14:textFill>
        </w:rPr>
        <w:t>14</w:t>
      </w:r>
      <w:r>
        <w:rPr>
          <w:rFonts w:hint="eastAsia" w:ascii="宋体" w:hAnsi="宋体"/>
          <w:b/>
          <w:bCs/>
          <w:color w:val="000000" w:themeColor="text1"/>
          <w:sz w:val="24"/>
          <w:highlight w:val="none"/>
          <w14:textFill>
            <w14:solidFill>
              <w14:schemeClr w14:val="tx1"/>
            </w14:solidFill>
          </w14:textFill>
        </w:rPr>
        <w:t xml:space="preserve"> 日</w:t>
      </w:r>
    </w:p>
    <w:tbl>
      <w:tblPr>
        <w:tblStyle w:val="20"/>
        <w:tblW w:w="14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509"/>
        <w:gridCol w:w="2540"/>
        <w:gridCol w:w="2540"/>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959" w:type="dxa"/>
            <w:vMerge w:val="restart"/>
            <w:vAlign w:val="center"/>
          </w:tcPr>
          <w:p>
            <w:pPr>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序号</w:t>
            </w:r>
          </w:p>
        </w:tc>
        <w:tc>
          <w:tcPr>
            <w:tcW w:w="5509" w:type="dxa"/>
            <w:vMerge w:val="restart"/>
            <w:vAlign w:val="center"/>
          </w:tcPr>
          <w:p>
            <w:pPr>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评审因素</w:t>
            </w:r>
          </w:p>
        </w:tc>
        <w:tc>
          <w:tcPr>
            <w:tcW w:w="7631" w:type="dxa"/>
            <w:gridSpan w:val="3"/>
            <w:vAlign w:val="center"/>
          </w:tcPr>
          <w:p>
            <w:pPr>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959" w:type="dxa"/>
            <w:vMerge w:val="continue"/>
            <w:vAlign w:val="center"/>
          </w:tcPr>
          <w:p>
            <w:pPr>
              <w:spacing w:line="440" w:lineRule="exact"/>
              <w:jc w:val="center"/>
              <w:rPr>
                <w:rFonts w:ascii="Trebuchet MS" w:hAnsi="Trebuchet MS" w:eastAsia="黑体"/>
                <w:color w:val="000000" w:themeColor="text1"/>
                <w:sz w:val="24"/>
                <w:highlight w:val="none"/>
                <w14:textFill>
                  <w14:solidFill>
                    <w14:schemeClr w14:val="tx1"/>
                  </w14:solidFill>
                </w14:textFill>
              </w:rPr>
            </w:pPr>
            <w:bookmarkStart w:id="23" w:name="OLE_LINK7" w:colFirst="2" w:colLast="8"/>
          </w:p>
        </w:tc>
        <w:tc>
          <w:tcPr>
            <w:tcW w:w="5509" w:type="dxa"/>
            <w:vMerge w:val="continue"/>
            <w:vAlign w:val="center"/>
          </w:tcPr>
          <w:p>
            <w:pPr>
              <w:spacing w:line="440" w:lineRule="exact"/>
              <w:jc w:val="center"/>
              <w:rPr>
                <w:rFonts w:ascii="Trebuchet MS" w:hAnsi="Trebuchet MS"/>
                <w:color w:val="000000" w:themeColor="text1"/>
                <w:sz w:val="24"/>
                <w:highlight w:val="none"/>
                <w14:textFill>
                  <w14:solidFill>
                    <w14:schemeClr w14:val="tx1"/>
                  </w14:solidFill>
                </w14:textFill>
              </w:rPr>
            </w:pPr>
          </w:p>
        </w:tc>
        <w:tc>
          <w:tcPr>
            <w:tcW w:w="2540" w:type="dxa"/>
            <w:vAlign w:val="center"/>
          </w:tcPr>
          <w:p>
            <w:pPr>
              <w:jc w:val="center"/>
              <w:rPr>
                <w:rFonts w:ascii="宋体" w:hAnsi="宋体" w:cs="宋体"/>
                <w:color w:val="000000" w:themeColor="text1"/>
                <w:sz w:val="24"/>
                <w:highlight w:val="none"/>
                <w14:textFill>
                  <w14:solidFill>
                    <w14:schemeClr w14:val="tx1"/>
                  </w14:solidFill>
                </w14:textFill>
              </w:rPr>
            </w:pPr>
          </w:p>
        </w:tc>
        <w:tc>
          <w:tcPr>
            <w:tcW w:w="2540" w:type="dxa"/>
            <w:vAlign w:val="center"/>
          </w:tcPr>
          <w:p>
            <w:pPr>
              <w:jc w:val="center"/>
              <w:textAlignment w:val="center"/>
              <w:rPr>
                <w:rFonts w:ascii="Tahoma" w:hAnsi="Tahoma" w:cs="Tahoma"/>
                <w:color w:val="000000" w:themeColor="text1"/>
                <w:sz w:val="24"/>
                <w:highlight w:val="none"/>
                <w14:textFill>
                  <w14:solidFill>
                    <w14:schemeClr w14:val="tx1"/>
                  </w14:solidFill>
                </w14:textFill>
              </w:rPr>
            </w:pPr>
          </w:p>
        </w:tc>
        <w:tc>
          <w:tcPr>
            <w:tcW w:w="2551" w:type="dxa"/>
            <w:vAlign w:val="center"/>
          </w:tcPr>
          <w:p>
            <w:pPr>
              <w:jc w:val="center"/>
              <w:rPr>
                <w:rFonts w:ascii="宋体" w:hAnsi="宋体" w:cs="宋体"/>
                <w:color w:val="000000" w:themeColor="text1"/>
                <w:kern w:val="0"/>
                <w:szCs w:val="21"/>
                <w:highlight w:val="none"/>
                <w14:textFill>
                  <w14:solidFill>
                    <w14:schemeClr w14:val="tx1"/>
                  </w14:solidFill>
                </w14:textFill>
              </w:rPr>
            </w:pPr>
          </w:p>
        </w:tc>
      </w:tr>
      <w:bookmarkEnd w:id="2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59" w:type="dxa"/>
            <w:vAlign w:val="center"/>
          </w:tcPr>
          <w:p>
            <w:pPr>
              <w:spacing w:line="280" w:lineRule="exact"/>
              <w:jc w:val="center"/>
              <w:rPr>
                <w:rFonts w:ascii="Tahoma" w:hAnsi="Tahoma" w:eastAsia="黑体" w:cs="Tahoma"/>
                <w:color w:val="000000" w:themeColor="text1"/>
                <w:szCs w:val="21"/>
                <w:highlight w:val="none"/>
                <w14:textFill>
                  <w14:solidFill>
                    <w14:schemeClr w14:val="tx1"/>
                  </w14:solidFill>
                </w14:textFill>
              </w:rPr>
            </w:pPr>
            <w:r>
              <w:rPr>
                <w:rFonts w:ascii="Tahoma" w:hAnsi="Tahoma" w:eastAsia="黑体" w:cs="Tahoma"/>
                <w:color w:val="000000" w:themeColor="text1"/>
                <w:szCs w:val="21"/>
                <w:highlight w:val="none"/>
                <w14:textFill>
                  <w14:solidFill>
                    <w14:schemeClr w14:val="tx1"/>
                  </w14:solidFill>
                </w14:textFill>
              </w:rPr>
              <w:t>1</w:t>
            </w:r>
          </w:p>
        </w:tc>
        <w:tc>
          <w:tcPr>
            <w:tcW w:w="5509" w:type="dxa"/>
            <w:vAlign w:val="center"/>
          </w:tcPr>
          <w:p>
            <w:pPr>
              <w:spacing w:line="280" w:lineRule="exact"/>
              <w:rPr>
                <w:rFonts w:ascii="宋体"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营业执照</w:t>
            </w:r>
            <w:r>
              <w:rPr>
                <w:rFonts w:hint="eastAsia" w:hAnsi="宋体"/>
                <w:color w:val="000000" w:themeColor="text1"/>
                <w:sz w:val="24"/>
                <w:highlight w:val="none"/>
                <w14:textFill>
                  <w14:solidFill>
                    <w14:schemeClr w14:val="tx1"/>
                  </w14:solidFill>
                </w14:textFill>
              </w:rPr>
              <w:t>、税务登记</w:t>
            </w:r>
            <w:r>
              <w:rPr>
                <w:rFonts w:hAnsi="宋体"/>
                <w:color w:val="000000" w:themeColor="text1"/>
                <w:sz w:val="24"/>
                <w:highlight w:val="none"/>
                <w14:textFill>
                  <w14:solidFill>
                    <w14:schemeClr w14:val="tx1"/>
                  </w14:solidFill>
                </w14:textFill>
              </w:rPr>
              <w:t>证</w:t>
            </w:r>
            <w:r>
              <w:rPr>
                <w:rFonts w:hint="eastAsia" w:hAnsi="宋体"/>
                <w:color w:val="000000" w:themeColor="text1"/>
                <w:sz w:val="24"/>
                <w:highlight w:val="none"/>
                <w14:textFill>
                  <w14:solidFill>
                    <w14:schemeClr w14:val="tx1"/>
                  </w14:solidFill>
                </w14:textFill>
              </w:rPr>
              <w:t>、组织机构代码证（或三证合一）</w:t>
            </w:r>
          </w:p>
        </w:tc>
        <w:tc>
          <w:tcPr>
            <w:tcW w:w="2540" w:type="dxa"/>
            <w:vAlign w:val="center"/>
          </w:tcPr>
          <w:p>
            <w:pPr>
              <w:textAlignment w:val="center"/>
              <w:rPr>
                <w:rFonts w:ascii="Tahoma" w:hAnsi="Tahoma" w:cs="Tahoma"/>
                <w:color w:val="000000" w:themeColor="text1"/>
                <w:sz w:val="24"/>
                <w:highlight w:val="none"/>
                <w14:textFill>
                  <w14:solidFill>
                    <w14:schemeClr w14:val="tx1"/>
                  </w14:solidFill>
                </w14:textFill>
              </w:rPr>
            </w:pPr>
          </w:p>
        </w:tc>
        <w:tc>
          <w:tcPr>
            <w:tcW w:w="2540" w:type="dxa"/>
            <w:vAlign w:val="center"/>
          </w:tcPr>
          <w:p>
            <w:pPr>
              <w:textAlignment w:val="center"/>
              <w:rPr>
                <w:rFonts w:ascii="Tahoma" w:hAnsi="Tahoma" w:cs="Tahoma"/>
                <w:color w:val="000000" w:themeColor="text1"/>
                <w:sz w:val="24"/>
                <w:highlight w:val="none"/>
                <w14:textFill>
                  <w14:solidFill>
                    <w14:schemeClr w14:val="tx1"/>
                  </w14:solidFill>
                </w14:textFill>
              </w:rPr>
            </w:pPr>
          </w:p>
        </w:tc>
        <w:tc>
          <w:tcPr>
            <w:tcW w:w="2551" w:type="dxa"/>
            <w:vAlign w:val="center"/>
          </w:tcPr>
          <w:p>
            <w:pPr>
              <w:spacing w:line="280" w:lineRule="exact"/>
              <w:jc w:val="center"/>
              <w:rPr>
                <w:rFonts w:ascii="Trebuchet MS" w:hAnsi="Trebuchet M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959" w:type="dxa"/>
            <w:vAlign w:val="center"/>
          </w:tcPr>
          <w:p>
            <w:pPr>
              <w:spacing w:line="280" w:lineRule="exact"/>
              <w:jc w:val="center"/>
              <w:rPr>
                <w:rFonts w:ascii="Tahoma" w:hAnsi="Tahoma" w:eastAsia="黑体" w:cs="Tahoma"/>
                <w:color w:val="000000" w:themeColor="text1"/>
                <w:szCs w:val="21"/>
                <w:highlight w:val="none"/>
                <w14:textFill>
                  <w14:solidFill>
                    <w14:schemeClr w14:val="tx1"/>
                  </w14:solidFill>
                </w14:textFill>
              </w:rPr>
            </w:pPr>
            <w:r>
              <w:rPr>
                <w:rFonts w:ascii="Tahoma" w:hAnsi="Tahoma" w:eastAsia="黑体" w:cs="Tahoma"/>
                <w:color w:val="000000" w:themeColor="text1"/>
                <w:szCs w:val="21"/>
                <w:highlight w:val="none"/>
                <w14:textFill>
                  <w14:solidFill>
                    <w14:schemeClr w14:val="tx1"/>
                  </w14:solidFill>
                </w14:textFill>
              </w:rPr>
              <w:t>2</w:t>
            </w:r>
          </w:p>
        </w:tc>
        <w:tc>
          <w:tcPr>
            <w:tcW w:w="5509" w:type="dxa"/>
            <w:vAlign w:val="center"/>
          </w:tcPr>
          <w:p>
            <w:pPr>
              <w:spacing w:line="280" w:lineRule="exact"/>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法人提供法人身份证明文件及身份证、法人委托人须提供法人代表授权书（授权书需附法人身份证及委托人身份证复印件）</w:t>
            </w:r>
            <w:r>
              <w:rPr>
                <w:rFonts w:hint="eastAsia" w:hAnsi="宋体"/>
                <w:color w:val="000000" w:themeColor="text1"/>
                <w:sz w:val="24"/>
                <w:highlight w:val="none"/>
                <w:lang w:eastAsia="zh-CN"/>
                <w14:textFill>
                  <w14:solidFill>
                    <w14:schemeClr w14:val="tx1"/>
                  </w14:solidFill>
                </w14:textFill>
              </w:rPr>
              <w:t>、</w:t>
            </w:r>
            <w:r>
              <w:rPr>
                <w:rFonts w:hint="eastAsia" w:hAnsi="宋体"/>
                <w:color w:val="000000" w:themeColor="text1"/>
                <w:sz w:val="24"/>
                <w:highlight w:val="none"/>
                <w14:textFill>
                  <w14:solidFill>
                    <w14:schemeClr w14:val="tx1"/>
                  </w14:solidFill>
                </w14:textFill>
              </w:rPr>
              <w:t>委托人身份证及委托人2022年</w:t>
            </w:r>
            <w:r>
              <w:rPr>
                <w:rFonts w:hint="eastAsia" w:hAnsi="宋体"/>
                <w:color w:val="000000" w:themeColor="text1"/>
                <w:sz w:val="24"/>
                <w:highlight w:val="none"/>
                <w:lang w:val="en-US" w:eastAsia="zh-CN"/>
                <w14:textFill>
                  <w14:solidFill>
                    <w14:schemeClr w14:val="tx1"/>
                  </w14:solidFill>
                </w14:textFill>
              </w:rPr>
              <w:t>2</w:t>
            </w:r>
            <w:r>
              <w:rPr>
                <w:rFonts w:hint="eastAsia" w:hAnsi="宋体"/>
                <w:color w:val="000000" w:themeColor="text1"/>
                <w:sz w:val="24"/>
                <w:highlight w:val="none"/>
                <w14:textFill>
                  <w14:solidFill>
                    <w14:schemeClr w14:val="tx1"/>
                  </w14:solidFill>
                </w14:textFill>
              </w:rPr>
              <w:t>月至</w:t>
            </w:r>
            <w:r>
              <w:rPr>
                <w:rFonts w:hint="eastAsia" w:hAnsi="宋体"/>
                <w:color w:val="000000" w:themeColor="text1"/>
                <w:sz w:val="24"/>
                <w:highlight w:val="none"/>
                <w:lang w:val="en-US" w:eastAsia="zh-CN"/>
                <w14:textFill>
                  <w14:solidFill>
                    <w14:schemeClr w14:val="tx1"/>
                  </w14:solidFill>
                </w14:textFill>
              </w:rPr>
              <w:t>5</w:t>
            </w:r>
            <w:r>
              <w:rPr>
                <w:rFonts w:hint="eastAsia" w:hAnsi="宋体"/>
                <w:color w:val="000000" w:themeColor="text1"/>
                <w:sz w:val="24"/>
                <w:highlight w:val="none"/>
                <w14:textFill>
                  <w14:solidFill>
                    <w14:schemeClr w14:val="tx1"/>
                  </w14:solidFill>
                </w14:textFill>
              </w:rPr>
              <w:t>月社保缴纳凭证；</w:t>
            </w:r>
          </w:p>
        </w:tc>
        <w:tc>
          <w:tcPr>
            <w:tcW w:w="2540" w:type="dxa"/>
            <w:vAlign w:val="center"/>
          </w:tcPr>
          <w:p>
            <w:pPr>
              <w:textAlignment w:val="center"/>
              <w:rPr>
                <w:rFonts w:ascii="Tahoma" w:hAnsi="Tahoma" w:cs="Tahoma"/>
                <w:color w:val="000000" w:themeColor="text1"/>
                <w:sz w:val="24"/>
                <w:highlight w:val="none"/>
                <w14:textFill>
                  <w14:solidFill>
                    <w14:schemeClr w14:val="tx1"/>
                  </w14:solidFill>
                </w14:textFill>
              </w:rPr>
            </w:pPr>
          </w:p>
        </w:tc>
        <w:tc>
          <w:tcPr>
            <w:tcW w:w="2540" w:type="dxa"/>
            <w:vAlign w:val="center"/>
          </w:tcPr>
          <w:p>
            <w:pPr>
              <w:textAlignment w:val="center"/>
              <w:rPr>
                <w:rFonts w:ascii="Tahoma" w:hAnsi="Tahoma" w:cs="Tahoma"/>
                <w:color w:val="000000" w:themeColor="text1"/>
                <w:sz w:val="24"/>
                <w:highlight w:val="none"/>
                <w14:textFill>
                  <w14:solidFill>
                    <w14:schemeClr w14:val="tx1"/>
                  </w14:solidFill>
                </w14:textFill>
              </w:rPr>
            </w:pPr>
          </w:p>
        </w:tc>
        <w:tc>
          <w:tcPr>
            <w:tcW w:w="2551" w:type="dxa"/>
            <w:vAlign w:val="center"/>
          </w:tcPr>
          <w:p>
            <w:pPr>
              <w:spacing w:line="280" w:lineRule="exact"/>
              <w:jc w:val="center"/>
              <w:rPr>
                <w:rFonts w:ascii="Trebuchet MS" w:hAnsi="Trebuchet M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959" w:type="dxa"/>
            <w:vAlign w:val="center"/>
          </w:tcPr>
          <w:p>
            <w:pPr>
              <w:spacing w:line="280" w:lineRule="exact"/>
              <w:jc w:val="center"/>
              <w:rPr>
                <w:rFonts w:hint="eastAsia" w:ascii="Tahoma" w:hAnsi="Tahoma" w:eastAsia="黑体" w:cs="Tahoma"/>
                <w:color w:val="000000" w:themeColor="text1"/>
                <w:szCs w:val="21"/>
                <w:highlight w:val="none"/>
                <w:lang w:eastAsia="zh-CN"/>
                <w14:textFill>
                  <w14:solidFill>
                    <w14:schemeClr w14:val="tx1"/>
                  </w14:solidFill>
                </w14:textFill>
              </w:rPr>
            </w:pPr>
            <w:r>
              <w:rPr>
                <w:rFonts w:hint="eastAsia" w:ascii="Tahoma" w:hAnsi="Tahoma" w:eastAsia="黑体" w:cs="Tahoma"/>
                <w:color w:val="000000" w:themeColor="text1"/>
                <w:szCs w:val="21"/>
                <w:highlight w:val="none"/>
                <w:lang w:val="en-US" w:eastAsia="zh-CN"/>
                <w14:textFill>
                  <w14:solidFill>
                    <w14:schemeClr w14:val="tx1"/>
                  </w14:solidFill>
                </w14:textFill>
              </w:rPr>
              <w:t>3</w:t>
            </w:r>
          </w:p>
        </w:tc>
        <w:tc>
          <w:tcPr>
            <w:tcW w:w="5509" w:type="dxa"/>
            <w:vAlign w:val="center"/>
          </w:tcPr>
          <w:p>
            <w:pPr>
              <w:spacing w:line="280" w:lineRule="exact"/>
              <w:rPr>
                <w:rFonts w:ascii="Tahoma" w:hAnsi="Tahoma" w:cs="Tahoma"/>
                <w:color w:val="000000" w:themeColor="text1"/>
                <w:sz w:val="24"/>
                <w:highlight w:val="none"/>
                <w14:textFill>
                  <w14:solidFill>
                    <w14:schemeClr w14:val="tx1"/>
                  </w14:solidFill>
                </w14:textFill>
              </w:rPr>
            </w:pPr>
            <w:r>
              <w:rPr>
                <w:rFonts w:hint="eastAsia" w:ascii="Tahoma" w:hAnsi="Tahoma" w:cs="Tahoma"/>
                <w:color w:val="000000" w:themeColor="text1"/>
                <w:sz w:val="24"/>
                <w:highlight w:val="none"/>
                <w14:textFill>
                  <w14:solidFill>
                    <w14:schemeClr w14:val="tx1"/>
                  </w14:solidFill>
                </w14:textFill>
              </w:rPr>
              <w:t>供应商</w:t>
            </w:r>
            <w:r>
              <w:rPr>
                <w:rFonts w:hint="eastAsia" w:ascii="Tahoma" w:hAnsi="Tahoma" w:cs="Tahoma"/>
                <w:color w:val="000000" w:themeColor="text1"/>
                <w:sz w:val="24"/>
                <w:highlight w:val="none"/>
                <w:lang w:val="en-US" w:eastAsia="zh-CN"/>
                <w14:textFill>
                  <w14:solidFill>
                    <w14:schemeClr w14:val="tx1"/>
                  </w14:solidFill>
                </w14:textFill>
              </w:rPr>
              <w:t>提供2021年度财务审计报告（2021年新成立公司提供银行出具资信证明）</w:t>
            </w:r>
            <w:r>
              <w:rPr>
                <w:rFonts w:hint="eastAsia" w:ascii="Tahoma" w:hAnsi="Tahoma" w:cs="Tahoma"/>
                <w:color w:val="000000" w:themeColor="text1"/>
                <w:sz w:val="24"/>
                <w:highlight w:val="none"/>
                <w14:textFill>
                  <w14:solidFill>
                    <w14:schemeClr w14:val="tx1"/>
                  </w14:solidFill>
                </w14:textFill>
              </w:rPr>
              <w:t>及近三个月完税证明；</w:t>
            </w:r>
          </w:p>
        </w:tc>
        <w:tc>
          <w:tcPr>
            <w:tcW w:w="2540" w:type="dxa"/>
            <w:vAlign w:val="center"/>
          </w:tcPr>
          <w:p>
            <w:pPr>
              <w:textAlignment w:val="center"/>
              <w:rPr>
                <w:rFonts w:ascii="Tahoma" w:hAnsi="Tahoma" w:cs="Tahoma"/>
                <w:color w:val="000000" w:themeColor="text1"/>
                <w:sz w:val="24"/>
                <w:highlight w:val="none"/>
                <w14:textFill>
                  <w14:solidFill>
                    <w14:schemeClr w14:val="tx1"/>
                  </w14:solidFill>
                </w14:textFill>
              </w:rPr>
            </w:pPr>
          </w:p>
        </w:tc>
        <w:tc>
          <w:tcPr>
            <w:tcW w:w="2540" w:type="dxa"/>
            <w:vAlign w:val="center"/>
          </w:tcPr>
          <w:p>
            <w:pPr>
              <w:textAlignment w:val="center"/>
              <w:rPr>
                <w:rFonts w:ascii="Tahoma" w:hAnsi="Tahoma" w:cs="Tahoma"/>
                <w:color w:val="000000" w:themeColor="text1"/>
                <w:sz w:val="24"/>
                <w:highlight w:val="none"/>
                <w14:textFill>
                  <w14:solidFill>
                    <w14:schemeClr w14:val="tx1"/>
                  </w14:solidFill>
                </w14:textFill>
              </w:rPr>
            </w:pPr>
          </w:p>
        </w:tc>
        <w:tc>
          <w:tcPr>
            <w:tcW w:w="2551" w:type="dxa"/>
            <w:vAlign w:val="center"/>
          </w:tcPr>
          <w:p>
            <w:pPr>
              <w:spacing w:line="280" w:lineRule="exact"/>
              <w:jc w:val="center"/>
              <w:rPr>
                <w:rFonts w:ascii="Trebuchet MS" w:hAnsi="Trebuchet M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959" w:type="dxa"/>
            <w:vAlign w:val="center"/>
          </w:tcPr>
          <w:p>
            <w:pPr>
              <w:spacing w:line="280" w:lineRule="exact"/>
              <w:jc w:val="center"/>
              <w:rPr>
                <w:rFonts w:hint="default" w:ascii="Tahoma" w:hAnsi="Tahoma" w:eastAsia="黑体" w:cs="Tahoma"/>
                <w:color w:val="000000" w:themeColor="text1"/>
                <w:szCs w:val="21"/>
                <w:highlight w:val="none"/>
                <w:lang w:val="en-US" w:eastAsia="zh-CN"/>
                <w14:textFill>
                  <w14:solidFill>
                    <w14:schemeClr w14:val="tx1"/>
                  </w14:solidFill>
                </w14:textFill>
              </w:rPr>
            </w:pPr>
            <w:r>
              <w:rPr>
                <w:rFonts w:hint="eastAsia" w:ascii="Tahoma" w:hAnsi="Tahoma" w:eastAsia="黑体" w:cs="Tahoma"/>
                <w:color w:val="000000" w:themeColor="text1"/>
                <w:szCs w:val="21"/>
                <w:highlight w:val="none"/>
                <w:lang w:val="en-US" w:eastAsia="zh-CN"/>
                <w14:textFill>
                  <w14:solidFill>
                    <w14:schemeClr w14:val="tx1"/>
                  </w14:solidFill>
                </w14:textFill>
              </w:rPr>
              <w:t>4</w:t>
            </w:r>
          </w:p>
        </w:tc>
        <w:tc>
          <w:tcPr>
            <w:tcW w:w="5509" w:type="dxa"/>
            <w:vAlign w:val="center"/>
          </w:tcPr>
          <w:p>
            <w:pPr>
              <w:spacing w:line="280" w:lineRule="exact"/>
              <w:rPr>
                <w:rFonts w:hint="eastAsia" w:hAnsi="宋体"/>
                <w:color w:val="000000" w:themeColor="text1"/>
                <w:sz w:val="24"/>
                <w:highlight w:val="none"/>
                <w14:textFill>
                  <w14:solidFill>
                    <w14:schemeClr w14:val="tx1"/>
                  </w14:solidFill>
                </w14:textFill>
              </w:rPr>
            </w:pPr>
            <w:r>
              <w:rPr>
                <w:rFonts w:hint="eastAsia" w:hAnsi="宋体"/>
                <w:color w:val="000000" w:themeColor="text1"/>
                <w:sz w:val="24"/>
                <w:highlight w:val="none"/>
                <w:lang w:val="en-US" w:eastAsia="zh-CN"/>
                <w14:textFill>
                  <w14:solidFill>
                    <w14:schemeClr w14:val="tx1"/>
                  </w14:solidFill>
                </w14:textFill>
              </w:rPr>
              <w:t>提供数字化医院信息平台软件、医院信息集成平台软件、电子病历管理软件原始著作权登记证书（著作权必须在本招标文件发布之前取得，所登记注册的软件名称可以与上述名称略有不同，但必须是功能相同的产品）</w:t>
            </w:r>
          </w:p>
        </w:tc>
        <w:tc>
          <w:tcPr>
            <w:tcW w:w="2540" w:type="dxa"/>
            <w:vAlign w:val="center"/>
          </w:tcPr>
          <w:p>
            <w:pPr>
              <w:textAlignment w:val="center"/>
              <w:rPr>
                <w:rFonts w:ascii="Tahoma" w:hAnsi="Tahoma" w:cs="Tahoma"/>
                <w:color w:val="000000" w:themeColor="text1"/>
                <w:sz w:val="24"/>
                <w:highlight w:val="none"/>
                <w14:textFill>
                  <w14:solidFill>
                    <w14:schemeClr w14:val="tx1"/>
                  </w14:solidFill>
                </w14:textFill>
              </w:rPr>
            </w:pPr>
          </w:p>
        </w:tc>
        <w:tc>
          <w:tcPr>
            <w:tcW w:w="2540" w:type="dxa"/>
            <w:vAlign w:val="center"/>
          </w:tcPr>
          <w:p>
            <w:pPr>
              <w:textAlignment w:val="center"/>
              <w:rPr>
                <w:rFonts w:ascii="Tahoma" w:hAnsi="Tahoma" w:cs="Tahoma"/>
                <w:color w:val="000000" w:themeColor="text1"/>
                <w:sz w:val="24"/>
                <w:highlight w:val="none"/>
                <w14:textFill>
                  <w14:solidFill>
                    <w14:schemeClr w14:val="tx1"/>
                  </w14:solidFill>
                </w14:textFill>
              </w:rPr>
            </w:pPr>
          </w:p>
        </w:tc>
        <w:tc>
          <w:tcPr>
            <w:tcW w:w="2551" w:type="dxa"/>
            <w:vAlign w:val="center"/>
          </w:tcPr>
          <w:p>
            <w:pPr>
              <w:spacing w:line="280" w:lineRule="exact"/>
              <w:jc w:val="center"/>
              <w:rPr>
                <w:rFonts w:ascii="Trebuchet MS" w:hAnsi="Trebuchet M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59" w:type="dxa"/>
            <w:vAlign w:val="center"/>
          </w:tcPr>
          <w:p>
            <w:pPr>
              <w:spacing w:line="280" w:lineRule="exact"/>
              <w:jc w:val="center"/>
              <w:rPr>
                <w:rFonts w:hint="default" w:ascii="Tahoma" w:hAnsi="Tahoma" w:eastAsia="黑体" w:cs="Tahoma"/>
                <w:color w:val="000000" w:themeColor="text1"/>
                <w:szCs w:val="21"/>
                <w:highlight w:val="none"/>
                <w:lang w:val="en-US" w:eastAsia="zh-CN"/>
                <w14:textFill>
                  <w14:solidFill>
                    <w14:schemeClr w14:val="tx1"/>
                  </w14:solidFill>
                </w14:textFill>
              </w:rPr>
            </w:pPr>
            <w:r>
              <w:rPr>
                <w:rFonts w:hint="eastAsia" w:ascii="Tahoma" w:hAnsi="Tahoma" w:eastAsia="黑体" w:cs="Tahoma"/>
                <w:color w:val="000000" w:themeColor="text1"/>
                <w:szCs w:val="21"/>
                <w:highlight w:val="none"/>
                <w:lang w:val="en-US" w:eastAsia="zh-CN"/>
                <w14:textFill>
                  <w14:solidFill>
                    <w14:schemeClr w14:val="tx1"/>
                  </w14:solidFill>
                </w14:textFill>
              </w:rPr>
              <w:t>5</w:t>
            </w:r>
          </w:p>
        </w:tc>
        <w:tc>
          <w:tcPr>
            <w:tcW w:w="5509" w:type="dxa"/>
            <w:vAlign w:val="center"/>
          </w:tcPr>
          <w:p>
            <w:pPr>
              <w:spacing w:line="280" w:lineRule="exact"/>
              <w:rPr>
                <w:rFonts w:hint="eastAsia" w:hAnsi="宋体"/>
                <w:color w:val="000000" w:themeColor="text1"/>
                <w:sz w:val="24"/>
                <w:highlight w:val="none"/>
                <w14:textFill>
                  <w14:solidFill>
                    <w14:schemeClr w14:val="tx1"/>
                  </w14:solidFill>
                </w14:textFill>
              </w:rPr>
            </w:pPr>
            <w:r>
              <w:rPr>
                <w:rFonts w:hint="eastAsia" w:hAnsi="宋体"/>
                <w:color w:val="000000" w:themeColor="text1"/>
                <w:sz w:val="24"/>
                <w:highlight w:val="none"/>
                <w:lang w:val="en-US" w:eastAsia="zh-CN"/>
                <w14:textFill>
                  <w14:solidFill>
                    <w14:schemeClr w14:val="tx1"/>
                  </w14:solidFill>
                </w14:textFill>
              </w:rPr>
              <w:t>提供医院桌面云系统及超融合部分原厂家售后服务承诺书</w:t>
            </w:r>
          </w:p>
        </w:tc>
        <w:tc>
          <w:tcPr>
            <w:tcW w:w="2540" w:type="dxa"/>
            <w:vAlign w:val="center"/>
          </w:tcPr>
          <w:p>
            <w:pPr>
              <w:textAlignment w:val="center"/>
              <w:rPr>
                <w:rFonts w:ascii="Tahoma" w:hAnsi="Tahoma" w:cs="Tahoma"/>
                <w:color w:val="000000" w:themeColor="text1"/>
                <w:sz w:val="24"/>
                <w:highlight w:val="none"/>
                <w14:textFill>
                  <w14:solidFill>
                    <w14:schemeClr w14:val="tx1"/>
                  </w14:solidFill>
                </w14:textFill>
              </w:rPr>
            </w:pPr>
          </w:p>
        </w:tc>
        <w:tc>
          <w:tcPr>
            <w:tcW w:w="2540" w:type="dxa"/>
            <w:vAlign w:val="center"/>
          </w:tcPr>
          <w:p>
            <w:pPr>
              <w:textAlignment w:val="center"/>
              <w:rPr>
                <w:rFonts w:ascii="Tahoma" w:hAnsi="Tahoma" w:cs="Tahoma"/>
                <w:color w:val="000000" w:themeColor="text1"/>
                <w:sz w:val="24"/>
                <w:highlight w:val="none"/>
                <w14:textFill>
                  <w14:solidFill>
                    <w14:schemeClr w14:val="tx1"/>
                  </w14:solidFill>
                </w14:textFill>
              </w:rPr>
            </w:pPr>
          </w:p>
        </w:tc>
        <w:tc>
          <w:tcPr>
            <w:tcW w:w="2551" w:type="dxa"/>
            <w:vAlign w:val="center"/>
          </w:tcPr>
          <w:p>
            <w:pPr>
              <w:spacing w:line="280" w:lineRule="exact"/>
              <w:jc w:val="center"/>
              <w:rPr>
                <w:rFonts w:ascii="Trebuchet MS" w:hAnsi="Trebuchet M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9" w:type="dxa"/>
            <w:vAlign w:val="center"/>
          </w:tcPr>
          <w:p>
            <w:pPr>
              <w:spacing w:line="280" w:lineRule="exact"/>
              <w:jc w:val="center"/>
              <w:rPr>
                <w:rFonts w:hint="eastAsia" w:ascii="Tahoma" w:hAnsi="Tahoma" w:eastAsia="黑体" w:cs="Tahoma"/>
                <w:color w:val="000000" w:themeColor="text1"/>
                <w:szCs w:val="21"/>
                <w:highlight w:val="none"/>
                <w:lang w:val="en-US" w:eastAsia="zh-CN"/>
                <w14:textFill>
                  <w14:solidFill>
                    <w14:schemeClr w14:val="tx1"/>
                  </w14:solidFill>
                </w14:textFill>
              </w:rPr>
            </w:pPr>
            <w:r>
              <w:rPr>
                <w:rFonts w:hint="eastAsia" w:ascii="Tahoma" w:hAnsi="Tahoma" w:eastAsia="黑体" w:cs="Tahoma"/>
                <w:color w:val="000000" w:themeColor="text1"/>
                <w:szCs w:val="21"/>
                <w:highlight w:val="none"/>
                <w:lang w:val="en-US" w:eastAsia="zh-CN"/>
                <w14:textFill>
                  <w14:solidFill>
                    <w14:schemeClr w14:val="tx1"/>
                  </w14:solidFill>
                </w14:textFill>
              </w:rPr>
              <w:t>6</w:t>
            </w:r>
          </w:p>
        </w:tc>
        <w:tc>
          <w:tcPr>
            <w:tcW w:w="5509" w:type="dxa"/>
            <w:vAlign w:val="center"/>
          </w:tcPr>
          <w:p>
            <w:pPr>
              <w:spacing w:line="280" w:lineRule="exact"/>
              <w:rPr>
                <w:rFonts w:hint="eastAsia" w:eastAsia="宋体"/>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投标保证金收据；</w:t>
            </w:r>
          </w:p>
        </w:tc>
        <w:tc>
          <w:tcPr>
            <w:tcW w:w="2540" w:type="dxa"/>
            <w:vAlign w:val="center"/>
          </w:tcPr>
          <w:p>
            <w:pPr>
              <w:textAlignment w:val="center"/>
              <w:rPr>
                <w:rFonts w:ascii="Trebuchet MS" w:hAnsi="Trebuchet MS"/>
                <w:color w:val="000000" w:themeColor="text1"/>
                <w:sz w:val="24"/>
                <w:highlight w:val="none"/>
                <w14:textFill>
                  <w14:solidFill>
                    <w14:schemeClr w14:val="tx1"/>
                  </w14:solidFill>
                </w14:textFill>
              </w:rPr>
            </w:pPr>
          </w:p>
        </w:tc>
        <w:tc>
          <w:tcPr>
            <w:tcW w:w="2540" w:type="dxa"/>
            <w:vAlign w:val="center"/>
          </w:tcPr>
          <w:p>
            <w:pPr>
              <w:textAlignment w:val="center"/>
              <w:rPr>
                <w:rFonts w:ascii="Trebuchet MS" w:hAnsi="Trebuchet MS"/>
                <w:color w:val="000000" w:themeColor="text1"/>
                <w:sz w:val="24"/>
                <w:highlight w:val="none"/>
                <w14:textFill>
                  <w14:solidFill>
                    <w14:schemeClr w14:val="tx1"/>
                  </w14:solidFill>
                </w14:textFill>
              </w:rPr>
            </w:pPr>
          </w:p>
        </w:tc>
        <w:tc>
          <w:tcPr>
            <w:tcW w:w="2551" w:type="dxa"/>
            <w:vAlign w:val="center"/>
          </w:tcPr>
          <w:p>
            <w:pPr>
              <w:spacing w:line="280" w:lineRule="exact"/>
              <w:jc w:val="center"/>
              <w:rPr>
                <w:rFonts w:ascii="Trebuchet MS" w:hAnsi="Trebuchet M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9" w:type="dxa"/>
            <w:vAlign w:val="center"/>
          </w:tcPr>
          <w:p>
            <w:pPr>
              <w:spacing w:line="280" w:lineRule="exact"/>
              <w:jc w:val="center"/>
              <w:rPr>
                <w:rFonts w:hint="eastAsia" w:ascii="Tahoma" w:hAnsi="Tahoma" w:eastAsia="黑体" w:cs="Tahoma"/>
                <w:color w:val="000000" w:themeColor="text1"/>
                <w:szCs w:val="21"/>
                <w:highlight w:val="none"/>
                <w:lang w:eastAsia="zh-CN"/>
                <w14:textFill>
                  <w14:solidFill>
                    <w14:schemeClr w14:val="tx1"/>
                  </w14:solidFill>
                </w14:textFill>
              </w:rPr>
            </w:pPr>
            <w:r>
              <w:rPr>
                <w:rFonts w:hint="eastAsia" w:ascii="Tahoma" w:hAnsi="Tahoma" w:eastAsia="黑体" w:cs="Tahoma"/>
                <w:color w:val="000000" w:themeColor="text1"/>
                <w:szCs w:val="21"/>
                <w:highlight w:val="none"/>
                <w:lang w:val="en-US" w:eastAsia="zh-CN"/>
                <w14:textFill>
                  <w14:solidFill>
                    <w14:schemeClr w14:val="tx1"/>
                  </w14:solidFill>
                </w14:textFill>
              </w:rPr>
              <w:t>7</w:t>
            </w:r>
          </w:p>
        </w:tc>
        <w:tc>
          <w:tcPr>
            <w:tcW w:w="5509" w:type="dxa"/>
            <w:vAlign w:val="center"/>
          </w:tcPr>
          <w:p>
            <w:pPr>
              <w:spacing w:line="280" w:lineRule="exact"/>
              <w:rPr>
                <w:rFonts w:hAns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有无</w:t>
            </w:r>
            <w:r>
              <w:rPr>
                <w:color w:val="000000" w:themeColor="text1"/>
                <w:sz w:val="24"/>
                <w:highlight w:val="none"/>
                <w14:textFill>
                  <w14:solidFill>
                    <w14:schemeClr w14:val="tx1"/>
                  </w14:solidFill>
                </w14:textFill>
              </w:rPr>
              <w:t>重大违法记录</w:t>
            </w:r>
          </w:p>
        </w:tc>
        <w:tc>
          <w:tcPr>
            <w:tcW w:w="2540" w:type="dxa"/>
            <w:vAlign w:val="center"/>
          </w:tcPr>
          <w:p>
            <w:pPr>
              <w:textAlignment w:val="center"/>
              <w:rPr>
                <w:rFonts w:ascii="Trebuchet MS" w:hAnsi="Trebuchet MS"/>
                <w:color w:val="000000" w:themeColor="text1"/>
                <w:sz w:val="24"/>
                <w:highlight w:val="none"/>
                <w14:textFill>
                  <w14:solidFill>
                    <w14:schemeClr w14:val="tx1"/>
                  </w14:solidFill>
                </w14:textFill>
              </w:rPr>
            </w:pPr>
          </w:p>
        </w:tc>
        <w:tc>
          <w:tcPr>
            <w:tcW w:w="2540" w:type="dxa"/>
            <w:vAlign w:val="center"/>
          </w:tcPr>
          <w:p>
            <w:pPr>
              <w:textAlignment w:val="center"/>
              <w:rPr>
                <w:rFonts w:ascii="Trebuchet MS" w:hAnsi="Trebuchet MS"/>
                <w:color w:val="000000" w:themeColor="text1"/>
                <w:sz w:val="24"/>
                <w:highlight w:val="none"/>
                <w14:textFill>
                  <w14:solidFill>
                    <w14:schemeClr w14:val="tx1"/>
                  </w14:solidFill>
                </w14:textFill>
              </w:rPr>
            </w:pPr>
          </w:p>
        </w:tc>
        <w:tc>
          <w:tcPr>
            <w:tcW w:w="2551" w:type="dxa"/>
            <w:vAlign w:val="center"/>
          </w:tcPr>
          <w:p>
            <w:pPr>
              <w:spacing w:line="280" w:lineRule="exact"/>
              <w:jc w:val="center"/>
              <w:rPr>
                <w:rFonts w:ascii="Trebuchet MS" w:hAnsi="Trebuchet M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468" w:type="dxa"/>
            <w:gridSpan w:val="2"/>
            <w:vAlign w:val="center"/>
          </w:tcPr>
          <w:p>
            <w:pPr>
              <w:spacing w:line="280" w:lineRule="exact"/>
              <w:jc w:val="center"/>
              <w:rPr>
                <w:rFonts w:ascii="Trebuchet MS" w:hAnsi="Trebuchet MS"/>
                <w:color w:val="000000" w:themeColor="text1"/>
                <w:sz w:val="24"/>
                <w:highlight w:val="none"/>
                <w14:textFill>
                  <w14:solidFill>
                    <w14:schemeClr w14:val="tx1"/>
                  </w14:solidFill>
                </w14:textFill>
              </w:rPr>
            </w:pPr>
            <w:r>
              <w:rPr>
                <w:rFonts w:ascii="Trebuchet MS"/>
                <w:color w:val="000000" w:themeColor="text1"/>
                <w:sz w:val="24"/>
                <w:highlight w:val="none"/>
                <w14:textFill>
                  <w14:solidFill>
                    <w14:schemeClr w14:val="tx1"/>
                  </w14:solidFill>
                </w14:textFill>
              </w:rPr>
              <w:t>是否通过</w:t>
            </w:r>
          </w:p>
        </w:tc>
        <w:tc>
          <w:tcPr>
            <w:tcW w:w="2540" w:type="dxa"/>
            <w:vAlign w:val="center"/>
          </w:tcPr>
          <w:p>
            <w:pPr>
              <w:spacing w:line="280" w:lineRule="exact"/>
              <w:jc w:val="center"/>
              <w:rPr>
                <w:rFonts w:ascii="Trebuchet MS" w:hAnsi="Trebuchet MS"/>
                <w:color w:val="000000" w:themeColor="text1"/>
                <w:sz w:val="24"/>
                <w:highlight w:val="none"/>
                <w14:textFill>
                  <w14:solidFill>
                    <w14:schemeClr w14:val="tx1"/>
                  </w14:solidFill>
                </w14:textFill>
              </w:rPr>
            </w:pPr>
          </w:p>
        </w:tc>
        <w:tc>
          <w:tcPr>
            <w:tcW w:w="2540" w:type="dxa"/>
            <w:vAlign w:val="center"/>
          </w:tcPr>
          <w:p>
            <w:pPr>
              <w:spacing w:line="280" w:lineRule="exact"/>
              <w:jc w:val="center"/>
              <w:rPr>
                <w:rFonts w:ascii="Trebuchet MS" w:hAnsi="Trebuchet MS"/>
                <w:color w:val="000000" w:themeColor="text1"/>
                <w:sz w:val="24"/>
                <w:highlight w:val="none"/>
                <w14:textFill>
                  <w14:solidFill>
                    <w14:schemeClr w14:val="tx1"/>
                  </w14:solidFill>
                </w14:textFill>
              </w:rPr>
            </w:pPr>
          </w:p>
        </w:tc>
        <w:tc>
          <w:tcPr>
            <w:tcW w:w="2551" w:type="dxa"/>
            <w:vAlign w:val="center"/>
          </w:tcPr>
          <w:p>
            <w:pPr>
              <w:spacing w:line="280" w:lineRule="exact"/>
              <w:jc w:val="center"/>
              <w:rPr>
                <w:rFonts w:ascii="Trebuchet MS" w:hAnsi="Trebuchet MS"/>
                <w:color w:val="000000" w:themeColor="text1"/>
                <w:sz w:val="24"/>
                <w:highlight w:val="none"/>
                <w14:textFill>
                  <w14:solidFill>
                    <w14:schemeClr w14:val="tx1"/>
                  </w14:solidFill>
                </w14:textFill>
              </w:rPr>
            </w:pPr>
          </w:p>
        </w:tc>
      </w:tr>
    </w:tbl>
    <w:p>
      <w:pPr>
        <w:spacing w:line="320" w:lineRule="exact"/>
        <w:rPr>
          <w:rFonts w:hint="eastAsia" w:ascii="黑体" w:eastAsia="黑体"/>
          <w:b/>
          <w:color w:val="000000" w:themeColor="text1"/>
          <w:szCs w:val="21"/>
          <w:highlight w:val="none"/>
          <w14:textFill>
            <w14:solidFill>
              <w14:schemeClr w14:val="tx1"/>
            </w14:solidFill>
          </w14:textFill>
        </w:rPr>
      </w:pPr>
    </w:p>
    <w:p>
      <w:pPr>
        <w:spacing w:line="320" w:lineRule="exact"/>
        <w:rPr>
          <w:rFonts w:ascii="黑体" w:hAnsi="Trebuchet MS" w:eastAsia="黑体"/>
          <w:b/>
          <w:color w:val="000000" w:themeColor="text1"/>
          <w:szCs w:val="21"/>
          <w:highlight w:val="none"/>
          <w14:textFill>
            <w14:solidFill>
              <w14:schemeClr w14:val="tx1"/>
            </w14:solidFill>
          </w14:textFill>
        </w:rPr>
      </w:pPr>
      <w:r>
        <w:rPr>
          <w:rFonts w:hint="eastAsia" w:ascii="黑体" w:eastAsia="黑体"/>
          <w:b/>
          <w:color w:val="000000" w:themeColor="text1"/>
          <w:szCs w:val="21"/>
          <w:highlight w:val="none"/>
          <w14:textFill>
            <w14:solidFill>
              <w14:schemeClr w14:val="tx1"/>
            </w14:solidFill>
          </w14:textFill>
        </w:rPr>
        <w:t>注：评标委员会</w:t>
      </w:r>
      <w:r>
        <w:rPr>
          <w:rFonts w:hint="eastAsia" w:ascii="黑体" w:hAnsi="新宋体" w:eastAsia="黑体"/>
          <w:b/>
          <w:color w:val="000000" w:themeColor="text1"/>
          <w:szCs w:val="21"/>
          <w:highlight w:val="none"/>
          <w14:textFill>
            <w14:solidFill>
              <w14:schemeClr w14:val="tx1"/>
            </w14:solidFill>
          </w14:textFill>
        </w:rPr>
        <w:t>对投标资格类文件按评审标准对上述内容评审，满足要求的在对应的框内打</w:t>
      </w:r>
      <w:r>
        <w:rPr>
          <w:rFonts w:hint="eastAsia" w:ascii="黑体" w:hAnsi="Trebuchet MS" w:eastAsia="黑体"/>
          <w:b/>
          <w:color w:val="000000" w:themeColor="text1"/>
          <w:szCs w:val="21"/>
          <w:highlight w:val="none"/>
          <w14:textFill>
            <w14:solidFill>
              <w14:schemeClr w14:val="tx1"/>
            </w14:solidFill>
          </w14:textFill>
        </w:rPr>
        <w:t>“√”</w:t>
      </w:r>
      <w:r>
        <w:rPr>
          <w:rFonts w:hint="eastAsia" w:ascii="黑体" w:hAnsi="新宋体" w:eastAsia="黑体"/>
          <w:b/>
          <w:color w:val="000000" w:themeColor="text1"/>
          <w:szCs w:val="21"/>
          <w:highlight w:val="none"/>
          <w14:textFill>
            <w14:solidFill>
              <w14:schemeClr w14:val="tx1"/>
            </w14:solidFill>
          </w14:textFill>
        </w:rPr>
        <w:t>，不满足要求的在对应的框内打</w:t>
      </w:r>
      <w:r>
        <w:rPr>
          <w:rFonts w:hint="eastAsia" w:ascii="黑体" w:hAnsi="Trebuchet MS" w:eastAsia="黑体"/>
          <w:b/>
          <w:color w:val="000000" w:themeColor="text1"/>
          <w:szCs w:val="21"/>
          <w:highlight w:val="none"/>
          <w14:textFill>
            <w14:solidFill>
              <w14:schemeClr w14:val="tx1"/>
            </w14:solidFill>
          </w14:textFill>
        </w:rPr>
        <w:t>“×”。</w:t>
      </w:r>
      <w:r>
        <w:rPr>
          <w:rFonts w:hint="eastAsia" w:ascii="黑体" w:hAnsi="新宋体" w:eastAsia="黑体"/>
          <w:b/>
          <w:color w:val="000000" w:themeColor="text1"/>
          <w:szCs w:val="21"/>
          <w:highlight w:val="none"/>
          <w14:textFill>
            <w14:solidFill>
              <w14:schemeClr w14:val="tx1"/>
            </w14:solidFill>
          </w14:textFill>
        </w:rPr>
        <w:t>对可以进入详评的投标人，在该投标人所对应的</w:t>
      </w:r>
      <w:r>
        <w:rPr>
          <w:rFonts w:hint="eastAsia" w:ascii="黑体" w:hAnsi="Trebuchet MS" w:eastAsia="黑体"/>
          <w:b/>
          <w:color w:val="000000" w:themeColor="text1"/>
          <w:szCs w:val="21"/>
          <w:highlight w:val="none"/>
          <w14:textFill>
            <w14:solidFill>
              <w14:schemeClr w14:val="tx1"/>
            </w14:solidFill>
          </w14:textFill>
        </w:rPr>
        <w:t>“</w:t>
      </w:r>
      <w:r>
        <w:rPr>
          <w:rFonts w:hint="eastAsia" w:ascii="黑体" w:hAnsi="新宋体" w:eastAsia="黑体"/>
          <w:b/>
          <w:color w:val="000000" w:themeColor="text1"/>
          <w:szCs w:val="21"/>
          <w:highlight w:val="none"/>
          <w14:textFill>
            <w14:solidFill>
              <w14:schemeClr w14:val="tx1"/>
            </w14:solidFill>
          </w14:textFill>
        </w:rPr>
        <w:t>是否通过评审“栏中打</w:t>
      </w:r>
      <w:r>
        <w:rPr>
          <w:rFonts w:hint="eastAsia" w:ascii="黑体" w:hAnsi="Trebuchet MS" w:eastAsia="黑体"/>
          <w:b/>
          <w:color w:val="000000" w:themeColor="text1"/>
          <w:szCs w:val="21"/>
          <w:highlight w:val="none"/>
          <w14:textFill>
            <w14:solidFill>
              <w14:schemeClr w14:val="tx1"/>
            </w14:solidFill>
          </w14:textFill>
        </w:rPr>
        <w:t>“√”。</w:t>
      </w:r>
    </w:p>
    <w:p>
      <w:pPr>
        <w:spacing w:line="320" w:lineRule="exact"/>
        <w:rPr>
          <w:color w:val="000000" w:themeColor="text1"/>
          <w:sz w:val="24"/>
          <w:highlight w:val="none"/>
          <w14:textFill>
            <w14:solidFill>
              <w14:schemeClr w14:val="tx1"/>
            </w14:solidFill>
          </w14:textFill>
        </w:rPr>
      </w:pPr>
    </w:p>
    <w:p>
      <w:pPr>
        <w:spacing w:line="320" w:lineRule="exact"/>
        <w:rPr>
          <w:rFonts w:ascii="黑体" w:hAnsi="黑体" w:eastAsia="黑体" w:cs="Tahoma"/>
          <w:b/>
          <w:bCs/>
          <w:color w:val="000000" w:themeColor="text1"/>
          <w:sz w:val="36"/>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评标委员会全体成员签名：</w:t>
      </w:r>
    </w:p>
    <w:p>
      <w:pPr>
        <w:spacing w:before="120" w:beforeLines="50" w:after="120" w:afterLines="50" w:line="440" w:lineRule="exact"/>
        <w:jc w:val="center"/>
        <w:rPr>
          <w:rFonts w:ascii="黑体" w:hAnsi="黑体" w:eastAsia="黑体"/>
          <w:b/>
          <w:bCs/>
          <w:color w:val="000000" w:themeColor="text1"/>
          <w:sz w:val="36"/>
          <w:szCs w:val="28"/>
          <w:highlight w:val="none"/>
          <w14:textFill>
            <w14:solidFill>
              <w14:schemeClr w14:val="tx1"/>
            </w14:solidFill>
          </w14:textFill>
        </w:rPr>
      </w:pPr>
      <w:r>
        <w:rPr>
          <w:rFonts w:hint="eastAsia" w:ascii="黑体" w:hAnsi="黑体" w:eastAsia="黑体" w:cs="Tahoma"/>
          <w:b/>
          <w:bCs/>
          <w:color w:val="000000" w:themeColor="text1"/>
          <w:sz w:val="36"/>
          <w:highlight w:val="none"/>
          <w14:textFill>
            <w14:solidFill>
              <w14:schemeClr w14:val="tx1"/>
            </w14:solidFill>
          </w14:textFill>
        </w:rPr>
        <w:t>符合性检查</w:t>
      </w:r>
      <w:r>
        <w:rPr>
          <w:rFonts w:hint="eastAsia" w:ascii="黑体" w:hAnsi="黑体" w:eastAsia="黑体"/>
          <w:b/>
          <w:bCs/>
          <w:color w:val="000000" w:themeColor="text1"/>
          <w:sz w:val="36"/>
          <w:szCs w:val="28"/>
          <w:highlight w:val="none"/>
          <w14:textFill>
            <w14:solidFill>
              <w14:schemeClr w14:val="tx1"/>
            </w14:solidFill>
          </w14:textFill>
        </w:rPr>
        <w:t>评审记录表（2）</w:t>
      </w:r>
    </w:p>
    <w:p>
      <w:pPr>
        <w:spacing w:line="320" w:lineRule="exact"/>
        <w:rPr>
          <w:rFonts w:hint="eastAsia" w:ascii="宋体" w:hAnsi="宋体" w:eastAsia="宋体"/>
          <w:b/>
          <w:bCs/>
          <w:color w:val="000000" w:themeColor="text1"/>
          <w:sz w:val="24"/>
          <w:highlight w:val="none"/>
          <w:lang w:eastAsia="zh-CN"/>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 xml:space="preserve"> 项目名称：</w:t>
      </w:r>
      <w:r>
        <w:rPr>
          <w:rFonts w:hint="eastAsia" w:ascii="宋体" w:hAnsi="宋体"/>
          <w:b/>
          <w:bCs/>
          <w:color w:val="000000" w:themeColor="text1"/>
          <w:sz w:val="24"/>
          <w:highlight w:val="none"/>
          <w:lang w:eastAsia="zh-CN"/>
          <w14:textFill>
            <w14:solidFill>
              <w14:schemeClr w14:val="tx1"/>
            </w14:solidFill>
          </w14:textFill>
        </w:rPr>
        <w:t>和田地区和田县人民医院综合能力提升及信息化建设项目</w:t>
      </w:r>
    </w:p>
    <w:p>
      <w:pPr>
        <w:spacing w:line="320" w:lineRule="exact"/>
        <w:rPr>
          <w:rFonts w:ascii="宋体" w:hAnsi="宋体"/>
          <w:b/>
          <w:bCs/>
          <w:color w:val="000000" w:themeColor="text1"/>
          <w:sz w:val="24"/>
          <w:szCs w:val="21"/>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 xml:space="preserve"> 项目编号：</w:t>
      </w:r>
      <w:r>
        <w:rPr>
          <w:rFonts w:hint="eastAsia" w:ascii="Tahoma" w:hAnsi="Tahoma" w:cs="Tahoma"/>
          <w:b/>
          <w:color w:val="000000" w:themeColor="text1"/>
          <w:sz w:val="24"/>
          <w:highlight w:val="none"/>
          <w14:textFill>
            <w14:solidFill>
              <w14:schemeClr w14:val="tx1"/>
            </w14:solidFill>
          </w14:textFill>
        </w:rPr>
        <w:t xml:space="preserve"> </w:t>
      </w:r>
      <w:r>
        <w:rPr>
          <w:rFonts w:hint="eastAsia" w:ascii="宋体" w:hAnsi="宋体"/>
          <w:b/>
          <w:bCs/>
          <w:color w:val="000000" w:themeColor="text1"/>
          <w:sz w:val="24"/>
          <w:highlight w:val="none"/>
          <w:lang w:eastAsia="zh-CN"/>
          <w14:textFill>
            <w14:solidFill>
              <w14:schemeClr w14:val="tx1"/>
            </w14:solidFill>
          </w14:textFill>
        </w:rPr>
        <w:t>HTXZFCG（2022FS）039号</w:t>
      </w:r>
      <w:r>
        <w:rPr>
          <w:rFonts w:hint="eastAsia" w:ascii="Tahoma" w:hAnsi="Tahoma" w:cs="Tahoma"/>
          <w:color w:val="000000" w:themeColor="text1"/>
          <w:sz w:val="24"/>
          <w:highlight w:val="none"/>
          <w14:textFill>
            <w14:solidFill>
              <w14:schemeClr w14:val="tx1"/>
            </w14:solidFill>
          </w14:textFill>
        </w:rPr>
        <w:t xml:space="preserve">                                          </w:t>
      </w:r>
      <w:r>
        <w:rPr>
          <w:rFonts w:ascii="Tahoma" w:hAnsi="Tahoma" w:cs="Tahoma"/>
          <w:color w:val="000000" w:themeColor="text1"/>
          <w:sz w:val="24"/>
          <w:highlight w:val="none"/>
          <w14:textFill>
            <w14:solidFill>
              <w14:schemeClr w14:val="tx1"/>
            </w14:solidFill>
          </w14:textFill>
        </w:rPr>
        <w:t xml:space="preserve"> </w:t>
      </w:r>
      <w:r>
        <w:rPr>
          <w:rFonts w:hint="eastAsia" w:ascii="Tahoma" w:hAnsi="Tahoma" w:cs="Tahoma"/>
          <w:color w:val="000000" w:themeColor="text1"/>
          <w:sz w:val="24"/>
          <w:highlight w:val="none"/>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日期： 20</w:t>
      </w:r>
      <w:r>
        <w:rPr>
          <w:rFonts w:hint="eastAsia" w:ascii="宋体" w:hAnsi="宋体"/>
          <w:b/>
          <w:bCs/>
          <w:color w:val="000000" w:themeColor="text1"/>
          <w:sz w:val="24"/>
          <w:highlight w:val="none"/>
          <w:lang w:val="en-US" w:eastAsia="zh-CN"/>
          <w14:textFill>
            <w14:solidFill>
              <w14:schemeClr w14:val="tx1"/>
            </w14:solidFill>
          </w14:textFill>
        </w:rPr>
        <w:t>22</w:t>
      </w:r>
      <w:r>
        <w:rPr>
          <w:rFonts w:hint="eastAsia" w:ascii="宋体" w:hAnsi="宋体"/>
          <w:b/>
          <w:bCs/>
          <w:color w:val="000000" w:themeColor="text1"/>
          <w:sz w:val="24"/>
          <w:highlight w:val="none"/>
          <w14:textFill>
            <w14:solidFill>
              <w14:schemeClr w14:val="tx1"/>
            </w14:solidFill>
          </w14:textFill>
        </w:rPr>
        <w:t xml:space="preserve"> 年</w:t>
      </w:r>
      <w:r>
        <w:rPr>
          <w:rFonts w:hint="eastAsia" w:ascii="宋体" w:hAnsi="宋体"/>
          <w:b/>
          <w:bCs/>
          <w:color w:val="000000" w:themeColor="text1"/>
          <w:sz w:val="24"/>
          <w:highlight w:val="none"/>
          <w:lang w:val="en-US" w:eastAsia="zh-CN"/>
          <w14:textFill>
            <w14:solidFill>
              <w14:schemeClr w14:val="tx1"/>
            </w14:solidFill>
          </w14:textFill>
        </w:rPr>
        <w:t>6</w:t>
      </w:r>
      <w:r>
        <w:rPr>
          <w:rFonts w:hint="eastAsia" w:ascii="宋体" w:hAnsi="宋体"/>
          <w:b/>
          <w:bCs/>
          <w:color w:val="000000" w:themeColor="text1"/>
          <w:sz w:val="24"/>
          <w:highlight w:val="none"/>
          <w14:textFill>
            <w14:solidFill>
              <w14:schemeClr w14:val="tx1"/>
            </w14:solidFill>
          </w14:textFill>
        </w:rPr>
        <w:t>月</w:t>
      </w:r>
      <w:r>
        <w:rPr>
          <w:rFonts w:hint="eastAsia" w:ascii="宋体" w:hAnsi="宋体"/>
          <w:b/>
          <w:bCs/>
          <w:color w:val="000000" w:themeColor="text1"/>
          <w:sz w:val="24"/>
          <w:highlight w:val="none"/>
          <w:lang w:val="en-US" w:eastAsia="zh-CN"/>
          <w14:textFill>
            <w14:solidFill>
              <w14:schemeClr w14:val="tx1"/>
            </w14:solidFill>
          </w14:textFill>
        </w:rPr>
        <w:t>14</w:t>
      </w:r>
      <w:r>
        <w:rPr>
          <w:rFonts w:hint="eastAsia" w:ascii="宋体" w:hAnsi="宋体"/>
          <w:b/>
          <w:bCs/>
          <w:color w:val="000000" w:themeColor="text1"/>
          <w:sz w:val="24"/>
          <w:highlight w:val="none"/>
          <w14:textFill>
            <w14:solidFill>
              <w14:schemeClr w14:val="tx1"/>
            </w14:solidFill>
          </w14:textFill>
        </w:rPr>
        <w:t>日</w:t>
      </w:r>
    </w:p>
    <w:tbl>
      <w:tblPr>
        <w:tblStyle w:val="20"/>
        <w:tblW w:w="13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4972"/>
        <w:gridCol w:w="2639"/>
        <w:gridCol w:w="2696"/>
        <w:gridCol w:w="2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765" w:type="dxa"/>
            <w:vMerge w:val="restart"/>
            <w:vAlign w:val="center"/>
          </w:tcPr>
          <w:p>
            <w:pPr>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序号</w:t>
            </w:r>
          </w:p>
        </w:tc>
        <w:tc>
          <w:tcPr>
            <w:tcW w:w="4972" w:type="dxa"/>
            <w:vMerge w:val="restart"/>
            <w:vAlign w:val="center"/>
          </w:tcPr>
          <w:p>
            <w:pPr>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评审因素</w:t>
            </w:r>
          </w:p>
        </w:tc>
        <w:tc>
          <w:tcPr>
            <w:tcW w:w="8083" w:type="dxa"/>
            <w:gridSpan w:val="3"/>
            <w:vAlign w:val="center"/>
          </w:tcPr>
          <w:p>
            <w:pPr>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65" w:type="dxa"/>
            <w:vMerge w:val="continue"/>
            <w:vAlign w:val="center"/>
          </w:tcPr>
          <w:p>
            <w:pPr>
              <w:spacing w:line="440" w:lineRule="exact"/>
              <w:jc w:val="center"/>
              <w:rPr>
                <w:rFonts w:ascii="Trebuchet MS" w:hAnsi="Trebuchet MS" w:eastAsia="黑体"/>
                <w:color w:val="000000" w:themeColor="text1"/>
                <w:sz w:val="24"/>
                <w:highlight w:val="none"/>
                <w14:textFill>
                  <w14:solidFill>
                    <w14:schemeClr w14:val="tx1"/>
                  </w14:solidFill>
                </w14:textFill>
              </w:rPr>
            </w:pPr>
          </w:p>
        </w:tc>
        <w:tc>
          <w:tcPr>
            <w:tcW w:w="4972" w:type="dxa"/>
            <w:vMerge w:val="continue"/>
            <w:vAlign w:val="center"/>
          </w:tcPr>
          <w:p>
            <w:pPr>
              <w:spacing w:line="440" w:lineRule="exact"/>
              <w:jc w:val="center"/>
              <w:rPr>
                <w:rFonts w:ascii="Trebuchet MS" w:hAnsi="Trebuchet MS"/>
                <w:color w:val="000000" w:themeColor="text1"/>
                <w:sz w:val="24"/>
                <w:highlight w:val="none"/>
                <w14:textFill>
                  <w14:solidFill>
                    <w14:schemeClr w14:val="tx1"/>
                  </w14:solidFill>
                </w14:textFill>
              </w:rPr>
            </w:pPr>
          </w:p>
        </w:tc>
        <w:tc>
          <w:tcPr>
            <w:tcW w:w="2639" w:type="dxa"/>
            <w:vAlign w:val="center"/>
          </w:tcPr>
          <w:p>
            <w:pPr>
              <w:jc w:val="center"/>
              <w:rPr>
                <w:rFonts w:ascii="宋体" w:hAnsi="宋体" w:cs="宋体"/>
                <w:color w:val="000000" w:themeColor="text1"/>
                <w:sz w:val="24"/>
                <w:highlight w:val="none"/>
                <w14:textFill>
                  <w14:solidFill>
                    <w14:schemeClr w14:val="tx1"/>
                  </w14:solidFill>
                </w14:textFill>
              </w:rPr>
            </w:pPr>
          </w:p>
        </w:tc>
        <w:tc>
          <w:tcPr>
            <w:tcW w:w="2696" w:type="dxa"/>
            <w:vAlign w:val="center"/>
          </w:tcPr>
          <w:p>
            <w:pPr>
              <w:widowControl/>
              <w:jc w:val="center"/>
              <w:textAlignment w:val="center"/>
              <w:rPr>
                <w:rFonts w:ascii="Tahoma" w:hAnsi="Tahoma" w:cs="Tahoma"/>
                <w:color w:val="000000" w:themeColor="text1"/>
                <w:sz w:val="24"/>
                <w:highlight w:val="none"/>
                <w14:textFill>
                  <w14:solidFill>
                    <w14:schemeClr w14:val="tx1"/>
                  </w14:solidFill>
                </w14:textFill>
              </w:rPr>
            </w:pPr>
          </w:p>
        </w:tc>
        <w:tc>
          <w:tcPr>
            <w:tcW w:w="2748" w:type="dxa"/>
            <w:vAlign w:val="center"/>
          </w:tcPr>
          <w:p>
            <w:pPr>
              <w:jc w:val="center"/>
              <w:rPr>
                <w:rFonts w:ascii="宋体" w:hAnsi="宋体"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65" w:type="dxa"/>
            <w:vAlign w:val="center"/>
          </w:tcPr>
          <w:p>
            <w:pPr>
              <w:spacing w:line="280" w:lineRule="exact"/>
              <w:jc w:val="center"/>
              <w:rPr>
                <w:rFonts w:ascii="Tahoma" w:hAnsi="Tahoma" w:eastAsia="黑体" w:cs="Tahoma"/>
                <w:color w:val="000000" w:themeColor="text1"/>
                <w:szCs w:val="21"/>
                <w:highlight w:val="none"/>
                <w14:textFill>
                  <w14:solidFill>
                    <w14:schemeClr w14:val="tx1"/>
                  </w14:solidFill>
                </w14:textFill>
              </w:rPr>
            </w:pPr>
            <w:r>
              <w:rPr>
                <w:rFonts w:ascii="Tahoma" w:hAnsi="Tahoma" w:eastAsia="黑体" w:cs="Tahoma"/>
                <w:color w:val="000000" w:themeColor="text1"/>
                <w:szCs w:val="21"/>
                <w:highlight w:val="none"/>
                <w14:textFill>
                  <w14:solidFill>
                    <w14:schemeClr w14:val="tx1"/>
                  </w14:solidFill>
                </w14:textFill>
              </w:rPr>
              <w:t>1</w:t>
            </w:r>
          </w:p>
        </w:tc>
        <w:tc>
          <w:tcPr>
            <w:tcW w:w="4972" w:type="dxa"/>
            <w:vAlign w:val="center"/>
          </w:tcPr>
          <w:p>
            <w:pPr>
              <w:snapToGrid w:val="0"/>
              <w:spacing w:line="240" w:lineRule="exact"/>
              <w:rPr>
                <w:rFonts w:ascii="Trebuchet MS" w:hAnsi="Trebuchet MS"/>
                <w:color w:val="000000" w:themeColor="text1"/>
                <w:sz w:val="24"/>
                <w:highlight w:val="none"/>
                <w14:textFill>
                  <w14:solidFill>
                    <w14:schemeClr w14:val="tx1"/>
                  </w14:solidFill>
                </w14:textFill>
              </w:rPr>
            </w:pPr>
            <w:r>
              <w:rPr>
                <w:rFonts w:ascii="Tahoma" w:hAnsi="Tahoma" w:cs="Tahoma"/>
                <w:color w:val="000000" w:themeColor="text1"/>
                <w:sz w:val="20"/>
                <w:highlight w:val="none"/>
                <w14:textFill>
                  <w14:solidFill>
                    <w14:schemeClr w14:val="tx1"/>
                  </w14:solidFill>
                </w14:textFill>
              </w:rPr>
              <w:t>不具备招标文件中规定的资格要求的，或投标文件中提供的资格证明文件与原件不一致的</w:t>
            </w:r>
          </w:p>
        </w:tc>
        <w:tc>
          <w:tcPr>
            <w:tcW w:w="2639" w:type="dxa"/>
            <w:vAlign w:val="center"/>
          </w:tcPr>
          <w:p>
            <w:pPr>
              <w:widowControl/>
              <w:jc w:val="left"/>
              <w:textAlignment w:val="center"/>
              <w:rPr>
                <w:rFonts w:ascii="Trebuchet MS" w:hAnsi="Trebuchet MS"/>
                <w:color w:val="000000" w:themeColor="text1"/>
                <w:sz w:val="24"/>
                <w:highlight w:val="none"/>
                <w14:textFill>
                  <w14:solidFill>
                    <w14:schemeClr w14:val="tx1"/>
                  </w14:solidFill>
                </w14:textFill>
              </w:rPr>
            </w:pPr>
          </w:p>
        </w:tc>
        <w:tc>
          <w:tcPr>
            <w:tcW w:w="2696" w:type="dxa"/>
            <w:vAlign w:val="center"/>
          </w:tcPr>
          <w:p>
            <w:pPr>
              <w:widowControl/>
              <w:jc w:val="left"/>
              <w:textAlignment w:val="center"/>
              <w:rPr>
                <w:rFonts w:ascii="Trebuchet MS" w:hAnsi="Trebuchet MS"/>
                <w:color w:val="000000" w:themeColor="text1"/>
                <w:sz w:val="24"/>
                <w:highlight w:val="none"/>
                <w14:textFill>
                  <w14:solidFill>
                    <w14:schemeClr w14:val="tx1"/>
                  </w14:solidFill>
                </w14:textFill>
              </w:rPr>
            </w:pPr>
          </w:p>
        </w:tc>
        <w:tc>
          <w:tcPr>
            <w:tcW w:w="2748" w:type="dxa"/>
            <w:vAlign w:val="center"/>
          </w:tcPr>
          <w:p>
            <w:pPr>
              <w:spacing w:line="280" w:lineRule="exact"/>
              <w:jc w:val="center"/>
              <w:rPr>
                <w:rFonts w:ascii="Trebuchet MS" w:hAnsi="Trebuchet M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65" w:type="dxa"/>
            <w:vAlign w:val="center"/>
          </w:tcPr>
          <w:p>
            <w:pPr>
              <w:spacing w:line="280" w:lineRule="exact"/>
              <w:jc w:val="center"/>
              <w:rPr>
                <w:rFonts w:ascii="Tahoma" w:hAnsi="Tahoma" w:eastAsia="黑体" w:cs="Tahoma"/>
                <w:color w:val="000000" w:themeColor="text1"/>
                <w:szCs w:val="21"/>
                <w:highlight w:val="none"/>
                <w14:textFill>
                  <w14:solidFill>
                    <w14:schemeClr w14:val="tx1"/>
                  </w14:solidFill>
                </w14:textFill>
              </w:rPr>
            </w:pPr>
            <w:r>
              <w:rPr>
                <w:rFonts w:ascii="Tahoma" w:hAnsi="Tahoma" w:eastAsia="黑体" w:cs="Tahoma"/>
                <w:color w:val="000000" w:themeColor="text1"/>
                <w:szCs w:val="21"/>
                <w:highlight w:val="none"/>
                <w14:textFill>
                  <w14:solidFill>
                    <w14:schemeClr w14:val="tx1"/>
                  </w14:solidFill>
                </w14:textFill>
              </w:rPr>
              <w:t>2</w:t>
            </w:r>
          </w:p>
        </w:tc>
        <w:tc>
          <w:tcPr>
            <w:tcW w:w="4972" w:type="dxa"/>
            <w:vAlign w:val="center"/>
          </w:tcPr>
          <w:p>
            <w:pPr>
              <w:snapToGrid w:val="0"/>
              <w:spacing w:line="240" w:lineRule="exact"/>
              <w:rPr>
                <w:rFonts w:ascii="Trebuchet MS" w:hAnsi="Trebuchet MS"/>
                <w:color w:val="000000" w:themeColor="text1"/>
                <w:sz w:val="24"/>
                <w:highlight w:val="none"/>
                <w14:textFill>
                  <w14:solidFill>
                    <w14:schemeClr w14:val="tx1"/>
                  </w14:solidFill>
                </w14:textFill>
              </w:rPr>
            </w:pPr>
            <w:r>
              <w:rPr>
                <w:rFonts w:ascii="Tahoma" w:hAnsi="Tahoma" w:cs="Tahoma"/>
                <w:color w:val="000000" w:themeColor="text1"/>
                <w:sz w:val="20"/>
                <w:highlight w:val="none"/>
                <w14:textFill>
                  <w14:solidFill>
                    <w14:schemeClr w14:val="tx1"/>
                  </w14:solidFill>
                </w14:textFill>
              </w:rPr>
              <w:t>投标文件未按招标文件规定进行装订、密封、标记的</w:t>
            </w:r>
          </w:p>
        </w:tc>
        <w:tc>
          <w:tcPr>
            <w:tcW w:w="2639" w:type="dxa"/>
            <w:vAlign w:val="center"/>
          </w:tcPr>
          <w:p>
            <w:pPr>
              <w:widowControl/>
              <w:jc w:val="left"/>
              <w:textAlignment w:val="center"/>
              <w:rPr>
                <w:rFonts w:ascii="Trebuchet MS" w:hAnsi="Trebuchet MS"/>
                <w:color w:val="000000" w:themeColor="text1"/>
                <w:sz w:val="24"/>
                <w:highlight w:val="none"/>
                <w14:textFill>
                  <w14:solidFill>
                    <w14:schemeClr w14:val="tx1"/>
                  </w14:solidFill>
                </w14:textFill>
              </w:rPr>
            </w:pPr>
          </w:p>
        </w:tc>
        <w:tc>
          <w:tcPr>
            <w:tcW w:w="2696" w:type="dxa"/>
            <w:vAlign w:val="center"/>
          </w:tcPr>
          <w:p>
            <w:pPr>
              <w:widowControl/>
              <w:jc w:val="left"/>
              <w:textAlignment w:val="center"/>
              <w:rPr>
                <w:rFonts w:ascii="Trebuchet MS" w:hAnsi="Trebuchet MS"/>
                <w:color w:val="000000" w:themeColor="text1"/>
                <w:sz w:val="24"/>
                <w:highlight w:val="none"/>
                <w14:textFill>
                  <w14:solidFill>
                    <w14:schemeClr w14:val="tx1"/>
                  </w14:solidFill>
                </w14:textFill>
              </w:rPr>
            </w:pPr>
          </w:p>
        </w:tc>
        <w:tc>
          <w:tcPr>
            <w:tcW w:w="2748" w:type="dxa"/>
            <w:vAlign w:val="center"/>
          </w:tcPr>
          <w:p>
            <w:pPr>
              <w:spacing w:line="280" w:lineRule="exact"/>
              <w:jc w:val="center"/>
              <w:rPr>
                <w:rFonts w:ascii="Trebuchet MS" w:hAnsi="Trebuchet M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65" w:type="dxa"/>
            <w:vAlign w:val="center"/>
          </w:tcPr>
          <w:p>
            <w:pPr>
              <w:spacing w:line="280" w:lineRule="exact"/>
              <w:jc w:val="center"/>
              <w:rPr>
                <w:rFonts w:ascii="Tahoma" w:hAnsi="Tahoma" w:eastAsia="黑体" w:cs="Tahoma"/>
                <w:color w:val="000000" w:themeColor="text1"/>
                <w:szCs w:val="21"/>
                <w:highlight w:val="none"/>
                <w14:textFill>
                  <w14:solidFill>
                    <w14:schemeClr w14:val="tx1"/>
                  </w14:solidFill>
                </w14:textFill>
              </w:rPr>
            </w:pPr>
            <w:r>
              <w:rPr>
                <w:rFonts w:ascii="Tahoma" w:hAnsi="Tahoma" w:eastAsia="黑体" w:cs="Tahoma"/>
                <w:color w:val="000000" w:themeColor="text1"/>
                <w:szCs w:val="21"/>
                <w:highlight w:val="none"/>
                <w14:textFill>
                  <w14:solidFill>
                    <w14:schemeClr w14:val="tx1"/>
                  </w14:solidFill>
                </w14:textFill>
              </w:rPr>
              <w:t>3</w:t>
            </w:r>
          </w:p>
        </w:tc>
        <w:tc>
          <w:tcPr>
            <w:tcW w:w="4972" w:type="dxa"/>
            <w:vAlign w:val="center"/>
          </w:tcPr>
          <w:p>
            <w:pPr>
              <w:snapToGrid w:val="0"/>
              <w:spacing w:line="240" w:lineRule="exact"/>
              <w:rPr>
                <w:rFonts w:ascii="Trebuchet MS" w:hAnsi="Trebuchet MS"/>
                <w:color w:val="000000" w:themeColor="text1"/>
                <w:sz w:val="24"/>
                <w:highlight w:val="none"/>
                <w14:textFill>
                  <w14:solidFill>
                    <w14:schemeClr w14:val="tx1"/>
                  </w14:solidFill>
                </w14:textFill>
              </w:rPr>
            </w:pPr>
            <w:r>
              <w:rPr>
                <w:rFonts w:ascii="Tahoma" w:hAnsi="Tahoma" w:cs="Tahoma"/>
                <w:color w:val="000000" w:themeColor="text1"/>
                <w:sz w:val="20"/>
                <w:highlight w:val="none"/>
                <w14:textFill>
                  <w14:solidFill>
                    <w14:schemeClr w14:val="tx1"/>
                  </w14:solidFill>
                </w14:textFill>
              </w:rPr>
              <w:t>投标文件未按招标文件要求签署、盖章的</w:t>
            </w:r>
          </w:p>
        </w:tc>
        <w:tc>
          <w:tcPr>
            <w:tcW w:w="2639" w:type="dxa"/>
            <w:vAlign w:val="center"/>
          </w:tcPr>
          <w:p>
            <w:pPr>
              <w:spacing w:line="280" w:lineRule="exact"/>
              <w:jc w:val="left"/>
              <w:rPr>
                <w:rFonts w:ascii="Trebuchet MS" w:hAnsi="Trebuchet MS"/>
                <w:color w:val="000000" w:themeColor="text1"/>
                <w:sz w:val="24"/>
                <w:highlight w:val="none"/>
                <w14:textFill>
                  <w14:solidFill>
                    <w14:schemeClr w14:val="tx1"/>
                  </w14:solidFill>
                </w14:textFill>
              </w:rPr>
            </w:pPr>
          </w:p>
        </w:tc>
        <w:tc>
          <w:tcPr>
            <w:tcW w:w="2696" w:type="dxa"/>
            <w:vAlign w:val="center"/>
          </w:tcPr>
          <w:p>
            <w:pPr>
              <w:spacing w:line="280" w:lineRule="exact"/>
              <w:jc w:val="left"/>
              <w:rPr>
                <w:rFonts w:ascii="Trebuchet MS" w:hAnsi="Trebuchet MS"/>
                <w:color w:val="000000" w:themeColor="text1"/>
                <w:sz w:val="24"/>
                <w:highlight w:val="none"/>
                <w14:textFill>
                  <w14:solidFill>
                    <w14:schemeClr w14:val="tx1"/>
                  </w14:solidFill>
                </w14:textFill>
              </w:rPr>
            </w:pPr>
          </w:p>
        </w:tc>
        <w:tc>
          <w:tcPr>
            <w:tcW w:w="2748" w:type="dxa"/>
            <w:vAlign w:val="center"/>
          </w:tcPr>
          <w:p>
            <w:pPr>
              <w:spacing w:line="280" w:lineRule="exact"/>
              <w:jc w:val="center"/>
              <w:rPr>
                <w:rFonts w:ascii="Trebuchet MS" w:hAnsi="Trebuchet M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65" w:type="dxa"/>
            <w:vAlign w:val="center"/>
          </w:tcPr>
          <w:p>
            <w:pPr>
              <w:spacing w:line="280" w:lineRule="exact"/>
              <w:jc w:val="center"/>
              <w:rPr>
                <w:rFonts w:ascii="Tahoma" w:hAnsi="Tahoma" w:eastAsia="黑体" w:cs="Tahoma"/>
                <w:color w:val="000000" w:themeColor="text1"/>
                <w:szCs w:val="21"/>
                <w:highlight w:val="none"/>
                <w14:textFill>
                  <w14:solidFill>
                    <w14:schemeClr w14:val="tx1"/>
                  </w14:solidFill>
                </w14:textFill>
              </w:rPr>
            </w:pPr>
            <w:r>
              <w:rPr>
                <w:rFonts w:ascii="Tahoma" w:hAnsi="Tahoma" w:eastAsia="黑体" w:cs="Tahoma"/>
                <w:color w:val="000000" w:themeColor="text1"/>
                <w:szCs w:val="21"/>
                <w:highlight w:val="none"/>
                <w14:textFill>
                  <w14:solidFill>
                    <w14:schemeClr w14:val="tx1"/>
                  </w14:solidFill>
                </w14:textFill>
              </w:rPr>
              <w:t>4</w:t>
            </w:r>
          </w:p>
        </w:tc>
        <w:tc>
          <w:tcPr>
            <w:tcW w:w="4972" w:type="dxa"/>
            <w:vAlign w:val="center"/>
          </w:tcPr>
          <w:p>
            <w:pPr>
              <w:snapToGrid w:val="0"/>
              <w:spacing w:line="240" w:lineRule="exact"/>
              <w:rPr>
                <w:rFonts w:ascii="Trebuchet MS" w:hAnsi="Trebuchet MS"/>
                <w:color w:val="000000" w:themeColor="text1"/>
                <w:sz w:val="24"/>
                <w:highlight w:val="none"/>
                <w14:textFill>
                  <w14:solidFill>
                    <w14:schemeClr w14:val="tx1"/>
                  </w14:solidFill>
                </w14:textFill>
              </w:rPr>
            </w:pPr>
            <w:r>
              <w:rPr>
                <w:rFonts w:ascii="Tahoma" w:hAnsi="Tahoma" w:cs="Tahoma"/>
                <w:color w:val="000000" w:themeColor="text1"/>
                <w:sz w:val="20"/>
                <w:highlight w:val="none"/>
                <w14:textFill>
                  <w14:solidFill>
                    <w14:schemeClr w14:val="tx1"/>
                  </w14:solidFill>
                </w14:textFill>
              </w:rPr>
              <w:t>未按照招标文件的规定提交投标保证金的</w:t>
            </w:r>
          </w:p>
        </w:tc>
        <w:tc>
          <w:tcPr>
            <w:tcW w:w="2639" w:type="dxa"/>
            <w:vAlign w:val="center"/>
          </w:tcPr>
          <w:p>
            <w:pPr>
              <w:spacing w:line="280" w:lineRule="exact"/>
              <w:jc w:val="left"/>
              <w:rPr>
                <w:rFonts w:ascii="Trebuchet MS" w:hAnsi="Trebuchet MS"/>
                <w:color w:val="000000" w:themeColor="text1"/>
                <w:sz w:val="24"/>
                <w:highlight w:val="none"/>
                <w14:textFill>
                  <w14:solidFill>
                    <w14:schemeClr w14:val="tx1"/>
                  </w14:solidFill>
                </w14:textFill>
              </w:rPr>
            </w:pPr>
          </w:p>
        </w:tc>
        <w:tc>
          <w:tcPr>
            <w:tcW w:w="2696" w:type="dxa"/>
            <w:vAlign w:val="center"/>
          </w:tcPr>
          <w:p>
            <w:pPr>
              <w:spacing w:line="280" w:lineRule="exact"/>
              <w:jc w:val="left"/>
              <w:rPr>
                <w:rFonts w:ascii="Trebuchet MS" w:hAnsi="Trebuchet MS"/>
                <w:color w:val="000000" w:themeColor="text1"/>
                <w:sz w:val="24"/>
                <w:highlight w:val="none"/>
                <w14:textFill>
                  <w14:solidFill>
                    <w14:schemeClr w14:val="tx1"/>
                  </w14:solidFill>
                </w14:textFill>
              </w:rPr>
            </w:pPr>
          </w:p>
        </w:tc>
        <w:tc>
          <w:tcPr>
            <w:tcW w:w="2748" w:type="dxa"/>
            <w:vAlign w:val="center"/>
          </w:tcPr>
          <w:p>
            <w:pPr>
              <w:spacing w:line="280" w:lineRule="exact"/>
              <w:jc w:val="center"/>
              <w:rPr>
                <w:rFonts w:ascii="Trebuchet MS" w:hAnsi="Trebuchet M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65" w:type="dxa"/>
            <w:vAlign w:val="center"/>
          </w:tcPr>
          <w:p>
            <w:pPr>
              <w:spacing w:line="280" w:lineRule="exact"/>
              <w:jc w:val="center"/>
              <w:rPr>
                <w:rFonts w:ascii="Tahoma" w:hAnsi="Tahoma" w:eastAsia="黑体" w:cs="Tahoma"/>
                <w:color w:val="000000" w:themeColor="text1"/>
                <w:szCs w:val="21"/>
                <w:highlight w:val="none"/>
                <w14:textFill>
                  <w14:solidFill>
                    <w14:schemeClr w14:val="tx1"/>
                  </w14:solidFill>
                </w14:textFill>
              </w:rPr>
            </w:pPr>
            <w:r>
              <w:rPr>
                <w:rFonts w:ascii="Tahoma" w:hAnsi="Tahoma" w:eastAsia="黑体" w:cs="Tahoma"/>
                <w:color w:val="000000" w:themeColor="text1"/>
                <w:szCs w:val="21"/>
                <w:highlight w:val="none"/>
                <w14:textFill>
                  <w14:solidFill>
                    <w14:schemeClr w14:val="tx1"/>
                  </w14:solidFill>
                </w14:textFill>
              </w:rPr>
              <w:t>5</w:t>
            </w:r>
          </w:p>
        </w:tc>
        <w:tc>
          <w:tcPr>
            <w:tcW w:w="4972" w:type="dxa"/>
            <w:vAlign w:val="center"/>
          </w:tcPr>
          <w:p>
            <w:pPr>
              <w:snapToGrid w:val="0"/>
              <w:spacing w:line="240" w:lineRule="exact"/>
              <w:rPr>
                <w:rFonts w:hAnsi="宋体"/>
                <w:color w:val="000000" w:themeColor="text1"/>
                <w:sz w:val="24"/>
                <w:highlight w:val="none"/>
                <w14:textFill>
                  <w14:solidFill>
                    <w14:schemeClr w14:val="tx1"/>
                  </w14:solidFill>
                </w14:textFill>
              </w:rPr>
            </w:pPr>
            <w:r>
              <w:rPr>
                <w:rFonts w:ascii="Tahoma" w:hAnsi="Tahoma" w:cs="Tahoma"/>
                <w:color w:val="000000" w:themeColor="text1"/>
                <w:sz w:val="20"/>
                <w:highlight w:val="none"/>
                <w14:textFill>
                  <w14:solidFill>
                    <w14:schemeClr w14:val="tx1"/>
                  </w14:solidFill>
                </w14:textFill>
              </w:rPr>
              <w:t>投标文件含有采购人不能接受的附加条件的</w:t>
            </w:r>
          </w:p>
        </w:tc>
        <w:tc>
          <w:tcPr>
            <w:tcW w:w="2639" w:type="dxa"/>
            <w:vAlign w:val="center"/>
          </w:tcPr>
          <w:p>
            <w:pPr>
              <w:spacing w:line="280" w:lineRule="exact"/>
              <w:jc w:val="left"/>
              <w:rPr>
                <w:rFonts w:hAnsi="宋体"/>
                <w:color w:val="000000" w:themeColor="text1"/>
                <w:sz w:val="24"/>
                <w:highlight w:val="none"/>
                <w14:textFill>
                  <w14:solidFill>
                    <w14:schemeClr w14:val="tx1"/>
                  </w14:solidFill>
                </w14:textFill>
              </w:rPr>
            </w:pPr>
          </w:p>
        </w:tc>
        <w:tc>
          <w:tcPr>
            <w:tcW w:w="2696" w:type="dxa"/>
            <w:vAlign w:val="center"/>
          </w:tcPr>
          <w:p>
            <w:pPr>
              <w:spacing w:line="280" w:lineRule="exact"/>
              <w:jc w:val="left"/>
              <w:rPr>
                <w:rFonts w:hAnsi="宋体"/>
                <w:color w:val="000000" w:themeColor="text1"/>
                <w:sz w:val="24"/>
                <w:highlight w:val="none"/>
                <w14:textFill>
                  <w14:solidFill>
                    <w14:schemeClr w14:val="tx1"/>
                  </w14:solidFill>
                </w14:textFill>
              </w:rPr>
            </w:pPr>
          </w:p>
        </w:tc>
        <w:tc>
          <w:tcPr>
            <w:tcW w:w="2748" w:type="dxa"/>
            <w:vAlign w:val="center"/>
          </w:tcPr>
          <w:p>
            <w:pPr>
              <w:spacing w:line="280" w:lineRule="exact"/>
              <w:jc w:val="center"/>
              <w:rPr>
                <w:rFonts w:ascii="Trebuchet MS" w:hAnsi="Trebuchet M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65" w:type="dxa"/>
            <w:vAlign w:val="center"/>
          </w:tcPr>
          <w:p>
            <w:pPr>
              <w:spacing w:line="280" w:lineRule="exact"/>
              <w:jc w:val="center"/>
              <w:rPr>
                <w:rFonts w:ascii="Tahoma" w:hAnsi="Tahoma" w:eastAsia="黑体" w:cs="Tahoma"/>
                <w:color w:val="000000" w:themeColor="text1"/>
                <w:szCs w:val="21"/>
                <w:highlight w:val="none"/>
                <w14:textFill>
                  <w14:solidFill>
                    <w14:schemeClr w14:val="tx1"/>
                  </w14:solidFill>
                </w14:textFill>
              </w:rPr>
            </w:pPr>
            <w:r>
              <w:rPr>
                <w:rFonts w:ascii="Tahoma" w:hAnsi="Tahoma" w:eastAsia="黑体" w:cs="Tahoma"/>
                <w:color w:val="000000" w:themeColor="text1"/>
                <w:szCs w:val="21"/>
                <w:highlight w:val="none"/>
                <w14:textFill>
                  <w14:solidFill>
                    <w14:schemeClr w14:val="tx1"/>
                  </w14:solidFill>
                </w14:textFill>
              </w:rPr>
              <w:t>6</w:t>
            </w:r>
          </w:p>
        </w:tc>
        <w:tc>
          <w:tcPr>
            <w:tcW w:w="4972" w:type="dxa"/>
            <w:vAlign w:val="center"/>
          </w:tcPr>
          <w:p>
            <w:pPr>
              <w:snapToGrid w:val="0"/>
              <w:spacing w:line="240" w:lineRule="exact"/>
              <w:rPr>
                <w:rFonts w:ascii="Tahoma" w:hAnsi="Tahoma" w:cs="Tahoma"/>
                <w:color w:val="000000" w:themeColor="text1"/>
                <w:sz w:val="24"/>
                <w:highlight w:val="none"/>
                <w14:textFill>
                  <w14:solidFill>
                    <w14:schemeClr w14:val="tx1"/>
                  </w14:solidFill>
                </w14:textFill>
              </w:rPr>
            </w:pPr>
            <w:r>
              <w:rPr>
                <w:rFonts w:ascii="Tahoma" w:hAnsi="Tahoma" w:cs="Tahoma"/>
                <w:color w:val="000000" w:themeColor="text1"/>
                <w:sz w:val="20"/>
                <w:highlight w:val="none"/>
                <w14:textFill>
                  <w14:solidFill>
                    <w14:schemeClr w14:val="tx1"/>
                  </w14:solidFill>
                </w14:textFill>
              </w:rPr>
              <w:t>投标有效期不满足招标文件要求的</w:t>
            </w:r>
          </w:p>
        </w:tc>
        <w:tc>
          <w:tcPr>
            <w:tcW w:w="2639" w:type="dxa"/>
            <w:vAlign w:val="center"/>
          </w:tcPr>
          <w:p>
            <w:pPr>
              <w:spacing w:line="280" w:lineRule="exact"/>
              <w:jc w:val="left"/>
              <w:rPr>
                <w:rFonts w:ascii="Tahoma" w:hAnsi="Tahoma" w:cs="Tahoma"/>
                <w:color w:val="000000" w:themeColor="text1"/>
                <w:sz w:val="24"/>
                <w:highlight w:val="none"/>
                <w14:textFill>
                  <w14:solidFill>
                    <w14:schemeClr w14:val="tx1"/>
                  </w14:solidFill>
                </w14:textFill>
              </w:rPr>
            </w:pPr>
          </w:p>
        </w:tc>
        <w:tc>
          <w:tcPr>
            <w:tcW w:w="2696" w:type="dxa"/>
            <w:vAlign w:val="center"/>
          </w:tcPr>
          <w:p>
            <w:pPr>
              <w:spacing w:line="280" w:lineRule="exact"/>
              <w:jc w:val="left"/>
              <w:rPr>
                <w:rFonts w:ascii="Tahoma" w:hAnsi="Tahoma" w:cs="Tahoma"/>
                <w:color w:val="000000" w:themeColor="text1"/>
                <w:sz w:val="24"/>
                <w:highlight w:val="none"/>
                <w14:textFill>
                  <w14:solidFill>
                    <w14:schemeClr w14:val="tx1"/>
                  </w14:solidFill>
                </w14:textFill>
              </w:rPr>
            </w:pPr>
          </w:p>
        </w:tc>
        <w:tc>
          <w:tcPr>
            <w:tcW w:w="2748" w:type="dxa"/>
            <w:vAlign w:val="center"/>
          </w:tcPr>
          <w:p>
            <w:pPr>
              <w:spacing w:line="280" w:lineRule="exact"/>
              <w:jc w:val="center"/>
              <w:rPr>
                <w:rFonts w:ascii="Trebuchet MS" w:hAnsi="Trebuchet M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65" w:type="dxa"/>
            <w:vAlign w:val="center"/>
          </w:tcPr>
          <w:p>
            <w:pPr>
              <w:spacing w:line="280" w:lineRule="exact"/>
              <w:jc w:val="center"/>
              <w:rPr>
                <w:rFonts w:ascii="Tahoma" w:hAnsi="Tahoma" w:eastAsia="黑体" w:cs="Tahoma"/>
                <w:color w:val="000000" w:themeColor="text1"/>
                <w:szCs w:val="21"/>
                <w:highlight w:val="none"/>
                <w14:textFill>
                  <w14:solidFill>
                    <w14:schemeClr w14:val="tx1"/>
                  </w14:solidFill>
                </w14:textFill>
              </w:rPr>
            </w:pPr>
            <w:r>
              <w:rPr>
                <w:rFonts w:ascii="Tahoma" w:hAnsi="Tahoma" w:eastAsia="黑体" w:cs="Tahoma"/>
                <w:color w:val="000000" w:themeColor="text1"/>
                <w:szCs w:val="21"/>
                <w:highlight w:val="none"/>
                <w14:textFill>
                  <w14:solidFill>
                    <w14:schemeClr w14:val="tx1"/>
                  </w14:solidFill>
                </w14:textFill>
              </w:rPr>
              <w:t>7</w:t>
            </w:r>
          </w:p>
        </w:tc>
        <w:tc>
          <w:tcPr>
            <w:tcW w:w="4972" w:type="dxa"/>
            <w:vAlign w:val="center"/>
          </w:tcPr>
          <w:p>
            <w:pPr>
              <w:snapToGrid w:val="0"/>
              <w:spacing w:line="240" w:lineRule="exact"/>
              <w:rPr>
                <w:rFonts w:ascii="Trebuchet MS" w:hAnsi="Trebuchet MS"/>
                <w:color w:val="000000" w:themeColor="text1"/>
                <w:sz w:val="24"/>
                <w:highlight w:val="none"/>
                <w14:textFill>
                  <w14:solidFill>
                    <w14:schemeClr w14:val="tx1"/>
                  </w14:solidFill>
                </w14:textFill>
              </w:rPr>
            </w:pPr>
            <w:r>
              <w:rPr>
                <w:rFonts w:ascii="Tahoma" w:hAnsi="Tahoma" w:cs="Tahoma"/>
                <w:color w:val="000000" w:themeColor="text1"/>
                <w:sz w:val="20"/>
                <w:highlight w:val="none"/>
                <w14:textFill>
                  <w14:solidFill>
                    <w14:schemeClr w14:val="tx1"/>
                  </w14:solidFill>
                </w14:textFill>
              </w:rPr>
              <w:t>报价超过招标文件中规定的预算金额或者最高限价的；或提供的报价是可供选择的（不是唯一报价）</w:t>
            </w:r>
          </w:p>
        </w:tc>
        <w:tc>
          <w:tcPr>
            <w:tcW w:w="2639" w:type="dxa"/>
            <w:vAlign w:val="center"/>
          </w:tcPr>
          <w:p>
            <w:pPr>
              <w:spacing w:line="280" w:lineRule="exact"/>
              <w:jc w:val="left"/>
              <w:rPr>
                <w:rFonts w:ascii="Trebuchet MS" w:hAnsi="Trebuchet MS"/>
                <w:color w:val="000000" w:themeColor="text1"/>
                <w:sz w:val="24"/>
                <w:highlight w:val="none"/>
                <w14:textFill>
                  <w14:solidFill>
                    <w14:schemeClr w14:val="tx1"/>
                  </w14:solidFill>
                </w14:textFill>
              </w:rPr>
            </w:pPr>
          </w:p>
        </w:tc>
        <w:tc>
          <w:tcPr>
            <w:tcW w:w="2696" w:type="dxa"/>
            <w:vAlign w:val="center"/>
          </w:tcPr>
          <w:p>
            <w:pPr>
              <w:spacing w:line="280" w:lineRule="exact"/>
              <w:jc w:val="left"/>
              <w:rPr>
                <w:rFonts w:ascii="Trebuchet MS" w:hAnsi="Trebuchet MS"/>
                <w:color w:val="000000" w:themeColor="text1"/>
                <w:sz w:val="24"/>
                <w:highlight w:val="none"/>
                <w14:textFill>
                  <w14:solidFill>
                    <w14:schemeClr w14:val="tx1"/>
                  </w14:solidFill>
                </w14:textFill>
              </w:rPr>
            </w:pPr>
          </w:p>
        </w:tc>
        <w:tc>
          <w:tcPr>
            <w:tcW w:w="2748" w:type="dxa"/>
            <w:vAlign w:val="center"/>
          </w:tcPr>
          <w:p>
            <w:pPr>
              <w:spacing w:line="280" w:lineRule="exact"/>
              <w:jc w:val="center"/>
              <w:rPr>
                <w:rFonts w:ascii="Trebuchet MS" w:hAnsi="Trebuchet M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765" w:type="dxa"/>
            <w:vAlign w:val="center"/>
          </w:tcPr>
          <w:p>
            <w:pPr>
              <w:spacing w:line="280" w:lineRule="exact"/>
              <w:jc w:val="center"/>
              <w:rPr>
                <w:rFonts w:ascii="Tahoma" w:hAnsi="Tahoma" w:eastAsia="黑体" w:cs="Tahoma"/>
                <w:color w:val="000000" w:themeColor="text1"/>
                <w:szCs w:val="21"/>
                <w:highlight w:val="none"/>
                <w14:textFill>
                  <w14:solidFill>
                    <w14:schemeClr w14:val="tx1"/>
                  </w14:solidFill>
                </w14:textFill>
              </w:rPr>
            </w:pPr>
            <w:r>
              <w:rPr>
                <w:rFonts w:ascii="Tahoma" w:hAnsi="Tahoma" w:eastAsia="黑体" w:cs="Tahoma"/>
                <w:color w:val="000000" w:themeColor="text1"/>
                <w:szCs w:val="21"/>
                <w:highlight w:val="none"/>
                <w14:textFill>
                  <w14:solidFill>
                    <w14:schemeClr w14:val="tx1"/>
                  </w14:solidFill>
                </w14:textFill>
              </w:rPr>
              <w:t>8</w:t>
            </w:r>
          </w:p>
        </w:tc>
        <w:tc>
          <w:tcPr>
            <w:tcW w:w="4972" w:type="dxa"/>
            <w:vAlign w:val="center"/>
          </w:tcPr>
          <w:p>
            <w:pPr>
              <w:snapToGrid w:val="0"/>
              <w:spacing w:line="240" w:lineRule="exact"/>
              <w:rPr>
                <w:rFonts w:ascii="Trebuchet MS" w:hAnsi="Trebuchet MS"/>
                <w:color w:val="000000" w:themeColor="text1"/>
                <w:sz w:val="24"/>
                <w:highlight w:val="none"/>
                <w14:textFill>
                  <w14:solidFill>
                    <w14:schemeClr w14:val="tx1"/>
                  </w14:solidFill>
                </w14:textFill>
              </w:rPr>
            </w:pPr>
            <w:r>
              <w:rPr>
                <w:rFonts w:ascii="Tahoma" w:hAnsi="Tahoma" w:cs="Tahoma"/>
                <w:color w:val="000000" w:themeColor="text1"/>
                <w:sz w:val="20"/>
                <w:highlight w:val="none"/>
                <w14:textFill>
                  <w14:solidFill>
                    <w14:schemeClr w14:val="tx1"/>
                  </w14:solidFill>
                </w14:textFill>
              </w:rPr>
              <w:t>供应商未进行分项报价或分项报价的构成未能准确全部反映产品价格组成或有所隐含，有可能致使在合同履行过程中引起纠纷（非正常的追加或索赔等）或不能诚信履约的</w:t>
            </w:r>
          </w:p>
        </w:tc>
        <w:tc>
          <w:tcPr>
            <w:tcW w:w="2639" w:type="dxa"/>
            <w:vAlign w:val="center"/>
          </w:tcPr>
          <w:p>
            <w:pPr>
              <w:spacing w:line="280" w:lineRule="exact"/>
              <w:jc w:val="left"/>
              <w:rPr>
                <w:rFonts w:ascii="Trebuchet MS" w:hAnsi="Trebuchet MS"/>
                <w:color w:val="000000" w:themeColor="text1"/>
                <w:sz w:val="24"/>
                <w:highlight w:val="none"/>
                <w14:textFill>
                  <w14:solidFill>
                    <w14:schemeClr w14:val="tx1"/>
                  </w14:solidFill>
                </w14:textFill>
              </w:rPr>
            </w:pPr>
          </w:p>
        </w:tc>
        <w:tc>
          <w:tcPr>
            <w:tcW w:w="2696" w:type="dxa"/>
            <w:vAlign w:val="center"/>
          </w:tcPr>
          <w:p>
            <w:pPr>
              <w:spacing w:line="280" w:lineRule="exact"/>
              <w:jc w:val="left"/>
              <w:rPr>
                <w:rFonts w:ascii="Trebuchet MS" w:hAnsi="Trebuchet MS"/>
                <w:color w:val="000000" w:themeColor="text1"/>
                <w:sz w:val="24"/>
                <w:highlight w:val="none"/>
                <w14:textFill>
                  <w14:solidFill>
                    <w14:schemeClr w14:val="tx1"/>
                  </w14:solidFill>
                </w14:textFill>
              </w:rPr>
            </w:pPr>
          </w:p>
        </w:tc>
        <w:tc>
          <w:tcPr>
            <w:tcW w:w="2748" w:type="dxa"/>
            <w:vAlign w:val="center"/>
          </w:tcPr>
          <w:p>
            <w:pPr>
              <w:spacing w:line="280" w:lineRule="exact"/>
              <w:jc w:val="center"/>
              <w:rPr>
                <w:rFonts w:ascii="Trebuchet MS" w:hAnsi="Trebuchet M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65" w:type="dxa"/>
            <w:vAlign w:val="center"/>
          </w:tcPr>
          <w:p>
            <w:pPr>
              <w:spacing w:line="280" w:lineRule="exact"/>
              <w:jc w:val="center"/>
              <w:rPr>
                <w:rFonts w:ascii="Tahoma" w:hAnsi="Tahoma" w:eastAsia="黑体" w:cs="Tahoma"/>
                <w:color w:val="000000" w:themeColor="text1"/>
                <w:szCs w:val="21"/>
                <w:highlight w:val="none"/>
                <w14:textFill>
                  <w14:solidFill>
                    <w14:schemeClr w14:val="tx1"/>
                  </w14:solidFill>
                </w14:textFill>
              </w:rPr>
            </w:pPr>
            <w:r>
              <w:rPr>
                <w:rFonts w:ascii="Tahoma" w:hAnsi="Tahoma" w:eastAsia="黑体" w:cs="Tahoma"/>
                <w:color w:val="000000" w:themeColor="text1"/>
                <w:szCs w:val="21"/>
                <w:highlight w:val="none"/>
                <w14:textFill>
                  <w14:solidFill>
                    <w14:schemeClr w14:val="tx1"/>
                  </w14:solidFill>
                </w14:textFill>
              </w:rPr>
              <w:t>9</w:t>
            </w:r>
          </w:p>
        </w:tc>
        <w:tc>
          <w:tcPr>
            <w:tcW w:w="4972" w:type="dxa"/>
            <w:vAlign w:val="center"/>
          </w:tcPr>
          <w:p>
            <w:pPr>
              <w:snapToGrid w:val="0"/>
              <w:spacing w:line="240" w:lineRule="exact"/>
              <w:rPr>
                <w:rFonts w:ascii="Trebuchet MS" w:hAnsi="Trebuchet MS"/>
                <w:color w:val="000000" w:themeColor="text1"/>
                <w:sz w:val="24"/>
                <w:highlight w:val="none"/>
                <w14:textFill>
                  <w14:solidFill>
                    <w14:schemeClr w14:val="tx1"/>
                  </w14:solidFill>
                </w14:textFill>
              </w:rPr>
            </w:pPr>
            <w:r>
              <w:rPr>
                <w:rFonts w:ascii="Tahoma" w:hAnsi="Tahoma" w:cs="Tahoma"/>
                <w:color w:val="000000" w:themeColor="text1"/>
                <w:sz w:val="20"/>
                <w:highlight w:val="none"/>
                <w14:textFill>
                  <w14:solidFill>
                    <w14:schemeClr w14:val="tx1"/>
                  </w14:solidFill>
                </w14:textFill>
              </w:rPr>
              <w:t>投标文件的内容与采购内容及要求有重大偏离或保留的</w:t>
            </w:r>
          </w:p>
        </w:tc>
        <w:tc>
          <w:tcPr>
            <w:tcW w:w="2639" w:type="dxa"/>
            <w:vAlign w:val="center"/>
          </w:tcPr>
          <w:p>
            <w:pPr>
              <w:spacing w:line="280" w:lineRule="exact"/>
              <w:jc w:val="left"/>
              <w:rPr>
                <w:rFonts w:ascii="Trebuchet MS" w:hAnsi="Trebuchet MS"/>
                <w:color w:val="000000" w:themeColor="text1"/>
                <w:sz w:val="24"/>
                <w:highlight w:val="none"/>
                <w14:textFill>
                  <w14:solidFill>
                    <w14:schemeClr w14:val="tx1"/>
                  </w14:solidFill>
                </w14:textFill>
              </w:rPr>
            </w:pPr>
          </w:p>
        </w:tc>
        <w:tc>
          <w:tcPr>
            <w:tcW w:w="2696" w:type="dxa"/>
            <w:vAlign w:val="center"/>
          </w:tcPr>
          <w:p>
            <w:pPr>
              <w:spacing w:line="280" w:lineRule="exact"/>
              <w:jc w:val="left"/>
              <w:rPr>
                <w:rFonts w:ascii="Trebuchet MS" w:hAnsi="Trebuchet MS"/>
                <w:color w:val="000000" w:themeColor="text1"/>
                <w:sz w:val="24"/>
                <w:highlight w:val="none"/>
                <w14:textFill>
                  <w14:solidFill>
                    <w14:schemeClr w14:val="tx1"/>
                  </w14:solidFill>
                </w14:textFill>
              </w:rPr>
            </w:pPr>
          </w:p>
        </w:tc>
        <w:tc>
          <w:tcPr>
            <w:tcW w:w="2748" w:type="dxa"/>
            <w:vAlign w:val="center"/>
          </w:tcPr>
          <w:p>
            <w:pPr>
              <w:spacing w:line="280" w:lineRule="exact"/>
              <w:jc w:val="center"/>
              <w:rPr>
                <w:rFonts w:ascii="Trebuchet MS" w:hAnsi="Trebuchet M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65" w:type="dxa"/>
            <w:vAlign w:val="center"/>
          </w:tcPr>
          <w:p>
            <w:pPr>
              <w:spacing w:line="280" w:lineRule="exact"/>
              <w:jc w:val="center"/>
              <w:rPr>
                <w:rFonts w:ascii="Tahoma" w:hAnsi="Tahoma" w:eastAsia="黑体" w:cs="Tahoma"/>
                <w:color w:val="000000" w:themeColor="text1"/>
                <w:szCs w:val="21"/>
                <w:highlight w:val="none"/>
                <w14:textFill>
                  <w14:solidFill>
                    <w14:schemeClr w14:val="tx1"/>
                  </w14:solidFill>
                </w14:textFill>
              </w:rPr>
            </w:pPr>
            <w:r>
              <w:rPr>
                <w:rFonts w:hint="eastAsia" w:ascii="Tahoma" w:hAnsi="Tahoma" w:eastAsia="黑体" w:cs="Tahoma"/>
                <w:color w:val="000000" w:themeColor="text1"/>
                <w:szCs w:val="21"/>
                <w:highlight w:val="none"/>
                <w14:textFill>
                  <w14:solidFill>
                    <w14:schemeClr w14:val="tx1"/>
                  </w14:solidFill>
                </w14:textFill>
              </w:rPr>
              <w:t>10</w:t>
            </w:r>
          </w:p>
        </w:tc>
        <w:tc>
          <w:tcPr>
            <w:tcW w:w="4972" w:type="dxa"/>
            <w:vAlign w:val="center"/>
          </w:tcPr>
          <w:p>
            <w:pPr>
              <w:snapToGrid w:val="0"/>
              <w:spacing w:line="240" w:lineRule="exact"/>
              <w:rPr>
                <w:rFonts w:ascii="Trebuchet MS" w:hAnsi="Trebuchet MS"/>
                <w:color w:val="000000" w:themeColor="text1"/>
                <w:sz w:val="24"/>
                <w:highlight w:val="none"/>
                <w14:textFill>
                  <w14:solidFill>
                    <w14:schemeClr w14:val="tx1"/>
                  </w14:solidFill>
                </w14:textFill>
              </w:rPr>
            </w:pPr>
            <w:r>
              <w:rPr>
                <w:rFonts w:ascii="Tahoma" w:hAnsi="Tahoma" w:cs="Tahoma"/>
                <w:color w:val="000000" w:themeColor="text1"/>
                <w:sz w:val="20"/>
                <w:highlight w:val="none"/>
                <w14:textFill>
                  <w14:solidFill>
                    <w14:schemeClr w14:val="tx1"/>
                  </w14:solidFill>
                </w14:textFill>
              </w:rPr>
              <w:t>投标文件互相混装的，或其他窜通的</w:t>
            </w:r>
          </w:p>
        </w:tc>
        <w:tc>
          <w:tcPr>
            <w:tcW w:w="2639" w:type="dxa"/>
            <w:vAlign w:val="center"/>
          </w:tcPr>
          <w:p>
            <w:pPr>
              <w:spacing w:line="280" w:lineRule="exact"/>
              <w:jc w:val="left"/>
              <w:rPr>
                <w:rFonts w:ascii="Trebuchet MS" w:hAnsi="Trebuchet MS"/>
                <w:color w:val="000000" w:themeColor="text1"/>
                <w:sz w:val="24"/>
                <w:highlight w:val="none"/>
                <w14:textFill>
                  <w14:solidFill>
                    <w14:schemeClr w14:val="tx1"/>
                  </w14:solidFill>
                </w14:textFill>
              </w:rPr>
            </w:pPr>
          </w:p>
        </w:tc>
        <w:tc>
          <w:tcPr>
            <w:tcW w:w="2696" w:type="dxa"/>
            <w:vAlign w:val="center"/>
          </w:tcPr>
          <w:p>
            <w:pPr>
              <w:spacing w:line="280" w:lineRule="exact"/>
              <w:jc w:val="left"/>
              <w:rPr>
                <w:rFonts w:ascii="Trebuchet MS" w:hAnsi="Trebuchet MS"/>
                <w:color w:val="000000" w:themeColor="text1"/>
                <w:sz w:val="24"/>
                <w:highlight w:val="none"/>
                <w14:textFill>
                  <w14:solidFill>
                    <w14:schemeClr w14:val="tx1"/>
                  </w14:solidFill>
                </w14:textFill>
              </w:rPr>
            </w:pPr>
          </w:p>
        </w:tc>
        <w:tc>
          <w:tcPr>
            <w:tcW w:w="2748" w:type="dxa"/>
            <w:vAlign w:val="center"/>
          </w:tcPr>
          <w:p>
            <w:pPr>
              <w:spacing w:line="280" w:lineRule="exact"/>
              <w:jc w:val="center"/>
              <w:rPr>
                <w:rFonts w:ascii="Trebuchet MS" w:hAnsi="Trebuchet M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65" w:type="dxa"/>
            <w:vAlign w:val="center"/>
          </w:tcPr>
          <w:p>
            <w:pPr>
              <w:spacing w:line="280" w:lineRule="exact"/>
              <w:jc w:val="center"/>
              <w:rPr>
                <w:rFonts w:ascii="Tahoma" w:hAnsi="Tahoma" w:eastAsia="黑体" w:cs="Tahoma"/>
                <w:color w:val="000000" w:themeColor="text1"/>
                <w:szCs w:val="21"/>
                <w:highlight w:val="none"/>
                <w14:textFill>
                  <w14:solidFill>
                    <w14:schemeClr w14:val="tx1"/>
                  </w14:solidFill>
                </w14:textFill>
              </w:rPr>
            </w:pPr>
            <w:r>
              <w:rPr>
                <w:rFonts w:hint="eastAsia" w:ascii="Tahoma" w:hAnsi="Tahoma" w:eastAsia="黑体" w:cs="Tahoma"/>
                <w:color w:val="000000" w:themeColor="text1"/>
                <w:szCs w:val="21"/>
                <w:highlight w:val="none"/>
                <w14:textFill>
                  <w14:solidFill>
                    <w14:schemeClr w14:val="tx1"/>
                  </w14:solidFill>
                </w14:textFill>
              </w:rPr>
              <w:t>11</w:t>
            </w:r>
          </w:p>
        </w:tc>
        <w:tc>
          <w:tcPr>
            <w:tcW w:w="4972" w:type="dxa"/>
            <w:vAlign w:val="center"/>
          </w:tcPr>
          <w:p>
            <w:pPr>
              <w:snapToGrid w:val="0"/>
              <w:spacing w:line="240" w:lineRule="exact"/>
              <w:rPr>
                <w:rFonts w:ascii="Trebuchet MS" w:hAnsi="Trebuchet MS"/>
                <w:color w:val="000000" w:themeColor="text1"/>
                <w:sz w:val="24"/>
                <w:highlight w:val="none"/>
                <w14:textFill>
                  <w14:solidFill>
                    <w14:schemeClr w14:val="tx1"/>
                  </w14:solidFill>
                </w14:textFill>
              </w:rPr>
            </w:pPr>
            <w:r>
              <w:rPr>
                <w:rFonts w:ascii="Tahoma" w:hAnsi="Tahoma" w:cs="Tahoma"/>
                <w:color w:val="000000" w:themeColor="text1"/>
                <w:sz w:val="20"/>
                <w:highlight w:val="none"/>
                <w14:textFill>
                  <w14:solidFill>
                    <w14:schemeClr w14:val="tx1"/>
                  </w14:solidFill>
                </w14:textFill>
              </w:rPr>
              <w:t>投标文件的内容组成不符合招标文件要求的</w:t>
            </w:r>
          </w:p>
        </w:tc>
        <w:tc>
          <w:tcPr>
            <w:tcW w:w="2639" w:type="dxa"/>
            <w:vAlign w:val="center"/>
          </w:tcPr>
          <w:p>
            <w:pPr>
              <w:spacing w:line="280" w:lineRule="exact"/>
              <w:jc w:val="left"/>
              <w:rPr>
                <w:rFonts w:ascii="Trebuchet MS" w:hAnsi="Trebuchet MS"/>
                <w:color w:val="000000" w:themeColor="text1"/>
                <w:sz w:val="24"/>
                <w:highlight w:val="none"/>
                <w14:textFill>
                  <w14:solidFill>
                    <w14:schemeClr w14:val="tx1"/>
                  </w14:solidFill>
                </w14:textFill>
              </w:rPr>
            </w:pPr>
          </w:p>
        </w:tc>
        <w:tc>
          <w:tcPr>
            <w:tcW w:w="2696" w:type="dxa"/>
            <w:vAlign w:val="center"/>
          </w:tcPr>
          <w:p>
            <w:pPr>
              <w:spacing w:line="280" w:lineRule="exact"/>
              <w:jc w:val="left"/>
              <w:rPr>
                <w:rFonts w:ascii="Trebuchet MS" w:hAnsi="Trebuchet MS"/>
                <w:color w:val="000000" w:themeColor="text1"/>
                <w:sz w:val="24"/>
                <w:highlight w:val="none"/>
                <w14:textFill>
                  <w14:solidFill>
                    <w14:schemeClr w14:val="tx1"/>
                  </w14:solidFill>
                </w14:textFill>
              </w:rPr>
            </w:pPr>
          </w:p>
        </w:tc>
        <w:tc>
          <w:tcPr>
            <w:tcW w:w="2748" w:type="dxa"/>
            <w:vAlign w:val="center"/>
          </w:tcPr>
          <w:p>
            <w:pPr>
              <w:spacing w:line="280" w:lineRule="exact"/>
              <w:jc w:val="center"/>
              <w:rPr>
                <w:rFonts w:ascii="Trebuchet MS" w:hAnsi="Trebuchet M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65" w:type="dxa"/>
            <w:vAlign w:val="center"/>
          </w:tcPr>
          <w:p>
            <w:pPr>
              <w:spacing w:line="280" w:lineRule="exact"/>
              <w:jc w:val="center"/>
              <w:rPr>
                <w:rFonts w:ascii="Tahoma" w:hAnsi="Tahoma" w:eastAsia="黑体" w:cs="Tahoma"/>
                <w:color w:val="000000" w:themeColor="text1"/>
                <w:szCs w:val="21"/>
                <w:highlight w:val="none"/>
                <w14:textFill>
                  <w14:solidFill>
                    <w14:schemeClr w14:val="tx1"/>
                  </w14:solidFill>
                </w14:textFill>
              </w:rPr>
            </w:pPr>
            <w:r>
              <w:rPr>
                <w:rFonts w:hint="eastAsia" w:ascii="Tahoma" w:hAnsi="Tahoma" w:eastAsia="黑体" w:cs="Tahoma"/>
                <w:color w:val="000000" w:themeColor="text1"/>
                <w:szCs w:val="21"/>
                <w:highlight w:val="none"/>
                <w14:textFill>
                  <w14:solidFill>
                    <w14:schemeClr w14:val="tx1"/>
                  </w14:solidFill>
                </w14:textFill>
              </w:rPr>
              <w:t>12</w:t>
            </w:r>
          </w:p>
        </w:tc>
        <w:tc>
          <w:tcPr>
            <w:tcW w:w="4972" w:type="dxa"/>
            <w:vAlign w:val="center"/>
          </w:tcPr>
          <w:p>
            <w:pPr>
              <w:snapToGrid w:val="0"/>
              <w:spacing w:line="240" w:lineRule="exact"/>
              <w:rPr>
                <w:rFonts w:ascii="Trebuchet MS" w:hAnsi="Trebuchet MS"/>
                <w:color w:val="000000" w:themeColor="text1"/>
                <w:sz w:val="24"/>
                <w:highlight w:val="none"/>
                <w14:textFill>
                  <w14:solidFill>
                    <w14:schemeClr w14:val="tx1"/>
                  </w14:solidFill>
                </w14:textFill>
              </w:rPr>
            </w:pPr>
            <w:r>
              <w:rPr>
                <w:rFonts w:ascii="Tahoma" w:hAnsi="Tahoma" w:cs="Tahoma"/>
                <w:color w:val="000000" w:themeColor="text1"/>
                <w:sz w:val="20"/>
                <w:highlight w:val="none"/>
                <w14:textFill>
                  <w14:solidFill>
                    <w14:schemeClr w14:val="tx1"/>
                  </w14:solidFill>
                </w14:textFill>
              </w:rPr>
              <w:t>投标文件中提供虚假或失实资料的</w:t>
            </w:r>
          </w:p>
        </w:tc>
        <w:tc>
          <w:tcPr>
            <w:tcW w:w="2639" w:type="dxa"/>
            <w:vAlign w:val="center"/>
          </w:tcPr>
          <w:p>
            <w:pPr>
              <w:spacing w:line="280" w:lineRule="exact"/>
              <w:jc w:val="left"/>
              <w:rPr>
                <w:rFonts w:ascii="Trebuchet MS" w:hAnsi="Trebuchet MS"/>
                <w:color w:val="000000" w:themeColor="text1"/>
                <w:sz w:val="24"/>
                <w:highlight w:val="none"/>
                <w14:textFill>
                  <w14:solidFill>
                    <w14:schemeClr w14:val="tx1"/>
                  </w14:solidFill>
                </w14:textFill>
              </w:rPr>
            </w:pPr>
          </w:p>
        </w:tc>
        <w:tc>
          <w:tcPr>
            <w:tcW w:w="2696" w:type="dxa"/>
            <w:vAlign w:val="center"/>
          </w:tcPr>
          <w:p>
            <w:pPr>
              <w:spacing w:line="280" w:lineRule="exact"/>
              <w:jc w:val="left"/>
              <w:rPr>
                <w:rFonts w:ascii="Trebuchet MS" w:hAnsi="Trebuchet MS"/>
                <w:color w:val="000000" w:themeColor="text1"/>
                <w:sz w:val="24"/>
                <w:highlight w:val="none"/>
                <w14:textFill>
                  <w14:solidFill>
                    <w14:schemeClr w14:val="tx1"/>
                  </w14:solidFill>
                </w14:textFill>
              </w:rPr>
            </w:pPr>
          </w:p>
        </w:tc>
        <w:tc>
          <w:tcPr>
            <w:tcW w:w="2748" w:type="dxa"/>
            <w:vAlign w:val="center"/>
          </w:tcPr>
          <w:p>
            <w:pPr>
              <w:spacing w:line="280" w:lineRule="exact"/>
              <w:jc w:val="center"/>
              <w:rPr>
                <w:rFonts w:ascii="Trebuchet MS" w:hAnsi="Trebuchet M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65" w:type="dxa"/>
            <w:vAlign w:val="center"/>
          </w:tcPr>
          <w:p>
            <w:pPr>
              <w:spacing w:line="280" w:lineRule="exact"/>
              <w:jc w:val="center"/>
              <w:rPr>
                <w:rFonts w:ascii="Tahoma" w:hAnsi="Tahoma" w:eastAsia="黑体" w:cs="Tahoma"/>
                <w:color w:val="000000" w:themeColor="text1"/>
                <w:szCs w:val="21"/>
                <w:highlight w:val="none"/>
                <w14:textFill>
                  <w14:solidFill>
                    <w14:schemeClr w14:val="tx1"/>
                  </w14:solidFill>
                </w14:textFill>
              </w:rPr>
            </w:pPr>
            <w:r>
              <w:rPr>
                <w:rFonts w:hint="eastAsia" w:ascii="Tahoma" w:hAnsi="Tahoma" w:eastAsia="黑体" w:cs="Tahoma"/>
                <w:color w:val="000000" w:themeColor="text1"/>
                <w:szCs w:val="21"/>
                <w:highlight w:val="none"/>
                <w14:textFill>
                  <w14:solidFill>
                    <w14:schemeClr w14:val="tx1"/>
                  </w14:solidFill>
                </w14:textFill>
              </w:rPr>
              <w:t>13</w:t>
            </w:r>
          </w:p>
        </w:tc>
        <w:tc>
          <w:tcPr>
            <w:tcW w:w="4972" w:type="dxa"/>
            <w:vAlign w:val="center"/>
          </w:tcPr>
          <w:p>
            <w:pPr>
              <w:snapToGrid w:val="0"/>
              <w:spacing w:line="240" w:lineRule="exact"/>
              <w:rPr>
                <w:rFonts w:ascii="Trebuchet MS" w:hAnsi="Trebuchet MS"/>
                <w:color w:val="000000" w:themeColor="text1"/>
                <w:sz w:val="24"/>
                <w:highlight w:val="none"/>
                <w14:textFill>
                  <w14:solidFill>
                    <w14:schemeClr w14:val="tx1"/>
                  </w14:solidFill>
                </w14:textFill>
              </w:rPr>
            </w:pPr>
            <w:r>
              <w:rPr>
                <w:rFonts w:ascii="Tahoma" w:hAnsi="Tahoma" w:cs="Tahoma"/>
                <w:color w:val="000000" w:themeColor="text1"/>
                <w:sz w:val="20"/>
                <w:highlight w:val="none"/>
                <w14:textFill>
                  <w14:solidFill>
                    <w14:schemeClr w14:val="tx1"/>
                  </w14:solidFill>
                </w14:textFill>
              </w:rPr>
              <w:t>不同供应商所提交的投标文件的内容（或其单价等）存在异常一致或其报价呈规律性差异的</w:t>
            </w:r>
          </w:p>
        </w:tc>
        <w:tc>
          <w:tcPr>
            <w:tcW w:w="2639" w:type="dxa"/>
            <w:vAlign w:val="center"/>
          </w:tcPr>
          <w:p>
            <w:pPr>
              <w:spacing w:line="280" w:lineRule="exact"/>
              <w:jc w:val="left"/>
              <w:rPr>
                <w:rFonts w:ascii="Trebuchet MS" w:hAnsi="Trebuchet MS"/>
                <w:color w:val="000000" w:themeColor="text1"/>
                <w:sz w:val="24"/>
                <w:highlight w:val="none"/>
                <w14:textFill>
                  <w14:solidFill>
                    <w14:schemeClr w14:val="tx1"/>
                  </w14:solidFill>
                </w14:textFill>
              </w:rPr>
            </w:pPr>
          </w:p>
        </w:tc>
        <w:tc>
          <w:tcPr>
            <w:tcW w:w="2696" w:type="dxa"/>
            <w:vAlign w:val="center"/>
          </w:tcPr>
          <w:p>
            <w:pPr>
              <w:spacing w:line="280" w:lineRule="exact"/>
              <w:jc w:val="left"/>
              <w:rPr>
                <w:rFonts w:ascii="Trebuchet MS" w:hAnsi="Trebuchet MS"/>
                <w:color w:val="000000" w:themeColor="text1"/>
                <w:sz w:val="24"/>
                <w:highlight w:val="none"/>
                <w14:textFill>
                  <w14:solidFill>
                    <w14:schemeClr w14:val="tx1"/>
                  </w14:solidFill>
                </w14:textFill>
              </w:rPr>
            </w:pPr>
          </w:p>
        </w:tc>
        <w:tc>
          <w:tcPr>
            <w:tcW w:w="2748" w:type="dxa"/>
            <w:vAlign w:val="center"/>
          </w:tcPr>
          <w:p>
            <w:pPr>
              <w:spacing w:line="280" w:lineRule="exact"/>
              <w:jc w:val="center"/>
              <w:rPr>
                <w:rFonts w:ascii="Trebuchet MS" w:hAnsi="Trebuchet M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65" w:type="dxa"/>
            <w:vAlign w:val="center"/>
          </w:tcPr>
          <w:p>
            <w:pPr>
              <w:spacing w:line="280" w:lineRule="exact"/>
              <w:jc w:val="center"/>
              <w:rPr>
                <w:rFonts w:ascii="Tahoma" w:hAnsi="Tahoma" w:eastAsia="黑体" w:cs="Tahoma"/>
                <w:color w:val="000000" w:themeColor="text1"/>
                <w:szCs w:val="21"/>
                <w:highlight w:val="none"/>
                <w14:textFill>
                  <w14:solidFill>
                    <w14:schemeClr w14:val="tx1"/>
                  </w14:solidFill>
                </w14:textFill>
              </w:rPr>
            </w:pPr>
            <w:r>
              <w:rPr>
                <w:rFonts w:hint="eastAsia" w:ascii="Tahoma" w:hAnsi="Tahoma" w:eastAsia="黑体" w:cs="Tahoma"/>
                <w:color w:val="000000" w:themeColor="text1"/>
                <w:szCs w:val="21"/>
                <w:highlight w:val="none"/>
                <w14:textFill>
                  <w14:solidFill>
                    <w14:schemeClr w14:val="tx1"/>
                  </w14:solidFill>
                </w14:textFill>
              </w:rPr>
              <w:t>14</w:t>
            </w:r>
          </w:p>
        </w:tc>
        <w:tc>
          <w:tcPr>
            <w:tcW w:w="4972" w:type="dxa"/>
            <w:vAlign w:val="center"/>
          </w:tcPr>
          <w:p>
            <w:pPr>
              <w:snapToGrid w:val="0"/>
              <w:spacing w:line="240" w:lineRule="exact"/>
              <w:rPr>
                <w:rFonts w:ascii="Trebuchet MS" w:hAnsi="Trebuchet MS"/>
                <w:color w:val="000000" w:themeColor="text1"/>
                <w:sz w:val="24"/>
                <w:highlight w:val="none"/>
                <w14:textFill>
                  <w14:solidFill>
                    <w14:schemeClr w14:val="tx1"/>
                  </w14:solidFill>
                </w14:textFill>
              </w:rPr>
            </w:pPr>
            <w:r>
              <w:rPr>
                <w:rFonts w:ascii="Tahoma" w:hAnsi="Tahoma" w:cs="Tahoma"/>
                <w:color w:val="000000" w:themeColor="text1"/>
                <w:sz w:val="20"/>
                <w:highlight w:val="none"/>
                <w14:textFill>
                  <w14:solidFill>
                    <w14:schemeClr w14:val="tx1"/>
                  </w14:solidFill>
                </w14:textFill>
              </w:rPr>
              <w:t>法律、法规和招标文件规定的其他无效情形</w:t>
            </w:r>
          </w:p>
        </w:tc>
        <w:tc>
          <w:tcPr>
            <w:tcW w:w="2639" w:type="dxa"/>
            <w:vAlign w:val="center"/>
          </w:tcPr>
          <w:p>
            <w:pPr>
              <w:spacing w:line="280" w:lineRule="exact"/>
              <w:jc w:val="left"/>
              <w:rPr>
                <w:rFonts w:ascii="Trebuchet MS" w:hAnsi="Trebuchet MS"/>
                <w:color w:val="000000" w:themeColor="text1"/>
                <w:sz w:val="24"/>
                <w:highlight w:val="none"/>
                <w14:textFill>
                  <w14:solidFill>
                    <w14:schemeClr w14:val="tx1"/>
                  </w14:solidFill>
                </w14:textFill>
              </w:rPr>
            </w:pPr>
          </w:p>
        </w:tc>
        <w:tc>
          <w:tcPr>
            <w:tcW w:w="2696" w:type="dxa"/>
            <w:vAlign w:val="center"/>
          </w:tcPr>
          <w:p>
            <w:pPr>
              <w:spacing w:line="280" w:lineRule="exact"/>
              <w:jc w:val="left"/>
              <w:rPr>
                <w:rFonts w:ascii="Trebuchet MS" w:hAnsi="Trebuchet MS"/>
                <w:color w:val="000000" w:themeColor="text1"/>
                <w:sz w:val="24"/>
                <w:highlight w:val="none"/>
                <w14:textFill>
                  <w14:solidFill>
                    <w14:schemeClr w14:val="tx1"/>
                  </w14:solidFill>
                </w14:textFill>
              </w:rPr>
            </w:pPr>
          </w:p>
        </w:tc>
        <w:tc>
          <w:tcPr>
            <w:tcW w:w="2748" w:type="dxa"/>
            <w:vAlign w:val="center"/>
          </w:tcPr>
          <w:p>
            <w:pPr>
              <w:spacing w:line="280" w:lineRule="exact"/>
              <w:jc w:val="center"/>
              <w:rPr>
                <w:rFonts w:ascii="Trebuchet MS" w:hAnsi="Trebuchet M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5737" w:type="dxa"/>
            <w:gridSpan w:val="2"/>
            <w:vAlign w:val="center"/>
          </w:tcPr>
          <w:p>
            <w:pPr>
              <w:spacing w:line="280" w:lineRule="exact"/>
              <w:jc w:val="center"/>
              <w:rPr>
                <w:rFonts w:ascii="Trebuchet MS" w:hAnsi="Trebuchet MS"/>
                <w:color w:val="000000" w:themeColor="text1"/>
                <w:sz w:val="24"/>
                <w:highlight w:val="none"/>
                <w14:textFill>
                  <w14:solidFill>
                    <w14:schemeClr w14:val="tx1"/>
                  </w14:solidFill>
                </w14:textFill>
              </w:rPr>
            </w:pPr>
            <w:r>
              <w:rPr>
                <w:rFonts w:ascii="Trebuchet MS"/>
                <w:color w:val="000000" w:themeColor="text1"/>
                <w:sz w:val="24"/>
                <w:highlight w:val="none"/>
                <w14:textFill>
                  <w14:solidFill>
                    <w14:schemeClr w14:val="tx1"/>
                  </w14:solidFill>
                </w14:textFill>
              </w:rPr>
              <w:t>是否通过</w:t>
            </w:r>
          </w:p>
        </w:tc>
        <w:tc>
          <w:tcPr>
            <w:tcW w:w="2639" w:type="dxa"/>
            <w:vAlign w:val="center"/>
          </w:tcPr>
          <w:p>
            <w:pPr>
              <w:spacing w:line="280" w:lineRule="exact"/>
              <w:jc w:val="center"/>
              <w:rPr>
                <w:rFonts w:ascii="Trebuchet MS" w:hAnsi="Trebuchet MS"/>
                <w:color w:val="000000" w:themeColor="text1"/>
                <w:sz w:val="24"/>
                <w:highlight w:val="none"/>
                <w14:textFill>
                  <w14:solidFill>
                    <w14:schemeClr w14:val="tx1"/>
                  </w14:solidFill>
                </w14:textFill>
              </w:rPr>
            </w:pPr>
          </w:p>
        </w:tc>
        <w:tc>
          <w:tcPr>
            <w:tcW w:w="2696" w:type="dxa"/>
            <w:vAlign w:val="center"/>
          </w:tcPr>
          <w:p>
            <w:pPr>
              <w:spacing w:line="280" w:lineRule="exact"/>
              <w:jc w:val="center"/>
              <w:rPr>
                <w:rFonts w:ascii="Trebuchet MS" w:hAnsi="Trebuchet MS"/>
                <w:color w:val="000000" w:themeColor="text1"/>
                <w:sz w:val="24"/>
                <w:highlight w:val="none"/>
                <w14:textFill>
                  <w14:solidFill>
                    <w14:schemeClr w14:val="tx1"/>
                  </w14:solidFill>
                </w14:textFill>
              </w:rPr>
            </w:pPr>
          </w:p>
        </w:tc>
        <w:tc>
          <w:tcPr>
            <w:tcW w:w="2748" w:type="dxa"/>
            <w:vAlign w:val="center"/>
          </w:tcPr>
          <w:p>
            <w:pPr>
              <w:spacing w:line="280" w:lineRule="exact"/>
              <w:jc w:val="center"/>
              <w:rPr>
                <w:rFonts w:ascii="Trebuchet MS" w:hAnsi="Trebuchet MS"/>
                <w:color w:val="000000" w:themeColor="text1"/>
                <w:sz w:val="24"/>
                <w:highlight w:val="none"/>
                <w14:textFill>
                  <w14:solidFill>
                    <w14:schemeClr w14:val="tx1"/>
                  </w14:solidFill>
                </w14:textFill>
              </w:rPr>
            </w:pPr>
          </w:p>
        </w:tc>
      </w:tr>
    </w:tbl>
    <w:p>
      <w:pPr>
        <w:spacing w:line="320" w:lineRule="exact"/>
        <w:rPr>
          <w:rFonts w:ascii="黑体" w:hAnsi="Trebuchet MS" w:eastAsia="黑体"/>
          <w:b/>
          <w:color w:val="000000" w:themeColor="text1"/>
          <w:szCs w:val="21"/>
          <w:highlight w:val="none"/>
          <w14:textFill>
            <w14:solidFill>
              <w14:schemeClr w14:val="tx1"/>
            </w14:solidFill>
          </w14:textFill>
        </w:rPr>
      </w:pPr>
      <w:r>
        <w:rPr>
          <w:rFonts w:hint="eastAsia" w:ascii="黑体" w:eastAsia="黑体"/>
          <w:b/>
          <w:color w:val="000000" w:themeColor="text1"/>
          <w:szCs w:val="21"/>
          <w:highlight w:val="none"/>
          <w14:textFill>
            <w14:solidFill>
              <w14:schemeClr w14:val="tx1"/>
            </w14:solidFill>
          </w14:textFill>
        </w:rPr>
        <w:t xml:space="preserve"> 注：评标委员会</w:t>
      </w:r>
      <w:r>
        <w:rPr>
          <w:rFonts w:hint="eastAsia" w:ascii="黑体" w:hAnsi="新宋体" w:eastAsia="黑体"/>
          <w:b/>
          <w:color w:val="000000" w:themeColor="text1"/>
          <w:szCs w:val="21"/>
          <w:highlight w:val="none"/>
          <w14:textFill>
            <w14:solidFill>
              <w14:schemeClr w14:val="tx1"/>
            </w14:solidFill>
          </w14:textFill>
        </w:rPr>
        <w:t>对投标资格类文件按评审标准对上述内容评审，满足要求的在对应的框内打</w:t>
      </w:r>
      <w:r>
        <w:rPr>
          <w:rFonts w:hint="eastAsia" w:ascii="黑体" w:hAnsi="Trebuchet MS" w:eastAsia="黑体"/>
          <w:b/>
          <w:color w:val="000000" w:themeColor="text1"/>
          <w:szCs w:val="21"/>
          <w:highlight w:val="none"/>
          <w14:textFill>
            <w14:solidFill>
              <w14:schemeClr w14:val="tx1"/>
            </w14:solidFill>
          </w14:textFill>
        </w:rPr>
        <w:t>“√”</w:t>
      </w:r>
      <w:r>
        <w:rPr>
          <w:rFonts w:hint="eastAsia" w:ascii="黑体" w:hAnsi="新宋体" w:eastAsia="黑体"/>
          <w:b/>
          <w:color w:val="000000" w:themeColor="text1"/>
          <w:szCs w:val="21"/>
          <w:highlight w:val="none"/>
          <w14:textFill>
            <w14:solidFill>
              <w14:schemeClr w14:val="tx1"/>
            </w14:solidFill>
          </w14:textFill>
        </w:rPr>
        <w:t>，不满足要求的在对应的框内打</w:t>
      </w:r>
      <w:r>
        <w:rPr>
          <w:rFonts w:hint="eastAsia" w:ascii="黑体" w:hAnsi="Trebuchet MS" w:eastAsia="黑体"/>
          <w:b/>
          <w:color w:val="000000" w:themeColor="text1"/>
          <w:szCs w:val="21"/>
          <w:highlight w:val="none"/>
          <w14:textFill>
            <w14:solidFill>
              <w14:schemeClr w14:val="tx1"/>
            </w14:solidFill>
          </w14:textFill>
        </w:rPr>
        <w:t>“×”。</w:t>
      </w:r>
    </w:p>
    <w:p>
      <w:pPr>
        <w:spacing w:line="320" w:lineRule="exact"/>
        <w:rPr>
          <w:color w:val="000000" w:themeColor="text1"/>
          <w:sz w:val="24"/>
          <w:highlight w:val="none"/>
          <w14:textFill>
            <w14:solidFill>
              <w14:schemeClr w14:val="tx1"/>
            </w14:solidFill>
          </w14:textFill>
        </w:rPr>
      </w:pPr>
      <w:r>
        <w:rPr>
          <w:rFonts w:hint="eastAsia" w:ascii="黑体" w:hAnsi="Trebuchet MS" w:eastAsia="黑体"/>
          <w:b/>
          <w:color w:val="000000" w:themeColor="text1"/>
          <w:szCs w:val="21"/>
          <w:highlight w:val="none"/>
          <w14:textFill>
            <w14:solidFill>
              <w14:schemeClr w14:val="tx1"/>
            </w14:solidFill>
          </w14:textFill>
        </w:rPr>
        <w:t xml:space="preserve">     </w:t>
      </w:r>
      <w:r>
        <w:rPr>
          <w:rFonts w:hint="eastAsia" w:ascii="黑体" w:hAnsi="新宋体" w:eastAsia="黑体"/>
          <w:b/>
          <w:color w:val="000000" w:themeColor="text1"/>
          <w:szCs w:val="21"/>
          <w:highlight w:val="none"/>
          <w14:textFill>
            <w14:solidFill>
              <w14:schemeClr w14:val="tx1"/>
            </w14:solidFill>
          </w14:textFill>
        </w:rPr>
        <w:t>对可以进入详评的投标人，在该投标人所对应的</w:t>
      </w:r>
      <w:r>
        <w:rPr>
          <w:rFonts w:hint="eastAsia" w:ascii="黑体" w:hAnsi="Trebuchet MS" w:eastAsia="黑体"/>
          <w:b/>
          <w:color w:val="000000" w:themeColor="text1"/>
          <w:szCs w:val="21"/>
          <w:highlight w:val="none"/>
          <w14:textFill>
            <w14:solidFill>
              <w14:schemeClr w14:val="tx1"/>
            </w14:solidFill>
          </w14:textFill>
        </w:rPr>
        <w:t>“</w:t>
      </w:r>
      <w:r>
        <w:rPr>
          <w:rFonts w:hint="eastAsia" w:ascii="黑体" w:hAnsi="新宋体" w:eastAsia="黑体"/>
          <w:b/>
          <w:color w:val="000000" w:themeColor="text1"/>
          <w:szCs w:val="21"/>
          <w:highlight w:val="none"/>
          <w14:textFill>
            <w14:solidFill>
              <w14:schemeClr w14:val="tx1"/>
            </w14:solidFill>
          </w14:textFill>
        </w:rPr>
        <w:t>是否通过评审“栏中打</w:t>
      </w:r>
      <w:r>
        <w:rPr>
          <w:rFonts w:hint="eastAsia" w:ascii="黑体" w:hAnsi="Trebuchet MS" w:eastAsia="黑体"/>
          <w:b/>
          <w:color w:val="000000" w:themeColor="text1"/>
          <w:szCs w:val="21"/>
          <w:highlight w:val="none"/>
          <w14:textFill>
            <w14:solidFill>
              <w14:schemeClr w14:val="tx1"/>
            </w14:solidFill>
          </w14:textFill>
        </w:rPr>
        <w:t>“√”。</w:t>
      </w:r>
    </w:p>
    <w:p>
      <w:pPr>
        <w:rPr>
          <w:color w:val="000000" w:themeColor="text1"/>
          <w:sz w:val="24"/>
          <w:highlight w:val="none"/>
          <w14:textFill>
            <w14:solidFill>
              <w14:schemeClr w14:val="tx1"/>
            </w14:solidFill>
          </w14:textFill>
        </w:rPr>
        <w:sectPr>
          <w:pgSz w:w="15840" w:h="12240" w:orient="landscape"/>
          <w:pgMar w:top="1440" w:right="1440" w:bottom="1440" w:left="1440" w:header="720" w:footer="720" w:gutter="0"/>
          <w:pgBorders>
            <w:top w:val="none" w:sz="0" w:space="0"/>
            <w:left w:val="none" w:sz="0" w:space="0"/>
            <w:bottom w:val="none" w:sz="0" w:space="0"/>
            <w:right w:val="none" w:sz="0" w:space="0"/>
          </w:pgBorders>
          <w:pgNumType w:fmt="decimal"/>
          <w:cols w:space="720" w:num="1"/>
          <w:docGrid w:linePitch="323" w:charSpace="0"/>
        </w:sectPr>
      </w:pPr>
      <w:r>
        <w:rPr>
          <w:rFonts w:hint="eastAsia"/>
          <w:color w:val="000000" w:themeColor="text1"/>
          <w:sz w:val="24"/>
          <w:highlight w:val="none"/>
          <w14:textFill>
            <w14:solidFill>
              <w14:schemeClr w14:val="tx1"/>
            </w14:solidFill>
          </w14:textFill>
        </w:rPr>
        <w:t>评标委员会全体成员签名：</w:t>
      </w:r>
    </w:p>
    <w:p>
      <w:pPr>
        <w:jc w:val="both"/>
        <w:outlineLvl w:val="0"/>
        <w:rPr>
          <w:rFonts w:ascii="Tahoma" w:hAnsi="Tahoma" w:eastAsia="黑体" w:cs="Tahoma"/>
          <w:b/>
          <w:color w:val="000000" w:themeColor="text1"/>
          <w:sz w:val="44"/>
          <w:highlight w:val="none"/>
          <w14:textFill>
            <w14:solidFill>
              <w14:schemeClr w14:val="tx1"/>
            </w14:solidFill>
          </w14:textFill>
        </w:rPr>
      </w:pPr>
    </w:p>
    <w:p>
      <w:pPr>
        <w:jc w:val="both"/>
        <w:outlineLvl w:val="0"/>
        <w:rPr>
          <w:rFonts w:ascii="Tahoma" w:hAnsi="Tahoma" w:eastAsia="黑体" w:cs="Tahoma"/>
          <w:b/>
          <w:color w:val="000000" w:themeColor="text1"/>
          <w:sz w:val="44"/>
          <w:highlight w:val="none"/>
          <w14:textFill>
            <w14:solidFill>
              <w14:schemeClr w14:val="tx1"/>
            </w14:solidFill>
          </w14:textFill>
        </w:rPr>
      </w:pPr>
    </w:p>
    <w:p>
      <w:pPr>
        <w:jc w:val="both"/>
        <w:outlineLvl w:val="0"/>
        <w:rPr>
          <w:rFonts w:ascii="Tahoma" w:hAnsi="Tahoma" w:eastAsia="黑体" w:cs="Tahoma"/>
          <w:b/>
          <w:color w:val="000000" w:themeColor="text1"/>
          <w:sz w:val="44"/>
          <w:highlight w:val="none"/>
          <w14:textFill>
            <w14:solidFill>
              <w14:schemeClr w14:val="tx1"/>
            </w14:solidFill>
          </w14:textFill>
        </w:rPr>
      </w:pPr>
    </w:p>
    <w:p>
      <w:pPr>
        <w:jc w:val="both"/>
        <w:outlineLvl w:val="0"/>
        <w:rPr>
          <w:rFonts w:ascii="Tahoma" w:hAnsi="Tahoma" w:eastAsia="黑体" w:cs="Tahoma"/>
          <w:b/>
          <w:color w:val="000000" w:themeColor="text1"/>
          <w:sz w:val="44"/>
          <w:highlight w:val="none"/>
          <w14:textFill>
            <w14:solidFill>
              <w14:schemeClr w14:val="tx1"/>
            </w14:solidFill>
          </w14:textFill>
        </w:rPr>
      </w:pPr>
    </w:p>
    <w:p>
      <w:pPr>
        <w:jc w:val="both"/>
        <w:outlineLvl w:val="0"/>
        <w:rPr>
          <w:rFonts w:ascii="Tahoma" w:hAnsi="Tahoma" w:eastAsia="黑体" w:cs="Tahoma"/>
          <w:b/>
          <w:color w:val="000000" w:themeColor="text1"/>
          <w:sz w:val="44"/>
          <w:highlight w:val="none"/>
          <w14:textFill>
            <w14:solidFill>
              <w14:schemeClr w14:val="tx1"/>
            </w14:solidFill>
          </w14:textFill>
        </w:rPr>
      </w:pPr>
    </w:p>
    <w:p>
      <w:pPr>
        <w:jc w:val="both"/>
        <w:outlineLvl w:val="0"/>
        <w:rPr>
          <w:rFonts w:ascii="Tahoma" w:hAnsi="Tahoma" w:eastAsia="黑体" w:cs="Tahoma"/>
          <w:b/>
          <w:color w:val="000000" w:themeColor="text1"/>
          <w:sz w:val="44"/>
          <w:highlight w:val="none"/>
          <w14:textFill>
            <w14:solidFill>
              <w14:schemeClr w14:val="tx1"/>
            </w14:solidFill>
          </w14:textFill>
        </w:rPr>
      </w:pPr>
    </w:p>
    <w:p>
      <w:pPr>
        <w:jc w:val="both"/>
        <w:outlineLvl w:val="0"/>
        <w:rPr>
          <w:rFonts w:ascii="Tahoma" w:hAnsi="Tahoma" w:eastAsia="黑体" w:cs="Tahoma"/>
          <w:b/>
          <w:color w:val="000000" w:themeColor="text1"/>
          <w:sz w:val="44"/>
          <w:highlight w:val="none"/>
          <w14:textFill>
            <w14:solidFill>
              <w14:schemeClr w14:val="tx1"/>
            </w14:solidFill>
          </w14:textFill>
        </w:rPr>
      </w:pPr>
    </w:p>
    <w:p>
      <w:pPr>
        <w:jc w:val="both"/>
        <w:outlineLvl w:val="0"/>
        <w:rPr>
          <w:rFonts w:ascii="Tahoma" w:hAnsi="Tahoma" w:eastAsia="黑体" w:cs="Tahoma"/>
          <w:b/>
          <w:color w:val="000000" w:themeColor="text1"/>
          <w:sz w:val="44"/>
          <w:highlight w:val="none"/>
          <w14:textFill>
            <w14:solidFill>
              <w14:schemeClr w14:val="tx1"/>
            </w14:solidFill>
          </w14:textFill>
        </w:rPr>
      </w:pPr>
    </w:p>
    <w:p>
      <w:pPr>
        <w:jc w:val="both"/>
        <w:outlineLvl w:val="0"/>
        <w:rPr>
          <w:rFonts w:ascii="Tahoma" w:hAnsi="Tahoma" w:eastAsia="黑体" w:cs="Tahoma"/>
          <w:b/>
          <w:color w:val="000000" w:themeColor="text1"/>
          <w:sz w:val="44"/>
          <w:highlight w:val="none"/>
          <w14:textFill>
            <w14:solidFill>
              <w14:schemeClr w14:val="tx1"/>
            </w14:solidFill>
          </w14:textFill>
        </w:rPr>
      </w:pPr>
    </w:p>
    <w:p>
      <w:pPr>
        <w:jc w:val="both"/>
        <w:outlineLvl w:val="0"/>
        <w:rPr>
          <w:rFonts w:ascii="Tahoma" w:hAnsi="Tahoma" w:eastAsia="黑体" w:cs="Tahoma"/>
          <w:b/>
          <w:color w:val="000000" w:themeColor="text1"/>
          <w:sz w:val="44"/>
          <w:highlight w:val="none"/>
          <w14:textFill>
            <w14:solidFill>
              <w14:schemeClr w14:val="tx1"/>
            </w14:solidFill>
          </w14:textFill>
        </w:rPr>
      </w:pPr>
    </w:p>
    <w:p>
      <w:pPr>
        <w:jc w:val="both"/>
        <w:outlineLvl w:val="0"/>
        <w:rPr>
          <w:rFonts w:ascii="Tahoma" w:hAnsi="Tahoma" w:eastAsia="黑体" w:cs="Tahoma"/>
          <w:b/>
          <w:color w:val="000000" w:themeColor="text1"/>
          <w:sz w:val="44"/>
          <w:highlight w:val="none"/>
          <w14:textFill>
            <w14:solidFill>
              <w14:schemeClr w14:val="tx1"/>
            </w14:solidFill>
          </w14:textFill>
        </w:rPr>
      </w:pPr>
    </w:p>
    <w:p>
      <w:pPr>
        <w:numPr>
          <w:ilvl w:val="0"/>
          <w:numId w:val="3"/>
        </w:numPr>
        <w:jc w:val="center"/>
        <w:outlineLvl w:val="0"/>
        <w:rPr>
          <w:rFonts w:ascii="Tahoma" w:hAnsi="Tahoma" w:eastAsia="黑体" w:cs="Tahoma"/>
          <w:b/>
          <w:bCs/>
          <w:color w:val="000000" w:themeColor="text1"/>
          <w:kern w:val="36"/>
          <w:sz w:val="44"/>
          <w:szCs w:val="44"/>
          <w:highlight w:val="none"/>
          <w14:textFill>
            <w14:solidFill>
              <w14:schemeClr w14:val="tx1"/>
            </w14:solidFill>
          </w14:textFill>
        </w:rPr>
      </w:pPr>
      <w:r>
        <w:rPr>
          <w:rFonts w:ascii="Tahoma" w:hAnsi="Tahoma" w:eastAsia="黑体" w:cs="Tahoma"/>
          <w:b/>
          <w:bCs/>
          <w:color w:val="000000" w:themeColor="text1"/>
          <w:kern w:val="36"/>
          <w:sz w:val="44"/>
          <w:szCs w:val="44"/>
          <w:highlight w:val="none"/>
          <w14:textFill>
            <w14:solidFill>
              <w14:schemeClr w14:val="tx1"/>
            </w14:solidFill>
          </w14:textFill>
        </w:rPr>
        <w:t>合同附件格式及条款</w:t>
      </w:r>
      <w:bookmarkEnd w:id="21"/>
      <w:bookmarkEnd w:id="22"/>
    </w:p>
    <w:p>
      <w:pPr>
        <w:pStyle w:val="5"/>
        <w:numPr>
          <w:ilvl w:val="0"/>
          <w:numId w:val="0"/>
        </w:numPr>
        <w:ind w:firstLine="2168" w:firstLineChars="600"/>
        <w:rPr>
          <w:rFonts w:ascii="Tahoma" w:hAnsi="Tahoma" w:cs="Tahoma"/>
          <w:color w:val="000000" w:themeColor="text1"/>
          <w:highlight w:val="none"/>
          <w14:textFill>
            <w14:solidFill>
              <w14:schemeClr w14:val="tx1"/>
            </w14:solidFill>
          </w14:textFill>
        </w:rPr>
      </w:pPr>
      <w:r>
        <w:rPr>
          <w:rFonts w:hint="eastAsia" w:ascii="Tahoma" w:hAnsi="Tahoma" w:cs="Tahoma"/>
          <w:b/>
          <w:color w:val="000000" w:themeColor="text1"/>
          <w:sz w:val="36"/>
          <w:highlight w:val="none"/>
          <w:lang w:eastAsia="zh-CN"/>
          <w14:textFill>
            <w14:solidFill>
              <w14:schemeClr w14:val="tx1"/>
            </w14:solidFill>
          </w14:textFill>
        </w:rPr>
        <w:t>（</w:t>
      </w:r>
      <w:r>
        <w:rPr>
          <w:rFonts w:hint="eastAsia" w:ascii="Tahoma" w:hAnsi="Tahoma" w:cs="Tahoma"/>
          <w:b/>
          <w:color w:val="000000" w:themeColor="text1"/>
          <w:sz w:val="36"/>
          <w:highlight w:val="none"/>
          <w:lang w:val="en-US" w:eastAsia="zh-CN"/>
          <w14:textFill>
            <w14:solidFill>
              <w14:schemeClr w14:val="tx1"/>
            </w14:solidFill>
          </w14:textFill>
        </w:rPr>
        <w:t>以实际签订的合同文本为准</w:t>
      </w:r>
      <w:r>
        <w:rPr>
          <w:rFonts w:hint="eastAsia" w:ascii="Tahoma" w:hAnsi="Tahoma" w:cs="Tahoma"/>
          <w:b/>
          <w:color w:val="000000" w:themeColor="text1"/>
          <w:sz w:val="36"/>
          <w:highlight w:val="none"/>
          <w:lang w:eastAsia="zh-CN"/>
          <w14:textFill>
            <w14:solidFill>
              <w14:schemeClr w14:val="tx1"/>
            </w14:solidFill>
          </w14:textFill>
        </w:rPr>
        <w:t>）</w:t>
      </w:r>
      <w:r>
        <w:rPr>
          <w:rFonts w:ascii="Tahoma" w:hAnsi="Tahoma" w:cs="Tahoma"/>
          <w:b/>
          <w:color w:val="000000" w:themeColor="text1"/>
          <w:sz w:val="36"/>
          <w:highlight w:val="none"/>
          <w14:textFill>
            <w14:solidFill>
              <w14:schemeClr w14:val="tx1"/>
            </w14:solidFill>
          </w14:textFill>
        </w:rPr>
        <w:t xml:space="preserve">                 </w:t>
      </w:r>
      <w:r>
        <w:rPr>
          <w:rFonts w:ascii="Tahoma" w:hAnsi="Tahoma" w:cs="Tahoma"/>
          <w:b/>
          <w:bCs/>
          <w:color w:val="000000" w:themeColor="text1"/>
          <w:sz w:val="36"/>
          <w:highlight w:val="none"/>
          <w14:textFill>
            <w14:solidFill>
              <w14:schemeClr w14:val="tx1"/>
            </w14:solidFill>
          </w14:textFill>
        </w:rPr>
        <w:t xml:space="preserve">              </w:t>
      </w:r>
      <w:r>
        <w:rPr>
          <w:rFonts w:ascii="Tahoma" w:hAnsi="Tahoma" w:cs="Tahoma"/>
          <w:color w:val="000000" w:themeColor="text1"/>
          <w:sz w:val="24"/>
          <w:highlight w:val="none"/>
          <w14:textFill>
            <w14:solidFill>
              <w14:schemeClr w14:val="tx1"/>
            </w14:solidFill>
          </w14:textFill>
        </w:rPr>
        <w:t xml:space="preserve"> </w:t>
      </w:r>
      <w:r>
        <w:rPr>
          <w:rFonts w:ascii="Tahoma" w:hAnsi="Tahoma" w:cs="Tahoma"/>
          <w:color w:val="000000" w:themeColor="text1"/>
          <w:highlight w:val="none"/>
          <w14:textFill>
            <w14:solidFill>
              <w14:schemeClr w14:val="tx1"/>
            </w14:solidFill>
          </w14:textFill>
        </w:rPr>
        <w:t xml:space="preserve">                                           </w:t>
      </w:r>
    </w:p>
    <w:p>
      <w:pPr>
        <w:spacing w:line="420" w:lineRule="exact"/>
        <w:ind w:left="-284"/>
        <w:rPr>
          <w:rFonts w:ascii="Tahoma" w:hAnsi="Tahoma" w:cs="Tahoma"/>
          <w:color w:val="000000" w:themeColor="text1"/>
          <w:highlight w:val="none"/>
          <w14:textFill>
            <w14:solidFill>
              <w14:schemeClr w14:val="tx1"/>
            </w14:solidFill>
          </w14:textFill>
        </w:rPr>
      </w:pPr>
    </w:p>
    <w:p>
      <w:pPr>
        <w:spacing w:line="420" w:lineRule="exact"/>
        <w:ind w:left="-284"/>
        <w:rPr>
          <w:rFonts w:ascii="Tahoma" w:hAnsi="Tahoma" w:cs="Tahoma"/>
          <w:color w:val="000000" w:themeColor="text1"/>
          <w:highlight w:val="none"/>
          <w14:textFill>
            <w14:solidFill>
              <w14:schemeClr w14:val="tx1"/>
            </w14:solidFill>
          </w14:textFill>
        </w:rPr>
      </w:pPr>
    </w:p>
    <w:p>
      <w:pPr>
        <w:spacing w:line="420" w:lineRule="exact"/>
        <w:ind w:left="-284"/>
        <w:rPr>
          <w:rFonts w:ascii="Tahoma" w:hAnsi="Tahoma" w:cs="Tahoma"/>
          <w:color w:val="000000" w:themeColor="text1"/>
          <w:highlight w:val="none"/>
          <w14:textFill>
            <w14:solidFill>
              <w14:schemeClr w14:val="tx1"/>
            </w14:solidFill>
          </w14:textFill>
        </w:rPr>
      </w:pPr>
    </w:p>
    <w:p>
      <w:pPr>
        <w:spacing w:line="420" w:lineRule="exact"/>
        <w:ind w:left="-284"/>
        <w:rPr>
          <w:rFonts w:ascii="Tahoma" w:hAnsi="Tahoma" w:cs="Tahoma"/>
          <w:color w:val="000000" w:themeColor="text1"/>
          <w:highlight w:val="none"/>
          <w14:textFill>
            <w14:solidFill>
              <w14:schemeClr w14:val="tx1"/>
            </w14:solidFill>
          </w14:textFill>
        </w:rPr>
      </w:pPr>
    </w:p>
    <w:p>
      <w:pPr>
        <w:spacing w:line="420" w:lineRule="exact"/>
        <w:ind w:left="-284"/>
        <w:rPr>
          <w:rFonts w:ascii="Tahoma" w:hAnsi="Tahoma" w:cs="Tahoma"/>
          <w:color w:val="000000" w:themeColor="text1"/>
          <w:highlight w:val="none"/>
          <w14:textFill>
            <w14:solidFill>
              <w14:schemeClr w14:val="tx1"/>
            </w14:solidFill>
          </w14:textFill>
        </w:rPr>
      </w:pPr>
    </w:p>
    <w:p>
      <w:pPr>
        <w:spacing w:line="420" w:lineRule="exact"/>
        <w:ind w:left="-284"/>
        <w:rPr>
          <w:rFonts w:ascii="Tahoma" w:hAnsi="Tahoma" w:cs="Tahoma"/>
          <w:color w:val="000000" w:themeColor="text1"/>
          <w:highlight w:val="none"/>
          <w14:textFill>
            <w14:solidFill>
              <w14:schemeClr w14:val="tx1"/>
            </w14:solidFill>
          </w14:textFill>
        </w:rPr>
      </w:pPr>
    </w:p>
    <w:p>
      <w:pPr>
        <w:spacing w:line="420" w:lineRule="exact"/>
        <w:ind w:left="-284"/>
        <w:rPr>
          <w:rFonts w:ascii="Tahoma" w:hAnsi="Tahoma" w:cs="Tahoma"/>
          <w:color w:val="000000" w:themeColor="text1"/>
          <w:highlight w:val="none"/>
          <w14:textFill>
            <w14:solidFill>
              <w14:schemeClr w14:val="tx1"/>
            </w14:solidFill>
          </w14:textFill>
        </w:rPr>
      </w:pPr>
    </w:p>
    <w:p>
      <w:pPr>
        <w:spacing w:line="420" w:lineRule="exact"/>
        <w:ind w:left="-284"/>
        <w:rPr>
          <w:rFonts w:ascii="Tahoma" w:hAnsi="Tahoma" w:cs="Tahoma"/>
          <w:color w:val="000000" w:themeColor="text1"/>
          <w:highlight w:val="none"/>
          <w14:textFill>
            <w14:solidFill>
              <w14:schemeClr w14:val="tx1"/>
            </w14:solidFill>
          </w14:textFill>
        </w:rPr>
      </w:pPr>
    </w:p>
    <w:p>
      <w:pPr>
        <w:spacing w:line="420" w:lineRule="exact"/>
        <w:ind w:left="-284"/>
        <w:rPr>
          <w:rFonts w:ascii="Tahoma" w:hAnsi="Tahoma" w:cs="Tahoma"/>
          <w:color w:val="000000" w:themeColor="text1"/>
          <w:highlight w:val="none"/>
          <w14:textFill>
            <w14:solidFill>
              <w14:schemeClr w14:val="tx1"/>
            </w14:solidFill>
          </w14:textFill>
        </w:rPr>
      </w:pPr>
    </w:p>
    <w:p>
      <w:pPr>
        <w:spacing w:line="420" w:lineRule="exact"/>
        <w:ind w:left="-284"/>
        <w:rPr>
          <w:rFonts w:ascii="Tahoma" w:hAnsi="Tahoma" w:cs="Tahoma"/>
          <w:color w:val="000000" w:themeColor="text1"/>
          <w:highlight w:val="none"/>
          <w14:textFill>
            <w14:solidFill>
              <w14:schemeClr w14:val="tx1"/>
            </w14:solidFill>
          </w14:textFill>
        </w:rPr>
      </w:pPr>
    </w:p>
    <w:p>
      <w:pPr>
        <w:spacing w:line="420" w:lineRule="exact"/>
        <w:ind w:left="-284"/>
        <w:rPr>
          <w:rFonts w:ascii="Tahoma" w:hAnsi="Tahoma" w:cs="Tahoma"/>
          <w:color w:val="000000" w:themeColor="text1"/>
          <w:highlight w:val="none"/>
          <w14:textFill>
            <w14:solidFill>
              <w14:schemeClr w14:val="tx1"/>
            </w14:solidFill>
          </w14:textFill>
        </w:rPr>
      </w:pPr>
    </w:p>
    <w:p>
      <w:pPr>
        <w:spacing w:line="420" w:lineRule="exact"/>
        <w:jc w:val="center"/>
        <w:rPr>
          <w:rFonts w:ascii="Tahoma" w:hAnsi="Tahoma" w:eastAsia="黑体" w:cs="Tahoma"/>
          <w:b/>
          <w:bCs/>
          <w:color w:val="000000" w:themeColor="text1"/>
          <w:kern w:val="0"/>
          <w:sz w:val="30"/>
          <w:szCs w:val="30"/>
          <w:highlight w:val="none"/>
          <w14:textFill>
            <w14:solidFill>
              <w14:schemeClr w14:val="tx1"/>
            </w14:solidFill>
          </w14:textFill>
        </w:rPr>
      </w:pPr>
    </w:p>
    <w:p>
      <w:pPr>
        <w:spacing w:line="420" w:lineRule="exact"/>
        <w:jc w:val="center"/>
        <w:rPr>
          <w:rFonts w:ascii="Tahoma" w:hAnsi="Tahoma" w:eastAsia="黑体" w:cs="Tahoma"/>
          <w:b/>
          <w:bCs/>
          <w:color w:val="000000" w:themeColor="text1"/>
          <w:kern w:val="0"/>
          <w:sz w:val="30"/>
          <w:szCs w:val="30"/>
          <w:highlight w:val="none"/>
          <w14:textFill>
            <w14:solidFill>
              <w14:schemeClr w14:val="tx1"/>
            </w14:solidFill>
          </w14:textFill>
        </w:rPr>
      </w:pPr>
    </w:p>
    <w:p>
      <w:pPr>
        <w:spacing w:line="420" w:lineRule="exact"/>
        <w:jc w:val="center"/>
        <w:rPr>
          <w:rFonts w:ascii="Tahoma" w:hAnsi="Tahoma" w:cs="Tahoma"/>
          <w:b/>
          <w:bCs/>
          <w:color w:val="000000" w:themeColor="text1"/>
          <w:sz w:val="28"/>
          <w:szCs w:val="28"/>
          <w:highlight w:val="none"/>
          <w14:textFill>
            <w14:solidFill>
              <w14:schemeClr w14:val="tx1"/>
            </w14:solidFill>
          </w14:textFill>
        </w:rPr>
      </w:pPr>
      <w:r>
        <w:rPr>
          <w:rFonts w:ascii="Tahoma" w:hAnsi="Tahoma" w:eastAsia="黑体" w:cs="Tahoma"/>
          <w:b/>
          <w:bCs/>
          <w:color w:val="000000" w:themeColor="text1"/>
          <w:kern w:val="0"/>
          <w:sz w:val="28"/>
          <w:szCs w:val="28"/>
          <w:highlight w:val="none"/>
          <w14:textFill>
            <w14:solidFill>
              <w14:schemeClr w14:val="tx1"/>
            </w14:solidFill>
          </w14:textFill>
        </w:rPr>
        <w:t>一、合同协议书（格式）</w:t>
      </w:r>
    </w:p>
    <w:p>
      <w:pPr>
        <w:ind w:firstLine="720" w:firstLineChars="300"/>
        <w:rPr>
          <w:rFonts w:ascii="Tahoma" w:hAnsi="Tahoma" w:cs="Tahoma"/>
          <w:color w:val="000000" w:themeColor="text1"/>
          <w:sz w:val="24"/>
          <w:highlight w:val="none"/>
          <w14:textFill>
            <w14:solidFill>
              <w14:schemeClr w14:val="tx1"/>
            </w14:solidFill>
          </w14:textFill>
        </w:rPr>
      </w:pPr>
      <w:r>
        <w:rPr>
          <w:rFonts w:ascii="Tahoma" w:hAnsi="Tahoma" w:cs="Tahoma"/>
          <w:color w:val="000000" w:themeColor="text1"/>
          <w:sz w:val="24"/>
          <w:highlight w:val="none"/>
          <w14:textFill>
            <w14:solidFill>
              <w14:schemeClr w14:val="tx1"/>
            </w14:solidFill>
          </w14:textFill>
        </w:rPr>
        <w:t xml:space="preserve">                       </w:t>
      </w:r>
    </w:p>
    <w:p>
      <w:pPr>
        <w:spacing w:line="320" w:lineRule="exact"/>
        <w:ind w:firstLine="315" w:firstLineChars="150"/>
        <w:rPr>
          <w:rFonts w:ascii="Tahoma" w:hAnsi="Tahoma" w:cs="Tahoma"/>
          <w:b/>
          <w:color w:val="000000" w:themeColor="text1"/>
          <w:spacing w:val="20"/>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（本合同格式条款仅作为双方签订合同的参考，为阐明各方的权利和义务，经协商可增加或修改条款，但不得与招标文件、投标文件的实质性内容相背离。）</w:t>
      </w:r>
    </w:p>
    <w:p>
      <w:pPr>
        <w:tabs>
          <w:tab w:val="left" w:pos="850"/>
        </w:tabs>
        <w:autoSpaceDE w:val="0"/>
        <w:autoSpaceDN w:val="0"/>
        <w:spacing w:line="320" w:lineRule="exact"/>
        <w:textAlignment w:val="bottom"/>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w:t>
      </w:r>
    </w:p>
    <w:p>
      <w:pPr>
        <w:tabs>
          <w:tab w:val="left" w:pos="850"/>
        </w:tabs>
        <w:autoSpaceDE w:val="0"/>
        <w:autoSpaceDN w:val="0"/>
        <w:spacing w:line="320" w:lineRule="exact"/>
        <w:textAlignment w:val="bottom"/>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采购方作为本合同的需方，成交供应商是本合同的供方，按合同相关条款履行其义务。双方宗旨是严格履行合同。根据《中华人民共和国</w:t>
      </w:r>
      <w:r>
        <w:rPr>
          <w:rFonts w:hint="eastAsia" w:ascii="Tahoma" w:hAnsi="Tahoma" w:cs="Tahoma"/>
          <w:color w:val="000000" w:themeColor="text1"/>
          <w:szCs w:val="21"/>
          <w:highlight w:val="none"/>
          <w:lang w:val="en-US" w:eastAsia="zh-CN"/>
          <w14:textFill>
            <w14:solidFill>
              <w14:schemeClr w14:val="tx1"/>
            </w14:solidFill>
          </w14:textFill>
        </w:rPr>
        <w:t>民法典</w:t>
      </w:r>
      <w:r>
        <w:rPr>
          <w:rFonts w:ascii="Tahoma" w:hAnsi="Tahoma" w:cs="Tahoma"/>
          <w:color w:val="000000" w:themeColor="text1"/>
          <w:szCs w:val="21"/>
          <w:highlight w:val="none"/>
          <w14:textFill>
            <w14:solidFill>
              <w14:schemeClr w14:val="tx1"/>
            </w14:solidFill>
          </w14:textFill>
        </w:rPr>
        <w:t>》、招标文件、投标文件及相关文件的有关条款为基础，双方达成如下协议：</w:t>
      </w:r>
    </w:p>
    <w:p>
      <w:pPr>
        <w:spacing w:line="320" w:lineRule="exact"/>
        <w:jc w:val="center"/>
        <w:rPr>
          <w:rFonts w:ascii="Tahoma" w:hAnsi="Tahoma" w:eastAsia="黑体" w:cs="Tahoma"/>
          <w:b/>
          <w:color w:val="000000" w:themeColor="text1"/>
          <w:sz w:val="24"/>
          <w:highlight w:val="none"/>
          <w14:textFill>
            <w14:solidFill>
              <w14:schemeClr w14:val="tx1"/>
            </w14:solidFill>
          </w14:textFill>
        </w:rPr>
      </w:pPr>
      <w:r>
        <w:rPr>
          <w:rFonts w:ascii="Tahoma" w:hAnsi="Tahoma" w:eastAsia="黑体" w:cs="Tahoma"/>
          <w:b/>
          <w:color w:val="000000" w:themeColor="text1"/>
          <w:sz w:val="24"/>
          <w:highlight w:val="none"/>
          <w14:textFill>
            <w14:solidFill>
              <w14:schemeClr w14:val="tx1"/>
            </w14:solidFill>
          </w14:textFill>
        </w:rPr>
        <w:t>1、合同标的和合同价格</w:t>
      </w:r>
    </w:p>
    <w:tbl>
      <w:tblPr>
        <w:tblStyle w:val="20"/>
        <w:tblW w:w="973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1316"/>
        <w:gridCol w:w="1316"/>
        <w:gridCol w:w="1316"/>
        <w:gridCol w:w="1316"/>
        <w:gridCol w:w="1316"/>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exact"/>
        </w:trPr>
        <w:tc>
          <w:tcPr>
            <w:tcW w:w="13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产品名称</w:t>
            </w:r>
          </w:p>
        </w:tc>
        <w:tc>
          <w:tcPr>
            <w:tcW w:w="13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规格型号</w:t>
            </w:r>
          </w:p>
        </w:tc>
        <w:tc>
          <w:tcPr>
            <w:tcW w:w="13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生产厂家</w:t>
            </w:r>
          </w:p>
        </w:tc>
        <w:tc>
          <w:tcPr>
            <w:tcW w:w="13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数 量</w:t>
            </w:r>
          </w:p>
        </w:tc>
        <w:tc>
          <w:tcPr>
            <w:tcW w:w="13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单价</w:t>
            </w:r>
          </w:p>
        </w:tc>
        <w:tc>
          <w:tcPr>
            <w:tcW w:w="13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总价</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交货期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trPr>
        <w:tc>
          <w:tcPr>
            <w:tcW w:w="13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ahoma" w:hAnsi="Tahoma" w:cs="Tahoma"/>
                <w:color w:val="000000" w:themeColor="text1"/>
                <w:szCs w:val="21"/>
                <w:highlight w:val="none"/>
                <w14:textFill>
                  <w14:solidFill>
                    <w14:schemeClr w14:val="tx1"/>
                  </w14:solidFill>
                </w14:textFill>
              </w:rPr>
            </w:pPr>
          </w:p>
        </w:tc>
        <w:tc>
          <w:tcPr>
            <w:tcW w:w="13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ahoma" w:hAnsi="Tahoma" w:cs="Tahoma"/>
                <w:color w:val="000000" w:themeColor="text1"/>
                <w:szCs w:val="21"/>
                <w:highlight w:val="none"/>
                <w14:textFill>
                  <w14:solidFill>
                    <w14:schemeClr w14:val="tx1"/>
                  </w14:solidFill>
                </w14:textFill>
              </w:rPr>
            </w:pPr>
          </w:p>
        </w:tc>
        <w:tc>
          <w:tcPr>
            <w:tcW w:w="13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ahoma" w:hAnsi="Tahoma" w:cs="Tahoma"/>
                <w:color w:val="000000" w:themeColor="text1"/>
                <w:szCs w:val="21"/>
                <w:highlight w:val="none"/>
                <w14:textFill>
                  <w14:solidFill>
                    <w14:schemeClr w14:val="tx1"/>
                  </w14:solidFill>
                </w14:textFill>
              </w:rPr>
            </w:pPr>
          </w:p>
        </w:tc>
        <w:tc>
          <w:tcPr>
            <w:tcW w:w="13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ahoma" w:hAnsi="Tahoma" w:cs="Tahoma"/>
                <w:color w:val="000000" w:themeColor="text1"/>
                <w:szCs w:val="21"/>
                <w:highlight w:val="none"/>
                <w14:textFill>
                  <w14:solidFill>
                    <w14:schemeClr w14:val="tx1"/>
                  </w14:solidFill>
                </w14:textFill>
              </w:rPr>
            </w:pPr>
          </w:p>
        </w:tc>
        <w:tc>
          <w:tcPr>
            <w:tcW w:w="13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ahoma" w:hAnsi="Tahoma" w:cs="Tahoma"/>
                <w:color w:val="000000" w:themeColor="text1"/>
                <w:szCs w:val="21"/>
                <w:highlight w:val="none"/>
                <w14:textFill>
                  <w14:solidFill>
                    <w14:schemeClr w14:val="tx1"/>
                  </w14:solidFill>
                </w14:textFill>
              </w:rPr>
            </w:pPr>
          </w:p>
        </w:tc>
        <w:tc>
          <w:tcPr>
            <w:tcW w:w="13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ahoma" w:hAnsi="Tahoma" w:cs="Tahoma"/>
                <w:color w:val="000000" w:themeColor="text1"/>
                <w:szCs w:val="21"/>
                <w:highlight w:val="none"/>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ahoma" w:hAnsi="Tahoma" w:cs="Tahom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trPr>
        <w:tc>
          <w:tcPr>
            <w:tcW w:w="13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ahoma" w:hAnsi="Tahoma" w:cs="Tahoma"/>
                <w:color w:val="000000" w:themeColor="text1"/>
                <w:szCs w:val="21"/>
                <w:highlight w:val="none"/>
                <w14:textFill>
                  <w14:solidFill>
                    <w14:schemeClr w14:val="tx1"/>
                  </w14:solidFill>
                </w14:textFill>
              </w:rPr>
            </w:pPr>
          </w:p>
        </w:tc>
        <w:tc>
          <w:tcPr>
            <w:tcW w:w="13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ahoma" w:hAnsi="Tahoma" w:cs="Tahoma"/>
                <w:color w:val="000000" w:themeColor="text1"/>
                <w:szCs w:val="21"/>
                <w:highlight w:val="none"/>
                <w14:textFill>
                  <w14:solidFill>
                    <w14:schemeClr w14:val="tx1"/>
                  </w14:solidFill>
                </w14:textFill>
              </w:rPr>
            </w:pPr>
          </w:p>
        </w:tc>
        <w:tc>
          <w:tcPr>
            <w:tcW w:w="13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ahoma" w:hAnsi="Tahoma" w:cs="Tahoma"/>
                <w:color w:val="000000" w:themeColor="text1"/>
                <w:szCs w:val="21"/>
                <w:highlight w:val="none"/>
                <w14:textFill>
                  <w14:solidFill>
                    <w14:schemeClr w14:val="tx1"/>
                  </w14:solidFill>
                </w14:textFill>
              </w:rPr>
            </w:pPr>
          </w:p>
        </w:tc>
        <w:tc>
          <w:tcPr>
            <w:tcW w:w="13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ahoma" w:hAnsi="Tahoma" w:cs="Tahoma"/>
                <w:color w:val="000000" w:themeColor="text1"/>
                <w:szCs w:val="21"/>
                <w:highlight w:val="none"/>
                <w14:textFill>
                  <w14:solidFill>
                    <w14:schemeClr w14:val="tx1"/>
                  </w14:solidFill>
                </w14:textFill>
              </w:rPr>
            </w:pPr>
          </w:p>
        </w:tc>
        <w:tc>
          <w:tcPr>
            <w:tcW w:w="13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ahoma" w:hAnsi="Tahoma" w:cs="Tahoma"/>
                <w:color w:val="000000" w:themeColor="text1"/>
                <w:szCs w:val="21"/>
                <w:highlight w:val="none"/>
                <w14:textFill>
                  <w14:solidFill>
                    <w14:schemeClr w14:val="tx1"/>
                  </w14:solidFill>
                </w14:textFill>
              </w:rPr>
            </w:pPr>
          </w:p>
        </w:tc>
        <w:tc>
          <w:tcPr>
            <w:tcW w:w="13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ahoma" w:hAnsi="Tahoma" w:cs="Tahoma"/>
                <w:color w:val="000000" w:themeColor="text1"/>
                <w:szCs w:val="21"/>
                <w:highlight w:val="none"/>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ahoma" w:hAnsi="Tahoma" w:cs="Tahom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trPr>
        <w:tc>
          <w:tcPr>
            <w:tcW w:w="13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ahoma" w:hAnsi="Tahoma" w:cs="Tahoma"/>
                <w:color w:val="000000" w:themeColor="text1"/>
                <w:szCs w:val="21"/>
                <w:highlight w:val="none"/>
                <w14:textFill>
                  <w14:solidFill>
                    <w14:schemeClr w14:val="tx1"/>
                  </w14:solidFill>
                </w14:textFill>
              </w:rPr>
            </w:pPr>
          </w:p>
        </w:tc>
        <w:tc>
          <w:tcPr>
            <w:tcW w:w="13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ahoma" w:hAnsi="Tahoma" w:cs="Tahoma"/>
                <w:color w:val="000000" w:themeColor="text1"/>
                <w:szCs w:val="21"/>
                <w:highlight w:val="none"/>
                <w14:textFill>
                  <w14:solidFill>
                    <w14:schemeClr w14:val="tx1"/>
                  </w14:solidFill>
                </w14:textFill>
              </w:rPr>
            </w:pPr>
          </w:p>
        </w:tc>
        <w:tc>
          <w:tcPr>
            <w:tcW w:w="13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ahoma" w:hAnsi="Tahoma" w:cs="Tahoma"/>
                <w:color w:val="000000" w:themeColor="text1"/>
                <w:szCs w:val="21"/>
                <w:highlight w:val="none"/>
                <w14:textFill>
                  <w14:solidFill>
                    <w14:schemeClr w14:val="tx1"/>
                  </w14:solidFill>
                </w14:textFill>
              </w:rPr>
            </w:pPr>
          </w:p>
        </w:tc>
        <w:tc>
          <w:tcPr>
            <w:tcW w:w="13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ahoma" w:hAnsi="Tahoma" w:cs="Tahoma"/>
                <w:color w:val="000000" w:themeColor="text1"/>
                <w:szCs w:val="21"/>
                <w:highlight w:val="none"/>
                <w14:textFill>
                  <w14:solidFill>
                    <w14:schemeClr w14:val="tx1"/>
                  </w14:solidFill>
                </w14:textFill>
              </w:rPr>
            </w:pPr>
          </w:p>
        </w:tc>
        <w:tc>
          <w:tcPr>
            <w:tcW w:w="13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ahoma" w:hAnsi="Tahoma" w:cs="Tahoma"/>
                <w:color w:val="000000" w:themeColor="text1"/>
                <w:szCs w:val="21"/>
                <w:highlight w:val="none"/>
                <w14:textFill>
                  <w14:solidFill>
                    <w14:schemeClr w14:val="tx1"/>
                  </w14:solidFill>
                </w14:textFill>
              </w:rPr>
            </w:pPr>
          </w:p>
        </w:tc>
        <w:tc>
          <w:tcPr>
            <w:tcW w:w="13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ahoma" w:hAnsi="Tahoma" w:cs="Tahoma"/>
                <w:color w:val="000000" w:themeColor="text1"/>
                <w:szCs w:val="21"/>
                <w:highlight w:val="none"/>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ahoma" w:hAnsi="Tahoma" w:cs="Tahom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9738" w:type="dxa"/>
            <w:gridSpan w:val="7"/>
            <w:tcBorders>
              <w:top w:val="single" w:color="auto" w:sz="4" w:space="0"/>
              <w:left w:val="single" w:color="auto" w:sz="4" w:space="0"/>
              <w:bottom w:val="single" w:color="auto" w:sz="4" w:space="0"/>
              <w:right w:val="single" w:color="auto" w:sz="4" w:space="0"/>
            </w:tcBorders>
          </w:tcPr>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合同总金额（大写）</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）（合同总金额包含</w:t>
            </w:r>
            <w:r>
              <w:rPr>
                <w:rFonts w:hint="eastAsia" w:ascii="Tahoma" w:hAnsi="Tahoma" w:cs="Tahoma"/>
                <w:color w:val="000000" w:themeColor="text1"/>
                <w:szCs w:val="21"/>
                <w:highlight w:val="none"/>
                <w14:textFill>
                  <w14:solidFill>
                    <w14:schemeClr w14:val="tx1"/>
                  </w14:solidFill>
                </w14:textFill>
              </w:rPr>
              <w:t>产品、运输、装卸、存放</w:t>
            </w:r>
            <w:r>
              <w:rPr>
                <w:rFonts w:ascii="Tahoma" w:hAnsi="Tahoma" w:cs="Tahoma"/>
                <w:color w:val="000000" w:themeColor="text1"/>
                <w:szCs w:val="21"/>
                <w:highlight w:val="none"/>
                <w14:textFill>
                  <w14:solidFill>
                    <w14:schemeClr w14:val="tx1"/>
                  </w14:solidFill>
                </w14:textFill>
              </w:rPr>
              <w:t>、检验、</w:t>
            </w:r>
            <w:r>
              <w:rPr>
                <w:rFonts w:hint="eastAsia" w:ascii="Tahoma" w:hAnsi="Tahoma" w:cs="Tahoma"/>
                <w:color w:val="000000" w:themeColor="text1"/>
                <w:szCs w:val="21"/>
                <w:highlight w:val="none"/>
                <w:lang w:val="en-US" w:eastAsia="zh-CN"/>
                <w14:textFill>
                  <w14:solidFill>
                    <w14:schemeClr w14:val="tx1"/>
                  </w14:solidFill>
                </w14:textFill>
              </w:rPr>
              <w:t>安装、调试、</w:t>
            </w:r>
            <w:r>
              <w:rPr>
                <w:rFonts w:ascii="Tahoma" w:hAnsi="Tahoma" w:cs="Tahoma"/>
                <w:color w:val="000000" w:themeColor="text1"/>
                <w:szCs w:val="21"/>
                <w:highlight w:val="none"/>
                <w14:textFill>
                  <w14:solidFill>
                    <w14:schemeClr w14:val="tx1"/>
                  </w14:solidFill>
                </w14:textFill>
              </w:rPr>
              <w:t>技术培训及技术资料和运输保险等费用）</w:t>
            </w:r>
          </w:p>
        </w:tc>
      </w:tr>
    </w:tbl>
    <w:p>
      <w:pPr>
        <w:spacing w:line="320" w:lineRule="exact"/>
        <w:jc w:val="center"/>
        <w:rPr>
          <w:rFonts w:ascii="Tahoma" w:hAnsi="Tahoma" w:cs="Tahoma"/>
          <w:b/>
          <w:color w:val="000000" w:themeColor="text1"/>
          <w:szCs w:val="21"/>
          <w:highlight w:val="none"/>
          <w14:textFill>
            <w14:solidFill>
              <w14:schemeClr w14:val="tx1"/>
            </w14:solidFill>
          </w14:textFill>
        </w:rPr>
      </w:pPr>
    </w:p>
    <w:p>
      <w:pPr>
        <w:spacing w:line="320" w:lineRule="exact"/>
        <w:jc w:val="center"/>
        <w:rPr>
          <w:rFonts w:ascii="Tahoma" w:hAnsi="Tahoma" w:eastAsia="黑体" w:cs="Tahoma"/>
          <w:b/>
          <w:color w:val="000000" w:themeColor="text1"/>
          <w:sz w:val="24"/>
          <w:highlight w:val="none"/>
          <w14:textFill>
            <w14:solidFill>
              <w14:schemeClr w14:val="tx1"/>
            </w14:solidFill>
          </w14:textFill>
        </w:rPr>
      </w:pPr>
      <w:r>
        <w:rPr>
          <w:rFonts w:ascii="Tahoma" w:hAnsi="Tahoma" w:eastAsia="黑体" w:cs="Tahoma"/>
          <w:b/>
          <w:color w:val="000000" w:themeColor="text1"/>
          <w:sz w:val="24"/>
          <w:highlight w:val="none"/>
          <w14:textFill>
            <w14:solidFill>
              <w14:schemeClr w14:val="tx1"/>
            </w14:solidFill>
          </w14:textFill>
        </w:rPr>
        <w:t>2、交货方式和交货地点</w:t>
      </w:r>
    </w:p>
    <w:p>
      <w:pPr>
        <w:spacing w:line="320" w:lineRule="exact"/>
        <w:rPr>
          <w:rFonts w:ascii="Tahoma" w:hAnsi="Tahoma" w:cs="Tahoma"/>
          <w:color w:val="000000" w:themeColor="text1"/>
          <w:szCs w:val="21"/>
          <w:highlight w:val="none"/>
          <w:u w:val="singl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2.1交货方式：</w:t>
      </w:r>
      <w:r>
        <w:rPr>
          <w:rFonts w:ascii="Tahoma" w:hAnsi="Tahoma" w:cs="Tahoma"/>
          <w:color w:val="000000" w:themeColor="text1"/>
          <w:szCs w:val="21"/>
          <w:highlight w:val="none"/>
          <w:u w:val="single"/>
          <w14:textFill>
            <w14:solidFill>
              <w14:schemeClr w14:val="tx1"/>
            </w14:solidFill>
          </w14:textFill>
        </w:rPr>
        <w:t xml:space="preserve">                     </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2.2交货地点：</w:t>
      </w:r>
      <w:r>
        <w:rPr>
          <w:rFonts w:ascii="Tahoma" w:hAnsi="Tahoma" w:cs="Tahoma"/>
          <w:color w:val="000000" w:themeColor="text1"/>
          <w:szCs w:val="21"/>
          <w:highlight w:val="none"/>
          <w:u w:val="single"/>
          <w14:textFill>
            <w14:solidFill>
              <w14:schemeClr w14:val="tx1"/>
            </w14:solidFill>
          </w14:textFill>
        </w:rPr>
        <w:t xml:space="preserve">                     </w:t>
      </w:r>
    </w:p>
    <w:p>
      <w:pPr>
        <w:spacing w:line="320" w:lineRule="exact"/>
        <w:jc w:val="center"/>
        <w:rPr>
          <w:rFonts w:ascii="Tahoma" w:hAnsi="Tahoma" w:eastAsia="黑体" w:cs="Tahoma"/>
          <w:b/>
          <w:color w:val="000000" w:themeColor="text1"/>
          <w:sz w:val="24"/>
          <w:highlight w:val="none"/>
          <w14:textFill>
            <w14:solidFill>
              <w14:schemeClr w14:val="tx1"/>
            </w14:solidFill>
          </w14:textFill>
        </w:rPr>
      </w:pPr>
      <w:r>
        <w:rPr>
          <w:rFonts w:ascii="Tahoma" w:hAnsi="Tahoma" w:eastAsia="黑体" w:cs="Tahoma"/>
          <w:b/>
          <w:color w:val="000000" w:themeColor="text1"/>
          <w:sz w:val="24"/>
          <w:highlight w:val="none"/>
          <w14:textFill>
            <w14:solidFill>
              <w14:schemeClr w14:val="tx1"/>
            </w14:solidFill>
          </w14:textFill>
        </w:rPr>
        <w:t>3、供货清单</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3.1供货清单：</w:t>
      </w:r>
      <w:r>
        <w:rPr>
          <w:rFonts w:hint="eastAsia" w:ascii="Tahoma" w:hAnsi="Tahoma" w:cs="Tahoma"/>
          <w:bCs/>
          <w:color w:val="000000" w:themeColor="text1"/>
          <w:szCs w:val="21"/>
          <w:highlight w:val="none"/>
          <w14:textFill>
            <w14:solidFill>
              <w14:schemeClr w14:val="tx1"/>
            </w14:solidFill>
          </w14:textFill>
        </w:rPr>
        <w:t>包括</w:t>
      </w:r>
      <w:r>
        <w:rPr>
          <w:rFonts w:hint="eastAsia" w:ascii="Tahoma" w:hAnsi="Tahoma" w:cs="Tahoma"/>
          <w:b/>
          <w:color w:val="000000" w:themeColor="text1"/>
          <w:szCs w:val="21"/>
          <w:highlight w:val="none"/>
          <w14:textFill>
            <w14:solidFill>
              <w14:schemeClr w14:val="tx1"/>
            </w14:solidFill>
          </w14:textFill>
        </w:rPr>
        <w:t>产品</w:t>
      </w:r>
      <w:r>
        <w:rPr>
          <w:rFonts w:ascii="Tahoma" w:hAnsi="Tahoma" w:cs="Tahoma"/>
          <w:color w:val="000000" w:themeColor="text1"/>
          <w:szCs w:val="21"/>
          <w:highlight w:val="none"/>
          <w14:textFill>
            <w14:solidFill>
              <w14:schemeClr w14:val="tx1"/>
            </w14:solidFill>
          </w14:textFill>
        </w:rPr>
        <w:t>的名称及数量。（采购人对包装及运输有特别要求的，应作具体约定。）</w:t>
      </w:r>
    </w:p>
    <w:p>
      <w:pPr>
        <w:spacing w:line="320" w:lineRule="exact"/>
        <w:jc w:val="center"/>
        <w:rPr>
          <w:rFonts w:ascii="Tahoma" w:hAnsi="Tahoma" w:eastAsia="黑体" w:cs="Tahoma"/>
          <w:b/>
          <w:color w:val="000000" w:themeColor="text1"/>
          <w:sz w:val="24"/>
          <w:highlight w:val="none"/>
          <w14:textFill>
            <w14:solidFill>
              <w14:schemeClr w14:val="tx1"/>
            </w14:solidFill>
          </w14:textFill>
        </w:rPr>
      </w:pPr>
      <w:r>
        <w:rPr>
          <w:rFonts w:ascii="Tahoma" w:hAnsi="Tahoma" w:eastAsia="黑体" w:cs="Tahoma"/>
          <w:b/>
          <w:color w:val="000000" w:themeColor="text1"/>
          <w:sz w:val="24"/>
          <w:highlight w:val="none"/>
          <w14:textFill>
            <w14:solidFill>
              <w14:schemeClr w14:val="tx1"/>
            </w14:solidFill>
          </w14:textFill>
        </w:rPr>
        <w:t>4、付款方式与条件</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4.1货物交货付款</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全部货物交货并经验收合格后，甲方凭收讫货物的验收凭证和货物验收合格文件等材料以</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方式向乙方一次性支付</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%的货物价款。（若乙方有支付履约保证金的，可在支付货款时予以扣除。）</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4.2现场交货条件下，乙方要求付款应提交下列单证和文件。</w:t>
      </w:r>
    </w:p>
    <w:p>
      <w:pPr>
        <w:spacing w:line="320" w:lineRule="exact"/>
        <w:ind w:firstLine="210" w:firstLineChars="1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（1）金额为有关合同货物价格</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%的正式发票。</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（2）制造厂家出具的货物质量合格证书。</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（3）甲方已收讫货物的验收凭证。</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（4）甲方签发的验收合格文件。</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4.3分期支付货款的，余下的货款应于</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（时间）支付。</w:t>
      </w:r>
    </w:p>
    <w:p>
      <w:pPr>
        <w:spacing w:line="320" w:lineRule="exact"/>
        <w:jc w:val="center"/>
        <w:rPr>
          <w:rFonts w:ascii="Tahoma" w:hAnsi="Tahoma" w:eastAsia="黑体" w:cs="Tahoma"/>
          <w:b/>
          <w:color w:val="000000" w:themeColor="text1"/>
          <w:sz w:val="24"/>
          <w:highlight w:val="none"/>
          <w14:textFill>
            <w14:solidFill>
              <w14:schemeClr w14:val="tx1"/>
            </w14:solidFill>
          </w14:textFill>
        </w:rPr>
      </w:pPr>
      <w:r>
        <w:rPr>
          <w:rFonts w:ascii="Tahoma" w:hAnsi="Tahoma" w:eastAsia="黑体" w:cs="Tahoma"/>
          <w:b/>
          <w:color w:val="000000" w:themeColor="text1"/>
          <w:sz w:val="24"/>
          <w:highlight w:val="none"/>
          <w14:textFill>
            <w14:solidFill>
              <w14:schemeClr w14:val="tx1"/>
            </w14:solidFill>
          </w14:textFill>
        </w:rPr>
        <w:t>5、质量要求和技术标准</w:t>
      </w:r>
    </w:p>
    <w:p>
      <w:pPr>
        <w:spacing w:line="320" w:lineRule="exact"/>
        <w:rPr>
          <w:rFonts w:ascii="Tahoma" w:hAnsi="Tahoma" w:cs="Tahoma"/>
          <w:color w:val="000000" w:themeColor="text1"/>
          <w:szCs w:val="21"/>
          <w:highlight w:val="none"/>
          <w:u w:val="singl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5.1质量条款可细分为产品质量、包装质量、技术资料质量等内容。</w:t>
      </w:r>
      <w:r>
        <w:rPr>
          <w:rFonts w:ascii="Tahoma" w:hAnsi="Tahoma" w:cs="Tahoma"/>
          <w:color w:val="000000" w:themeColor="text1"/>
          <w:szCs w:val="21"/>
          <w:highlight w:val="none"/>
          <w:u w:val="single"/>
          <w14:textFill>
            <w14:solidFill>
              <w14:schemeClr w14:val="tx1"/>
            </w14:solidFill>
          </w14:textFill>
        </w:rPr>
        <w:t>（质量要求和技术标准应按招标文件要求进行填列。）</w:t>
      </w:r>
    </w:p>
    <w:p>
      <w:pPr>
        <w:pStyle w:val="5"/>
        <w:rPr>
          <w:rFonts w:ascii="Tahoma" w:hAnsi="Tahoma" w:eastAsia="宋体" w:cs="Tahoma"/>
          <w:b w:val="0"/>
          <w:bCs w:val="0"/>
          <w:color w:val="000000" w:themeColor="text1"/>
          <w:kern w:val="2"/>
          <w:sz w:val="21"/>
          <w:szCs w:val="21"/>
          <w:highlight w:val="none"/>
          <w:lang w:val="en-US" w:eastAsia="zh-CN" w:bidi="ar-SA"/>
          <w14:textFill>
            <w14:solidFill>
              <w14:schemeClr w14:val="tx1"/>
            </w14:solidFill>
          </w14:textFill>
        </w:rPr>
      </w:pPr>
      <w:r>
        <w:rPr>
          <w:rFonts w:hint="eastAsia" w:ascii="Tahoma" w:hAnsi="Tahoma" w:cs="Tahoma"/>
          <w:b w:val="0"/>
          <w:bCs w:val="0"/>
          <w:color w:val="000000" w:themeColor="text1"/>
          <w:kern w:val="2"/>
          <w:sz w:val="21"/>
          <w:szCs w:val="21"/>
          <w:highlight w:val="none"/>
          <w:lang w:val="en-US" w:eastAsia="zh-CN" w:bidi="ar-SA"/>
          <w14:textFill>
            <w14:solidFill>
              <w14:schemeClr w14:val="tx1"/>
            </w14:solidFill>
          </w14:textFill>
        </w:rPr>
        <w:t>5.2</w:t>
      </w:r>
      <w:r>
        <w:rPr>
          <w:rFonts w:hint="eastAsia" w:ascii="Tahoma" w:hAnsi="Tahoma" w:eastAsia="宋体" w:cs="Tahoma"/>
          <w:b w:val="0"/>
          <w:bCs w:val="0"/>
          <w:color w:val="000000" w:themeColor="text1"/>
          <w:kern w:val="2"/>
          <w:sz w:val="21"/>
          <w:szCs w:val="21"/>
          <w:highlight w:val="none"/>
          <w:lang w:val="en-US" w:eastAsia="zh-CN" w:bidi="ar-SA"/>
          <w14:textFill>
            <w14:solidFill>
              <w14:schemeClr w14:val="tx1"/>
            </w14:solidFill>
          </w14:textFill>
        </w:rPr>
        <w:t>乙方负责本</w:t>
      </w:r>
      <w:r>
        <w:rPr>
          <w:rFonts w:hint="eastAsia" w:ascii="Tahoma" w:hAnsi="Tahoma" w:cs="Tahoma"/>
          <w:b w:val="0"/>
          <w:bCs w:val="0"/>
          <w:color w:val="000000" w:themeColor="text1"/>
          <w:kern w:val="2"/>
          <w:sz w:val="21"/>
          <w:szCs w:val="21"/>
          <w:highlight w:val="none"/>
          <w:lang w:val="en-US" w:eastAsia="zh-CN" w:bidi="ar-SA"/>
          <w14:textFill>
            <w14:solidFill>
              <w14:schemeClr w14:val="tx1"/>
            </w14:solidFill>
          </w14:textFill>
        </w:rPr>
        <w:t>项目参数要求</w:t>
      </w:r>
      <w:r>
        <w:rPr>
          <w:rFonts w:ascii="Tahoma" w:hAnsi="Tahoma" w:eastAsia="宋体" w:cs="Tahoma"/>
          <w:b w:val="0"/>
          <w:bCs w:val="0"/>
          <w:color w:val="000000" w:themeColor="text1"/>
          <w:kern w:val="2"/>
          <w:sz w:val="21"/>
          <w:szCs w:val="21"/>
          <w:highlight w:val="none"/>
          <w:lang w:val="en-US" w:eastAsia="zh-CN" w:bidi="ar-SA"/>
          <w14:textFill>
            <w14:solidFill>
              <w14:schemeClr w14:val="tx1"/>
            </w14:solidFill>
          </w14:textFill>
        </w:rPr>
        <w:t>所有系统软件的现场安装并保证软件的正常运行。</w:t>
      </w:r>
    </w:p>
    <w:p>
      <w:pPr>
        <w:rPr>
          <w:color w:val="000000" w:themeColor="text1"/>
          <w:highlight w:val="none"/>
          <w:lang w:val="en-US" w:eastAsia="zh-CN"/>
          <w14:textFill>
            <w14:solidFill>
              <w14:schemeClr w14:val="tx1"/>
            </w14:solidFill>
          </w14:textFill>
        </w:rPr>
      </w:pPr>
    </w:p>
    <w:p>
      <w:pPr>
        <w:spacing w:line="320" w:lineRule="exact"/>
        <w:jc w:val="center"/>
        <w:rPr>
          <w:rFonts w:ascii="Tahoma" w:hAnsi="Tahoma" w:eastAsia="黑体" w:cs="Tahoma"/>
          <w:b/>
          <w:color w:val="000000" w:themeColor="text1"/>
          <w:sz w:val="24"/>
          <w:highlight w:val="none"/>
          <w14:textFill>
            <w14:solidFill>
              <w14:schemeClr w14:val="tx1"/>
            </w14:solidFill>
          </w14:textFill>
        </w:rPr>
      </w:pPr>
      <w:r>
        <w:rPr>
          <w:rFonts w:ascii="Tahoma" w:hAnsi="Tahoma" w:eastAsia="黑体" w:cs="Tahoma"/>
          <w:b/>
          <w:color w:val="000000" w:themeColor="text1"/>
          <w:sz w:val="24"/>
          <w:highlight w:val="none"/>
          <w14:textFill>
            <w14:solidFill>
              <w14:schemeClr w14:val="tx1"/>
            </w14:solidFill>
          </w14:textFill>
        </w:rPr>
        <w:t>6、</w:t>
      </w:r>
      <w:r>
        <w:rPr>
          <w:rFonts w:hint="eastAsia" w:ascii="Tahoma" w:hAnsi="Tahoma" w:eastAsia="黑体" w:cs="Tahoma"/>
          <w:b/>
          <w:color w:val="000000" w:themeColor="text1"/>
          <w:sz w:val="24"/>
          <w:highlight w:val="none"/>
          <w14:textFill>
            <w14:solidFill>
              <w14:schemeClr w14:val="tx1"/>
            </w14:solidFill>
          </w14:textFill>
        </w:rPr>
        <w:t>运输、配送、存放、检验</w:t>
      </w:r>
      <w:r>
        <w:rPr>
          <w:rFonts w:hint="eastAsia" w:ascii="Tahoma" w:hAnsi="Tahoma" w:eastAsia="黑体" w:cs="Tahoma"/>
          <w:b/>
          <w:color w:val="000000" w:themeColor="text1"/>
          <w:sz w:val="24"/>
          <w:highlight w:val="none"/>
          <w:lang w:eastAsia="zh-CN"/>
          <w14:textFill>
            <w14:solidFill>
              <w14:schemeClr w14:val="tx1"/>
            </w14:solidFill>
          </w14:textFill>
        </w:rPr>
        <w:t>、</w:t>
      </w:r>
      <w:r>
        <w:rPr>
          <w:rFonts w:hint="eastAsia" w:ascii="Tahoma" w:hAnsi="Tahoma" w:eastAsia="黑体" w:cs="Tahoma"/>
          <w:b/>
          <w:color w:val="000000" w:themeColor="text1"/>
          <w:sz w:val="24"/>
          <w:highlight w:val="none"/>
          <w14:textFill>
            <w14:solidFill>
              <w14:schemeClr w14:val="tx1"/>
            </w14:solidFill>
          </w14:textFill>
        </w:rPr>
        <w:t>等要求</w:t>
      </w:r>
    </w:p>
    <w:p>
      <w:pPr>
        <w:spacing w:line="320" w:lineRule="exact"/>
        <w:rPr>
          <w:rFonts w:ascii="Tahoma" w:hAnsi="Tahoma" w:cs="Tahoma"/>
          <w:color w:val="000000" w:themeColor="text1"/>
          <w:szCs w:val="21"/>
          <w:highlight w:val="none"/>
          <w:u w:val="singl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6.1</w:t>
      </w:r>
      <w:r>
        <w:rPr>
          <w:rFonts w:hint="eastAsia" w:ascii="Tahoma" w:hAnsi="Tahoma" w:cs="Tahoma"/>
          <w:color w:val="000000" w:themeColor="text1"/>
          <w:szCs w:val="21"/>
          <w:highlight w:val="none"/>
          <w14:textFill>
            <w14:solidFill>
              <w14:schemeClr w14:val="tx1"/>
            </w14:solidFill>
          </w14:textFill>
        </w:rPr>
        <w:t>运输、配送、存放、检验等要求</w:t>
      </w:r>
      <w:r>
        <w:rPr>
          <w:rFonts w:ascii="Tahoma" w:hAnsi="Tahoma" w:cs="Tahoma"/>
          <w:color w:val="000000" w:themeColor="text1"/>
          <w:szCs w:val="21"/>
          <w:highlight w:val="none"/>
          <w14:textFill>
            <w14:solidFill>
              <w14:schemeClr w14:val="tx1"/>
            </w14:solidFill>
          </w14:textFill>
        </w:rPr>
        <w:t>内容。</w:t>
      </w:r>
      <w:r>
        <w:rPr>
          <w:rFonts w:ascii="Tahoma" w:hAnsi="Tahoma" w:cs="Tahoma"/>
          <w:color w:val="000000" w:themeColor="text1"/>
          <w:szCs w:val="21"/>
          <w:highlight w:val="none"/>
          <w:u w:val="single"/>
          <w14:textFill>
            <w14:solidFill>
              <w14:schemeClr w14:val="tx1"/>
            </w14:solidFill>
          </w14:textFill>
        </w:rPr>
        <w:t>（</w:t>
      </w:r>
      <w:r>
        <w:rPr>
          <w:rFonts w:hint="eastAsia" w:ascii="Tahoma" w:hAnsi="Tahoma" w:cs="Tahoma"/>
          <w:color w:val="000000" w:themeColor="text1"/>
          <w:szCs w:val="21"/>
          <w:highlight w:val="none"/>
          <w:u w:val="single"/>
          <w14:textFill>
            <w14:solidFill>
              <w14:schemeClr w14:val="tx1"/>
            </w14:solidFill>
          </w14:textFill>
        </w:rPr>
        <w:t>运输、配送、存放、检验等要求</w:t>
      </w:r>
      <w:r>
        <w:rPr>
          <w:rFonts w:ascii="Tahoma" w:hAnsi="Tahoma" w:cs="Tahoma"/>
          <w:color w:val="000000" w:themeColor="text1"/>
          <w:szCs w:val="21"/>
          <w:highlight w:val="none"/>
          <w:u w:val="single"/>
          <w14:textFill>
            <w14:solidFill>
              <w14:schemeClr w14:val="tx1"/>
            </w14:solidFill>
          </w14:textFill>
        </w:rPr>
        <w:t>应按招标文件要求填列。）</w:t>
      </w:r>
    </w:p>
    <w:p>
      <w:pPr>
        <w:spacing w:line="320" w:lineRule="exact"/>
        <w:jc w:val="center"/>
        <w:rPr>
          <w:rFonts w:ascii="Tahoma" w:hAnsi="Tahoma" w:eastAsia="黑体" w:cs="Tahoma"/>
          <w:b/>
          <w:color w:val="000000" w:themeColor="text1"/>
          <w:sz w:val="24"/>
          <w:highlight w:val="none"/>
          <w14:textFill>
            <w14:solidFill>
              <w14:schemeClr w14:val="tx1"/>
            </w14:solidFill>
          </w14:textFill>
        </w:rPr>
      </w:pPr>
      <w:r>
        <w:rPr>
          <w:rFonts w:ascii="Tahoma" w:hAnsi="Tahoma" w:eastAsia="黑体" w:cs="Tahoma"/>
          <w:b/>
          <w:color w:val="000000" w:themeColor="text1"/>
          <w:sz w:val="24"/>
          <w:highlight w:val="none"/>
          <w14:textFill>
            <w14:solidFill>
              <w14:schemeClr w14:val="tx1"/>
            </w14:solidFill>
          </w14:textFill>
        </w:rPr>
        <w:t>7、验收</w:t>
      </w:r>
    </w:p>
    <w:p>
      <w:pPr>
        <w:spacing w:line="320" w:lineRule="exact"/>
        <w:rPr>
          <w:rFonts w:ascii="Tahoma" w:hAnsi="Tahoma" w:eastAsia="黑体" w:cs="Tahoma"/>
          <w:b/>
          <w:color w:val="000000" w:themeColor="text1"/>
          <w:sz w:val="24"/>
          <w:highlight w:val="none"/>
          <w14:textFill>
            <w14:solidFill>
              <w14:schemeClr w14:val="tx1"/>
            </w14:solidFill>
          </w14:textFill>
        </w:rPr>
      </w:pPr>
      <w:r>
        <w:rPr>
          <w:rFonts w:ascii="Tahoma" w:hAnsi="Tahoma" w:eastAsia="黑体" w:cs="Tahoma"/>
          <w:color w:val="000000" w:themeColor="text1"/>
          <w:szCs w:val="21"/>
          <w:highlight w:val="none"/>
          <w14:textFill>
            <w14:solidFill>
              <w14:schemeClr w14:val="tx1"/>
            </w14:solidFill>
          </w14:textFill>
        </w:rPr>
        <w:t>7.1</w:t>
      </w:r>
      <w:r>
        <w:rPr>
          <w:rFonts w:ascii="Tahoma" w:hAnsi="Tahoma" w:cs="Tahoma"/>
          <w:color w:val="000000" w:themeColor="text1"/>
          <w:szCs w:val="21"/>
          <w:highlight w:val="none"/>
          <w14:textFill>
            <w14:solidFill>
              <w14:schemeClr w14:val="tx1"/>
            </w14:solidFill>
          </w14:textFill>
        </w:rPr>
        <w:t>货物验收标准和方法应按招标文件要求填列。</w:t>
      </w:r>
      <w:r>
        <w:rPr>
          <w:rFonts w:ascii="Tahoma" w:hAnsi="Tahoma" w:cs="Tahoma"/>
          <w:color w:val="000000" w:themeColor="text1"/>
          <w:szCs w:val="21"/>
          <w:highlight w:val="none"/>
          <w:u w:val="single"/>
          <w14:textFill>
            <w14:solidFill>
              <w14:schemeClr w14:val="tx1"/>
            </w14:solidFill>
          </w14:textFill>
        </w:rPr>
        <w:t>（货物验收标准和方法应按招标文件要求填列。）</w:t>
      </w:r>
      <w:r>
        <w:rPr>
          <w:rFonts w:ascii="Tahoma" w:hAnsi="Tahoma" w:cs="Tahoma"/>
          <w:color w:val="000000" w:themeColor="text1"/>
          <w:szCs w:val="21"/>
          <w:highlight w:val="none"/>
          <w14:textFill>
            <w14:solidFill>
              <w14:schemeClr w14:val="tx1"/>
            </w14:solidFill>
          </w14:textFill>
        </w:rPr>
        <w:t>验收结果经双方确认后，双方代表必须按规定的验收交接单上的项目对照本合同填好验收结果并签名盖章。</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7.2验收可细分为到货时的外在质量的验收，投产前的质量验收，大型货物可能还存在更多的验收步骤和验收方式，采购人可在合同条款中细化规定。</w:t>
      </w:r>
    </w:p>
    <w:p>
      <w:pPr>
        <w:spacing w:line="320" w:lineRule="exact"/>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7.3、验收标准</w:t>
      </w:r>
    </w:p>
    <w:p>
      <w:pPr>
        <w:spacing w:line="320" w:lineRule="exact"/>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到货验收:货物/软件运抵交货地，甲方通知乙方及时进行验收，货物验收范围包括型号、规格、数量、货物包装、外观质量、软件介质、配件、货物装箱清单、原产地证明及货物质量检验合格证书等方面内容，软件验收范围包括型号、规格、数量、软件包装、外观质量、软件介质、配件、软件装箱清单、原产地证明及软件质量检验合格证书等方面内容。确认无误后甲乙双方签署《到货验收报告》。货物/软件在交货过程中发生意外事故以及其他原因造成的损失和风险由乙方承担。</w:t>
      </w:r>
    </w:p>
    <w:p>
      <w:pPr>
        <w:spacing w:line="320" w:lineRule="exact"/>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安装验收:乙方交付搭建的软件平台及系统正式运行，甲方组织相关人员参与培训、验收。在验收过程中，软件系统以运行稳定、各类数据正确、满足经甲乙双方确认即为验收合格。因交付货物/软件的全部或部分不符合本合同约定的数量、质量标准，外观变形或损坏等情形，乙方应按甲方要求更换、补齐，整改、确保所交付的货物符合合同约定，否则甲方可以拒绝接受该货物或终止本合同，由此给甲方造成的损失由乙方赔偿。乙方向甲方提供货物安装、运行、使用、测试、诊断和维修的技术文档，提供所购货物的安装指南、用户手册等。</w:t>
      </w:r>
    </w:p>
    <w:p>
      <w:pPr>
        <w:spacing w:line="320" w:lineRule="exact"/>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(3）两项验收全部完毕，经双方在验收报告上签字确认生效后，即视为乙方正式将货物交付甲方。</w:t>
      </w:r>
    </w:p>
    <w:p>
      <w:pPr>
        <w:spacing w:line="320" w:lineRule="exact"/>
        <w:jc w:val="center"/>
        <w:rPr>
          <w:rFonts w:ascii="Tahoma" w:hAnsi="Tahoma" w:eastAsia="黑体" w:cs="Tahoma"/>
          <w:b/>
          <w:color w:val="000000" w:themeColor="text1"/>
          <w:sz w:val="24"/>
          <w:highlight w:val="none"/>
          <w14:textFill>
            <w14:solidFill>
              <w14:schemeClr w14:val="tx1"/>
            </w14:solidFill>
          </w14:textFill>
        </w:rPr>
      </w:pPr>
      <w:r>
        <w:rPr>
          <w:rFonts w:ascii="Tahoma" w:hAnsi="Tahoma" w:eastAsia="黑体" w:cs="Tahoma"/>
          <w:b/>
          <w:color w:val="000000" w:themeColor="text1"/>
          <w:sz w:val="24"/>
          <w:highlight w:val="none"/>
          <w14:textFill>
            <w14:solidFill>
              <w14:schemeClr w14:val="tx1"/>
            </w14:solidFill>
          </w14:textFill>
        </w:rPr>
        <w:t>8、质量保证</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8.1各合同包货物质保期要求均为货物经</w:t>
      </w:r>
      <w:r>
        <w:rPr>
          <w:rFonts w:hint="eastAsia" w:ascii="Tahoma" w:hAnsi="Tahoma" w:cs="Tahoma"/>
          <w:color w:val="000000" w:themeColor="text1"/>
          <w:szCs w:val="21"/>
          <w:highlight w:val="none"/>
          <w:lang w:val="en-US" w:eastAsia="zh-CN"/>
          <w14:textFill>
            <w14:solidFill>
              <w14:schemeClr w14:val="tx1"/>
            </w14:solidFill>
          </w14:textFill>
        </w:rPr>
        <w:t>安装调试</w:t>
      </w:r>
      <w:r>
        <w:rPr>
          <w:rFonts w:ascii="Tahoma" w:hAnsi="Tahoma" w:cs="Tahoma"/>
          <w:color w:val="000000" w:themeColor="text1"/>
          <w:szCs w:val="21"/>
          <w:highlight w:val="none"/>
          <w14:textFill>
            <w14:solidFill>
              <w14:schemeClr w14:val="tx1"/>
            </w14:solidFill>
          </w14:textFill>
        </w:rPr>
        <w:t xml:space="preserve">最终验收合格后 </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个月，在质量保证期内货物发生</w:t>
      </w:r>
      <w:r>
        <w:rPr>
          <w:rFonts w:hint="eastAsia" w:ascii="Tahoma" w:hAnsi="Tahoma" w:cs="Tahoma"/>
          <w:color w:val="000000" w:themeColor="text1"/>
          <w:szCs w:val="21"/>
          <w:highlight w:val="none"/>
          <w14:textFill>
            <w14:solidFill>
              <w14:schemeClr w14:val="tx1"/>
            </w14:solidFill>
          </w14:textFill>
        </w:rPr>
        <w:t>问题</w:t>
      </w:r>
      <w:r>
        <w:rPr>
          <w:rFonts w:ascii="Tahoma" w:hAnsi="Tahoma" w:cs="Tahoma"/>
          <w:color w:val="000000" w:themeColor="text1"/>
          <w:szCs w:val="21"/>
          <w:highlight w:val="none"/>
          <w14:textFill>
            <w14:solidFill>
              <w14:schemeClr w14:val="tx1"/>
            </w14:solidFill>
          </w14:textFill>
        </w:rPr>
        <w:t>时，乙方在接到甲方通知后</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小时内应委派专业技术人员到现场免费提供咨询和更换零等服务，并及时填写</w:t>
      </w:r>
      <w:r>
        <w:rPr>
          <w:rFonts w:hint="eastAsia" w:ascii="Tahoma" w:hAnsi="Tahoma" w:cs="Tahoma"/>
          <w:color w:val="000000" w:themeColor="text1"/>
          <w:szCs w:val="21"/>
          <w:highlight w:val="none"/>
          <w14:textFill>
            <w14:solidFill>
              <w14:schemeClr w14:val="tx1"/>
            </w14:solidFill>
          </w14:textFill>
        </w:rPr>
        <w:t>更换</w:t>
      </w:r>
      <w:r>
        <w:rPr>
          <w:rFonts w:ascii="Tahoma" w:hAnsi="Tahoma" w:cs="Tahoma"/>
          <w:color w:val="000000" w:themeColor="text1"/>
          <w:szCs w:val="21"/>
          <w:highlight w:val="none"/>
          <w14:textFill>
            <w14:solidFill>
              <w14:schemeClr w14:val="tx1"/>
            </w14:solidFill>
          </w14:textFill>
        </w:rPr>
        <w:t>报告（包括原因、处理情况及甲方意见等）报甲方备案，若</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小时内无法</w:t>
      </w:r>
      <w:r>
        <w:rPr>
          <w:rFonts w:hint="eastAsia" w:ascii="Tahoma" w:hAnsi="Tahoma" w:cs="Tahoma"/>
          <w:color w:val="000000" w:themeColor="text1"/>
          <w:szCs w:val="21"/>
          <w:highlight w:val="none"/>
          <w14:textFill>
            <w14:solidFill>
              <w14:schemeClr w14:val="tx1"/>
            </w14:solidFill>
          </w14:textFill>
        </w:rPr>
        <w:t>解决问题</w:t>
      </w:r>
      <w:r>
        <w:rPr>
          <w:rFonts w:ascii="Tahoma" w:hAnsi="Tahoma" w:cs="Tahoma"/>
          <w:color w:val="000000" w:themeColor="text1"/>
          <w:szCs w:val="21"/>
          <w:highlight w:val="none"/>
          <w14:textFill>
            <w14:solidFill>
              <w14:schemeClr w14:val="tx1"/>
            </w14:solidFill>
          </w14:textFill>
        </w:rPr>
        <w:t>，则应先提供同档次备用</w:t>
      </w:r>
      <w:r>
        <w:rPr>
          <w:rFonts w:hint="eastAsia" w:ascii="Tahoma" w:hAnsi="Tahoma" w:cs="Tahoma"/>
          <w:color w:val="000000" w:themeColor="text1"/>
          <w:szCs w:val="21"/>
          <w:highlight w:val="none"/>
          <w14:textFill>
            <w14:solidFill>
              <w14:schemeClr w14:val="tx1"/>
            </w14:solidFill>
          </w14:textFill>
        </w:rPr>
        <w:t>品</w:t>
      </w:r>
      <w:r>
        <w:rPr>
          <w:rFonts w:ascii="Tahoma" w:hAnsi="Tahoma" w:cs="Tahoma"/>
          <w:color w:val="000000" w:themeColor="text1"/>
          <w:szCs w:val="21"/>
          <w:highlight w:val="none"/>
          <w14:textFill>
            <w14:solidFill>
              <w14:schemeClr w14:val="tx1"/>
            </w14:solidFill>
          </w14:textFill>
        </w:rPr>
        <w:t>供甲方使用。其中发生一切费用由乙方承担。质量保证期内乙方有责任对货物进行不定期的</w:t>
      </w:r>
      <w:r>
        <w:rPr>
          <w:rFonts w:hint="eastAsia" w:ascii="Tahoma" w:hAnsi="Tahoma" w:cs="Tahoma"/>
          <w:color w:val="000000" w:themeColor="text1"/>
          <w:szCs w:val="21"/>
          <w:highlight w:val="none"/>
          <w14:textFill>
            <w14:solidFill>
              <w14:schemeClr w14:val="tx1"/>
            </w14:solidFill>
          </w14:textFill>
        </w:rPr>
        <w:t>抽样检查</w:t>
      </w:r>
      <w:r>
        <w:rPr>
          <w:rFonts w:ascii="Tahoma" w:hAnsi="Tahoma" w:cs="Tahoma"/>
          <w:color w:val="000000" w:themeColor="text1"/>
          <w:szCs w:val="21"/>
          <w:highlight w:val="none"/>
          <w14:textFill>
            <w14:solidFill>
              <w14:schemeClr w14:val="tx1"/>
            </w14:solidFill>
          </w14:textFill>
        </w:rPr>
        <w:t>。投标供应商视自身能力在投标文件中提供更优、更合理的服务承诺。</w:t>
      </w:r>
    </w:p>
    <w:p>
      <w:pPr>
        <w:spacing w:line="320" w:lineRule="exact"/>
        <w:jc w:val="center"/>
        <w:rPr>
          <w:rFonts w:ascii="Tahoma" w:hAnsi="Tahoma" w:eastAsia="黑体" w:cs="Tahoma"/>
          <w:b/>
          <w:color w:val="000000" w:themeColor="text1"/>
          <w:sz w:val="24"/>
          <w:highlight w:val="none"/>
          <w14:textFill>
            <w14:solidFill>
              <w14:schemeClr w14:val="tx1"/>
            </w14:solidFill>
          </w14:textFill>
        </w:rPr>
      </w:pPr>
      <w:r>
        <w:rPr>
          <w:rFonts w:ascii="Tahoma" w:hAnsi="Tahoma" w:eastAsia="黑体" w:cs="Tahoma"/>
          <w:b/>
          <w:color w:val="000000" w:themeColor="text1"/>
          <w:sz w:val="24"/>
          <w:highlight w:val="none"/>
          <w14:textFill>
            <w14:solidFill>
              <w14:schemeClr w14:val="tx1"/>
            </w14:solidFill>
          </w14:textFill>
        </w:rPr>
        <w:t>9、知识产权</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9.1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spacing w:line="320" w:lineRule="exact"/>
        <w:jc w:val="center"/>
        <w:rPr>
          <w:rFonts w:ascii="Tahoma" w:hAnsi="Tahoma" w:eastAsia="黑体" w:cs="Tahoma"/>
          <w:b/>
          <w:color w:val="000000" w:themeColor="text1"/>
          <w:sz w:val="24"/>
          <w:highlight w:val="none"/>
          <w14:textFill>
            <w14:solidFill>
              <w14:schemeClr w14:val="tx1"/>
            </w14:solidFill>
          </w14:textFill>
        </w:rPr>
      </w:pPr>
      <w:r>
        <w:rPr>
          <w:rFonts w:ascii="Tahoma" w:hAnsi="Tahoma" w:eastAsia="黑体" w:cs="Tahoma"/>
          <w:b/>
          <w:color w:val="000000" w:themeColor="text1"/>
          <w:sz w:val="24"/>
          <w:highlight w:val="none"/>
          <w14:textFill>
            <w14:solidFill>
              <w14:schemeClr w14:val="tx1"/>
            </w14:solidFill>
          </w14:textFill>
        </w:rPr>
        <w:t>10、违约责任</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10.1未按期交货的违约责任（在合同中说明）。</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10.1.1如果乙方未能按合同规定的时间内足额交货和的（不可抗力除外），在乙方书面同意支付延期交货违约金的条件下，甲方有权选择同意延长交货期还是不予延长交货期，甲方同意延长交货期的，延期交货的时间由双方别行确定。延期交货违约金的支付甲方有权从未付的合同货款中扣除。延期交货违约金比率为每迟交</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天，按迟交货物金额的</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％。但是，延期交货违约金的支付总额不得超过迟交货物部分合同金额的</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10.1.2如果乙方未能按合同规定的时间或双方另行确定的延期交货期内足额交货的（不可抗力除外），每逾期</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天，乙方应按迟交货物金额的</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％向甲方支付逾期交货的违约金。逾期交货违约金的支付甲方有权从未付的合同货款中予以扣除。若乙方逾期交货达</w:t>
      </w:r>
      <w:r>
        <w:rPr>
          <w:rFonts w:ascii="Tahoma" w:hAnsi="Tahoma" w:cs="Tahoma"/>
          <w:color w:val="000000" w:themeColor="text1"/>
          <w:szCs w:val="21"/>
          <w:highlight w:val="none"/>
          <w:u w:val="single"/>
          <w14:textFill>
            <w14:solidFill>
              <w14:schemeClr w14:val="tx1"/>
            </w14:solidFill>
          </w14:textFill>
        </w:rPr>
        <w:t>30</w:t>
      </w:r>
      <w:r>
        <w:rPr>
          <w:rFonts w:ascii="Tahoma" w:hAnsi="Tahoma" w:cs="Tahoma"/>
          <w:color w:val="000000" w:themeColor="text1"/>
          <w:szCs w:val="21"/>
          <w:highlight w:val="none"/>
          <w14:textFill>
            <w14:solidFill>
              <w14:schemeClr w14:val="tx1"/>
            </w14:solidFill>
          </w14:textFill>
        </w:rPr>
        <w:t>天（含30天）以上的，甲方有权单方解除本合同，乙方仍应按上述约定支付延期交货违约金。若因此给甲方造成损失的，还应赔偿甲方所受的损失。</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10.2若乙方不能交货的（逾期</w:t>
      </w:r>
      <w:r>
        <w:rPr>
          <w:rFonts w:ascii="Tahoma" w:hAnsi="Tahoma" w:cs="Tahoma"/>
          <w:color w:val="000000" w:themeColor="text1"/>
          <w:szCs w:val="21"/>
          <w:highlight w:val="none"/>
          <w:u w:val="single"/>
          <w14:textFill>
            <w14:solidFill>
              <w14:schemeClr w14:val="tx1"/>
            </w14:solidFill>
          </w14:textFill>
        </w:rPr>
        <w:t>15</w:t>
      </w:r>
      <w:r>
        <w:rPr>
          <w:rFonts w:ascii="Tahoma" w:hAnsi="Tahoma" w:cs="Tahoma"/>
          <w:color w:val="000000" w:themeColor="text1"/>
          <w:szCs w:val="21"/>
          <w:highlight w:val="none"/>
          <w14:textFill>
            <w14:solidFill>
              <w14:schemeClr w14:val="tx1"/>
            </w14:solidFill>
          </w14:textFill>
        </w:rPr>
        <w:t>个工作日视为不能交货，因不可抗拒的因素除外）或交货不合格从而影响甲方正常使用的，乙方应向甲方偿付不能交货部分货款的</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％的违约金。违约金不足以补偿损失的，甲方有权要求乙方赔偿损失。</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10.3如果乙方未能按照合同约定的时间内提供服务的，每逾期</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天的，乙方应向甲方支付</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元违约金，若因此给甲方造成损失的，乙方还应赔偿甲方所受的损失。</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10.4甲方逾期付款的（有正当拒付理由的除外）应按照逾期金额的每日</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％支付逾期付款违约金。</w:t>
      </w:r>
    </w:p>
    <w:p>
      <w:pPr>
        <w:spacing w:line="320" w:lineRule="exact"/>
        <w:rPr>
          <w:rFonts w:hint="eastAsia" w:ascii="Tahoma" w:hAnsi="Tahoma" w:cs="Tahoma"/>
          <w:color w:val="000000" w:themeColor="text1"/>
          <w:szCs w:val="21"/>
          <w:highlight w:val="none"/>
          <w14:textFill>
            <w14:solidFill>
              <w14:schemeClr w14:val="tx1"/>
            </w14:solidFill>
          </w14:textFill>
        </w:rPr>
      </w:pPr>
      <w:r>
        <w:rPr>
          <w:rFonts w:hint="eastAsia" w:ascii="Tahoma" w:hAnsi="Tahoma" w:cs="Tahoma"/>
          <w:color w:val="000000" w:themeColor="text1"/>
          <w:szCs w:val="21"/>
          <w:highlight w:val="none"/>
          <w:lang w:val="en-US" w:eastAsia="zh-CN"/>
          <w14:textFill>
            <w14:solidFill>
              <w14:schemeClr w14:val="tx1"/>
            </w14:solidFill>
          </w14:textFill>
        </w:rPr>
        <w:t>10.5</w:t>
      </w:r>
      <w:r>
        <w:rPr>
          <w:rFonts w:hint="eastAsia" w:ascii="Tahoma" w:hAnsi="Tahoma" w:cs="Tahoma"/>
          <w:color w:val="000000" w:themeColor="text1"/>
          <w:szCs w:val="21"/>
          <w:highlight w:val="none"/>
          <w14:textFill>
            <w14:solidFill>
              <w14:schemeClr w14:val="tx1"/>
            </w14:solidFill>
          </w14:textFill>
        </w:rPr>
        <w:t>乙方应保证所提供的货物系其具有完全处分权的合法财产，乙方对该物资享有的权利无任何负担或瑕疵。乙方应采取相应的管理、物理和技术措施保护系统中甲方数据的安全性、私密性和完整性；如因乙方软件存在瑕疵或乙方管理不善等其他原因造成甲方数据遗失或泄露，给甲方造成损失的，乙方承担相应的责任。</w:t>
      </w:r>
    </w:p>
    <w:p>
      <w:pPr>
        <w:spacing w:line="320" w:lineRule="exact"/>
        <w:rPr>
          <w:rFonts w:hint="eastAsia" w:ascii="Tahoma" w:hAnsi="Tahoma" w:cs="Tahoma"/>
          <w:color w:val="000000" w:themeColor="text1"/>
          <w:szCs w:val="21"/>
          <w:highlight w:val="none"/>
          <w14:textFill>
            <w14:solidFill>
              <w14:schemeClr w14:val="tx1"/>
            </w14:solidFill>
          </w14:textFill>
        </w:rPr>
      </w:pPr>
      <w:r>
        <w:rPr>
          <w:rFonts w:hint="eastAsia" w:ascii="Tahoma" w:hAnsi="Tahoma" w:cs="Tahoma"/>
          <w:color w:val="000000" w:themeColor="text1"/>
          <w:szCs w:val="21"/>
          <w:highlight w:val="none"/>
          <w:lang w:val="en-US" w:eastAsia="zh-CN"/>
          <w14:textFill>
            <w14:solidFill>
              <w14:schemeClr w14:val="tx1"/>
            </w14:solidFill>
          </w14:textFill>
        </w:rPr>
        <w:t>10.6</w:t>
      </w:r>
      <w:r>
        <w:rPr>
          <w:rFonts w:hint="eastAsia" w:ascii="Tahoma" w:hAnsi="Tahoma" w:cs="Tahoma"/>
          <w:color w:val="000000" w:themeColor="text1"/>
          <w:szCs w:val="21"/>
          <w:highlight w:val="none"/>
          <w14:textFill>
            <w14:solidFill>
              <w14:schemeClr w14:val="tx1"/>
            </w14:solidFill>
          </w14:textFill>
        </w:rPr>
        <w:t>乙方保证在本协议生效之日,乙方提供的许可软件和服务等不侵犯任何第三方的专利权、著作权、商标专用权、商业秘密及其他权属权利。否则给甲方造成的损失，乙方承担赔偿责任。本合同乙方提供的软件产品服务，若发生侵犯第三方知识产权或其他权益的行为，甲方对此不负任何法律和经济责任，乙方应负责与第三方进行交涉，并承担由此而产生的责任后果。</w:t>
      </w:r>
    </w:p>
    <w:p>
      <w:pPr>
        <w:spacing w:line="320" w:lineRule="exact"/>
        <w:rPr>
          <w:rFonts w:ascii="Tahoma" w:hAnsi="Tahoma" w:cs="Tahoma"/>
          <w:color w:val="000000" w:themeColor="text1"/>
          <w:szCs w:val="21"/>
          <w:highlight w:val="none"/>
          <w14:textFill>
            <w14:solidFill>
              <w14:schemeClr w14:val="tx1"/>
            </w14:solidFill>
          </w14:textFill>
        </w:rPr>
      </w:pPr>
      <w:r>
        <w:rPr>
          <w:rFonts w:hint="eastAsia" w:ascii="Tahoma" w:hAnsi="Tahoma" w:cs="Tahoma"/>
          <w:color w:val="000000" w:themeColor="text1"/>
          <w:szCs w:val="21"/>
          <w:highlight w:val="none"/>
          <w:lang w:val="en-US" w:eastAsia="zh-CN"/>
          <w14:textFill>
            <w14:solidFill>
              <w14:schemeClr w14:val="tx1"/>
            </w14:solidFill>
          </w14:textFill>
        </w:rPr>
        <w:t>10.7</w:t>
      </w:r>
      <w:r>
        <w:rPr>
          <w:rFonts w:hint="eastAsia" w:ascii="Tahoma" w:hAnsi="Tahoma" w:cs="Tahoma"/>
          <w:color w:val="000000" w:themeColor="text1"/>
          <w:szCs w:val="21"/>
          <w:highlight w:val="none"/>
          <w14:textFill>
            <w14:solidFill>
              <w14:schemeClr w14:val="tx1"/>
            </w14:solidFill>
          </w14:textFill>
        </w:rPr>
        <w:t>乙方所提供软件产品、服务等不符合合同约定的，由乙方负责继续整改或继续完善，并承担因此而支付的实际费用。乙方不能整改或完善的，按合同总额的20%承担违约金，该违约金不足以弥补甲方实际损失的，以甲方实际损失为准。</w:t>
      </w:r>
    </w:p>
    <w:p>
      <w:pPr>
        <w:spacing w:line="320" w:lineRule="exact"/>
        <w:jc w:val="center"/>
        <w:rPr>
          <w:rFonts w:ascii="Tahoma" w:hAnsi="Tahoma" w:eastAsia="黑体" w:cs="Tahoma"/>
          <w:b/>
          <w:color w:val="000000" w:themeColor="text1"/>
          <w:sz w:val="24"/>
          <w:highlight w:val="none"/>
          <w14:textFill>
            <w14:solidFill>
              <w14:schemeClr w14:val="tx1"/>
            </w14:solidFill>
          </w14:textFill>
        </w:rPr>
      </w:pPr>
      <w:r>
        <w:rPr>
          <w:rFonts w:ascii="Tahoma" w:hAnsi="Tahoma" w:eastAsia="黑体" w:cs="Tahoma"/>
          <w:b/>
          <w:color w:val="000000" w:themeColor="text1"/>
          <w:sz w:val="24"/>
          <w:highlight w:val="none"/>
          <w14:textFill>
            <w14:solidFill>
              <w14:schemeClr w14:val="tx1"/>
            </w14:solidFill>
          </w14:textFill>
        </w:rPr>
        <w:t>11、违约终止合同</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11.1在补救违约而采取的任何其他措施未能实现的情况下，即在甲方发出的违约通知后</w:t>
      </w:r>
      <w:r>
        <w:rPr>
          <w:rFonts w:ascii="Tahoma" w:hAnsi="Tahoma" w:cs="Tahoma"/>
          <w:color w:val="000000" w:themeColor="text1"/>
          <w:szCs w:val="21"/>
          <w:highlight w:val="none"/>
          <w:u w:val="single"/>
          <w14:textFill>
            <w14:solidFill>
              <w14:schemeClr w14:val="tx1"/>
            </w14:solidFill>
          </w14:textFill>
        </w:rPr>
        <w:t>30</w:t>
      </w:r>
      <w:r>
        <w:rPr>
          <w:rFonts w:ascii="Tahoma" w:hAnsi="Tahoma" w:cs="Tahoma"/>
          <w:color w:val="000000" w:themeColor="text1"/>
          <w:szCs w:val="21"/>
          <w:highlight w:val="none"/>
          <w14:textFill>
            <w14:solidFill>
              <w14:schemeClr w14:val="tx1"/>
            </w14:solidFill>
          </w14:textFill>
        </w:rPr>
        <w:t xml:space="preserve">天内（或经甲方书面确认的更长时间内）仍未纠正其下述任何一种违约行为，甲方有权向乙方发出书面违约通知，甲方终止本合同：  </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11.1.1如果乙方未能在合同规定的期限内或双方另行确定的延期交货时间内交付合同约定的货物。</w:t>
      </w:r>
    </w:p>
    <w:p>
      <w:pPr>
        <w:spacing w:line="320" w:lineRule="exact"/>
        <w:rPr>
          <w:color w:val="000000" w:themeColor="text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11.1.2乙方未能履行合同项下的任何其它义务。</w:t>
      </w:r>
    </w:p>
    <w:p>
      <w:pPr>
        <w:spacing w:line="320" w:lineRule="exact"/>
        <w:jc w:val="center"/>
        <w:rPr>
          <w:rFonts w:ascii="Tahoma" w:hAnsi="Tahoma" w:eastAsia="黑体" w:cs="Tahoma"/>
          <w:b/>
          <w:color w:val="000000" w:themeColor="text1"/>
          <w:sz w:val="24"/>
          <w:highlight w:val="none"/>
          <w14:textFill>
            <w14:solidFill>
              <w14:schemeClr w14:val="tx1"/>
            </w14:solidFill>
          </w14:textFill>
        </w:rPr>
      </w:pPr>
      <w:r>
        <w:rPr>
          <w:rFonts w:ascii="Tahoma" w:hAnsi="Tahoma" w:eastAsia="黑体" w:cs="Tahoma"/>
          <w:b/>
          <w:color w:val="000000" w:themeColor="text1"/>
          <w:sz w:val="24"/>
          <w:highlight w:val="none"/>
          <w14:textFill>
            <w14:solidFill>
              <w14:schemeClr w14:val="tx1"/>
            </w14:solidFill>
          </w14:textFill>
        </w:rPr>
        <w:t>12、不可抗力</w:t>
      </w:r>
    </w:p>
    <w:p>
      <w:pPr>
        <w:spacing w:line="320" w:lineRule="exact"/>
        <w:ind w:firstLine="420" w:firstLineChars="2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因不可抗力造成违约的，遭受不可抗力一方应及时向对方通报不能履行或不能完全履行的理由，并在随后取得有关主管机关证明后的</w:t>
      </w:r>
      <w:r>
        <w:rPr>
          <w:rFonts w:ascii="Tahoma" w:hAnsi="Tahoma" w:cs="Tahoma"/>
          <w:color w:val="000000" w:themeColor="text1"/>
          <w:szCs w:val="21"/>
          <w:highlight w:val="none"/>
          <w:u w:val="single"/>
          <w14:textFill>
            <w14:solidFill>
              <w14:schemeClr w14:val="tx1"/>
            </w14:solidFill>
          </w14:textFill>
        </w:rPr>
        <w:t>15</w:t>
      </w:r>
      <w:r>
        <w:rPr>
          <w:rFonts w:ascii="Tahoma" w:hAnsi="Tahoma" w:cs="Tahoma"/>
          <w:color w:val="000000" w:themeColor="text1"/>
          <w:szCs w:val="21"/>
          <w:highlight w:val="none"/>
          <w14:textFill>
            <w14:solidFill>
              <w14:schemeClr w14:val="tx1"/>
            </w14:solidFill>
          </w14:textFill>
        </w:rPr>
        <w:t>日内向另一方提供不可抗力发生以及持续期间的充分证据。基本于以上行为，允许遭受不可抗力一方延期履行、部分履行或者不履行合同，并根据情况可部分或全部免于承担违约责任。</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本合同中的不可抗力指人为不能预见、不能避免并不能克服的客观情况。包括（但不限于）：自然灾害如地震、台风、洪水、火灾；政府行为、法律规定或其适用的变化或者其他任何无法预见、避免或者控制的事件。</w:t>
      </w:r>
    </w:p>
    <w:p>
      <w:pPr>
        <w:spacing w:line="320" w:lineRule="exact"/>
        <w:jc w:val="center"/>
        <w:rPr>
          <w:rFonts w:ascii="Tahoma" w:hAnsi="Tahoma" w:eastAsia="黑体" w:cs="Tahoma"/>
          <w:b/>
          <w:color w:val="000000" w:themeColor="text1"/>
          <w:sz w:val="24"/>
          <w:highlight w:val="none"/>
          <w14:textFill>
            <w14:solidFill>
              <w14:schemeClr w14:val="tx1"/>
            </w14:solidFill>
          </w14:textFill>
        </w:rPr>
      </w:pPr>
      <w:r>
        <w:rPr>
          <w:rFonts w:ascii="Tahoma" w:hAnsi="Tahoma" w:eastAsia="黑体" w:cs="Tahoma"/>
          <w:b/>
          <w:color w:val="000000" w:themeColor="text1"/>
          <w:sz w:val="24"/>
          <w:highlight w:val="none"/>
          <w14:textFill>
            <w14:solidFill>
              <w14:schemeClr w14:val="tx1"/>
            </w14:solidFill>
          </w14:textFill>
        </w:rPr>
        <w:t>13、争议的解决</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13.1因本合同或与本合同有关的一切事项发生争议，由双方友好协商解决。协商不成的，任何一方均可选择以下任一方式解决：</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（1）向 </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 xml:space="preserve">仲裁委员会申请仲裁；  </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（2）向有</w:t>
      </w:r>
      <w:r>
        <w:rPr>
          <w:rFonts w:hint="eastAsia" w:ascii="Tahoma" w:hAnsi="Tahoma" w:cs="Tahoma"/>
          <w:color w:val="000000" w:themeColor="text1"/>
          <w:szCs w:val="21"/>
          <w:highlight w:val="none"/>
          <w:lang w:val="en-US" w:eastAsia="zh-CN"/>
          <w14:textFill>
            <w14:solidFill>
              <w14:schemeClr w14:val="tx1"/>
            </w14:solidFill>
          </w14:textFill>
        </w:rPr>
        <w:t>甲方</w:t>
      </w:r>
      <w:r>
        <w:rPr>
          <w:rFonts w:ascii="Tahoma" w:hAnsi="Tahoma" w:cs="Tahoma"/>
          <w:color w:val="000000" w:themeColor="text1"/>
          <w:szCs w:val="21"/>
          <w:highlight w:val="none"/>
          <w14:textFill>
            <w14:solidFill>
              <w14:schemeClr w14:val="tx1"/>
            </w14:solidFill>
          </w14:textFill>
        </w:rPr>
        <w:t>管辖权的人民法院提起诉讼。</w:t>
      </w:r>
    </w:p>
    <w:p>
      <w:pPr>
        <w:spacing w:line="320" w:lineRule="exact"/>
        <w:ind w:firstLine="120" w:firstLineChars="50"/>
        <w:jc w:val="center"/>
        <w:rPr>
          <w:rFonts w:ascii="Tahoma" w:hAnsi="Tahoma" w:eastAsia="黑体" w:cs="Tahoma"/>
          <w:b/>
          <w:color w:val="000000" w:themeColor="text1"/>
          <w:sz w:val="24"/>
          <w:highlight w:val="none"/>
          <w14:textFill>
            <w14:solidFill>
              <w14:schemeClr w14:val="tx1"/>
            </w14:solidFill>
          </w14:textFill>
        </w:rPr>
      </w:pPr>
    </w:p>
    <w:p>
      <w:pPr>
        <w:spacing w:line="320" w:lineRule="exact"/>
        <w:ind w:firstLine="120" w:firstLineChars="50"/>
        <w:jc w:val="center"/>
        <w:rPr>
          <w:rFonts w:ascii="Tahoma" w:hAnsi="Tahoma" w:eastAsia="黑体" w:cs="Tahoma"/>
          <w:b/>
          <w:color w:val="000000" w:themeColor="text1"/>
          <w:sz w:val="24"/>
          <w:highlight w:val="none"/>
          <w14:textFill>
            <w14:solidFill>
              <w14:schemeClr w14:val="tx1"/>
            </w14:solidFill>
          </w14:textFill>
        </w:rPr>
      </w:pPr>
      <w:r>
        <w:rPr>
          <w:rFonts w:ascii="Tahoma" w:hAnsi="Tahoma" w:eastAsia="黑体" w:cs="Tahoma"/>
          <w:b/>
          <w:color w:val="000000" w:themeColor="text1"/>
          <w:sz w:val="24"/>
          <w:highlight w:val="none"/>
          <w14:textFill>
            <w14:solidFill>
              <w14:schemeClr w14:val="tx1"/>
            </w14:solidFill>
          </w14:textFill>
        </w:rPr>
        <w:t>14、其他约定</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14.1本采购项目的招标文件、成交供应商的投标文件以及相关的澄清确认函（如果有的话）均为本合同不可分割的一部分，与本合同具有同等法律效力。</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14.2本合同未尽事宜，双方另行补充。</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14.3本合同一式</w:t>
      </w:r>
      <w:r>
        <w:rPr>
          <w:rFonts w:ascii="Tahoma" w:hAnsi="Tahoma" w:cs="Tahoma"/>
          <w:color w:val="000000" w:themeColor="text1"/>
          <w:szCs w:val="21"/>
          <w:highlight w:val="none"/>
          <w:u w:val="single"/>
          <w14:textFill>
            <w14:solidFill>
              <w14:schemeClr w14:val="tx1"/>
            </w14:solidFill>
          </w14:textFill>
        </w:rPr>
        <w:t xml:space="preserve"> 肆 </w:t>
      </w:r>
      <w:r>
        <w:rPr>
          <w:rFonts w:ascii="Tahoma" w:hAnsi="Tahoma" w:cs="Tahoma"/>
          <w:color w:val="000000" w:themeColor="text1"/>
          <w:szCs w:val="21"/>
          <w:highlight w:val="none"/>
          <w14:textFill>
            <w14:solidFill>
              <w14:schemeClr w14:val="tx1"/>
            </w14:solidFill>
          </w14:textFill>
        </w:rPr>
        <w:t>份，经双方授权代表签字并盖章后生效。甲方、乙方各执贰份，具有同等效力。</w:t>
      </w:r>
    </w:p>
    <w:p>
      <w:pPr>
        <w:spacing w:line="400" w:lineRule="exact"/>
        <w:rPr>
          <w:rFonts w:ascii="Tahoma" w:hAnsi="Tahoma" w:cs="Tahoma"/>
          <w:color w:val="000000" w:themeColor="text1"/>
          <w:szCs w:val="21"/>
          <w:highlight w:val="none"/>
          <w14:textFill>
            <w14:solidFill>
              <w14:schemeClr w14:val="tx1"/>
            </w14:solidFill>
          </w14:textFill>
        </w:rPr>
      </w:pPr>
    </w:p>
    <w:p>
      <w:pPr>
        <w:spacing w:line="40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甲    方：</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 xml:space="preserve">  </w:t>
      </w:r>
      <w:r>
        <w:rPr>
          <w:rFonts w:hint="eastAsia" w:ascii="Tahoma" w:hAnsi="Tahoma" w:cs="Tahoma"/>
          <w:color w:val="000000" w:themeColor="text1"/>
          <w:szCs w:val="21"/>
          <w:highlight w:val="non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 xml:space="preserve"> 乙    方：</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 xml:space="preserve">                              </w:t>
      </w:r>
    </w:p>
    <w:p>
      <w:pPr>
        <w:spacing w:line="40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单位地址：</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 xml:space="preserve">  </w:t>
      </w:r>
      <w:r>
        <w:rPr>
          <w:rFonts w:hint="eastAsia" w:ascii="Tahoma" w:hAnsi="Tahoma" w:cs="Tahoma"/>
          <w:color w:val="000000" w:themeColor="text1"/>
          <w:szCs w:val="21"/>
          <w:highlight w:val="non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 xml:space="preserve"> 单位地址：</w:t>
      </w:r>
      <w:r>
        <w:rPr>
          <w:rFonts w:ascii="Tahoma" w:hAnsi="Tahoma" w:cs="Tahoma"/>
          <w:color w:val="000000" w:themeColor="text1"/>
          <w:szCs w:val="21"/>
          <w:highlight w:val="none"/>
          <w:u w:val="single"/>
          <w14:textFill>
            <w14:solidFill>
              <w14:schemeClr w14:val="tx1"/>
            </w14:solidFill>
          </w14:textFill>
        </w:rPr>
        <w:t xml:space="preserve">                         </w:t>
      </w:r>
    </w:p>
    <w:p>
      <w:pPr>
        <w:spacing w:line="40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法定代表人：</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 xml:space="preserve">   </w:t>
      </w:r>
      <w:r>
        <w:rPr>
          <w:rFonts w:hint="eastAsia" w:ascii="Tahoma" w:hAnsi="Tahoma" w:cs="Tahoma"/>
          <w:color w:val="000000" w:themeColor="text1"/>
          <w:szCs w:val="21"/>
          <w:highlight w:val="non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法定代表人：</w:t>
      </w:r>
      <w:r>
        <w:rPr>
          <w:rFonts w:ascii="Tahoma" w:hAnsi="Tahoma" w:cs="Tahoma"/>
          <w:color w:val="000000" w:themeColor="text1"/>
          <w:szCs w:val="21"/>
          <w:highlight w:val="none"/>
          <w:u w:val="single"/>
          <w14:textFill>
            <w14:solidFill>
              <w14:schemeClr w14:val="tx1"/>
            </w14:solidFill>
          </w14:textFill>
        </w:rPr>
        <w:t xml:space="preserve">                       </w:t>
      </w:r>
    </w:p>
    <w:p>
      <w:pPr>
        <w:spacing w:line="40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委托代理人：</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 xml:space="preserve">   </w:t>
      </w:r>
      <w:r>
        <w:rPr>
          <w:rFonts w:hint="eastAsia" w:ascii="Tahoma" w:hAnsi="Tahoma" w:cs="Tahoma"/>
          <w:color w:val="000000" w:themeColor="text1"/>
          <w:szCs w:val="21"/>
          <w:highlight w:val="non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委托代理人：</w:t>
      </w:r>
      <w:r>
        <w:rPr>
          <w:rFonts w:ascii="Tahoma" w:hAnsi="Tahoma" w:cs="Tahoma"/>
          <w:color w:val="000000" w:themeColor="text1"/>
          <w:szCs w:val="21"/>
          <w:highlight w:val="none"/>
          <w:u w:val="single"/>
          <w14:textFill>
            <w14:solidFill>
              <w14:schemeClr w14:val="tx1"/>
            </w14:solidFill>
          </w14:textFill>
        </w:rPr>
        <w:t xml:space="preserve">                       </w:t>
      </w:r>
    </w:p>
    <w:p>
      <w:pPr>
        <w:spacing w:line="40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电    话：</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 xml:space="preserve">   </w:t>
      </w:r>
      <w:r>
        <w:rPr>
          <w:rFonts w:hint="eastAsia" w:ascii="Tahoma" w:hAnsi="Tahoma" w:cs="Tahoma"/>
          <w:color w:val="000000" w:themeColor="text1"/>
          <w:szCs w:val="21"/>
          <w:highlight w:val="non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电    话：</w:t>
      </w:r>
      <w:r>
        <w:rPr>
          <w:rFonts w:ascii="Tahoma" w:hAnsi="Tahoma" w:cs="Tahoma"/>
          <w:color w:val="000000" w:themeColor="text1"/>
          <w:szCs w:val="21"/>
          <w:highlight w:val="none"/>
          <w:u w:val="single"/>
          <w14:textFill>
            <w14:solidFill>
              <w14:schemeClr w14:val="tx1"/>
            </w14:solidFill>
          </w14:textFill>
        </w:rPr>
        <w:t xml:space="preserve">                         </w:t>
      </w:r>
    </w:p>
    <w:p>
      <w:pPr>
        <w:spacing w:line="40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开户银行：</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 xml:space="preserve">   </w:t>
      </w:r>
      <w:r>
        <w:rPr>
          <w:rFonts w:hint="eastAsia" w:ascii="Tahoma" w:hAnsi="Tahoma" w:cs="Tahoma"/>
          <w:color w:val="000000" w:themeColor="text1"/>
          <w:szCs w:val="21"/>
          <w:highlight w:val="non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开户银行：</w:t>
      </w:r>
      <w:r>
        <w:rPr>
          <w:rFonts w:ascii="Tahoma" w:hAnsi="Tahoma" w:cs="Tahoma"/>
          <w:color w:val="000000" w:themeColor="text1"/>
          <w:szCs w:val="21"/>
          <w:highlight w:val="none"/>
          <w:u w:val="single"/>
          <w14:textFill>
            <w14:solidFill>
              <w14:schemeClr w14:val="tx1"/>
            </w14:solidFill>
          </w14:textFill>
        </w:rPr>
        <w:t xml:space="preserve">                         </w:t>
      </w:r>
    </w:p>
    <w:p>
      <w:pPr>
        <w:spacing w:line="40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帐    号：</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 xml:space="preserve">   </w:t>
      </w:r>
      <w:r>
        <w:rPr>
          <w:rFonts w:hint="eastAsia" w:ascii="Tahoma" w:hAnsi="Tahoma" w:cs="Tahoma"/>
          <w:color w:val="000000" w:themeColor="text1"/>
          <w:szCs w:val="21"/>
          <w:highlight w:val="non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帐    号：</w:t>
      </w:r>
      <w:r>
        <w:rPr>
          <w:rFonts w:ascii="Tahoma" w:hAnsi="Tahoma" w:cs="Tahoma"/>
          <w:color w:val="000000" w:themeColor="text1"/>
          <w:szCs w:val="21"/>
          <w:highlight w:val="none"/>
          <w:u w:val="single"/>
          <w14:textFill>
            <w14:solidFill>
              <w14:schemeClr w14:val="tx1"/>
            </w14:solidFill>
          </w14:textFill>
        </w:rPr>
        <w:t xml:space="preserve">                         </w:t>
      </w:r>
    </w:p>
    <w:p>
      <w:pPr>
        <w:spacing w:line="400" w:lineRule="exact"/>
        <w:ind w:left="-284"/>
        <w:rPr>
          <w:rFonts w:ascii="Tahoma" w:hAnsi="Tahoma" w:cs="Tahoma"/>
          <w:color w:val="000000" w:themeColor="text1"/>
          <w:szCs w:val="21"/>
          <w:highlight w:val="none"/>
          <w14:textFill>
            <w14:solidFill>
              <w14:schemeClr w14:val="tx1"/>
            </w14:solidFill>
          </w14:textFill>
        </w:rPr>
      </w:pPr>
    </w:p>
    <w:p>
      <w:pPr>
        <w:spacing w:line="400" w:lineRule="exact"/>
        <w:rPr>
          <w:rFonts w:ascii="Tahoma" w:hAnsi="Tahoma" w:cs="Tahoma"/>
          <w:color w:val="000000" w:themeColor="text1"/>
          <w:szCs w:val="21"/>
          <w:highlight w:val="none"/>
          <w14:textFill>
            <w14:solidFill>
              <w14:schemeClr w14:val="tx1"/>
            </w14:solidFill>
          </w14:textFill>
        </w:rPr>
      </w:pPr>
    </w:p>
    <w:p>
      <w:pPr>
        <w:spacing w:line="400" w:lineRule="exact"/>
        <w:ind w:right="-99" w:rightChars="-47"/>
        <w:rPr>
          <w:rFonts w:ascii="Tahoma" w:hAnsi="Tahoma" w:cs="Tahoma"/>
          <w:color w:val="000000" w:themeColor="text1"/>
          <w:sz w:val="24"/>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签订地点：</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 xml:space="preserve">   </w:t>
      </w:r>
      <w:r>
        <w:rPr>
          <w:rFonts w:hint="eastAsia" w:ascii="Tahoma" w:hAnsi="Tahoma" w:cs="Tahoma"/>
          <w:color w:val="000000" w:themeColor="text1"/>
          <w:szCs w:val="21"/>
          <w:highlight w:val="non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签订日期：</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年</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月</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日</w:t>
      </w:r>
    </w:p>
    <w:p>
      <w:pPr>
        <w:spacing w:line="440" w:lineRule="exact"/>
        <w:rPr>
          <w:rFonts w:ascii="Tahoma" w:hAnsi="Tahoma" w:eastAsia="黑体" w:cs="Tahoma"/>
          <w:color w:val="000000" w:themeColor="text1"/>
          <w:sz w:val="24"/>
          <w:highlight w:val="none"/>
          <w14:textFill>
            <w14:solidFill>
              <w14:schemeClr w14:val="tx1"/>
            </w14:solidFill>
          </w14:textFill>
        </w:rPr>
      </w:pPr>
      <w:r>
        <w:rPr>
          <w:rFonts w:ascii="Tahoma" w:hAnsi="Tahoma" w:cs="Tahoma"/>
          <w:color w:val="000000" w:themeColor="text1"/>
          <w:sz w:val="24"/>
          <w:highlight w:val="none"/>
          <w14:textFill>
            <w14:solidFill>
              <w14:schemeClr w14:val="tx1"/>
            </w14:solidFill>
          </w14:textFill>
        </w:rPr>
        <w:t xml:space="preserve"> </w:t>
      </w:r>
    </w:p>
    <w:p>
      <w:pPr>
        <w:spacing w:line="440" w:lineRule="exact"/>
        <w:rPr>
          <w:rFonts w:ascii="Tahoma" w:hAnsi="Tahoma" w:cs="Tahoma"/>
          <w:color w:val="000000" w:themeColor="text1"/>
          <w:sz w:val="24"/>
          <w:highlight w:val="none"/>
          <w14:textFill>
            <w14:solidFill>
              <w14:schemeClr w14:val="tx1"/>
            </w14:solidFill>
          </w14:textFill>
        </w:rPr>
        <w:sectPr>
          <w:headerReference r:id="rId9" w:type="default"/>
          <w:pgSz w:w="12240" w:h="15840"/>
          <w:pgMar w:top="1440" w:right="1440" w:bottom="1440" w:left="1440" w:header="720" w:footer="720" w:gutter="0"/>
          <w:pgBorders>
            <w:top w:val="none" w:sz="0" w:space="0"/>
            <w:left w:val="none" w:sz="0" w:space="0"/>
            <w:bottom w:val="none" w:sz="0" w:space="0"/>
            <w:right w:val="none" w:sz="0" w:space="0"/>
          </w:pgBorders>
          <w:pgNumType w:fmt="decimal"/>
          <w:cols w:space="720" w:num="1"/>
          <w:docGrid w:linePitch="323" w:charSpace="0"/>
        </w:sectPr>
      </w:pPr>
    </w:p>
    <w:p>
      <w:pPr>
        <w:tabs>
          <w:tab w:val="left" w:pos="850"/>
          <w:tab w:val="center" w:pos="4525"/>
          <w:tab w:val="left" w:pos="6345"/>
        </w:tabs>
        <w:autoSpaceDE w:val="0"/>
        <w:autoSpaceDN w:val="0"/>
        <w:spacing w:line="400" w:lineRule="exact"/>
        <w:jc w:val="center"/>
        <w:textAlignment w:val="bottom"/>
        <w:rPr>
          <w:rFonts w:ascii="Tahoma" w:hAnsi="Tahoma" w:eastAsia="黑体" w:cs="Tahoma"/>
          <w:b/>
          <w:color w:val="000000" w:themeColor="text1"/>
          <w:sz w:val="28"/>
          <w:szCs w:val="28"/>
          <w:highlight w:val="none"/>
          <w14:textFill>
            <w14:solidFill>
              <w14:schemeClr w14:val="tx1"/>
            </w14:solidFill>
          </w14:textFill>
        </w:rPr>
      </w:pPr>
      <w:r>
        <w:rPr>
          <w:rFonts w:ascii="Tahoma" w:hAnsi="Tahoma" w:eastAsia="黑体" w:cs="Tahoma"/>
          <w:b/>
          <w:color w:val="000000" w:themeColor="text1"/>
          <w:sz w:val="28"/>
          <w:szCs w:val="28"/>
          <w:highlight w:val="none"/>
          <w14:textFill>
            <w14:solidFill>
              <w14:schemeClr w14:val="tx1"/>
            </w14:solidFill>
          </w14:textFill>
        </w:rPr>
        <w:t>二、通用合同条款</w:t>
      </w:r>
    </w:p>
    <w:p>
      <w:pPr>
        <w:spacing w:line="320" w:lineRule="exact"/>
        <w:ind w:firstLine="315" w:firstLineChars="150"/>
        <w:rPr>
          <w:rFonts w:ascii="Tahoma" w:hAnsi="Tahoma" w:cs="Tahoma"/>
          <w:b/>
          <w:color w:val="000000" w:themeColor="text1"/>
          <w:spacing w:val="20"/>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（本合同条款仅作为双方签订合同的参考，为阐明各方的权利和义务，经协商可增加或修改条款，但不得与招标文件、投标文件的实质性内容相背离。）</w:t>
      </w:r>
    </w:p>
    <w:p>
      <w:pPr>
        <w:tabs>
          <w:tab w:val="left" w:pos="850"/>
          <w:tab w:val="center" w:pos="4525"/>
          <w:tab w:val="left" w:pos="6345"/>
        </w:tabs>
        <w:autoSpaceDE w:val="0"/>
        <w:autoSpaceDN w:val="0"/>
        <w:spacing w:line="400" w:lineRule="exact"/>
        <w:jc w:val="center"/>
        <w:textAlignment w:val="bottom"/>
        <w:rPr>
          <w:rFonts w:ascii="Tahoma" w:hAnsi="Tahoma" w:cs="Tahoma"/>
          <w:b/>
          <w:color w:val="000000" w:themeColor="text1"/>
          <w:sz w:val="24"/>
          <w:szCs w:val="28"/>
          <w:highlight w:val="none"/>
          <w14:textFill>
            <w14:solidFill>
              <w14:schemeClr w14:val="tx1"/>
            </w14:solidFill>
          </w14:textFill>
        </w:rPr>
      </w:pPr>
      <w:r>
        <w:rPr>
          <w:rFonts w:ascii="Tahoma" w:hAnsi="Tahoma" w:cs="Tahoma"/>
          <w:b/>
          <w:color w:val="000000" w:themeColor="text1"/>
          <w:sz w:val="24"/>
          <w:szCs w:val="28"/>
          <w:highlight w:val="none"/>
          <w14:textFill>
            <w14:solidFill>
              <w14:schemeClr w14:val="tx1"/>
            </w14:solidFill>
          </w14:textFill>
        </w:rPr>
        <w:t>1、</w:t>
      </w:r>
      <w:r>
        <w:rPr>
          <w:rFonts w:ascii="Tahoma" w:hAnsi="Tahoma" w:eastAsia="黑体" w:cs="Tahoma"/>
          <w:b/>
          <w:color w:val="000000" w:themeColor="text1"/>
          <w:sz w:val="24"/>
          <w:szCs w:val="28"/>
          <w:highlight w:val="none"/>
          <w14:textFill>
            <w14:solidFill>
              <w14:schemeClr w14:val="tx1"/>
            </w14:solidFill>
          </w14:textFill>
        </w:rPr>
        <w:t>定义</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1.1合同：</w:t>
      </w:r>
      <w:r>
        <w:rPr>
          <w:rFonts w:ascii="Tahoma" w:hAnsi="Tahoma" w:cs="Tahoma"/>
          <w:color w:val="000000" w:themeColor="text1"/>
          <w:szCs w:val="21"/>
          <w:highlight w:val="none"/>
          <w14:textFill>
            <w14:solidFill>
              <w14:schemeClr w14:val="tx1"/>
            </w14:solidFill>
          </w14:textFill>
        </w:rPr>
        <w:t>系指供方（供应商）与需方（采购人）双方签署的、合同格式中载明的供需双方所达成的协议，包括附件、附录和上述所提到的构成合同的所有文件。</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1.2合同价：</w:t>
      </w:r>
      <w:r>
        <w:rPr>
          <w:rFonts w:ascii="Tahoma" w:hAnsi="Tahoma" w:cs="Tahoma"/>
          <w:color w:val="000000" w:themeColor="text1"/>
          <w:szCs w:val="21"/>
          <w:highlight w:val="none"/>
          <w14:textFill>
            <w14:solidFill>
              <w14:schemeClr w14:val="tx1"/>
            </w14:solidFill>
          </w14:textFill>
        </w:rPr>
        <w:t>指根据合同写明的（成交价）、由供货人正确地、完全履行合同义务后需方应支付给供应商的款额。</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1.3合同货物：</w:t>
      </w:r>
      <w:r>
        <w:rPr>
          <w:rFonts w:ascii="Tahoma" w:hAnsi="Tahoma" w:cs="Tahoma"/>
          <w:color w:val="000000" w:themeColor="text1"/>
          <w:szCs w:val="21"/>
          <w:highlight w:val="none"/>
          <w14:textFill>
            <w14:solidFill>
              <w14:schemeClr w14:val="tx1"/>
            </w14:solidFill>
          </w14:textFill>
        </w:rPr>
        <w:t>合同范围内规定的供货人提供给采购人的所有货物、备品备件、工具、材料，以及所有合同货物的设计、装配、检验、工厂和现场检验、组装、安装调试指导、试运行、维修等有关技术文件。</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1.4技术文件：</w:t>
      </w:r>
      <w:r>
        <w:rPr>
          <w:rFonts w:ascii="Tahoma" w:hAnsi="Tahoma" w:cs="Tahoma"/>
          <w:color w:val="000000" w:themeColor="text1"/>
          <w:szCs w:val="21"/>
          <w:highlight w:val="none"/>
          <w14:textFill>
            <w14:solidFill>
              <w14:schemeClr w14:val="tx1"/>
            </w14:solidFill>
          </w14:textFill>
        </w:rPr>
        <w:t>根据合同，由供需双方确认的用来解释所有货物或货物的某一部分的一切材料清单、说明书、手册、程序、报告、详细说明、目录和其他递交的资料。</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1.5服务：</w:t>
      </w:r>
      <w:r>
        <w:rPr>
          <w:rFonts w:ascii="Tahoma" w:hAnsi="Tahoma" w:cs="Tahoma"/>
          <w:color w:val="000000" w:themeColor="text1"/>
          <w:szCs w:val="21"/>
          <w:highlight w:val="none"/>
          <w14:textFill>
            <w14:solidFill>
              <w14:schemeClr w14:val="tx1"/>
            </w14:solidFill>
          </w14:textFill>
        </w:rPr>
        <w:t>根据合同规定供方应承担的所有合同货物的</w:t>
      </w:r>
      <w:r>
        <w:rPr>
          <w:rFonts w:hint="eastAsia" w:ascii="Tahoma" w:hAnsi="Tahoma" w:cs="Tahoma"/>
          <w:color w:val="000000" w:themeColor="text1"/>
          <w:szCs w:val="21"/>
          <w:highlight w:val="none"/>
          <w14:textFill>
            <w14:solidFill>
              <w14:schemeClr w14:val="tx1"/>
            </w14:solidFill>
          </w14:textFill>
        </w:rPr>
        <w:t>供应、运输、装卸、配送等相关服务及售后服务</w:t>
      </w:r>
      <w:r>
        <w:rPr>
          <w:rFonts w:ascii="Tahoma" w:hAnsi="Tahoma" w:cs="Tahoma"/>
          <w:color w:val="000000" w:themeColor="text1"/>
          <w:szCs w:val="21"/>
          <w:highlight w:val="none"/>
          <w14:textFill>
            <w14:solidFill>
              <w14:schemeClr w14:val="tx1"/>
            </w14:solidFill>
          </w14:textFill>
        </w:rPr>
        <w:t>和合同中规定供方应承担的其他责任和义务。</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1.6通用条款：</w:t>
      </w:r>
      <w:r>
        <w:rPr>
          <w:rFonts w:ascii="Tahoma" w:hAnsi="Tahoma" w:cs="Tahoma"/>
          <w:color w:val="000000" w:themeColor="text1"/>
          <w:szCs w:val="21"/>
          <w:highlight w:val="none"/>
          <w14:textFill>
            <w14:solidFill>
              <w14:schemeClr w14:val="tx1"/>
            </w14:solidFill>
          </w14:textFill>
        </w:rPr>
        <w:t>指本合同条款。</w:t>
      </w:r>
    </w:p>
    <w:p>
      <w:pPr>
        <w:shd w:val="clear" w:color="auto" w:fill="FFFFFF"/>
        <w:snapToGrid w:val="0"/>
        <w:spacing w:line="320" w:lineRule="exact"/>
        <w:rPr>
          <w:rFonts w:ascii="Tahoma" w:hAnsi="Tahoma" w:cs="Tahoma"/>
          <w:b/>
          <w:color w:val="000000" w:themeColor="text1"/>
          <w:kern w:val="0"/>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1.7专用条款：</w:t>
      </w:r>
      <w:r>
        <w:rPr>
          <w:rFonts w:ascii="Tahoma" w:hAnsi="Tahoma" w:cs="Tahoma"/>
          <w:color w:val="000000" w:themeColor="text1"/>
          <w:szCs w:val="21"/>
          <w:highlight w:val="none"/>
          <w14:textFill>
            <w14:solidFill>
              <w14:schemeClr w14:val="tx1"/>
            </w14:solidFill>
          </w14:textFill>
        </w:rPr>
        <w:t>指</w:t>
      </w:r>
      <w:r>
        <w:rPr>
          <w:rFonts w:ascii="Tahoma" w:hAnsi="Tahoma" w:cs="Tahoma"/>
          <w:bCs/>
          <w:color w:val="000000" w:themeColor="text1"/>
          <w:kern w:val="0"/>
          <w:szCs w:val="21"/>
          <w:highlight w:val="none"/>
          <w14:textFill>
            <w14:solidFill>
              <w14:schemeClr w14:val="tx1"/>
            </w14:solidFill>
          </w14:textFill>
        </w:rPr>
        <w:t>第二节</w:t>
      </w:r>
      <w:r>
        <w:rPr>
          <w:rFonts w:ascii="Tahoma" w:hAnsi="Tahoma" w:cs="Tahoma"/>
          <w:color w:val="000000" w:themeColor="text1"/>
          <w:szCs w:val="21"/>
          <w:highlight w:val="none"/>
          <w14:textFill>
            <w14:solidFill>
              <w14:schemeClr w14:val="tx1"/>
            </w14:solidFill>
          </w14:textFill>
        </w:rPr>
        <w:t>专用合同条款。</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1.8项目现场：</w:t>
      </w:r>
      <w:r>
        <w:rPr>
          <w:rFonts w:ascii="Tahoma" w:hAnsi="Tahoma" w:cs="Tahoma"/>
          <w:color w:val="000000" w:themeColor="text1"/>
          <w:szCs w:val="21"/>
          <w:highlight w:val="none"/>
          <w14:textFill>
            <w14:solidFill>
              <w14:schemeClr w14:val="tx1"/>
            </w14:solidFill>
          </w14:textFill>
        </w:rPr>
        <w:t>合同货物最终交货的地点。</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1.9日：</w:t>
      </w:r>
      <w:r>
        <w:rPr>
          <w:rFonts w:ascii="Tahoma" w:hAnsi="Tahoma" w:cs="Tahoma"/>
          <w:color w:val="000000" w:themeColor="text1"/>
          <w:szCs w:val="21"/>
          <w:highlight w:val="none"/>
          <w14:textFill>
            <w14:solidFill>
              <w14:schemeClr w14:val="tx1"/>
            </w14:solidFill>
          </w14:textFill>
        </w:rPr>
        <w:t>指日历天数。</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1.10来源地：</w:t>
      </w:r>
      <w:r>
        <w:rPr>
          <w:rFonts w:ascii="Tahoma" w:hAnsi="Tahoma" w:cs="Tahoma"/>
          <w:color w:val="000000" w:themeColor="text1"/>
          <w:szCs w:val="21"/>
          <w:highlight w:val="none"/>
          <w14:textFill>
            <w14:solidFill>
              <w14:schemeClr w14:val="tx1"/>
            </w14:solidFill>
          </w14:textFill>
        </w:rPr>
        <w:t>指货物生产地或提供服务的来源地。</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1.11货物：</w:t>
      </w:r>
      <w:r>
        <w:rPr>
          <w:rFonts w:ascii="Tahoma" w:hAnsi="Tahoma" w:cs="Tahoma"/>
          <w:color w:val="000000" w:themeColor="text1"/>
          <w:szCs w:val="21"/>
          <w:highlight w:val="none"/>
          <w14:textFill>
            <w14:solidFill>
              <w14:schemeClr w14:val="tx1"/>
            </w14:solidFill>
          </w14:textFill>
        </w:rPr>
        <w:t>指经过制造、加工的产品或经过实质上组装主要元件而形成的产品。</w:t>
      </w:r>
    </w:p>
    <w:p>
      <w:pPr>
        <w:spacing w:line="320" w:lineRule="exact"/>
        <w:jc w:val="center"/>
        <w:rPr>
          <w:rFonts w:ascii="Tahoma" w:hAnsi="Tahoma" w:eastAsia="黑体" w:cs="Tahoma"/>
          <w:b/>
          <w:color w:val="000000" w:themeColor="text1"/>
          <w:sz w:val="24"/>
          <w:highlight w:val="none"/>
          <w14:textFill>
            <w14:solidFill>
              <w14:schemeClr w14:val="tx1"/>
            </w14:solidFill>
          </w14:textFill>
        </w:rPr>
      </w:pPr>
      <w:r>
        <w:rPr>
          <w:rFonts w:ascii="Tahoma" w:hAnsi="Tahoma" w:eastAsia="黑体" w:cs="Tahoma"/>
          <w:b/>
          <w:color w:val="000000" w:themeColor="text1"/>
          <w:sz w:val="24"/>
          <w:highlight w:val="none"/>
          <w14:textFill>
            <w14:solidFill>
              <w14:schemeClr w14:val="tx1"/>
            </w14:solidFill>
          </w14:textFill>
        </w:rPr>
        <w:t>2、合同适用性</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2.1</w:t>
      </w:r>
      <w:r>
        <w:rPr>
          <w:rFonts w:ascii="Tahoma" w:hAnsi="Tahoma" w:cs="Tahoma"/>
          <w:b/>
          <w:bCs/>
          <w:color w:val="000000" w:themeColor="text1"/>
          <w:szCs w:val="21"/>
          <w:highlight w:val="none"/>
          <w14:textFill>
            <w14:solidFill>
              <w14:schemeClr w14:val="tx1"/>
            </w14:solidFill>
          </w14:textFill>
        </w:rPr>
        <w:t>本通用合同条款适用于没有被本合同其他部分的条款所取代的范围，已被合同所取代或覆盖部分按合同约定的条款执行。</w:t>
      </w:r>
    </w:p>
    <w:p>
      <w:pPr>
        <w:spacing w:line="320" w:lineRule="exact"/>
        <w:jc w:val="center"/>
        <w:rPr>
          <w:rFonts w:ascii="Tahoma" w:hAnsi="Tahoma" w:eastAsia="黑体" w:cs="Tahoma"/>
          <w:b/>
          <w:color w:val="000000" w:themeColor="text1"/>
          <w:sz w:val="24"/>
          <w:highlight w:val="none"/>
          <w14:textFill>
            <w14:solidFill>
              <w14:schemeClr w14:val="tx1"/>
            </w14:solidFill>
          </w14:textFill>
        </w:rPr>
      </w:pPr>
      <w:r>
        <w:rPr>
          <w:rFonts w:ascii="Tahoma" w:hAnsi="Tahoma" w:eastAsia="黑体" w:cs="Tahoma"/>
          <w:b/>
          <w:color w:val="000000" w:themeColor="text1"/>
          <w:sz w:val="24"/>
          <w:highlight w:val="none"/>
          <w14:textFill>
            <w14:solidFill>
              <w14:schemeClr w14:val="tx1"/>
            </w14:solidFill>
          </w14:textFill>
        </w:rPr>
        <w:t>3、标准</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3.1</w:t>
      </w:r>
      <w:r>
        <w:rPr>
          <w:rFonts w:ascii="Tahoma" w:hAnsi="Tahoma" w:cs="Tahoma"/>
          <w:color w:val="000000" w:themeColor="text1"/>
          <w:szCs w:val="21"/>
          <w:highlight w:val="none"/>
          <w14:textFill>
            <w14:solidFill>
              <w14:schemeClr w14:val="tx1"/>
            </w14:solidFill>
          </w14:textFill>
        </w:rPr>
        <w:t>合同项下交付货物的技术规格标准见招标文件技术条款。如果没有提及适用标准，则应符合货物适用的官方标准。这些标准必须是有关机构发布的最新版本的标准。或货物能满足设计要求的技术性能和质量标准和货物投入正常运行后发挥预期的作用。</w:t>
      </w:r>
    </w:p>
    <w:p>
      <w:pPr>
        <w:spacing w:line="320" w:lineRule="exact"/>
        <w:jc w:val="center"/>
        <w:rPr>
          <w:rFonts w:ascii="Tahoma" w:hAnsi="Tahoma" w:eastAsia="黑体" w:cs="Tahoma"/>
          <w:b/>
          <w:color w:val="000000" w:themeColor="text1"/>
          <w:sz w:val="24"/>
          <w:highlight w:val="none"/>
          <w14:textFill>
            <w14:solidFill>
              <w14:schemeClr w14:val="tx1"/>
            </w14:solidFill>
          </w14:textFill>
        </w:rPr>
      </w:pPr>
      <w:r>
        <w:rPr>
          <w:rFonts w:ascii="Tahoma" w:hAnsi="Tahoma" w:eastAsia="黑体" w:cs="Tahoma"/>
          <w:b/>
          <w:color w:val="000000" w:themeColor="text1"/>
          <w:sz w:val="24"/>
          <w:highlight w:val="none"/>
          <w14:textFill>
            <w14:solidFill>
              <w14:schemeClr w14:val="tx1"/>
            </w14:solidFill>
          </w14:textFill>
        </w:rPr>
        <w:t>4、知识产权</w:t>
      </w:r>
    </w:p>
    <w:p>
      <w:pPr>
        <w:spacing w:line="320" w:lineRule="exact"/>
        <w:rPr>
          <w:rFonts w:ascii="Tahoma" w:hAnsi="Tahoma" w:cs="Tahoma"/>
          <w:b/>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4.1</w:t>
      </w:r>
      <w:r>
        <w:rPr>
          <w:rFonts w:ascii="Tahoma" w:hAnsi="Tahoma" w:cs="Tahoma"/>
          <w:b/>
          <w:color w:val="000000" w:themeColor="text1"/>
          <w:szCs w:val="21"/>
          <w:highlight w:val="none"/>
          <w14:textFill>
            <w14:solidFill>
              <w14:schemeClr w14:val="tx1"/>
            </w14:solidFill>
          </w14:textFill>
        </w:rPr>
        <w:tab/>
      </w:r>
      <w:r>
        <w:rPr>
          <w:rFonts w:ascii="Tahoma" w:hAnsi="Tahoma" w:cs="Tahoma"/>
          <w:color w:val="000000" w:themeColor="text1"/>
          <w:szCs w:val="21"/>
          <w:highlight w:val="none"/>
          <w14:textFill>
            <w14:solidFill>
              <w14:schemeClr w14:val="tx1"/>
            </w14:solidFill>
          </w14:textFill>
        </w:rPr>
        <w:t>供方保证，需方在项目现场使用该货物或货物的任何一部分时，免受第三方提出的侵犯其专利权、商标权或工业设计权等侵权的起诉。当任何第三方提出侵权索赔时，供方应向第三方提出其处理答复，并承担由此引起的一切法律上的和经济上的责任。</w:t>
      </w:r>
    </w:p>
    <w:p>
      <w:pPr>
        <w:spacing w:line="320" w:lineRule="exact"/>
        <w:jc w:val="center"/>
        <w:rPr>
          <w:rFonts w:ascii="Tahoma" w:hAnsi="Tahoma" w:eastAsia="黑体" w:cs="Tahoma"/>
          <w:b/>
          <w:color w:val="000000" w:themeColor="text1"/>
          <w:sz w:val="24"/>
          <w:highlight w:val="none"/>
          <w14:textFill>
            <w14:solidFill>
              <w14:schemeClr w14:val="tx1"/>
            </w14:solidFill>
          </w14:textFill>
        </w:rPr>
      </w:pPr>
      <w:r>
        <w:rPr>
          <w:rFonts w:ascii="Tahoma" w:hAnsi="Tahoma" w:eastAsia="黑体" w:cs="Tahoma"/>
          <w:b/>
          <w:color w:val="000000" w:themeColor="text1"/>
          <w:sz w:val="24"/>
          <w:highlight w:val="none"/>
          <w14:textFill>
            <w14:solidFill>
              <w14:schemeClr w14:val="tx1"/>
            </w14:solidFill>
          </w14:textFill>
        </w:rPr>
        <w:t>5、履约保证金</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5.1</w:t>
      </w:r>
      <w:r>
        <w:rPr>
          <w:rFonts w:ascii="Tahoma" w:hAnsi="Tahoma" w:cs="Tahoma"/>
          <w:b/>
          <w:color w:val="000000" w:themeColor="text1"/>
          <w:szCs w:val="21"/>
          <w:highlight w:val="none"/>
          <w14:textFill>
            <w14:solidFill>
              <w14:schemeClr w14:val="tx1"/>
            </w14:solidFill>
          </w14:textFill>
        </w:rPr>
        <w:tab/>
      </w:r>
      <w:r>
        <w:rPr>
          <w:rFonts w:ascii="Tahoma" w:hAnsi="Tahoma" w:cs="Tahoma"/>
          <w:color w:val="000000" w:themeColor="text1"/>
          <w:szCs w:val="21"/>
          <w:highlight w:val="none"/>
          <w14:textFill>
            <w14:solidFill>
              <w14:schemeClr w14:val="tx1"/>
            </w14:solidFill>
          </w14:textFill>
        </w:rPr>
        <w:t>如需方要求供方提供履约保证金的，应在合同中约定（如需方有要求执行以下条款）。</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5.2</w:t>
      </w:r>
      <w:r>
        <w:rPr>
          <w:rFonts w:ascii="Tahoma" w:hAnsi="Tahoma" w:cs="Tahoma"/>
          <w:b/>
          <w:color w:val="000000" w:themeColor="text1"/>
          <w:szCs w:val="21"/>
          <w:highlight w:val="none"/>
          <w14:textFill>
            <w14:solidFill>
              <w14:schemeClr w14:val="tx1"/>
            </w14:solidFill>
          </w14:textFill>
        </w:rPr>
        <w:tab/>
      </w:r>
      <w:r>
        <w:rPr>
          <w:rFonts w:ascii="Tahoma" w:hAnsi="Tahoma" w:cs="Tahoma"/>
          <w:color w:val="000000" w:themeColor="text1"/>
          <w:szCs w:val="21"/>
          <w:highlight w:val="none"/>
          <w14:textFill>
            <w14:solidFill>
              <w14:schemeClr w14:val="tx1"/>
            </w14:solidFill>
          </w14:textFill>
        </w:rPr>
        <w:t>履约保证金应用本合同货币为：人民币。</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5.3</w:t>
      </w:r>
      <w:r>
        <w:rPr>
          <w:rFonts w:ascii="Tahoma" w:hAnsi="Tahoma" w:cs="Tahoma"/>
          <w:color w:val="000000" w:themeColor="text1"/>
          <w:szCs w:val="21"/>
          <w:highlight w:val="none"/>
          <w14:textFill>
            <w14:solidFill>
              <w14:schemeClr w14:val="tx1"/>
            </w14:solidFill>
          </w14:textFill>
        </w:rPr>
        <w:tab/>
      </w:r>
      <w:r>
        <w:rPr>
          <w:rFonts w:ascii="Tahoma" w:hAnsi="Tahoma" w:cs="Tahoma"/>
          <w:color w:val="000000" w:themeColor="text1"/>
          <w:szCs w:val="21"/>
          <w:highlight w:val="none"/>
          <w14:textFill>
            <w14:solidFill>
              <w14:schemeClr w14:val="tx1"/>
            </w14:solidFill>
          </w14:textFill>
        </w:rPr>
        <w:t>除非专用条款另有规定，在供方完成规定的质保期后</w:t>
      </w:r>
      <w:r>
        <w:rPr>
          <w:rFonts w:ascii="Tahoma" w:hAnsi="Tahoma" w:cs="Tahoma"/>
          <w:color w:val="000000" w:themeColor="text1"/>
          <w:szCs w:val="21"/>
          <w:highlight w:val="none"/>
          <w:u w:val="single"/>
          <w14:textFill>
            <w14:solidFill>
              <w14:schemeClr w14:val="tx1"/>
            </w14:solidFill>
          </w14:textFill>
        </w:rPr>
        <w:t>30</w:t>
      </w:r>
      <w:r>
        <w:rPr>
          <w:rFonts w:ascii="Tahoma" w:hAnsi="Tahoma" w:cs="Tahoma"/>
          <w:color w:val="000000" w:themeColor="text1"/>
          <w:szCs w:val="21"/>
          <w:highlight w:val="none"/>
          <w14:textFill>
            <w14:solidFill>
              <w14:schemeClr w14:val="tx1"/>
            </w14:solidFill>
          </w14:textFill>
        </w:rPr>
        <w:t>日内，采购人将履约保证金退还承包人。</w:t>
      </w:r>
    </w:p>
    <w:p>
      <w:pPr>
        <w:spacing w:line="320" w:lineRule="exact"/>
        <w:jc w:val="center"/>
        <w:rPr>
          <w:rFonts w:ascii="Tahoma" w:hAnsi="Tahoma" w:eastAsia="黑体" w:cs="Tahoma"/>
          <w:b/>
          <w:color w:val="000000" w:themeColor="text1"/>
          <w:sz w:val="24"/>
          <w:highlight w:val="none"/>
          <w14:textFill>
            <w14:solidFill>
              <w14:schemeClr w14:val="tx1"/>
            </w14:solidFill>
          </w14:textFill>
        </w:rPr>
      </w:pPr>
      <w:r>
        <w:rPr>
          <w:rFonts w:ascii="Tahoma" w:hAnsi="Tahoma" w:eastAsia="黑体" w:cs="Tahoma"/>
          <w:b/>
          <w:color w:val="000000" w:themeColor="text1"/>
          <w:sz w:val="24"/>
          <w:highlight w:val="none"/>
          <w14:textFill>
            <w14:solidFill>
              <w14:schemeClr w14:val="tx1"/>
            </w14:solidFill>
          </w14:textFill>
        </w:rPr>
        <w:t>6、安装、调试及检验、验收</w:t>
      </w:r>
    </w:p>
    <w:p>
      <w:pPr>
        <w:spacing w:line="320" w:lineRule="exact"/>
        <w:rPr>
          <w:rFonts w:ascii="Tahoma" w:hAnsi="Tahoma" w:cs="Tahoma"/>
          <w:color w:val="000000" w:themeColor="text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6.1</w:t>
      </w:r>
      <w:r>
        <w:rPr>
          <w:rFonts w:ascii="Tahoma" w:hAnsi="Tahoma" w:cs="Tahoma"/>
          <w:color w:val="000000" w:themeColor="text1"/>
          <w:highlight w:val="none"/>
          <w14:textFill>
            <w14:solidFill>
              <w14:schemeClr w14:val="tx1"/>
            </w14:solidFill>
          </w14:textFill>
        </w:rPr>
        <w:t>供方应按设计图纸或安装方案负责合同设备或货物安装、调试、试运行、质量的检测、检验和验收等工作，以及提供为完成上述所需的全部人工、材料、专用工具、交通运输、和一切辅助作业及辅助设施等。</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6.2</w:t>
      </w:r>
      <w:r>
        <w:rPr>
          <w:rFonts w:ascii="Tahoma" w:hAnsi="Tahoma" w:cs="Tahoma"/>
          <w:color w:val="000000" w:themeColor="text1"/>
          <w:szCs w:val="21"/>
          <w:highlight w:val="none"/>
          <w14:textFill>
            <w14:solidFill>
              <w14:schemeClr w14:val="tx1"/>
            </w14:solidFill>
          </w14:textFill>
        </w:rPr>
        <w:t>需方或其代表有权要求检验和测试货物，以确认货物能符合合同的要求，且并不承担额外的费用。需方要求进行的检验和测试的内容和地点应在合同中说明。</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6.3</w:t>
      </w:r>
      <w:r>
        <w:rPr>
          <w:rFonts w:ascii="Tahoma" w:hAnsi="Tahoma" w:cs="Tahoma"/>
          <w:color w:val="000000" w:themeColor="text1"/>
          <w:szCs w:val="21"/>
          <w:highlight w:val="none"/>
          <w14:textFill>
            <w14:solidFill>
              <w14:schemeClr w14:val="tx1"/>
            </w14:solidFill>
          </w14:textFill>
        </w:rPr>
        <w:t>检验和测试应在供方交货地点、或货物的最终目的地进行。如果在供方的工厂进行，需方检测人员应能得到必要的检测设施和手段，需方不承担任何费用。</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6.4</w:t>
      </w:r>
      <w:r>
        <w:rPr>
          <w:rFonts w:ascii="Tahoma" w:hAnsi="Tahoma" w:cs="Tahoma"/>
          <w:color w:val="000000" w:themeColor="text1"/>
          <w:szCs w:val="21"/>
          <w:highlight w:val="none"/>
          <w14:textFill>
            <w14:solidFill>
              <w14:schemeClr w14:val="tx1"/>
            </w14:solidFill>
          </w14:textFill>
        </w:rPr>
        <w:t>供方有责任对合同货物按合同要求自行进行检验、测试等工作，检验、测试合格报告由供方提交给采购人，这些文件将被视为合同货物的质量保证资料。</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6.5</w:t>
      </w:r>
      <w:r>
        <w:rPr>
          <w:rFonts w:ascii="Tahoma" w:hAnsi="Tahoma" w:cs="Tahoma"/>
          <w:color w:val="000000" w:themeColor="text1"/>
          <w:szCs w:val="21"/>
          <w:highlight w:val="none"/>
          <w14:textFill>
            <w14:solidFill>
              <w14:schemeClr w14:val="tx1"/>
            </w14:solidFill>
          </w14:textFill>
        </w:rPr>
        <w:t>如果所检验的货物不能满足合同的要求，需方可以拒绝接受该货物，供方应更换被拒绝的货物，或者免费进行必要的修改以满足规定的要求。</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6.6</w:t>
      </w:r>
      <w:r>
        <w:rPr>
          <w:rFonts w:ascii="Tahoma" w:hAnsi="Tahoma" w:cs="Tahoma"/>
          <w:color w:val="000000" w:themeColor="text1"/>
          <w:szCs w:val="21"/>
          <w:highlight w:val="none"/>
          <w14:textFill>
            <w14:solidFill>
              <w14:schemeClr w14:val="tx1"/>
            </w14:solidFill>
          </w14:textFill>
        </w:rPr>
        <w:tab/>
      </w:r>
      <w:r>
        <w:rPr>
          <w:rFonts w:ascii="Tahoma" w:hAnsi="Tahoma" w:cs="Tahoma"/>
          <w:color w:val="000000" w:themeColor="text1"/>
          <w:szCs w:val="21"/>
          <w:highlight w:val="none"/>
          <w14:textFill>
            <w14:solidFill>
              <w14:schemeClr w14:val="tx1"/>
            </w14:solidFill>
          </w14:textFill>
        </w:rPr>
        <w:t>供方应在进行检验和测试前</w:t>
      </w:r>
      <w:r>
        <w:rPr>
          <w:rFonts w:ascii="Tahoma" w:hAnsi="Tahoma" w:cs="Tahoma"/>
          <w:color w:val="000000" w:themeColor="text1"/>
          <w:szCs w:val="21"/>
          <w:highlight w:val="none"/>
          <w:u w:val="single"/>
          <w14:textFill>
            <w14:solidFill>
              <w14:schemeClr w14:val="tx1"/>
            </w14:solidFill>
          </w14:textFill>
        </w:rPr>
        <w:t xml:space="preserve"> 7</w:t>
      </w:r>
      <w:r>
        <w:rPr>
          <w:rFonts w:ascii="Tahoma" w:hAnsi="Tahoma" w:cs="Tahoma"/>
          <w:color w:val="000000" w:themeColor="text1"/>
          <w:szCs w:val="21"/>
          <w:highlight w:val="none"/>
          <w14:textFill>
            <w14:solidFill>
              <w14:schemeClr w14:val="tx1"/>
            </w14:solidFill>
          </w14:textFill>
        </w:rPr>
        <w:t>日通知需方检验和测试货物的相关内容，以便需方能安排人员参加。需方将及时以书面形式把参加检验和测试的代表身份情况通知供方。</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6.7</w:t>
      </w:r>
      <w:r>
        <w:rPr>
          <w:rFonts w:ascii="Tahoma" w:hAnsi="Tahoma" w:cs="Tahoma"/>
          <w:b/>
          <w:color w:val="000000" w:themeColor="text1"/>
          <w:szCs w:val="21"/>
          <w:highlight w:val="none"/>
          <w14:textFill>
            <w14:solidFill>
              <w14:schemeClr w14:val="tx1"/>
            </w14:solidFill>
          </w14:textFill>
        </w:rPr>
        <w:tab/>
      </w:r>
      <w:r>
        <w:rPr>
          <w:rFonts w:ascii="Tahoma" w:hAnsi="Tahoma" w:cs="Tahoma"/>
          <w:color w:val="000000" w:themeColor="text1"/>
          <w:szCs w:val="21"/>
          <w:highlight w:val="none"/>
          <w14:textFill>
            <w14:solidFill>
              <w14:schemeClr w14:val="tx1"/>
            </w14:solidFill>
          </w14:textFill>
        </w:rPr>
        <w:t>供方有义务提供有关资料和必要的协助，包括合理地中止工作以便需方或其代表在加工过程中对货物的某一部分或元件进行检测。</w:t>
      </w:r>
    </w:p>
    <w:p>
      <w:pPr>
        <w:spacing w:line="320" w:lineRule="exact"/>
        <w:rPr>
          <w:color w:val="000000" w:themeColor="text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6.8</w:t>
      </w:r>
      <w:r>
        <w:rPr>
          <w:rFonts w:ascii="Tahoma" w:hAnsi="Tahoma" w:cs="Tahoma"/>
          <w:color w:val="000000" w:themeColor="text1"/>
          <w:szCs w:val="21"/>
          <w:highlight w:val="none"/>
          <w14:textFill>
            <w14:solidFill>
              <w14:schemeClr w14:val="tx1"/>
            </w14:solidFill>
          </w14:textFill>
        </w:rPr>
        <w:t>本章规定在任何情况下都不能免除供方在本合同项下的保证义务或其他义务。</w:t>
      </w:r>
    </w:p>
    <w:p>
      <w:pPr>
        <w:spacing w:line="320" w:lineRule="exact"/>
        <w:jc w:val="center"/>
        <w:rPr>
          <w:rFonts w:ascii="Tahoma" w:hAnsi="Tahoma" w:eastAsia="黑体" w:cs="Tahoma"/>
          <w:b/>
          <w:color w:val="000000" w:themeColor="text1"/>
          <w:sz w:val="24"/>
          <w:highlight w:val="none"/>
          <w14:textFill>
            <w14:solidFill>
              <w14:schemeClr w14:val="tx1"/>
            </w14:solidFill>
          </w14:textFill>
        </w:rPr>
      </w:pPr>
      <w:r>
        <w:rPr>
          <w:rFonts w:ascii="Tahoma" w:hAnsi="Tahoma" w:eastAsia="黑体" w:cs="Tahoma"/>
          <w:b/>
          <w:color w:val="000000" w:themeColor="text1"/>
          <w:sz w:val="24"/>
          <w:highlight w:val="none"/>
          <w14:textFill>
            <w14:solidFill>
              <w14:schemeClr w14:val="tx1"/>
            </w14:solidFill>
          </w14:textFill>
        </w:rPr>
        <w:t>7、包装</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7.1</w:t>
      </w:r>
      <w:r>
        <w:rPr>
          <w:rFonts w:ascii="Tahoma" w:hAnsi="Tahoma" w:cs="Tahoma"/>
          <w:color w:val="000000" w:themeColor="text1"/>
          <w:szCs w:val="21"/>
          <w:highlight w:val="none"/>
          <w14:textFill>
            <w14:solidFill>
              <w14:schemeClr w14:val="tx1"/>
            </w14:solidFill>
          </w14:textFill>
        </w:rPr>
        <w:t>供方应提供合同货物运至合同规定的目的地所需要的包装，以防止合同货物在转运中损坏或变质，这类包装应足以承受但不限于承受转运过程中的野蛮装卸、暴露于恶劣气温、气候和降雨环境，以及露天存放。包装箱的尺寸及重量应考虑货物最终目的地偏远程度以及在所有转运地点缺乏重型装卸设施的情况。</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7.2</w:t>
      </w:r>
      <w:r>
        <w:rPr>
          <w:rFonts w:ascii="Tahoma" w:hAnsi="Tahoma" w:cs="Tahoma"/>
          <w:b/>
          <w:color w:val="000000" w:themeColor="text1"/>
          <w:szCs w:val="21"/>
          <w:highlight w:val="none"/>
          <w14:textFill>
            <w14:solidFill>
              <w14:schemeClr w14:val="tx1"/>
            </w14:solidFill>
          </w14:textFill>
        </w:rPr>
        <w:tab/>
      </w:r>
      <w:r>
        <w:rPr>
          <w:rFonts w:ascii="Tahoma" w:hAnsi="Tahoma" w:cs="Tahoma"/>
          <w:color w:val="000000" w:themeColor="text1"/>
          <w:szCs w:val="21"/>
          <w:highlight w:val="none"/>
          <w14:textFill>
            <w14:solidFill>
              <w14:schemeClr w14:val="tx1"/>
            </w14:solidFill>
          </w14:textFill>
        </w:rPr>
        <w:t>包装、标记和包装箱内外的单据应严格符合合同的特殊要求，包括专用条款规定的要求以及采购人后来发出的指示。</w:t>
      </w:r>
    </w:p>
    <w:p>
      <w:pPr>
        <w:spacing w:line="320" w:lineRule="exact"/>
        <w:jc w:val="center"/>
        <w:rPr>
          <w:rFonts w:ascii="Tahoma" w:hAnsi="Tahoma" w:eastAsia="黑体" w:cs="Tahoma"/>
          <w:b/>
          <w:color w:val="000000" w:themeColor="text1"/>
          <w:sz w:val="24"/>
          <w:highlight w:val="none"/>
          <w14:textFill>
            <w14:solidFill>
              <w14:schemeClr w14:val="tx1"/>
            </w14:solidFill>
          </w14:textFill>
        </w:rPr>
      </w:pPr>
      <w:r>
        <w:rPr>
          <w:rFonts w:ascii="Tahoma" w:hAnsi="Tahoma" w:eastAsia="黑体" w:cs="Tahoma"/>
          <w:b/>
          <w:color w:val="000000" w:themeColor="text1"/>
          <w:sz w:val="24"/>
          <w:highlight w:val="none"/>
          <w14:textFill>
            <w14:solidFill>
              <w14:schemeClr w14:val="tx1"/>
            </w14:solidFill>
          </w14:textFill>
        </w:rPr>
        <w:t>8、交货（发运）和单据</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8.1</w:t>
      </w:r>
      <w:r>
        <w:rPr>
          <w:rFonts w:ascii="Tahoma" w:hAnsi="Tahoma" w:cs="Tahoma"/>
          <w:color w:val="000000" w:themeColor="text1"/>
          <w:szCs w:val="21"/>
          <w:highlight w:val="none"/>
          <w14:textFill>
            <w14:solidFill>
              <w14:schemeClr w14:val="tx1"/>
            </w14:solidFill>
          </w14:textFill>
        </w:rPr>
        <w:t>供方负责在本合同及附件所规定的交货期内，完成全部合同货物及技术文件发运任务。供方应提供的装运细节和单据在专用条款中有具体规定。</w:t>
      </w:r>
    </w:p>
    <w:p>
      <w:pPr>
        <w:spacing w:line="320" w:lineRule="exact"/>
        <w:jc w:val="center"/>
        <w:rPr>
          <w:rFonts w:ascii="Tahoma" w:hAnsi="Tahoma" w:eastAsia="黑体" w:cs="Tahoma"/>
          <w:b/>
          <w:color w:val="000000" w:themeColor="text1"/>
          <w:sz w:val="24"/>
          <w:highlight w:val="none"/>
          <w14:textFill>
            <w14:solidFill>
              <w14:schemeClr w14:val="tx1"/>
            </w14:solidFill>
          </w14:textFill>
        </w:rPr>
      </w:pPr>
      <w:r>
        <w:rPr>
          <w:rFonts w:ascii="Tahoma" w:hAnsi="Tahoma" w:eastAsia="黑体" w:cs="Tahoma"/>
          <w:b/>
          <w:color w:val="000000" w:themeColor="text1"/>
          <w:sz w:val="24"/>
          <w:highlight w:val="none"/>
          <w14:textFill>
            <w14:solidFill>
              <w14:schemeClr w14:val="tx1"/>
            </w14:solidFill>
          </w14:textFill>
        </w:rPr>
        <w:t>9、保险</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bCs/>
          <w:color w:val="000000" w:themeColor="text1"/>
          <w:szCs w:val="21"/>
          <w:highlight w:val="none"/>
          <w14:textFill>
            <w14:solidFill>
              <w14:schemeClr w14:val="tx1"/>
            </w14:solidFill>
          </w14:textFill>
        </w:rPr>
        <w:t>9.1</w:t>
      </w:r>
      <w:r>
        <w:rPr>
          <w:rFonts w:ascii="Tahoma" w:hAnsi="Tahoma" w:cs="Tahoma"/>
          <w:color w:val="000000" w:themeColor="text1"/>
          <w:szCs w:val="21"/>
          <w:highlight w:val="none"/>
          <w14:textFill>
            <w14:solidFill>
              <w14:schemeClr w14:val="tx1"/>
            </w14:solidFill>
          </w14:textFill>
        </w:rPr>
        <w:tab/>
      </w:r>
      <w:r>
        <w:rPr>
          <w:rFonts w:ascii="Tahoma" w:hAnsi="Tahoma" w:cs="Tahoma"/>
          <w:color w:val="000000" w:themeColor="text1"/>
          <w:szCs w:val="21"/>
          <w:highlight w:val="none"/>
          <w14:textFill>
            <w14:solidFill>
              <w14:schemeClr w14:val="tx1"/>
            </w14:solidFill>
          </w14:textFill>
        </w:rPr>
        <w:t>本合同下提供的货物应对其在制造、购置、运输、存放及交货过程中丢失或损坏按专用条款规定的方式，对货物进行全面保险。</w:t>
      </w:r>
    </w:p>
    <w:p>
      <w:pPr>
        <w:spacing w:line="320" w:lineRule="exact"/>
        <w:jc w:val="center"/>
        <w:rPr>
          <w:rFonts w:ascii="Tahoma" w:hAnsi="Tahoma" w:eastAsia="黑体" w:cs="Tahoma"/>
          <w:b/>
          <w:color w:val="000000" w:themeColor="text1"/>
          <w:sz w:val="24"/>
          <w:highlight w:val="none"/>
          <w14:textFill>
            <w14:solidFill>
              <w14:schemeClr w14:val="tx1"/>
            </w14:solidFill>
          </w14:textFill>
        </w:rPr>
      </w:pPr>
      <w:r>
        <w:rPr>
          <w:rFonts w:ascii="Tahoma" w:hAnsi="Tahoma" w:eastAsia="黑体" w:cs="Tahoma"/>
          <w:b/>
          <w:color w:val="000000" w:themeColor="text1"/>
          <w:sz w:val="24"/>
          <w:highlight w:val="none"/>
          <w14:textFill>
            <w14:solidFill>
              <w14:schemeClr w14:val="tx1"/>
            </w14:solidFill>
          </w14:textFill>
        </w:rPr>
        <w:t>10、备品、备件</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10.1</w:t>
      </w:r>
      <w:r>
        <w:rPr>
          <w:rFonts w:ascii="Tahoma" w:hAnsi="Tahoma" w:cs="Tahoma"/>
          <w:color w:val="000000" w:themeColor="text1"/>
          <w:szCs w:val="21"/>
          <w:highlight w:val="none"/>
          <w14:textFill>
            <w14:solidFill>
              <w14:schemeClr w14:val="tx1"/>
            </w14:solidFill>
          </w14:textFill>
        </w:rPr>
        <w:t>在合同货物供货后</w:t>
      </w:r>
      <w:r>
        <w:rPr>
          <w:rFonts w:ascii="Tahoma" w:hAnsi="Tahoma" w:cs="Tahoma"/>
          <w:color w:val="000000" w:themeColor="text1"/>
          <w:szCs w:val="21"/>
          <w:highlight w:val="none"/>
          <w:u w:val="single"/>
          <w14:textFill>
            <w14:solidFill>
              <w14:schemeClr w14:val="tx1"/>
            </w14:solidFill>
          </w14:textFill>
        </w:rPr>
        <w:t>5</w:t>
      </w:r>
      <w:r>
        <w:rPr>
          <w:rFonts w:ascii="Tahoma" w:hAnsi="Tahoma" w:cs="Tahoma"/>
          <w:color w:val="000000" w:themeColor="text1"/>
          <w:szCs w:val="21"/>
          <w:highlight w:val="none"/>
          <w14:textFill>
            <w14:solidFill>
              <w14:schemeClr w14:val="tx1"/>
            </w14:solidFill>
          </w14:textFill>
        </w:rPr>
        <w:t>年内，供方应以优惠价格向采购人提供合同货物维修和维护所需要的备品、备件。如果承包人在上述期限前停止生产合同货物，则应事先通知需方，以便需方采购足够的备品、备件。在停止生产后，如果需方要求，供方应免费向需方提供备品、备件的图纸和规格。</w:t>
      </w:r>
    </w:p>
    <w:p>
      <w:pPr>
        <w:spacing w:line="320" w:lineRule="exact"/>
        <w:jc w:val="center"/>
        <w:rPr>
          <w:rFonts w:ascii="Tahoma" w:hAnsi="Tahoma" w:eastAsia="黑体" w:cs="Tahoma"/>
          <w:b/>
          <w:color w:val="000000" w:themeColor="text1"/>
          <w:sz w:val="24"/>
          <w:highlight w:val="none"/>
          <w14:textFill>
            <w14:solidFill>
              <w14:schemeClr w14:val="tx1"/>
            </w14:solidFill>
          </w14:textFill>
        </w:rPr>
      </w:pPr>
      <w:r>
        <w:rPr>
          <w:rFonts w:ascii="Tahoma" w:hAnsi="Tahoma" w:eastAsia="黑体" w:cs="Tahoma"/>
          <w:b/>
          <w:color w:val="000000" w:themeColor="text1"/>
          <w:sz w:val="24"/>
          <w:highlight w:val="none"/>
          <w14:textFill>
            <w14:solidFill>
              <w14:schemeClr w14:val="tx1"/>
            </w14:solidFill>
          </w14:textFill>
        </w:rPr>
        <w:t>11、保证</w:t>
      </w:r>
    </w:p>
    <w:p>
      <w:pPr>
        <w:pStyle w:val="13"/>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bCs/>
          <w:color w:val="000000" w:themeColor="text1"/>
          <w:szCs w:val="21"/>
          <w:highlight w:val="none"/>
          <w14:textFill>
            <w14:solidFill>
              <w14:schemeClr w14:val="tx1"/>
            </w14:solidFill>
          </w14:textFill>
        </w:rPr>
        <w:t>11.1</w:t>
      </w:r>
      <w:r>
        <w:rPr>
          <w:rFonts w:ascii="Tahoma" w:hAnsi="Tahoma" w:cs="Tahoma"/>
          <w:color w:val="000000" w:themeColor="text1"/>
          <w:szCs w:val="21"/>
          <w:highlight w:val="none"/>
          <w14:textFill>
            <w14:solidFill>
              <w14:schemeClr w14:val="tx1"/>
            </w14:solidFill>
          </w14:textFill>
        </w:rPr>
        <w:t>供方应保证合同货物是崭新的、未使用和启封的货物，是最新的或目前的型号，工艺先进，以优良的材料制造，货物不应含有设计上和材料上的缺陷，并完全符合合同规定的质量规格和性能的要求。供方应保证合同货物不会因设计、材料、工艺的原因而有任何故障和缺陷。</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11.2</w:t>
      </w:r>
      <w:r>
        <w:rPr>
          <w:rFonts w:ascii="Tahoma" w:hAnsi="Tahoma" w:cs="Tahoma"/>
          <w:color w:val="000000" w:themeColor="text1"/>
          <w:szCs w:val="21"/>
          <w:highlight w:val="none"/>
          <w14:textFill>
            <w14:solidFill>
              <w14:schemeClr w14:val="tx1"/>
            </w14:solidFill>
          </w14:textFill>
        </w:rPr>
        <w:t>供方应保证提交的技术文件、图纸的完整、清楚和正确，达到合同货物设计、安装、运行和维护要求。技术文件如有不准确或不完整，供方应在接到需方通知后15日内进行更改或重新提供。</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bCs/>
          <w:color w:val="000000" w:themeColor="text1"/>
          <w:szCs w:val="21"/>
          <w:highlight w:val="none"/>
          <w14:textFill>
            <w14:solidFill>
              <w14:schemeClr w14:val="tx1"/>
            </w14:solidFill>
          </w14:textFill>
        </w:rPr>
        <w:t>11.3</w:t>
      </w:r>
      <w:r>
        <w:rPr>
          <w:rFonts w:ascii="Tahoma" w:hAnsi="Tahoma" w:cs="Tahoma"/>
          <w:color w:val="000000" w:themeColor="text1"/>
          <w:szCs w:val="21"/>
          <w:highlight w:val="none"/>
          <w14:textFill>
            <w14:solidFill>
              <w14:schemeClr w14:val="tx1"/>
            </w14:solidFill>
          </w14:textFill>
        </w:rPr>
        <w:t>供方应保证合同货物在接收试运时各项技术参数满足合同要求。如在合同货物安装、调试、接收、试运期间，如发现因供方原因造成的合同货物的缺陷或损坏，供方应尽快免费更换和修复并补偿由此给需方带来的一切直接损失。供方应承担此项更换和修复工作的一切风险和费用。</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11.4</w:t>
      </w:r>
      <w:r>
        <w:rPr>
          <w:rFonts w:ascii="Tahoma" w:hAnsi="Tahoma" w:cs="Tahoma"/>
          <w:color w:val="000000" w:themeColor="text1"/>
          <w:szCs w:val="21"/>
          <w:highlight w:val="none"/>
          <w14:textFill>
            <w14:solidFill>
              <w14:schemeClr w14:val="tx1"/>
            </w14:solidFill>
          </w14:textFill>
        </w:rPr>
        <w:t>质量保证期（简称质保期）为：业主签发接收通知书之日起计算。</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11.5</w:t>
      </w:r>
      <w:r>
        <w:rPr>
          <w:rFonts w:ascii="Tahoma" w:hAnsi="Tahoma" w:cs="Tahoma"/>
          <w:color w:val="000000" w:themeColor="text1"/>
          <w:szCs w:val="21"/>
          <w:highlight w:val="none"/>
          <w14:textFill>
            <w14:solidFill>
              <w14:schemeClr w14:val="tx1"/>
            </w14:solidFill>
          </w14:textFill>
        </w:rPr>
        <w:t>在质保期间，如果因供方原因造成合同货物有缺陷或不能满足合同规定，需方有权提出索赔。</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11.6</w:t>
      </w:r>
      <w:r>
        <w:rPr>
          <w:rFonts w:ascii="Tahoma" w:hAnsi="Tahoma" w:cs="Tahoma"/>
          <w:color w:val="000000" w:themeColor="text1"/>
          <w:szCs w:val="21"/>
          <w:highlight w:val="none"/>
          <w14:textFill>
            <w14:solidFill>
              <w14:schemeClr w14:val="tx1"/>
            </w14:solidFill>
          </w14:textFill>
        </w:rPr>
        <w:t>在需方提出索赔之后，供方应尽快对合同货物进行修复并承担全部费用。</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11.7</w:t>
      </w:r>
      <w:r>
        <w:rPr>
          <w:rFonts w:ascii="Tahoma" w:hAnsi="Tahoma" w:cs="Tahoma"/>
          <w:color w:val="000000" w:themeColor="text1"/>
          <w:szCs w:val="21"/>
          <w:highlight w:val="none"/>
          <w14:textFill>
            <w14:solidFill>
              <w14:schemeClr w14:val="tx1"/>
            </w14:solidFill>
          </w14:textFill>
        </w:rPr>
        <w:t>如果供方对索赔有异议，应在收到需方索赔</w:t>
      </w:r>
      <w:r>
        <w:rPr>
          <w:rFonts w:ascii="Tahoma" w:hAnsi="Tahoma" w:cs="Tahoma"/>
          <w:color w:val="000000" w:themeColor="text1"/>
          <w:szCs w:val="21"/>
          <w:highlight w:val="none"/>
          <w:u w:val="single"/>
          <w14:textFill>
            <w14:solidFill>
              <w14:schemeClr w14:val="tx1"/>
            </w14:solidFill>
          </w14:textFill>
        </w:rPr>
        <w:t xml:space="preserve"> 7</w:t>
      </w:r>
      <w:r>
        <w:rPr>
          <w:rFonts w:ascii="Tahoma" w:hAnsi="Tahoma" w:cs="Tahoma"/>
          <w:color w:val="000000" w:themeColor="text1"/>
          <w:szCs w:val="21"/>
          <w:highlight w:val="none"/>
          <w14:textFill>
            <w14:solidFill>
              <w14:schemeClr w14:val="tx1"/>
            </w14:solidFill>
          </w14:textFill>
        </w:rPr>
        <w:t>日之内提出，双方进行协商。如供方在此期限之前没有答复则被视为接受索赔要求。</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11.8</w:t>
      </w:r>
      <w:r>
        <w:rPr>
          <w:rFonts w:ascii="Tahoma" w:hAnsi="Tahoma" w:cs="Tahoma"/>
          <w:color w:val="000000" w:themeColor="text1"/>
          <w:szCs w:val="21"/>
          <w:highlight w:val="none"/>
          <w14:textFill>
            <w14:solidFill>
              <w14:schemeClr w14:val="tx1"/>
            </w14:solidFill>
          </w14:textFill>
        </w:rPr>
        <w:t>供方应在接到索赔要求后</w:t>
      </w:r>
      <w:r>
        <w:rPr>
          <w:rFonts w:ascii="Tahoma" w:hAnsi="Tahoma" w:cs="Tahoma"/>
          <w:color w:val="000000" w:themeColor="text1"/>
          <w:szCs w:val="21"/>
          <w:highlight w:val="none"/>
          <w:u w:val="single"/>
          <w14:textFill>
            <w14:solidFill>
              <w14:schemeClr w14:val="tx1"/>
            </w14:solidFill>
          </w14:textFill>
        </w:rPr>
        <w:t xml:space="preserve"> 10</w:t>
      </w:r>
      <w:r>
        <w:rPr>
          <w:rFonts w:ascii="Tahoma" w:hAnsi="Tahoma" w:cs="Tahoma"/>
          <w:color w:val="000000" w:themeColor="text1"/>
          <w:szCs w:val="21"/>
          <w:highlight w:val="none"/>
          <w14:textFill>
            <w14:solidFill>
              <w14:schemeClr w14:val="tx1"/>
            </w14:solidFill>
          </w14:textFill>
        </w:rPr>
        <w:t>日内对合同货物进行修复或替换。替换和修复工作的期限，除采购人同意的期限外，不得超过</w:t>
      </w:r>
      <w:r>
        <w:rPr>
          <w:rFonts w:ascii="Tahoma" w:hAnsi="Tahoma" w:cs="Tahoma"/>
          <w:color w:val="000000" w:themeColor="text1"/>
          <w:szCs w:val="21"/>
          <w:highlight w:val="none"/>
          <w:u w:val="single"/>
          <w14:textFill>
            <w14:solidFill>
              <w14:schemeClr w14:val="tx1"/>
            </w14:solidFill>
          </w14:textFill>
        </w:rPr>
        <w:t xml:space="preserve"> 1</w:t>
      </w:r>
      <w:r>
        <w:rPr>
          <w:rFonts w:ascii="Tahoma" w:hAnsi="Tahoma" w:cs="Tahoma"/>
          <w:color w:val="000000" w:themeColor="text1"/>
          <w:szCs w:val="21"/>
          <w:highlight w:val="none"/>
          <w14:textFill>
            <w14:solidFill>
              <w14:schemeClr w14:val="tx1"/>
            </w14:solidFill>
          </w14:textFill>
        </w:rPr>
        <w:t>个月，对于小的缺陷，在供方同意的情况下，可以由需方有关技术人员进行修复，费用由供方承担。</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11.9</w:t>
      </w:r>
      <w:r>
        <w:rPr>
          <w:rFonts w:ascii="Tahoma" w:hAnsi="Tahoma" w:cs="Tahoma"/>
          <w:color w:val="000000" w:themeColor="text1"/>
          <w:szCs w:val="21"/>
          <w:highlight w:val="none"/>
          <w14:textFill>
            <w14:solidFill>
              <w14:schemeClr w14:val="tx1"/>
            </w14:solidFill>
          </w14:textFill>
        </w:rPr>
        <w:t>如因供方原因在质保期内因合同货物维修而停止使用，则相应合同货物质保期应根据货物停运时间延长。对于维修量大或重新更换的合同货物，质保期应重新计算，为需方验收接受维修或更换合同货物后原质量保证期。</w:t>
      </w:r>
    </w:p>
    <w:p>
      <w:pPr>
        <w:spacing w:line="320" w:lineRule="exact"/>
        <w:jc w:val="center"/>
        <w:rPr>
          <w:rFonts w:ascii="Tahoma" w:hAnsi="Tahoma" w:eastAsia="黑体" w:cs="Tahoma"/>
          <w:b/>
          <w:color w:val="000000" w:themeColor="text1"/>
          <w:sz w:val="24"/>
          <w:highlight w:val="none"/>
          <w14:textFill>
            <w14:solidFill>
              <w14:schemeClr w14:val="tx1"/>
            </w14:solidFill>
          </w14:textFill>
        </w:rPr>
      </w:pPr>
      <w:r>
        <w:rPr>
          <w:rFonts w:ascii="Tahoma" w:hAnsi="Tahoma" w:eastAsia="黑体" w:cs="Tahoma"/>
          <w:b/>
          <w:color w:val="000000" w:themeColor="text1"/>
          <w:sz w:val="24"/>
          <w:highlight w:val="none"/>
          <w14:textFill>
            <w14:solidFill>
              <w14:schemeClr w14:val="tx1"/>
            </w14:solidFill>
          </w14:textFill>
        </w:rPr>
        <w:t>12、环境、职业健康和安全</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12.1</w:t>
      </w:r>
      <w:r>
        <w:rPr>
          <w:rFonts w:ascii="Tahoma" w:hAnsi="Tahoma" w:cs="Tahoma"/>
          <w:color w:val="000000" w:themeColor="text1"/>
          <w:szCs w:val="21"/>
          <w:highlight w:val="none"/>
          <w14:textFill>
            <w14:solidFill>
              <w14:schemeClr w14:val="tx1"/>
            </w14:solidFill>
          </w14:textFill>
        </w:rPr>
        <w:t>供方应当确保在产品制造过程中使用的材料和制作工艺符合国家标准，保证安装现场环境、职业健康和安全符合国家法律政策要求。所提供的货物应保证符合国家法律政策对</w:t>
      </w:r>
    </w:p>
    <w:p>
      <w:pPr>
        <w:spacing w:line="320" w:lineRule="exact"/>
        <w:rPr>
          <w:rFonts w:ascii="Tahoma" w:hAnsi="Tahoma" w:cs="Tahoma"/>
          <w:bCs/>
          <w:color w:val="000000" w:themeColor="text1"/>
          <w:szCs w:val="21"/>
          <w:highlight w:val="none"/>
          <w14:textFill>
            <w14:solidFill>
              <w14:schemeClr w14:val="tx1"/>
            </w14:solidFill>
          </w14:textFill>
        </w:rPr>
      </w:pPr>
      <w:r>
        <w:rPr>
          <w:rFonts w:ascii="Tahoma" w:hAnsi="Tahoma" w:cs="Tahoma"/>
          <w:bCs/>
          <w:color w:val="000000" w:themeColor="text1"/>
          <w:szCs w:val="21"/>
          <w:highlight w:val="none"/>
          <w14:textFill>
            <w14:solidFill>
              <w14:schemeClr w14:val="tx1"/>
            </w14:solidFill>
          </w14:textFill>
        </w:rPr>
        <w:t>使用人员在使用过程中关于</w:t>
      </w:r>
      <w:r>
        <w:rPr>
          <w:rFonts w:ascii="Tahoma" w:hAnsi="Tahoma" w:cs="Tahoma"/>
          <w:color w:val="000000" w:themeColor="text1"/>
          <w:szCs w:val="21"/>
          <w:highlight w:val="none"/>
          <w14:textFill>
            <w14:solidFill>
              <w14:schemeClr w14:val="tx1"/>
            </w14:solidFill>
          </w14:textFill>
        </w:rPr>
        <w:t>职业健康的要求。</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12.2</w:t>
      </w:r>
      <w:r>
        <w:rPr>
          <w:rFonts w:ascii="Tahoma" w:hAnsi="Tahoma" w:cs="Tahoma"/>
          <w:color w:val="000000" w:themeColor="text1"/>
          <w:szCs w:val="21"/>
          <w:highlight w:val="none"/>
          <w14:textFill>
            <w14:solidFill>
              <w14:schemeClr w14:val="tx1"/>
            </w14:solidFill>
          </w14:textFill>
        </w:rPr>
        <w:t>需方检验员在供方制造场所进行检验时，供方有责任提供给需方检验员一个安全的工作环境，并且告知其潜在的危险。如果检验员认为工作环境不安全，检验员可以不履行其工作。</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12.3</w:t>
      </w:r>
      <w:r>
        <w:rPr>
          <w:rFonts w:ascii="Tahoma" w:hAnsi="Tahoma" w:cs="Tahoma"/>
          <w:color w:val="000000" w:themeColor="text1"/>
          <w:szCs w:val="21"/>
          <w:highlight w:val="none"/>
          <w14:textFill>
            <w14:solidFill>
              <w14:schemeClr w14:val="tx1"/>
            </w14:solidFill>
          </w14:textFill>
        </w:rPr>
        <w:t>供方工作人员在需方安装现场进行服务时，应该遵守需方安装现场的“安全/环境管理规定”，服从需方安装现场安全人员的指挥。</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12.4</w:t>
      </w:r>
      <w:r>
        <w:rPr>
          <w:rFonts w:ascii="Tahoma" w:hAnsi="Tahoma" w:cs="Tahoma"/>
          <w:color w:val="000000" w:themeColor="text1"/>
          <w:szCs w:val="21"/>
          <w:highlight w:val="none"/>
          <w14:textFill>
            <w14:solidFill>
              <w14:schemeClr w14:val="tx1"/>
            </w14:solidFill>
          </w14:textFill>
        </w:rPr>
        <w:t>供方用于包装货物的包装材料应是符合环境要求的包装材料。</w:t>
      </w:r>
    </w:p>
    <w:p>
      <w:pPr>
        <w:spacing w:line="320" w:lineRule="exact"/>
        <w:jc w:val="center"/>
        <w:rPr>
          <w:rFonts w:ascii="Tahoma" w:hAnsi="Tahoma" w:eastAsia="黑体" w:cs="Tahoma"/>
          <w:b/>
          <w:color w:val="000000" w:themeColor="text1"/>
          <w:sz w:val="24"/>
          <w:highlight w:val="none"/>
          <w14:textFill>
            <w14:solidFill>
              <w14:schemeClr w14:val="tx1"/>
            </w14:solidFill>
          </w14:textFill>
        </w:rPr>
      </w:pPr>
      <w:r>
        <w:rPr>
          <w:rFonts w:ascii="Tahoma" w:hAnsi="Tahoma" w:eastAsia="黑体" w:cs="Tahoma"/>
          <w:b/>
          <w:color w:val="000000" w:themeColor="text1"/>
          <w:sz w:val="24"/>
          <w:highlight w:val="none"/>
          <w14:textFill>
            <w14:solidFill>
              <w14:schemeClr w14:val="tx1"/>
            </w14:solidFill>
          </w14:textFill>
        </w:rPr>
        <w:t>13、索赔</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13.1</w:t>
      </w:r>
      <w:r>
        <w:rPr>
          <w:rFonts w:ascii="Tahoma" w:hAnsi="Tahoma" w:cs="Tahoma"/>
          <w:color w:val="000000" w:themeColor="text1"/>
          <w:szCs w:val="21"/>
          <w:highlight w:val="none"/>
          <w14:textFill>
            <w14:solidFill>
              <w14:schemeClr w14:val="tx1"/>
            </w14:solidFill>
          </w14:textFill>
        </w:rPr>
        <w:t>在合同货物验收、安装、调试、型式接收试验及质保期内，如因供方原因合同货物在数量、质量、设计、技术参数、型式和技术运行等方面不符合合同的要求，需方有权提出索赔。供方应按下列一种方式或几种方式结合与需方达成协议。</w:t>
      </w:r>
    </w:p>
    <w:p>
      <w:pPr>
        <w:spacing w:line="320" w:lineRule="exact"/>
        <w:ind w:firstLine="105" w:firstLineChars="5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（1）同意退货并赔偿需方相应损失，供方赔偿额为相应合同货物价格和已发生的银行利息、手续费用、运输费用、保险费、现场存放费、装卸费、验收费用、已发生的合同货物保管等费用。</w:t>
      </w:r>
    </w:p>
    <w:p>
      <w:pPr>
        <w:spacing w:line="320" w:lineRule="exact"/>
        <w:ind w:firstLine="105" w:firstLineChars="5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（2）根据合同货物缺陷程度、损坏程度和损失金额，经双方同意对货物进行折价。</w:t>
      </w:r>
    </w:p>
    <w:p>
      <w:pPr>
        <w:spacing w:line="320" w:lineRule="exact"/>
        <w:ind w:firstLine="105" w:firstLineChars="5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（3）用符合本合同技术要求的新的零、部件对有缺陷或损坏的零、部件进行更换对缺少的货物进行补充，由此产生的全部费用包括需方的直接损失均由供方承担，更换后的货物质保期按11条的要求相应顺延。 </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13.2</w:t>
      </w:r>
      <w:r>
        <w:rPr>
          <w:rFonts w:ascii="Tahoma" w:hAnsi="Tahoma" w:cs="Tahoma"/>
          <w:color w:val="000000" w:themeColor="text1"/>
          <w:szCs w:val="21"/>
          <w:highlight w:val="none"/>
          <w14:textFill>
            <w14:solidFill>
              <w14:schemeClr w14:val="tx1"/>
            </w14:solidFill>
          </w14:textFill>
        </w:rPr>
        <w:t>如果供方在接到需方索赔通知单后</w:t>
      </w:r>
      <w:r>
        <w:rPr>
          <w:rFonts w:ascii="Tahoma" w:hAnsi="Tahoma" w:cs="Tahoma"/>
          <w:color w:val="000000" w:themeColor="text1"/>
          <w:szCs w:val="21"/>
          <w:highlight w:val="none"/>
          <w:u w:val="single"/>
          <w14:textFill>
            <w14:solidFill>
              <w14:schemeClr w14:val="tx1"/>
            </w14:solidFill>
          </w14:textFill>
        </w:rPr>
        <w:t xml:space="preserve"> 7</w:t>
      </w:r>
      <w:r>
        <w:rPr>
          <w:rFonts w:ascii="Tahoma" w:hAnsi="Tahoma" w:cs="Tahoma"/>
          <w:color w:val="000000" w:themeColor="text1"/>
          <w:szCs w:val="21"/>
          <w:highlight w:val="none"/>
          <w14:textFill>
            <w14:solidFill>
              <w14:schemeClr w14:val="tx1"/>
            </w14:solidFill>
          </w14:textFill>
        </w:rPr>
        <w:t>日内没有答复，则视为承包人接受索赔。</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13.3</w:t>
      </w:r>
      <w:r>
        <w:rPr>
          <w:rFonts w:ascii="Tahoma" w:hAnsi="Tahoma" w:cs="Tahoma"/>
          <w:color w:val="000000" w:themeColor="text1"/>
          <w:szCs w:val="21"/>
          <w:highlight w:val="none"/>
          <w14:textFill>
            <w14:solidFill>
              <w14:schemeClr w14:val="tx1"/>
            </w14:solidFill>
          </w14:textFill>
        </w:rPr>
        <w:t>如果供方不能按13.1（3）款完成合同货物的更换、修复或补充发货，供方应按合同有关条款的规定负担迟交货罚款。</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13.4</w:t>
      </w:r>
      <w:r>
        <w:rPr>
          <w:rFonts w:ascii="Tahoma" w:hAnsi="Tahoma" w:cs="Tahoma"/>
          <w:color w:val="000000" w:themeColor="text1"/>
          <w:szCs w:val="21"/>
          <w:highlight w:val="none"/>
          <w14:textFill>
            <w14:solidFill>
              <w14:schemeClr w14:val="tx1"/>
            </w14:solidFill>
          </w14:textFill>
        </w:rPr>
        <w:t>因供方原因而更换急需的合同货物，供方应在需方要求的时间内尽快运到目的现场，费用由供方负担。</w:t>
      </w:r>
    </w:p>
    <w:p>
      <w:pPr>
        <w:spacing w:line="320" w:lineRule="exact"/>
        <w:jc w:val="center"/>
        <w:rPr>
          <w:rFonts w:ascii="Tahoma" w:hAnsi="Tahoma" w:eastAsia="黑体" w:cs="Tahoma"/>
          <w:b/>
          <w:color w:val="000000" w:themeColor="text1"/>
          <w:sz w:val="24"/>
          <w:highlight w:val="none"/>
          <w14:textFill>
            <w14:solidFill>
              <w14:schemeClr w14:val="tx1"/>
            </w14:solidFill>
          </w14:textFill>
        </w:rPr>
      </w:pPr>
      <w:r>
        <w:rPr>
          <w:rFonts w:ascii="Tahoma" w:hAnsi="Tahoma" w:eastAsia="黑体" w:cs="Tahoma"/>
          <w:b/>
          <w:color w:val="000000" w:themeColor="text1"/>
          <w:sz w:val="24"/>
          <w:highlight w:val="none"/>
          <w14:textFill>
            <w14:solidFill>
              <w14:schemeClr w14:val="tx1"/>
            </w14:solidFill>
          </w14:textFill>
        </w:rPr>
        <w:t>14、付款</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14.1</w:t>
      </w:r>
      <w:r>
        <w:rPr>
          <w:rFonts w:ascii="Tahoma" w:hAnsi="Tahoma" w:cs="Tahoma"/>
          <w:color w:val="000000" w:themeColor="text1"/>
          <w:szCs w:val="21"/>
          <w:highlight w:val="none"/>
          <w14:textFill>
            <w14:solidFill>
              <w14:schemeClr w14:val="tx1"/>
            </w14:solidFill>
          </w14:textFill>
        </w:rPr>
        <w:t>本合同付款条件在专用条款中规定。</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14.2</w:t>
      </w:r>
      <w:r>
        <w:rPr>
          <w:rFonts w:ascii="Tahoma" w:hAnsi="Tahoma" w:cs="Tahoma"/>
          <w:color w:val="000000" w:themeColor="text1"/>
          <w:szCs w:val="21"/>
          <w:highlight w:val="none"/>
          <w14:textFill>
            <w14:solidFill>
              <w14:schemeClr w14:val="tx1"/>
            </w14:solidFill>
          </w14:textFill>
        </w:rPr>
        <w:t>供方应书面向需方提出付款要求，并附上对已递交货物和已履行服务的发票和通用条款第8条规定的单据，以及合同规定的其他义务已经履行的证明。</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14.3</w:t>
      </w:r>
      <w:r>
        <w:rPr>
          <w:rFonts w:ascii="Tahoma" w:hAnsi="Tahoma" w:cs="Tahoma"/>
          <w:color w:val="000000" w:themeColor="text1"/>
          <w:szCs w:val="21"/>
          <w:highlight w:val="none"/>
          <w14:textFill>
            <w14:solidFill>
              <w14:schemeClr w14:val="tx1"/>
            </w14:solidFill>
          </w14:textFill>
        </w:rPr>
        <w:t>付款方式：在专用条款中规定。</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14.4</w:t>
      </w:r>
      <w:r>
        <w:rPr>
          <w:rFonts w:ascii="Tahoma" w:hAnsi="Tahoma" w:cs="Tahoma"/>
          <w:color w:val="000000" w:themeColor="text1"/>
          <w:szCs w:val="21"/>
          <w:highlight w:val="none"/>
          <w14:textFill>
            <w14:solidFill>
              <w14:schemeClr w14:val="tx1"/>
            </w14:solidFill>
          </w14:textFill>
        </w:rPr>
        <w:t>付款比例：在专用条款中规定。</w:t>
      </w:r>
    </w:p>
    <w:p>
      <w:pPr>
        <w:pStyle w:val="10"/>
        <w:spacing w:line="320" w:lineRule="exact"/>
        <w:jc w:val="center"/>
        <w:rPr>
          <w:rFonts w:ascii="Tahoma" w:hAnsi="Tahoma" w:eastAsia="黑体" w:cs="Tahoma"/>
          <w:b/>
          <w:color w:val="000000" w:themeColor="text1"/>
          <w:highlight w:val="none"/>
          <w14:textFill>
            <w14:solidFill>
              <w14:schemeClr w14:val="tx1"/>
            </w14:solidFill>
          </w14:textFill>
        </w:rPr>
      </w:pPr>
      <w:r>
        <w:rPr>
          <w:rFonts w:ascii="Tahoma" w:hAnsi="Tahoma" w:eastAsia="黑体" w:cs="Tahoma"/>
          <w:b/>
          <w:color w:val="000000" w:themeColor="text1"/>
          <w:highlight w:val="none"/>
          <w14:textFill>
            <w14:solidFill>
              <w14:schemeClr w14:val="tx1"/>
            </w14:solidFill>
          </w14:textFill>
        </w:rPr>
        <w:t>15、价格</w:t>
      </w:r>
    </w:p>
    <w:p>
      <w:pPr>
        <w:pStyle w:val="10"/>
        <w:spacing w:line="320" w:lineRule="exact"/>
        <w:rPr>
          <w:rFonts w:ascii="Tahoma" w:hAnsi="Tahoma" w:cs="Tahoma"/>
          <w:color w:val="000000" w:themeColor="text1"/>
          <w:sz w:val="21"/>
          <w:szCs w:val="21"/>
          <w:highlight w:val="none"/>
          <w14:textFill>
            <w14:solidFill>
              <w14:schemeClr w14:val="tx1"/>
            </w14:solidFill>
          </w14:textFill>
        </w:rPr>
      </w:pPr>
      <w:r>
        <w:rPr>
          <w:rFonts w:ascii="Tahoma" w:hAnsi="Tahoma" w:cs="Tahoma"/>
          <w:b/>
          <w:color w:val="000000" w:themeColor="text1"/>
          <w:sz w:val="21"/>
          <w:szCs w:val="21"/>
          <w:highlight w:val="none"/>
          <w14:textFill>
            <w14:solidFill>
              <w14:schemeClr w14:val="tx1"/>
            </w14:solidFill>
          </w14:textFill>
        </w:rPr>
        <w:t>15.1</w:t>
      </w:r>
      <w:r>
        <w:rPr>
          <w:rFonts w:ascii="Tahoma" w:hAnsi="Tahoma" w:cs="Tahoma"/>
          <w:color w:val="000000" w:themeColor="text1"/>
          <w:sz w:val="21"/>
          <w:szCs w:val="21"/>
          <w:highlight w:val="none"/>
          <w14:textFill>
            <w14:solidFill>
              <w14:schemeClr w14:val="tx1"/>
            </w14:solidFill>
          </w14:textFill>
        </w:rPr>
        <w:t>供方在合同项下提交货物和履行服务收取的价格是招标文件中列明的各货物由供方在报价文件列明的价格，在合同履行期的固定、不变价，包括供方货物的制造、货物的材料费、运输费用、各种保险费用、包装费用、装卸（包括达到目的地后的卸车）保管费用、试验或检验费用、验收、移交、人员培训（现场免费培训）、损耗及各种税费等一切费用。双方不得以任何理由要求对合同中列明的各货物的价格进行调价。需方在本合同实施过程中也不会考虑给予供方无论因物价波动、货物按规定运送至需方指定目的地不变但实际运距与供方自行测定的运距发生变化等调整价格的任何因素。</w:t>
      </w:r>
    </w:p>
    <w:p>
      <w:pPr>
        <w:spacing w:line="320" w:lineRule="exact"/>
        <w:jc w:val="center"/>
        <w:rPr>
          <w:rFonts w:ascii="Tahoma" w:hAnsi="Tahoma" w:eastAsia="黑体" w:cs="Tahoma"/>
          <w:b/>
          <w:color w:val="000000" w:themeColor="text1"/>
          <w:sz w:val="24"/>
          <w:highlight w:val="none"/>
          <w14:textFill>
            <w14:solidFill>
              <w14:schemeClr w14:val="tx1"/>
            </w14:solidFill>
          </w14:textFill>
        </w:rPr>
      </w:pPr>
      <w:r>
        <w:rPr>
          <w:rFonts w:ascii="Tahoma" w:hAnsi="Tahoma" w:eastAsia="黑体" w:cs="Tahoma"/>
          <w:b/>
          <w:color w:val="000000" w:themeColor="text1"/>
          <w:sz w:val="24"/>
          <w:highlight w:val="none"/>
          <w14:textFill>
            <w14:solidFill>
              <w14:schemeClr w14:val="tx1"/>
            </w14:solidFill>
          </w14:textFill>
        </w:rPr>
        <w:t>16、变更指令和合同修改</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16.1</w:t>
      </w:r>
      <w:r>
        <w:rPr>
          <w:rFonts w:ascii="Tahoma" w:hAnsi="Tahoma" w:cs="Tahoma"/>
          <w:color w:val="000000" w:themeColor="text1"/>
          <w:szCs w:val="21"/>
          <w:highlight w:val="none"/>
          <w14:textFill>
            <w14:solidFill>
              <w14:schemeClr w14:val="tx1"/>
            </w14:solidFill>
          </w14:textFill>
        </w:rPr>
        <w:t>采购人可以在任何时候书面向承包人发出指令，在本合同的一般范围内变更下述一项或几项：</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（1）运输或包装的方法、货物数量；（2）交货地点和/或；（3）承包人提供的服务。其条件是：</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16.2</w:t>
      </w:r>
      <w:r>
        <w:rPr>
          <w:rFonts w:ascii="Tahoma" w:hAnsi="Tahoma" w:cs="Tahoma"/>
          <w:color w:val="000000" w:themeColor="text1"/>
          <w:szCs w:val="21"/>
          <w:highlight w:val="none"/>
          <w14:textFill>
            <w14:solidFill>
              <w14:schemeClr w14:val="tx1"/>
            </w14:solidFill>
          </w14:textFill>
        </w:rPr>
        <w:t>任何对合同条件的变更或修改均需双方同意并签订书面的修改书。</w:t>
      </w:r>
    </w:p>
    <w:p>
      <w:pPr>
        <w:spacing w:line="320" w:lineRule="exact"/>
        <w:jc w:val="center"/>
        <w:rPr>
          <w:rFonts w:ascii="Tahoma" w:hAnsi="Tahoma" w:eastAsia="黑体" w:cs="Tahoma"/>
          <w:b/>
          <w:color w:val="000000" w:themeColor="text1"/>
          <w:sz w:val="24"/>
          <w:highlight w:val="none"/>
          <w14:textFill>
            <w14:solidFill>
              <w14:schemeClr w14:val="tx1"/>
            </w14:solidFill>
          </w14:textFill>
        </w:rPr>
      </w:pPr>
      <w:r>
        <w:rPr>
          <w:rFonts w:ascii="Tahoma" w:hAnsi="Tahoma" w:eastAsia="黑体" w:cs="Tahoma"/>
          <w:b/>
          <w:color w:val="000000" w:themeColor="text1"/>
          <w:sz w:val="24"/>
          <w:highlight w:val="none"/>
          <w14:textFill>
            <w14:solidFill>
              <w14:schemeClr w14:val="tx1"/>
            </w14:solidFill>
          </w14:textFill>
        </w:rPr>
        <w:t>17、转让或分包</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17.1</w:t>
      </w:r>
      <w:r>
        <w:rPr>
          <w:rFonts w:ascii="Tahoma" w:hAnsi="Tahoma" w:cs="Tahoma"/>
          <w:color w:val="000000" w:themeColor="text1"/>
          <w:szCs w:val="21"/>
          <w:highlight w:val="none"/>
          <w14:textFill>
            <w14:solidFill>
              <w14:schemeClr w14:val="tx1"/>
            </w14:solidFill>
          </w14:textFill>
        </w:rPr>
        <w:t>本合同范围的货物，应由供方直接供应，不得转让他人供应。</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17.2</w:t>
      </w:r>
      <w:r>
        <w:rPr>
          <w:rFonts w:ascii="Tahoma" w:hAnsi="Tahoma" w:cs="Tahoma"/>
          <w:color w:val="000000" w:themeColor="text1"/>
          <w:szCs w:val="21"/>
          <w:highlight w:val="none"/>
          <w14:textFill>
            <w14:solidFill>
              <w14:schemeClr w14:val="tx1"/>
            </w14:solidFill>
          </w14:textFill>
        </w:rPr>
        <w:t>除需方事先书面同意外，供方不得部分转让或全部转让其应履行的义务。</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17.3</w:t>
      </w:r>
      <w:r>
        <w:rPr>
          <w:rFonts w:ascii="Tahoma" w:hAnsi="Tahoma" w:cs="Tahoma"/>
          <w:color w:val="000000" w:themeColor="text1"/>
          <w:szCs w:val="21"/>
          <w:highlight w:val="none"/>
          <w14:textFill>
            <w14:solidFill>
              <w14:schemeClr w14:val="tx1"/>
            </w14:solidFill>
          </w14:textFill>
        </w:rPr>
        <w:t>供方如有转让和未经甲方同意的分包行为，甲方有权解除合同，没收履约保证金并追究乙方的违约责任。</w:t>
      </w:r>
    </w:p>
    <w:p>
      <w:pPr>
        <w:spacing w:line="320" w:lineRule="exact"/>
        <w:jc w:val="center"/>
        <w:rPr>
          <w:rFonts w:ascii="Tahoma" w:hAnsi="Tahoma" w:eastAsia="黑体" w:cs="Tahoma"/>
          <w:b/>
          <w:color w:val="000000" w:themeColor="text1"/>
          <w:sz w:val="24"/>
          <w:highlight w:val="none"/>
          <w14:textFill>
            <w14:solidFill>
              <w14:schemeClr w14:val="tx1"/>
            </w14:solidFill>
          </w14:textFill>
        </w:rPr>
      </w:pPr>
      <w:r>
        <w:rPr>
          <w:rFonts w:ascii="Tahoma" w:hAnsi="Tahoma" w:eastAsia="黑体" w:cs="Tahoma"/>
          <w:b/>
          <w:color w:val="000000" w:themeColor="text1"/>
          <w:sz w:val="24"/>
          <w:highlight w:val="none"/>
          <w14:textFill>
            <w14:solidFill>
              <w14:schemeClr w14:val="tx1"/>
            </w14:solidFill>
          </w14:textFill>
        </w:rPr>
        <w:t>18、履约延误和罚款</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18.1</w:t>
      </w:r>
      <w:r>
        <w:rPr>
          <w:rFonts w:ascii="Tahoma" w:hAnsi="Tahoma" w:cs="Tahoma"/>
          <w:color w:val="000000" w:themeColor="text1"/>
          <w:szCs w:val="21"/>
          <w:highlight w:val="none"/>
          <w14:textFill>
            <w14:solidFill>
              <w14:schemeClr w14:val="tx1"/>
            </w14:solidFill>
          </w14:textFill>
        </w:rPr>
        <w:t>在履行合同过程中，如果供方遇到妨碍按时交货和提供服务的情况时，应及时以书面方式将拖延的事实、可能拖延的时间和原因通知需方。需方在收到供方通知后，应尽快对情况进行评价，并确定是否酌情延长交货时间以及是否收取误期赔偿费。延期应通过修改合同的方式由双方认可。</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18.2</w:t>
      </w:r>
      <w:r>
        <w:rPr>
          <w:rFonts w:ascii="Tahoma" w:hAnsi="Tahoma" w:cs="Tahoma"/>
          <w:color w:val="000000" w:themeColor="text1"/>
          <w:szCs w:val="21"/>
          <w:highlight w:val="none"/>
          <w14:textFill>
            <w14:solidFill>
              <w14:schemeClr w14:val="tx1"/>
            </w14:solidFill>
          </w14:textFill>
        </w:rPr>
        <w:t>如供方未能按本合同规定按时交货和提供服务，需方有权从合同价中扣除误期赔偿费。罚款应从付款中扣除。罚款比例见专用合同条款规定。承包人支付违约金并不排除承包人继续发货和提供服务的责任。一旦达到罚款的最高限额，供方可考虑按通用条款第19条规定终止合同。</w:t>
      </w:r>
    </w:p>
    <w:p>
      <w:pPr>
        <w:spacing w:line="320" w:lineRule="exact"/>
        <w:jc w:val="center"/>
        <w:rPr>
          <w:rFonts w:ascii="Tahoma" w:hAnsi="Tahoma" w:eastAsia="黑体" w:cs="Tahoma"/>
          <w:b/>
          <w:color w:val="000000" w:themeColor="text1"/>
          <w:sz w:val="24"/>
          <w:highlight w:val="none"/>
          <w14:textFill>
            <w14:solidFill>
              <w14:schemeClr w14:val="tx1"/>
            </w14:solidFill>
          </w14:textFill>
        </w:rPr>
      </w:pPr>
      <w:r>
        <w:rPr>
          <w:rFonts w:ascii="Tahoma" w:hAnsi="Tahoma" w:eastAsia="黑体" w:cs="Tahoma"/>
          <w:b/>
          <w:color w:val="000000" w:themeColor="text1"/>
          <w:sz w:val="24"/>
          <w:highlight w:val="none"/>
          <w14:textFill>
            <w14:solidFill>
              <w14:schemeClr w14:val="tx1"/>
            </w14:solidFill>
          </w14:textFill>
        </w:rPr>
        <w:t>19、终止合同</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19.1</w:t>
      </w:r>
      <w:r>
        <w:rPr>
          <w:rFonts w:ascii="Tahoma" w:hAnsi="Tahoma" w:cs="Tahoma"/>
          <w:color w:val="000000" w:themeColor="text1"/>
          <w:szCs w:val="21"/>
          <w:highlight w:val="none"/>
          <w14:textFill>
            <w14:solidFill>
              <w14:schemeClr w14:val="tx1"/>
            </w14:solidFill>
          </w14:textFill>
        </w:rPr>
        <w:t>供方违约终止合同：在供方违约的情况下，需方可向供方发出书面违约的通知书，提出终止部分或全部合同。供方应承担购买类似货物所超出的那部分费用。同时，供方应继续执行合同中未终止的部分。</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19.2</w:t>
      </w:r>
      <w:r>
        <w:rPr>
          <w:rFonts w:ascii="Tahoma" w:hAnsi="Tahoma" w:cs="Tahoma"/>
          <w:color w:val="000000" w:themeColor="text1"/>
          <w:szCs w:val="21"/>
          <w:highlight w:val="none"/>
          <w14:textFill>
            <w14:solidFill>
              <w14:schemeClr w14:val="tx1"/>
            </w14:solidFill>
          </w14:textFill>
        </w:rPr>
        <w:t>供方破产终止合同：如果供方因破产或无清偿能力，需方可在任何时候以书面方式通知供方，提出终止合同而不给需方补偿。该终止合同将不损害或影响需方已采取或将要采取的任何行动或补救措施的权利。</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19.3</w:t>
      </w:r>
      <w:r>
        <w:rPr>
          <w:rFonts w:ascii="Tahoma" w:hAnsi="Tahoma" w:cs="Tahoma"/>
          <w:color w:val="000000" w:themeColor="text1"/>
          <w:szCs w:val="21"/>
          <w:highlight w:val="none"/>
          <w14:textFill>
            <w14:solidFill>
              <w14:schemeClr w14:val="tx1"/>
            </w14:solidFill>
          </w14:textFill>
        </w:rPr>
        <w:t>不可抗力终止合同：如果第20条所述的不可抗力事故发生时间超过</w:t>
      </w:r>
      <w:r>
        <w:rPr>
          <w:rFonts w:ascii="Tahoma" w:hAnsi="Tahoma" w:cs="Tahoma"/>
          <w:color w:val="000000" w:themeColor="text1"/>
          <w:szCs w:val="21"/>
          <w:highlight w:val="none"/>
          <w:u w:val="single"/>
          <w14:textFill>
            <w14:solidFill>
              <w14:schemeClr w14:val="tx1"/>
            </w14:solidFill>
          </w14:textFill>
        </w:rPr>
        <w:t xml:space="preserve"> 120</w:t>
      </w:r>
      <w:r>
        <w:rPr>
          <w:rFonts w:ascii="Tahoma" w:hAnsi="Tahoma" w:cs="Tahoma"/>
          <w:color w:val="000000" w:themeColor="text1"/>
          <w:szCs w:val="21"/>
          <w:highlight w:val="none"/>
          <w14:textFill>
            <w14:solidFill>
              <w14:schemeClr w14:val="tx1"/>
            </w14:solidFill>
          </w14:textFill>
        </w:rPr>
        <w:t>日，供方仍不能履行合同的，采购人有权终止合同。</w:t>
      </w:r>
    </w:p>
    <w:p>
      <w:pPr>
        <w:spacing w:line="320" w:lineRule="exact"/>
        <w:jc w:val="center"/>
        <w:rPr>
          <w:rFonts w:ascii="Tahoma" w:hAnsi="Tahoma" w:eastAsia="黑体" w:cs="Tahoma"/>
          <w:b/>
          <w:color w:val="000000" w:themeColor="text1"/>
          <w:sz w:val="24"/>
          <w:highlight w:val="none"/>
          <w14:textFill>
            <w14:solidFill>
              <w14:schemeClr w14:val="tx1"/>
            </w14:solidFill>
          </w14:textFill>
        </w:rPr>
      </w:pPr>
      <w:r>
        <w:rPr>
          <w:rFonts w:ascii="Tahoma" w:hAnsi="Tahoma" w:eastAsia="黑体" w:cs="Tahoma"/>
          <w:b/>
          <w:color w:val="000000" w:themeColor="text1"/>
          <w:sz w:val="24"/>
          <w:highlight w:val="none"/>
          <w14:textFill>
            <w14:solidFill>
              <w14:schemeClr w14:val="tx1"/>
            </w14:solidFill>
          </w14:textFill>
        </w:rPr>
        <w:t>20、不可抗力</w:t>
      </w:r>
    </w:p>
    <w:p>
      <w:pPr>
        <w:spacing w:line="320" w:lineRule="exact"/>
        <w:rPr>
          <w:rFonts w:ascii="Tahoma" w:hAnsi="Tahoma" w:cs="Tahoma"/>
          <w:b/>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20.1</w:t>
      </w:r>
      <w:r>
        <w:rPr>
          <w:rFonts w:ascii="Tahoma" w:hAnsi="Tahoma" w:cs="Tahoma"/>
          <w:color w:val="000000" w:themeColor="text1"/>
          <w:szCs w:val="21"/>
          <w:highlight w:val="none"/>
          <w14:textFill>
            <w14:solidFill>
              <w14:schemeClr w14:val="tx1"/>
            </w14:solidFill>
          </w14:textFill>
        </w:rPr>
        <w:t>双方由于不可抗力因素，如战争、严重的火灾、水灾、台风、地震等事件或双方同意的任何一方都无法控制事件以及其它双方同意的不可抗力事故而影响合同执行时，则合同履行时间可以延迟，延迟履行合同的期限应相当于事故影响的时间。</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20.2</w:t>
      </w:r>
      <w:r>
        <w:rPr>
          <w:rFonts w:ascii="Tahoma" w:hAnsi="Tahoma" w:cs="Tahoma"/>
          <w:color w:val="000000" w:themeColor="text1"/>
          <w:szCs w:val="21"/>
          <w:highlight w:val="none"/>
          <w14:textFill>
            <w14:solidFill>
              <w14:schemeClr w14:val="tx1"/>
            </w14:solidFill>
          </w14:textFill>
        </w:rPr>
        <w:t>受不可抗力影响的一方应尽快将所发生的不可抗力事故情况以书面方式通知另一方，并在</w:t>
      </w:r>
      <w:r>
        <w:rPr>
          <w:rFonts w:ascii="Tahoma" w:hAnsi="Tahoma" w:cs="Tahoma"/>
          <w:color w:val="000000" w:themeColor="text1"/>
          <w:szCs w:val="21"/>
          <w:highlight w:val="none"/>
          <w:u w:val="single"/>
          <w14:textFill>
            <w14:solidFill>
              <w14:schemeClr w14:val="tx1"/>
            </w14:solidFill>
          </w14:textFill>
        </w:rPr>
        <w:t>15</w:t>
      </w:r>
      <w:r>
        <w:rPr>
          <w:rFonts w:ascii="Tahoma" w:hAnsi="Tahoma" w:cs="Tahoma"/>
          <w:color w:val="000000" w:themeColor="text1"/>
          <w:szCs w:val="21"/>
          <w:highlight w:val="none"/>
          <w14:textFill>
            <w14:solidFill>
              <w14:schemeClr w14:val="tx1"/>
            </w14:solidFill>
          </w14:textFill>
        </w:rPr>
        <w:t>日内以最快的专递方式将有关部门出具的证明文件提交给另一方审阅确认。如果不可抗力事故影响本合同执行超过</w:t>
      </w:r>
      <w:r>
        <w:rPr>
          <w:rFonts w:ascii="Tahoma" w:hAnsi="Tahoma" w:cs="Tahoma"/>
          <w:color w:val="000000" w:themeColor="text1"/>
          <w:szCs w:val="21"/>
          <w:highlight w:val="none"/>
          <w:u w:val="single"/>
          <w14:textFill>
            <w14:solidFill>
              <w14:schemeClr w14:val="tx1"/>
            </w14:solidFill>
          </w14:textFill>
        </w:rPr>
        <w:t>30</w:t>
      </w:r>
      <w:r>
        <w:rPr>
          <w:rFonts w:ascii="Tahoma" w:hAnsi="Tahoma" w:cs="Tahoma"/>
          <w:color w:val="000000" w:themeColor="text1"/>
          <w:szCs w:val="21"/>
          <w:highlight w:val="none"/>
          <w14:textFill>
            <w14:solidFill>
              <w14:schemeClr w14:val="tx1"/>
            </w14:solidFill>
          </w14:textFill>
        </w:rPr>
        <w:t>日，双方应尽快通过友好协商来解决合同执行问题并达成协议，超过</w:t>
      </w:r>
      <w:r>
        <w:rPr>
          <w:rFonts w:ascii="Tahoma" w:hAnsi="Tahoma" w:cs="Tahoma"/>
          <w:color w:val="000000" w:themeColor="text1"/>
          <w:szCs w:val="21"/>
          <w:highlight w:val="none"/>
          <w:u w:val="single"/>
          <w14:textFill>
            <w14:solidFill>
              <w14:schemeClr w14:val="tx1"/>
            </w14:solidFill>
          </w14:textFill>
        </w:rPr>
        <w:t>120</w:t>
      </w:r>
      <w:r>
        <w:rPr>
          <w:rFonts w:ascii="Tahoma" w:hAnsi="Tahoma" w:cs="Tahoma"/>
          <w:color w:val="000000" w:themeColor="text1"/>
          <w:szCs w:val="21"/>
          <w:highlight w:val="none"/>
          <w14:textFill>
            <w14:solidFill>
              <w14:schemeClr w14:val="tx1"/>
            </w14:solidFill>
          </w14:textFill>
        </w:rPr>
        <w:t>日，应按上述第19.3款的规定执行。</w:t>
      </w:r>
    </w:p>
    <w:p>
      <w:pPr>
        <w:spacing w:line="320" w:lineRule="exact"/>
        <w:jc w:val="center"/>
        <w:rPr>
          <w:rFonts w:ascii="Tahoma" w:hAnsi="Tahoma" w:eastAsia="黑体" w:cs="Tahoma"/>
          <w:b/>
          <w:color w:val="000000" w:themeColor="text1"/>
          <w:sz w:val="24"/>
          <w:highlight w:val="none"/>
          <w14:textFill>
            <w14:solidFill>
              <w14:schemeClr w14:val="tx1"/>
            </w14:solidFill>
          </w14:textFill>
        </w:rPr>
      </w:pPr>
      <w:r>
        <w:rPr>
          <w:rFonts w:ascii="Tahoma" w:hAnsi="Tahoma" w:eastAsia="黑体" w:cs="Tahoma"/>
          <w:b/>
          <w:color w:val="000000" w:themeColor="text1"/>
          <w:sz w:val="24"/>
          <w:highlight w:val="none"/>
          <w14:textFill>
            <w14:solidFill>
              <w14:schemeClr w14:val="tx1"/>
            </w14:solidFill>
          </w14:textFill>
        </w:rPr>
        <w:t>21、争议的解决</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21.1</w:t>
      </w:r>
      <w:r>
        <w:rPr>
          <w:rFonts w:ascii="Tahoma" w:hAnsi="Tahoma" w:cs="Tahoma"/>
          <w:color w:val="000000" w:themeColor="text1"/>
          <w:szCs w:val="21"/>
          <w:highlight w:val="none"/>
          <w14:textFill>
            <w14:solidFill>
              <w14:schemeClr w14:val="tx1"/>
            </w14:solidFill>
          </w14:textFill>
        </w:rPr>
        <w:t>双方应通过直接的友好协商解决本合同中所发生的或与本合同有关的一切争议。如从该协商开始后</w:t>
      </w:r>
      <w:r>
        <w:rPr>
          <w:rFonts w:ascii="Tahoma" w:hAnsi="Tahoma" w:cs="Tahoma"/>
          <w:color w:val="000000" w:themeColor="text1"/>
          <w:szCs w:val="21"/>
          <w:highlight w:val="none"/>
          <w:u w:val="single"/>
          <w14:textFill>
            <w14:solidFill>
              <w14:schemeClr w14:val="tx1"/>
            </w14:solidFill>
          </w14:textFill>
        </w:rPr>
        <w:t>30</w:t>
      </w:r>
      <w:r>
        <w:rPr>
          <w:rFonts w:ascii="Tahoma" w:hAnsi="Tahoma" w:cs="Tahoma"/>
          <w:color w:val="000000" w:themeColor="text1"/>
          <w:szCs w:val="21"/>
          <w:highlight w:val="none"/>
          <w14:textFill>
            <w14:solidFill>
              <w14:schemeClr w14:val="tx1"/>
            </w14:solidFill>
          </w14:textFill>
        </w:rPr>
        <w:t>日内供方和需方仍不能友好解决合同争端，合同双方中的任何一方可向需方所在地法院起诉。</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21.2</w:t>
      </w:r>
      <w:r>
        <w:rPr>
          <w:rFonts w:ascii="Tahoma" w:hAnsi="Tahoma" w:cs="Tahoma"/>
          <w:color w:val="000000" w:themeColor="text1"/>
          <w:szCs w:val="21"/>
          <w:highlight w:val="none"/>
          <w14:textFill>
            <w14:solidFill>
              <w14:schemeClr w14:val="tx1"/>
            </w14:solidFill>
          </w14:textFill>
        </w:rPr>
        <w:t>在诉讼期间，除争议部分外，其他合同部分应继续执行。</w:t>
      </w:r>
    </w:p>
    <w:p>
      <w:pPr>
        <w:spacing w:line="320" w:lineRule="exact"/>
        <w:jc w:val="center"/>
        <w:rPr>
          <w:rFonts w:ascii="Tahoma" w:hAnsi="Tahoma" w:eastAsia="黑体" w:cs="Tahoma"/>
          <w:b/>
          <w:color w:val="000000" w:themeColor="text1"/>
          <w:sz w:val="24"/>
          <w:highlight w:val="none"/>
          <w14:textFill>
            <w14:solidFill>
              <w14:schemeClr w14:val="tx1"/>
            </w14:solidFill>
          </w14:textFill>
        </w:rPr>
      </w:pPr>
      <w:r>
        <w:rPr>
          <w:rFonts w:ascii="Tahoma" w:hAnsi="Tahoma" w:eastAsia="黑体" w:cs="Tahoma"/>
          <w:b/>
          <w:color w:val="000000" w:themeColor="text1"/>
          <w:sz w:val="24"/>
          <w:highlight w:val="none"/>
          <w14:textFill>
            <w14:solidFill>
              <w14:schemeClr w14:val="tx1"/>
            </w14:solidFill>
          </w14:textFill>
        </w:rPr>
        <w:t>22、税费</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22.1</w:t>
      </w:r>
      <w:r>
        <w:rPr>
          <w:rFonts w:ascii="Tahoma" w:hAnsi="Tahoma" w:cs="Tahoma"/>
          <w:color w:val="000000" w:themeColor="text1"/>
          <w:szCs w:val="21"/>
          <w:highlight w:val="none"/>
          <w14:textFill>
            <w14:solidFill>
              <w14:schemeClr w14:val="tx1"/>
            </w14:solidFill>
          </w14:textFill>
        </w:rPr>
        <w:t>根据国家有关税务的法律、法规和规定，供方应该交纳的与本合同有关的税费，其费用由供方承担。</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22.2</w:t>
      </w:r>
      <w:r>
        <w:rPr>
          <w:rFonts w:ascii="Tahoma" w:hAnsi="Tahoma" w:cs="Tahoma"/>
          <w:color w:val="000000" w:themeColor="text1"/>
          <w:szCs w:val="21"/>
          <w:highlight w:val="none"/>
          <w14:textFill>
            <w14:solidFill>
              <w14:schemeClr w14:val="tx1"/>
            </w14:solidFill>
          </w14:textFill>
        </w:rPr>
        <w:t xml:space="preserve">.本合同价格为含税价。供方提供的货物、技术资料、服务（包括运输）等所有税费（包括保险费）已全部包含在合同价格内，由供方承担。 </w:t>
      </w:r>
    </w:p>
    <w:p>
      <w:pPr>
        <w:spacing w:line="320" w:lineRule="exact"/>
        <w:jc w:val="center"/>
        <w:rPr>
          <w:rFonts w:ascii="Tahoma" w:hAnsi="Tahoma" w:eastAsia="黑体" w:cs="Tahoma"/>
          <w:b/>
          <w:color w:val="000000" w:themeColor="text1"/>
          <w:sz w:val="24"/>
          <w:highlight w:val="none"/>
          <w14:textFill>
            <w14:solidFill>
              <w14:schemeClr w14:val="tx1"/>
            </w14:solidFill>
          </w14:textFill>
        </w:rPr>
      </w:pPr>
      <w:r>
        <w:rPr>
          <w:rFonts w:ascii="Tahoma" w:hAnsi="Tahoma" w:eastAsia="黑体" w:cs="Tahoma"/>
          <w:b/>
          <w:color w:val="000000" w:themeColor="text1"/>
          <w:sz w:val="24"/>
          <w:highlight w:val="none"/>
          <w14:textFill>
            <w14:solidFill>
              <w14:schemeClr w14:val="tx1"/>
            </w14:solidFill>
          </w14:textFill>
        </w:rPr>
        <w:t>23、适用法律</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23.1</w:t>
      </w:r>
      <w:r>
        <w:rPr>
          <w:rFonts w:ascii="Tahoma" w:hAnsi="Tahoma" w:cs="Tahoma"/>
          <w:color w:val="000000" w:themeColor="text1"/>
          <w:szCs w:val="21"/>
          <w:highlight w:val="none"/>
          <w14:textFill>
            <w14:solidFill>
              <w14:schemeClr w14:val="tx1"/>
            </w14:solidFill>
          </w14:textFill>
        </w:rPr>
        <w:t>本合同适用中华人民共和国法律。</w:t>
      </w:r>
    </w:p>
    <w:p>
      <w:pPr>
        <w:spacing w:line="320" w:lineRule="exact"/>
        <w:jc w:val="center"/>
        <w:rPr>
          <w:rFonts w:ascii="Tahoma" w:hAnsi="Tahoma" w:eastAsia="黑体" w:cs="Tahoma"/>
          <w:b/>
          <w:color w:val="000000" w:themeColor="text1"/>
          <w:sz w:val="24"/>
          <w:highlight w:val="none"/>
          <w14:textFill>
            <w14:solidFill>
              <w14:schemeClr w14:val="tx1"/>
            </w14:solidFill>
          </w14:textFill>
        </w:rPr>
      </w:pPr>
      <w:r>
        <w:rPr>
          <w:rFonts w:ascii="Tahoma" w:hAnsi="Tahoma" w:eastAsia="黑体" w:cs="Tahoma"/>
          <w:b/>
          <w:color w:val="000000" w:themeColor="text1"/>
          <w:sz w:val="24"/>
          <w:highlight w:val="none"/>
          <w14:textFill>
            <w14:solidFill>
              <w14:schemeClr w14:val="tx1"/>
            </w14:solidFill>
          </w14:textFill>
        </w:rPr>
        <w:t>24、通知</w:t>
      </w:r>
    </w:p>
    <w:p>
      <w:pPr>
        <w:spacing w:line="400" w:lineRule="exact"/>
        <w:rPr>
          <w:rFonts w:ascii="Tahoma" w:hAnsi="Tahoma" w:cs="Tahoma"/>
          <w:color w:val="000000" w:themeColor="text1"/>
          <w:sz w:val="24"/>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24.1</w:t>
      </w:r>
      <w:r>
        <w:rPr>
          <w:rFonts w:ascii="Tahoma" w:hAnsi="Tahoma" w:cs="Tahoma"/>
          <w:color w:val="000000" w:themeColor="text1"/>
          <w:szCs w:val="21"/>
          <w:highlight w:val="none"/>
          <w14:textFill>
            <w14:solidFill>
              <w14:schemeClr w14:val="tx1"/>
            </w14:solidFill>
          </w14:textFill>
        </w:rPr>
        <w:t>本合同一方给对方的通知应用书面形式送达到合同规定的对方的地址。</w:t>
      </w:r>
    </w:p>
    <w:p>
      <w:pPr>
        <w:shd w:val="clear" w:color="auto" w:fill="FFFFFF"/>
        <w:snapToGrid w:val="0"/>
        <w:spacing w:line="400" w:lineRule="exact"/>
        <w:jc w:val="center"/>
        <w:rPr>
          <w:rFonts w:ascii="Tahoma" w:hAnsi="Tahoma" w:cs="Tahoma"/>
          <w:b/>
          <w:bCs/>
          <w:color w:val="000000" w:themeColor="text1"/>
          <w:kern w:val="0"/>
          <w:sz w:val="24"/>
          <w:szCs w:val="30"/>
          <w:highlight w:val="none"/>
          <w14:textFill>
            <w14:solidFill>
              <w14:schemeClr w14:val="tx1"/>
            </w14:solidFill>
          </w14:textFill>
        </w:rPr>
      </w:pPr>
    </w:p>
    <w:p>
      <w:pPr>
        <w:shd w:val="clear" w:color="auto" w:fill="FFFFFF"/>
        <w:snapToGrid w:val="0"/>
        <w:spacing w:line="400" w:lineRule="exact"/>
        <w:jc w:val="center"/>
        <w:rPr>
          <w:rFonts w:ascii="Tahoma" w:hAnsi="Tahoma" w:cs="Tahoma"/>
          <w:b/>
          <w:bCs/>
          <w:color w:val="000000" w:themeColor="text1"/>
          <w:kern w:val="0"/>
          <w:sz w:val="32"/>
          <w:szCs w:val="30"/>
          <w:highlight w:val="none"/>
          <w14:textFill>
            <w14:solidFill>
              <w14:schemeClr w14:val="tx1"/>
            </w14:solidFill>
          </w14:textFill>
        </w:rPr>
      </w:pPr>
    </w:p>
    <w:p>
      <w:pPr>
        <w:shd w:val="clear" w:color="auto" w:fill="FFFFFF"/>
        <w:snapToGrid w:val="0"/>
        <w:spacing w:line="400" w:lineRule="exact"/>
        <w:jc w:val="center"/>
        <w:rPr>
          <w:rFonts w:ascii="Tahoma" w:hAnsi="Tahoma" w:cs="Tahoma"/>
          <w:b/>
          <w:bCs/>
          <w:color w:val="000000" w:themeColor="text1"/>
          <w:kern w:val="0"/>
          <w:sz w:val="32"/>
          <w:szCs w:val="30"/>
          <w:highlight w:val="none"/>
          <w14:textFill>
            <w14:solidFill>
              <w14:schemeClr w14:val="tx1"/>
            </w14:solidFill>
          </w14:textFill>
        </w:rPr>
      </w:pPr>
    </w:p>
    <w:p>
      <w:pPr>
        <w:shd w:val="clear" w:color="auto" w:fill="FFFFFF"/>
        <w:snapToGrid w:val="0"/>
        <w:spacing w:line="400" w:lineRule="exact"/>
        <w:jc w:val="center"/>
        <w:rPr>
          <w:rFonts w:ascii="Tahoma" w:hAnsi="Tahoma" w:cs="Tahoma"/>
          <w:b/>
          <w:bCs/>
          <w:color w:val="000000" w:themeColor="text1"/>
          <w:kern w:val="0"/>
          <w:sz w:val="32"/>
          <w:szCs w:val="30"/>
          <w:highlight w:val="none"/>
          <w14:textFill>
            <w14:solidFill>
              <w14:schemeClr w14:val="tx1"/>
            </w14:solidFill>
          </w14:textFill>
        </w:rPr>
      </w:pPr>
    </w:p>
    <w:p>
      <w:pPr>
        <w:shd w:val="clear" w:color="auto" w:fill="FFFFFF"/>
        <w:snapToGrid w:val="0"/>
        <w:spacing w:line="400" w:lineRule="exact"/>
        <w:jc w:val="center"/>
        <w:rPr>
          <w:rFonts w:ascii="Tahoma" w:hAnsi="Tahoma" w:cs="Tahoma"/>
          <w:b/>
          <w:bCs/>
          <w:color w:val="000000" w:themeColor="text1"/>
          <w:kern w:val="0"/>
          <w:sz w:val="32"/>
          <w:szCs w:val="30"/>
          <w:highlight w:val="none"/>
          <w14:textFill>
            <w14:solidFill>
              <w14:schemeClr w14:val="tx1"/>
            </w14:solidFill>
          </w14:textFill>
        </w:rPr>
      </w:pPr>
    </w:p>
    <w:p>
      <w:pPr>
        <w:shd w:val="clear" w:color="auto" w:fill="FFFFFF"/>
        <w:snapToGrid w:val="0"/>
        <w:spacing w:line="400" w:lineRule="exact"/>
        <w:jc w:val="center"/>
        <w:rPr>
          <w:rFonts w:ascii="Tahoma" w:hAnsi="Tahoma" w:cs="Tahoma"/>
          <w:b/>
          <w:bCs/>
          <w:color w:val="000000" w:themeColor="text1"/>
          <w:kern w:val="0"/>
          <w:sz w:val="32"/>
          <w:szCs w:val="30"/>
          <w:highlight w:val="none"/>
          <w14:textFill>
            <w14:solidFill>
              <w14:schemeClr w14:val="tx1"/>
            </w14:solidFill>
          </w14:textFill>
        </w:rPr>
      </w:pPr>
    </w:p>
    <w:p>
      <w:pPr>
        <w:shd w:val="clear" w:color="auto" w:fill="FFFFFF"/>
        <w:snapToGrid w:val="0"/>
        <w:spacing w:line="400" w:lineRule="exact"/>
        <w:jc w:val="center"/>
        <w:rPr>
          <w:rFonts w:ascii="Tahoma" w:hAnsi="Tahoma" w:cs="Tahoma"/>
          <w:b/>
          <w:bCs/>
          <w:color w:val="000000" w:themeColor="text1"/>
          <w:kern w:val="0"/>
          <w:sz w:val="32"/>
          <w:szCs w:val="30"/>
          <w:highlight w:val="none"/>
          <w14:textFill>
            <w14:solidFill>
              <w14:schemeClr w14:val="tx1"/>
            </w14:solidFill>
          </w14:textFill>
        </w:rPr>
      </w:pPr>
    </w:p>
    <w:p>
      <w:pPr>
        <w:shd w:val="clear" w:color="auto" w:fill="FFFFFF"/>
        <w:snapToGrid w:val="0"/>
        <w:spacing w:line="400" w:lineRule="exact"/>
        <w:jc w:val="center"/>
        <w:rPr>
          <w:rFonts w:ascii="Tahoma" w:hAnsi="Tahoma" w:cs="Tahoma"/>
          <w:b/>
          <w:bCs/>
          <w:color w:val="000000" w:themeColor="text1"/>
          <w:kern w:val="0"/>
          <w:sz w:val="32"/>
          <w:szCs w:val="30"/>
          <w:highlight w:val="none"/>
          <w14:textFill>
            <w14:solidFill>
              <w14:schemeClr w14:val="tx1"/>
            </w14:solidFill>
          </w14:textFill>
        </w:rPr>
      </w:pPr>
    </w:p>
    <w:p>
      <w:pPr>
        <w:shd w:val="clear" w:color="auto" w:fill="FFFFFF"/>
        <w:snapToGrid w:val="0"/>
        <w:spacing w:line="400" w:lineRule="exact"/>
        <w:jc w:val="center"/>
        <w:rPr>
          <w:rFonts w:ascii="Tahoma" w:hAnsi="Tahoma" w:cs="Tahoma"/>
          <w:b/>
          <w:bCs/>
          <w:color w:val="000000" w:themeColor="text1"/>
          <w:kern w:val="0"/>
          <w:sz w:val="32"/>
          <w:szCs w:val="30"/>
          <w:highlight w:val="none"/>
          <w14:textFill>
            <w14:solidFill>
              <w14:schemeClr w14:val="tx1"/>
            </w14:solidFill>
          </w14:textFill>
        </w:rPr>
      </w:pPr>
    </w:p>
    <w:p>
      <w:pPr>
        <w:shd w:val="clear" w:color="auto" w:fill="FFFFFF"/>
        <w:snapToGrid w:val="0"/>
        <w:spacing w:line="400" w:lineRule="exact"/>
        <w:jc w:val="center"/>
        <w:rPr>
          <w:rFonts w:ascii="Tahoma" w:hAnsi="Tahoma" w:cs="Tahoma"/>
          <w:b/>
          <w:bCs/>
          <w:color w:val="000000" w:themeColor="text1"/>
          <w:kern w:val="0"/>
          <w:sz w:val="32"/>
          <w:szCs w:val="30"/>
          <w:highlight w:val="none"/>
          <w14:textFill>
            <w14:solidFill>
              <w14:schemeClr w14:val="tx1"/>
            </w14:solidFill>
          </w14:textFill>
        </w:rPr>
      </w:pPr>
    </w:p>
    <w:p>
      <w:pPr>
        <w:shd w:val="clear" w:color="auto" w:fill="FFFFFF"/>
        <w:snapToGrid w:val="0"/>
        <w:spacing w:line="400" w:lineRule="exact"/>
        <w:jc w:val="center"/>
        <w:rPr>
          <w:rFonts w:ascii="Tahoma" w:hAnsi="Tahoma" w:cs="Tahoma"/>
          <w:b/>
          <w:bCs/>
          <w:color w:val="000000" w:themeColor="text1"/>
          <w:kern w:val="0"/>
          <w:sz w:val="32"/>
          <w:szCs w:val="30"/>
          <w:highlight w:val="none"/>
          <w14:textFill>
            <w14:solidFill>
              <w14:schemeClr w14:val="tx1"/>
            </w14:solidFill>
          </w14:textFill>
        </w:rPr>
      </w:pPr>
    </w:p>
    <w:p>
      <w:pPr>
        <w:shd w:val="clear" w:color="auto" w:fill="FFFFFF"/>
        <w:snapToGrid w:val="0"/>
        <w:spacing w:line="400" w:lineRule="exact"/>
        <w:jc w:val="center"/>
        <w:rPr>
          <w:rFonts w:ascii="Tahoma" w:hAnsi="Tahoma" w:cs="Tahoma"/>
          <w:b/>
          <w:bCs/>
          <w:color w:val="000000" w:themeColor="text1"/>
          <w:kern w:val="0"/>
          <w:sz w:val="32"/>
          <w:szCs w:val="30"/>
          <w:highlight w:val="none"/>
          <w14:textFill>
            <w14:solidFill>
              <w14:schemeClr w14:val="tx1"/>
            </w14:solidFill>
          </w14:textFill>
        </w:rPr>
      </w:pPr>
    </w:p>
    <w:p>
      <w:pPr>
        <w:shd w:val="clear" w:color="auto" w:fill="FFFFFF"/>
        <w:snapToGrid w:val="0"/>
        <w:spacing w:line="400" w:lineRule="exact"/>
        <w:jc w:val="center"/>
        <w:rPr>
          <w:rFonts w:ascii="Tahoma" w:hAnsi="Tahoma" w:eastAsia="黑体" w:cs="Tahoma"/>
          <w:b/>
          <w:bCs/>
          <w:color w:val="000000" w:themeColor="text1"/>
          <w:kern w:val="0"/>
          <w:sz w:val="32"/>
          <w:szCs w:val="30"/>
          <w:highlight w:val="none"/>
          <w14:textFill>
            <w14:solidFill>
              <w14:schemeClr w14:val="tx1"/>
            </w14:solidFill>
          </w14:textFill>
        </w:rPr>
      </w:pPr>
    </w:p>
    <w:p>
      <w:pPr>
        <w:shd w:val="clear" w:color="auto" w:fill="FFFFFF"/>
        <w:snapToGrid w:val="0"/>
        <w:spacing w:line="400" w:lineRule="exact"/>
        <w:jc w:val="center"/>
        <w:rPr>
          <w:rFonts w:ascii="Tahoma" w:hAnsi="Tahoma" w:eastAsia="黑体" w:cs="Tahoma"/>
          <w:b/>
          <w:bCs/>
          <w:color w:val="000000" w:themeColor="text1"/>
          <w:kern w:val="0"/>
          <w:sz w:val="32"/>
          <w:szCs w:val="30"/>
          <w:highlight w:val="none"/>
          <w14:textFill>
            <w14:solidFill>
              <w14:schemeClr w14:val="tx1"/>
            </w14:solidFill>
          </w14:textFill>
        </w:rPr>
      </w:pPr>
    </w:p>
    <w:p>
      <w:pPr>
        <w:shd w:val="clear" w:color="auto" w:fill="FFFFFF"/>
        <w:snapToGrid w:val="0"/>
        <w:spacing w:line="400" w:lineRule="exact"/>
        <w:jc w:val="center"/>
        <w:rPr>
          <w:rFonts w:ascii="Tahoma" w:hAnsi="Tahoma" w:eastAsia="黑体" w:cs="Tahoma"/>
          <w:b/>
          <w:bCs/>
          <w:color w:val="000000" w:themeColor="text1"/>
          <w:kern w:val="0"/>
          <w:sz w:val="32"/>
          <w:szCs w:val="30"/>
          <w:highlight w:val="none"/>
          <w14:textFill>
            <w14:solidFill>
              <w14:schemeClr w14:val="tx1"/>
            </w14:solidFill>
          </w14:textFill>
        </w:rPr>
      </w:pPr>
    </w:p>
    <w:p>
      <w:pPr>
        <w:shd w:val="clear" w:color="auto" w:fill="FFFFFF"/>
        <w:snapToGrid w:val="0"/>
        <w:spacing w:line="400" w:lineRule="exact"/>
        <w:jc w:val="center"/>
        <w:rPr>
          <w:rFonts w:ascii="Tahoma" w:hAnsi="Tahoma" w:eastAsia="黑体" w:cs="Tahoma"/>
          <w:b/>
          <w:bCs/>
          <w:color w:val="000000" w:themeColor="text1"/>
          <w:kern w:val="0"/>
          <w:sz w:val="32"/>
          <w:szCs w:val="30"/>
          <w:highlight w:val="none"/>
          <w14:textFill>
            <w14:solidFill>
              <w14:schemeClr w14:val="tx1"/>
            </w14:solidFill>
          </w14:textFill>
        </w:rPr>
      </w:pPr>
    </w:p>
    <w:p>
      <w:pPr>
        <w:shd w:val="clear" w:color="auto" w:fill="FFFFFF"/>
        <w:snapToGrid w:val="0"/>
        <w:spacing w:line="400" w:lineRule="exact"/>
        <w:jc w:val="center"/>
        <w:rPr>
          <w:rFonts w:ascii="Tahoma" w:hAnsi="Tahoma" w:eastAsia="黑体" w:cs="Tahoma"/>
          <w:b/>
          <w:bCs/>
          <w:color w:val="000000" w:themeColor="text1"/>
          <w:kern w:val="0"/>
          <w:sz w:val="32"/>
          <w:szCs w:val="30"/>
          <w:highlight w:val="none"/>
          <w14:textFill>
            <w14:solidFill>
              <w14:schemeClr w14:val="tx1"/>
            </w14:solidFill>
          </w14:textFill>
        </w:rPr>
      </w:pPr>
    </w:p>
    <w:p>
      <w:pPr>
        <w:shd w:val="clear" w:color="auto" w:fill="FFFFFF"/>
        <w:snapToGrid w:val="0"/>
        <w:spacing w:line="400" w:lineRule="exact"/>
        <w:jc w:val="center"/>
        <w:rPr>
          <w:rFonts w:ascii="Tahoma" w:hAnsi="Tahoma" w:eastAsia="黑体" w:cs="Tahoma"/>
          <w:b/>
          <w:bCs/>
          <w:color w:val="000000" w:themeColor="text1"/>
          <w:kern w:val="0"/>
          <w:sz w:val="32"/>
          <w:szCs w:val="30"/>
          <w:highlight w:val="none"/>
          <w14:textFill>
            <w14:solidFill>
              <w14:schemeClr w14:val="tx1"/>
            </w14:solidFill>
          </w14:textFill>
        </w:rPr>
      </w:pPr>
    </w:p>
    <w:p>
      <w:pPr>
        <w:shd w:val="clear" w:color="auto" w:fill="FFFFFF"/>
        <w:snapToGrid w:val="0"/>
        <w:spacing w:line="400" w:lineRule="exact"/>
        <w:jc w:val="center"/>
        <w:rPr>
          <w:rFonts w:ascii="Tahoma" w:hAnsi="Tahoma" w:eastAsia="黑体" w:cs="Tahoma"/>
          <w:b/>
          <w:bCs/>
          <w:color w:val="000000" w:themeColor="text1"/>
          <w:kern w:val="0"/>
          <w:sz w:val="32"/>
          <w:szCs w:val="30"/>
          <w:highlight w:val="none"/>
          <w14:textFill>
            <w14:solidFill>
              <w14:schemeClr w14:val="tx1"/>
            </w14:solidFill>
          </w14:textFill>
        </w:rPr>
      </w:pPr>
    </w:p>
    <w:p>
      <w:pPr>
        <w:shd w:val="clear" w:color="auto" w:fill="FFFFFF"/>
        <w:snapToGrid w:val="0"/>
        <w:spacing w:line="400" w:lineRule="exact"/>
        <w:jc w:val="center"/>
        <w:rPr>
          <w:rFonts w:ascii="Tahoma" w:hAnsi="Tahoma" w:eastAsia="黑体" w:cs="Tahoma"/>
          <w:b/>
          <w:bCs/>
          <w:color w:val="000000" w:themeColor="text1"/>
          <w:kern w:val="0"/>
          <w:sz w:val="32"/>
          <w:szCs w:val="30"/>
          <w:highlight w:val="none"/>
          <w14:textFill>
            <w14:solidFill>
              <w14:schemeClr w14:val="tx1"/>
            </w14:solidFill>
          </w14:textFill>
        </w:rPr>
      </w:pPr>
    </w:p>
    <w:p>
      <w:pPr>
        <w:shd w:val="clear" w:color="auto" w:fill="FFFFFF"/>
        <w:snapToGrid w:val="0"/>
        <w:spacing w:line="400" w:lineRule="exact"/>
        <w:jc w:val="center"/>
        <w:rPr>
          <w:rFonts w:ascii="Tahoma" w:hAnsi="Tahoma" w:eastAsia="黑体" w:cs="Tahoma"/>
          <w:b/>
          <w:bCs/>
          <w:color w:val="000000" w:themeColor="text1"/>
          <w:kern w:val="0"/>
          <w:sz w:val="32"/>
          <w:szCs w:val="30"/>
          <w:highlight w:val="none"/>
          <w14:textFill>
            <w14:solidFill>
              <w14:schemeClr w14:val="tx1"/>
            </w14:solidFill>
          </w14:textFill>
        </w:rPr>
      </w:pPr>
    </w:p>
    <w:p>
      <w:pPr>
        <w:shd w:val="clear" w:color="auto" w:fill="FFFFFF"/>
        <w:snapToGrid w:val="0"/>
        <w:spacing w:line="400" w:lineRule="exact"/>
        <w:jc w:val="center"/>
        <w:rPr>
          <w:rFonts w:ascii="Tahoma" w:hAnsi="Tahoma" w:eastAsia="黑体" w:cs="Tahoma"/>
          <w:b/>
          <w:color w:val="000000" w:themeColor="text1"/>
          <w:kern w:val="0"/>
          <w:sz w:val="28"/>
          <w:szCs w:val="28"/>
          <w:highlight w:val="none"/>
          <w14:textFill>
            <w14:solidFill>
              <w14:schemeClr w14:val="tx1"/>
            </w14:solidFill>
          </w14:textFill>
        </w:rPr>
      </w:pPr>
      <w:r>
        <w:rPr>
          <w:rFonts w:ascii="Tahoma" w:hAnsi="Tahoma" w:eastAsia="黑体" w:cs="Tahoma"/>
          <w:b/>
          <w:bCs/>
          <w:color w:val="000000" w:themeColor="text1"/>
          <w:kern w:val="0"/>
          <w:sz w:val="28"/>
          <w:szCs w:val="28"/>
          <w:highlight w:val="none"/>
          <w14:textFill>
            <w14:solidFill>
              <w14:schemeClr w14:val="tx1"/>
            </w14:solidFill>
          </w14:textFill>
        </w:rPr>
        <w:t>三、专用合同条款</w:t>
      </w:r>
    </w:p>
    <w:p>
      <w:pPr>
        <w:spacing w:line="320" w:lineRule="exact"/>
        <w:ind w:firstLine="315" w:firstLineChars="15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专用合同条款是对通用合同条款的补充和解释，应互为使用。本合同条款仅作为双方签订合同的参考，为阐明各方的权利和义务，经协商可增加或修改条款，但不得与招标文件、投标文件的实质性内容相背离。）</w:t>
      </w:r>
    </w:p>
    <w:p>
      <w:pPr>
        <w:spacing w:line="320" w:lineRule="exact"/>
        <w:jc w:val="center"/>
        <w:rPr>
          <w:rFonts w:ascii="Tahoma" w:hAnsi="Tahoma" w:eastAsia="黑体" w:cs="Tahoma"/>
          <w:b/>
          <w:color w:val="000000" w:themeColor="text1"/>
          <w:sz w:val="24"/>
          <w:highlight w:val="none"/>
          <w14:textFill>
            <w14:solidFill>
              <w14:schemeClr w14:val="tx1"/>
            </w14:solidFill>
          </w14:textFill>
        </w:rPr>
      </w:pPr>
      <w:r>
        <w:rPr>
          <w:rFonts w:ascii="Tahoma" w:hAnsi="Tahoma" w:eastAsia="黑体" w:cs="Tahoma"/>
          <w:b/>
          <w:color w:val="000000" w:themeColor="text1"/>
          <w:sz w:val="24"/>
          <w:highlight w:val="none"/>
          <w14:textFill>
            <w14:solidFill>
              <w14:schemeClr w14:val="tx1"/>
            </w14:solidFill>
          </w14:textFill>
        </w:rPr>
        <w:t>1、定义</w:t>
      </w:r>
    </w:p>
    <w:p>
      <w:pPr>
        <w:spacing w:line="340" w:lineRule="atLeast"/>
        <w:rPr>
          <w:rFonts w:ascii="Tahoma" w:hAnsi="Tahoma" w:cs="Tahoma"/>
          <w:b/>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1.1、</w:t>
      </w:r>
      <w:r>
        <w:rPr>
          <w:rFonts w:ascii="Tahoma" w:hAnsi="Tahoma" w:cs="Tahoma"/>
          <w:color w:val="000000" w:themeColor="text1"/>
          <w:szCs w:val="21"/>
          <w:highlight w:val="none"/>
          <w14:textFill>
            <w14:solidFill>
              <w14:schemeClr w14:val="tx1"/>
            </w14:solidFill>
          </w14:textFill>
        </w:rPr>
        <w:t>补充以下条款</w:t>
      </w:r>
      <w:r>
        <w:rPr>
          <w:rFonts w:ascii="Tahoma" w:hAnsi="Tahoma" w:cs="Tahoma"/>
          <w:b/>
          <w:color w:val="000000" w:themeColor="text1"/>
          <w:szCs w:val="21"/>
          <w:highlight w:val="none"/>
          <w14:textFill>
            <w14:solidFill>
              <w14:schemeClr w14:val="tx1"/>
            </w14:solidFill>
          </w14:textFill>
        </w:rPr>
        <w:t>：</w:t>
      </w:r>
    </w:p>
    <w:p>
      <w:pPr>
        <w:spacing w:line="340" w:lineRule="atLeas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（1）使用范围：仅适用于本招标文件中所叙述项目的货物采购及服务。  </w:t>
      </w:r>
    </w:p>
    <w:p>
      <w:pPr>
        <w:spacing w:line="340" w:lineRule="atLeas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（2）定义：招标文件中下列术语应解释为： </w:t>
      </w:r>
    </w:p>
    <w:p>
      <w:pPr>
        <w:spacing w:line="340" w:lineRule="atLeast"/>
        <w:rPr>
          <w:rFonts w:ascii="宋体" w:hAnsi="宋体" w:cs="Tahoma"/>
          <w:color w:val="000000" w:themeColor="text1"/>
          <w:szCs w:val="21"/>
          <w:highlight w:val="none"/>
          <w14:textFill>
            <w14:solidFill>
              <w14:schemeClr w14:val="tx1"/>
            </w14:solidFill>
          </w14:textFill>
        </w:rPr>
      </w:pPr>
      <w:r>
        <w:rPr>
          <w:rFonts w:ascii="Tahoma" w:hAnsi="Tahoma" w:eastAsia="新宋体" w:cs="Tahoma"/>
          <w:color w:val="000000" w:themeColor="text1"/>
          <w:szCs w:val="21"/>
          <w:highlight w:val="none"/>
          <w14:textFill>
            <w14:solidFill>
              <w14:schemeClr w14:val="tx1"/>
            </w14:solidFill>
          </w14:textFill>
        </w:rPr>
        <w:t xml:space="preserve">    </w:t>
      </w:r>
      <w:r>
        <w:rPr>
          <w:rFonts w:ascii="宋体" w:hAnsi="宋体" w:cs="Tahoma"/>
          <w:color w:val="000000" w:themeColor="text1"/>
          <w:szCs w:val="21"/>
          <w:highlight w:val="none"/>
          <w14:textFill>
            <w14:solidFill>
              <w14:schemeClr w14:val="tx1"/>
            </w14:solidFill>
          </w14:textFill>
        </w:rPr>
        <w:t>“采购方”系指</w:t>
      </w:r>
      <w:r>
        <w:rPr>
          <w:rFonts w:hint="eastAsia" w:ascii="宋体" w:hAnsi="宋体" w:cs="Tahoma"/>
          <w:color w:val="000000" w:themeColor="text1"/>
          <w:szCs w:val="21"/>
          <w:highlight w:val="none"/>
          <w14:textFill>
            <w14:solidFill>
              <w14:schemeClr w14:val="tx1"/>
            </w14:solidFill>
          </w14:textFill>
        </w:rPr>
        <w:t>：</w:t>
      </w:r>
      <w:r>
        <w:rPr>
          <w:rFonts w:hint="eastAsia" w:ascii="宋体" w:hAnsi="宋体" w:cs="Tahoma"/>
          <w:b/>
          <w:bCs/>
          <w:color w:val="000000" w:themeColor="text1"/>
          <w:szCs w:val="21"/>
          <w:highlight w:val="none"/>
          <w14:textFill>
            <w14:solidFill>
              <w14:schemeClr w14:val="tx1"/>
            </w14:solidFill>
          </w14:textFill>
        </w:rPr>
        <w:t>和田县人民医院</w:t>
      </w:r>
      <w:r>
        <w:rPr>
          <w:rFonts w:ascii="宋体" w:hAnsi="宋体" w:cs="Tahoma"/>
          <w:color w:val="000000" w:themeColor="text1"/>
          <w:szCs w:val="21"/>
          <w:highlight w:val="none"/>
          <w14:textFill>
            <w14:solidFill>
              <w14:schemeClr w14:val="tx1"/>
            </w14:solidFill>
          </w14:textFill>
        </w:rPr>
        <w:t>。</w:t>
      </w:r>
    </w:p>
    <w:p>
      <w:pPr>
        <w:spacing w:line="340" w:lineRule="atLeast"/>
        <w:rPr>
          <w:rFonts w:ascii="宋体" w:hAnsi="宋体" w:cs="Tahoma"/>
          <w:color w:val="000000" w:themeColor="text1"/>
          <w:szCs w:val="21"/>
          <w:highlight w:val="none"/>
          <w14:textFill>
            <w14:solidFill>
              <w14:schemeClr w14:val="tx1"/>
            </w14:solidFill>
          </w14:textFill>
        </w:rPr>
      </w:pPr>
      <w:r>
        <w:rPr>
          <w:rFonts w:ascii="宋体" w:hAnsi="宋体" w:cs="Tahoma"/>
          <w:color w:val="000000" w:themeColor="text1"/>
          <w:szCs w:val="21"/>
          <w:highlight w:val="none"/>
          <w14:textFill>
            <w14:solidFill>
              <w14:schemeClr w14:val="tx1"/>
            </w14:solidFill>
          </w14:textFill>
        </w:rPr>
        <w:t xml:space="preserve">    “投标供应商”系指向采购方提交投标文件的制造商或供货商。  </w:t>
      </w:r>
    </w:p>
    <w:p>
      <w:pPr>
        <w:spacing w:line="340" w:lineRule="atLeast"/>
        <w:rPr>
          <w:rFonts w:ascii="宋体" w:hAnsi="宋体" w:cs="Tahoma"/>
          <w:color w:val="000000" w:themeColor="text1"/>
          <w:szCs w:val="21"/>
          <w:highlight w:val="none"/>
          <w14:textFill>
            <w14:solidFill>
              <w14:schemeClr w14:val="tx1"/>
            </w14:solidFill>
          </w14:textFill>
        </w:rPr>
      </w:pPr>
      <w:r>
        <w:rPr>
          <w:rFonts w:ascii="宋体" w:hAnsi="宋体" w:cs="Tahoma"/>
          <w:color w:val="000000" w:themeColor="text1"/>
          <w:szCs w:val="21"/>
          <w:highlight w:val="none"/>
          <w14:textFill>
            <w14:solidFill>
              <w14:schemeClr w14:val="tx1"/>
            </w14:solidFill>
          </w14:textFill>
        </w:rPr>
        <w:t xml:space="preserve">    “货物”系指供方按合同要求，须向采购人提供的货物、材料、备品备件、工具、成套技术资料及手册等。   </w:t>
      </w:r>
    </w:p>
    <w:p>
      <w:pPr>
        <w:spacing w:line="340" w:lineRule="atLeast"/>
        <w:rPr>
          <w:rFonts w:ascii="宋体" w:hAnsi="宋体" w:cs="Tahoma"/>
          <w:color w:val="000000" w:themeColor="text1"/>
          <w:szCs w:val="21"/>
          <w:highlight w:val="none"/>
          <w14:textFill>
            <w14:solidFill>
              <w14:schemeClr w14:val="tx1"/>
            </w14:solidFill>
          </w14:textFill>
        </w:rPr>
      </w:pPr>
      <w:r>
        <w:rPr>
          <w:rFonts w:ascii="宋体" w:hAnsi="宋体" w:cs="Tahoma"/>
          <w:color w:val="000000" w:themeColor="text1"/>
          <w:szCs w:val="21"/>
          <w:highlight w:val="none"/>
          <w14:textFill>
            <w14:solidFill>
              <w14:schemeClr w14:val="tx1"/>
            </w14:solidFill>
          </w14:textFill>
        </w:rPr>
        <w:t xml:space="preserve">    “服务”系指合同规定供方必须承担的货物</w:t>
      </w:r>
      <w:r>
        <w:rPr>
          <w:rFonts w:hint="eastAsia" w:ascii="宋体" w:hAnsi="宋体" w:cs="Tahoma"/>
          <w:color w:val="000000" w:themeColor="text1"/>
          <w:szCs w:val="21"/>
          <w:highlight w:val="none"/>
          <w14:textFill>
            <w14:solidFill>
              <w14:schemeClr w14:val="tx1"/>
            </w14:solidFill>
          </w14:textFill>
        </w:rPr>
        <w:t>运输配送</w:t>
      </w:r>
      <w:r>
        <w:rPr>
          <w:rFonts w:ascii="宋体" w:hAnsi="宋体" w:cs="Tahoma"/>
          <w:color w:val="000000" w:themeColor="text1"/>
          <w:szCs w:val="21"/>
          <w:highlight w:val="none"/>
          <w14:textFill>
            <w14:solidFill>
              <w14:schemeClr w14:val="tx1"/>
            </w14:solidFill>
          </w14:textFill>
        </w:rPr>
        <w:t xml:space="preserve">、安装、调试、技术指导及培训、售后服务以及其他类似的承诺义务。    </w:t>
      </w:r>
    </w:p>
    <w:p>
      <w:pPr>
        <w:spacing w:line="340" w:lineRule="atLeast"/>
        <w:rPr>
          <w:rFonts w:ascii="宋体" w:hAnsi="宋体" w:cs="Tahoma"/>
          <w:color w:val="000000" w:themeColor="text1"/>
          <w:szCs w:val="21"/>
          <w:highlight w:val="none"/>
          <w14:textFill>
            <w14:solidFill>
              <w14:schemeClr w14:val="tx1"/>
            </w14:solidFill>
          </w14:textFill>
        </w:rPr>
      </w:pPr>
      <w:r>
        <w:rPr>
          <w:rFonts w:ascii="宋体" w:hAnsi="宋体" w:cs="Tahoma"/>
          <w:color w:val="000000" w:themeColor="text1"/>
          <w:szCs w:val="21"/>
          <w:highlight w:val="none"/>
          <w14:textFill>
            <w14:solidFill>
              <w14:schemeClr w14:val="tx1"/>
            </w14:solidFill>
          </w14:textFill>
        </w:rPr>
        <w:t xml:space="preserve">    “需方”系指在合同的采购人（甲方）项下签字的法人单位，即：采购方。  </w:t>
      </w:r>
    </w:p>
    <w:p>
      <w:pPr>
        <w:spacing w:line="340" w:lineRule="atLeast"/>
        <w:rPr>
          <w:rFonts w:ascii="宋体" w:hAnsi="宋体" w:cs="Tahoma"/>
          <w:color w:val="000000" w:themeColor="text1"/>
          <w:szCs w:val="21"/>
          <w:highlight w:val="none"/>
          <w14:textFill>
            <w14:solidFill>
              <w14:schemeClr w14:val="tx1"/>
            </w14:solidFill>
          </w14:textFill>
        </w:rPr>
      </w:pPr>
      <w:r>
        <w:rPr>
          <w:rFonts w:ascii="宋体" w:hAnsi="宋体" w:cs="Tahoma"/>
          <w:color w:val="000000" w:themeColor="text1"/>
          <w:szCs w:val="21"/>
          <w:highlight w:val="none"/>
          <w14:textFill>
            <w14:solidFill>
              <w14:schemeClr w14:val="tx1"/>
            </w14:solidFill>
          </w14:textFill>
        </w:rPr>
        <w:t xml:space="preserve">    “供方”系指被采购方确定为成交供应商并提供合同货物及服务的投标供应商。</w:t>
      </w:r>
    </w:p>
    <w:p>
      <w:pPr>
        <w:spacing w:line="320" w:lineRule="exact"/>
        <w:jc w:val="center"/>
        <w:rPr>
          <w:rFonts w:ascii="Tahoma" w:hAnsi="Tahoma" w:eastAsia="黑体" w:cs="Tahoma"/>
          <w:b/>
          <w:color w:val="000000" w:themeColor="text1"/>
          <w:sz w:val="24"/>
          <w:highlight w:val="none"/>
          <w14:textFill>
            <w14:solidFill>
              <w14:schemeClr w14:val="tx1"/>
            </w14:solidFill>
          </w14:textFill>
        </w:rPr>
      </w:pPr>
      <w:r>
        <w:rPr>
          <w:rFonts w:ascii="Tahoma" w:hAnsi="Tahoma" w:eastAsia="黑体" w:cs="Tahoma"/>
          <w:b/>
          <w:color w:val="000000" w:themeColor="text1"/>
          <w:sz w:val="24"/>
          <w:highlight w:val="none"/>
          <w14:textFill>
            <w14:solidFill>
              <w14:schemeClr w14:val="tx1"/>
            </w14:solidFill>
          </w14:textFill>
        </w:rPr>
        <w:t>5、履约保证金</w:t>
      </w:r>
    </w:p>
    <w:p>
      <w:pPr>
        <w:spacing w:line="340" w:lineRule="atLeas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5.4</w:t>
      </w:r>
      <w:r>
        <w:rPr>
          <w:rFonts w:ascii="Tahoma" w:hAnsi="Tahoma" w:cs="Tahoma"/>
          <w:color w:val="000000" w:themeColor="text1"/>
          <w:szCs w:val="21"/>
          <w:highlight w:val="none"/>
          <w14:textFill>
            <w14:solidFill>
              <w14:schemeClr w14:val="tx1"/>
            </w14:solidFill>
          </w14:textFill>
        </w:rPr>
        <w:tab/>
      </w:r>
      <w:r>
        <w:rPr>
          <w:rFonts w:ascii="Tahoma" w:hAnsi="Tahoma" w:cs="Tahoma"/>
          <w:color w:val="000000" w:themeColor="text1"/>
          <w:szCs w:val="21"/>
          <w:highlight w:val="none"/>
          <w14:textFill>
            <w14:solidFill>
              <w14:schemeClr w14:val="tx1"/>
            </w14:solidFill>
          </w14:textFill>
        </w:rPr>
        <w:t>如需方与供方在合同中约定要求供方提供履约担保的，履约保证金的金额为人民币合同额的</w:t>
      </w:r>
      <w:r>
        <w:rPr>
          <w:rFonts w:ascii="Tahoma" w:hAnsi="Tahoma" w:cs="Tahoma"/>
          <w:color w:val="000000" w:themeColor="text1"/>
          <w:szCs w:val="21"/>
          <w:highlight w:val="none"/>
          <w:u w:val="single"/>
          <w14:textFill>
            <w14:solidFill>
              <w14:schemeClr w14:val="tx1"/>
            </w14:solidFill>
          </w14:textFill>
        </w:rPr>
        <w:t>10</w:t>
      </w:r>
      <w:r>
        <w:rPr>
          <w:rFonts w:ascii="Tahoma" w:hAnsi="Tahoma" w:cs="Tahoma"/>
          <w:color w:val="000000" w:themeColor="text1"/>
          <w:szCs w:val="21"/>
          <w:highlight w:val="none"/>
          <w14:textFill>
            <w14:solidFill>
              <w14:schemeClr w14:val="tx1"/>
            </w14:solidFill>
          </w14:textFill>
        </w:rPr>
        <w:t xml:space="preserve"> %。如合同另有约定的，则，从其约定。</w:t>
      </w:r>
    </w:p>
    <w:p>
      <w:pPr>
        <w:spacing w:line="340" w:lineRule="atLeas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5.5</w:t>
      </w:r>
      <w:r>
        <w:rPr>
          <w:rFonts w:ascii="Tahoma" w:hAnsi="Tahoma" w:cs="Tahoma"/>
          <w:color w:val="000000" w:themeColor="text1"/>
          <w:szCs w:val="21"/>
          <w:highlight w:val="none"/>
          <w14:textFill>
            <w14:solidFill>
              <w14:schemeClr w14:val="tx1"/>
            </w14:solidFill>
          </w14:textFill>
        </w:rPr>
        <w:tab/>
      </w:r>
      <w:r>
        <w:rPr>
          <w:rFonts w:ascii="Tahoma" w:hAnsi="Tahoma" w:cs="Tahoma"/>
          <w:color w:val="000000" w:themeColor="text1"/>
          <w:szCs w:val="21"/>
          <w:highlight w:val="none"/>
          <w14:textFill>
            <w14:solidFill>
              <w14:schemeClr w14:val="tx1"/>
            </w14:solidFill>
          </w14:textFill>
        </w:rPr>
        <w:t>履约保证金将以现金、银行（现金汇票/支票）的方式提交。</w:t>
      </w:r>
    </w:p>
    <w:p>
      <w:pPr>
        <w:spacing w:line="320" w:lineRule="exact"/>
        <w:jc w:val="center"/>
        <w:rPr>
          <w:rFonts w:ascii="Tahoma" w:hAnsi="Tahoma" w:eastAsia="黑体" w:cs="Tahoma"/>
          <w:b/>
          <w:color w:val="000000" w:themeColor="text1"/>
          <w:sz w:val="24"/>
          <w:highlight w:val="none"/>
          <w14:textFill>
            <w14:solidFill>
              <w14:schemeClr w14:val="tx1"/>
            </w14:solidFill>
          </w14:textFill>
        </w:rPr>
      </w:pPr>
      <w:r>
        <w:rPr>
          <w:rFonts w:ascii="Tahoma" w:hAnsi="Tahoma" w:eastAsia="黑体" w:cs="Tahoma"/>
          <w:b/>
          <w:color w:val="000000" w:themeColor="text1"/>
          <w:sz w:val="24"/>
          <w:highlight w:val="none"/>
          <w14:textFill>
            <w14:solidFill>
              <w14:schemeClr w14:val="tx1"/>
            </w14:solidFill>
          </w14:textFill>
        </w:rPr>
        <w:t>6、</w:t>
      </w:r>
      <w:r>
        <w:rPr>
          <w:rFonts w:hint="eastAsia" w:ascii="Tahoma" w:hAnsi="Tahoma" w:eastAsia="黑体" w:cs="Tahoma"/>
          <w:b/>
          <w:color w:val="000000" w:themeColor="text1"/>
          <w:sz w:val="24"/>
          <w:highlight w:val="none"/>
          <w14:textFill>
            <w14:solidFill>
              <w14:schemeClr w14:val="tx1"/>
            </w14:solidFill>
          </w14:textFill>
        </w:rPr>
        <w:t>运输</w:t>
      </w:r>
      <w:r>
        <w:rPr>
          <w:rFonts w:ascii="Tahoma" w:hAnsi="Tahoma" w:eastAsia="黑体" w:cs="Tahoma"/>
          <w:b/>
          <w:color w:val="000000" w:themeColor="text1"/>
          <w:sz w:val="24"/>
          <w:highlight w:val="none"/>
          <w14:textFill>
            <w14:solidFill>
              <w14:schemeClr w14:val="tx1"/>
            </w14:solidFill>
          </w14:textFill>
        </w:rPr>
        <w:t>、</w:t>
      </w:r>
      <w:r>
        <w:rPr>
          <w:rFonts w:hint="eastAsia" w:ascii="Tahoma" w:hAnsi="Tahoma" w:eastAsia="黑体" w:cs="Tahoma"/>
          <w:b/>
          <w:color w:val="000000" w:themeColor="text1"/>
          <w:sz w:val="24"/>
          <w:highlight w:val="none"/>
          <w14:textFill>
            <w14:solidFill>
              <w14:schemeClr w14:val="tx1"/>
            </w14:solidFill>
          </w14:textFill>
        </w:rPr>
        <w:t>配送</w:t>
      </w:r>
      <w:r>
        <w:rPr>
          <w:rFonts w:ascii="Tahoma" w:hAnsi="Tahoma" w:eastAsia="黑体" w:cs="Tahoma"/>
          <w:b/>
          <w:color w:val="000000" w:themeColor="text1"/>
          <w:sz w:val="24"/>
          <w:highlight w:val="none"/>
          <w14:textFill>
            <w14:solidFill>
              <w14:schemeClr w14:val="tx1"/>
            </w14:solidFill>
          </w14:textFill>
        </w:rPr>
        <w:t>及检验、验收</w:t>
      </w:r>
    </w:p>
    <w:p>
      <w:pPr>
        <w:spacing w:line="340" w:lineRule="atLeas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6.1</w:t>
      </w:r>
      <w:r>
        <w:rPr>
          <w:rFonts w:ascii="Tahoma" w:hAnsi="Tahoma" w:cs="Tahoma"/>
          <w:color w:val="000000" w:themeColor="text1"/>
          <w:szCs w:val="21"/>
          <w:highlight w:val="none"/>
          <w14:textFill>
            <w14:solidFill>
              <w14:schemeClr w14:val="tx1"/>
            </w14:solidFill>
          </w14:textFill>
        </w:rPr>
        <w:t>本款增加：</w:t>
      </w:r>
    </w:p>
    <w:p>
      <w:pPr>
        <w:spacing w:line="340" w:lineRule="atLeast"/>
        <w:ind w:firstLine="210" w:firstLineChars="1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需方对供方提交的货物依据招标文件上的技术规格要求和国家有关质量标准进行现场初步验收，数量、型号或规格、外观、说明书等符合招标文件技术要求的，给予签收，初步验收不合格的不予签收。货到后，需方在五个工作日内验收。</w:t>
      </w:r>
    </w:p>
    <w:p>
      <w:pPr>
        <w:spacing w:line="340" w:lineRule="atLeast"/>
        <w:ind w:firstLine="210" w:firstLineChars="1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（2）供方交货前应对产品作出全面检查和对验收文件进行整理，并列出清单，作为需方收货验收和使用的技术条件依据，检验的结果应随货物交供方。</w:t>
      </w:r>
    </w:p>
    <w:p>
      <w:pPr>
        <w:spacing w:line="340" w:lineRule="atLeast"/>
        <w:ind w:firstLine="210" w:firstLineChars="1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3）必须经国家认可的专业检测机构或质量检验、检测机构参与初步验收或最终验收的，应由需方、供方会同专业检测机构或质量检验、检测机构鉴定验收，验收合格后，并由其出具检测验收合格报告，其验收费用由乙方负责。</w:t>
      </w:r>
    </w:p>
    <w:p>
      <w:pPr>
        <w:spacing w:line="320" w:lineRule="exact"/>
        <w:rPr>
          <w:color w:val="000000" w:themeColor="text1"/>
          <w:highlight w:val="none"/>
          <w14:textFill>
            <w14:solidFill>
              <w14:schemeClr w14:val="tx1"/>
            </w14:solidFill>
          </w14:textFill>
        </w:rPr>
      </w:pPr>
      <w:r>
        <w:rPr>
          <w:rFonts w:hint="eastAsia" w:ascii="Tahoma" w:hAnsi="Tahoma" w:cs="Tahoma"/>
          <w:b w:val="0"/>
          <w:bCs/>
          <w:color w:val="000000" w:themeColor="text1"/>
          <w:szCs w:val="21"/>
          <w:highlight w:val="none"/>
          <w:lang w:val="en-US" w:eastAsia="zh-CN"/>
          <w14:textFill>
            <w14:solidFill>
              <w14:schemeClr w14:val="tx1"/>
            </w14:solidFill>
          </w14:textFill>
        </w:rPr>
        <w:t>6.2、</w:t>
      </w:r>
      <w:r>
        <w:rPr>
          <w:rFonts w:hint="eastAsia" w:ascii="Tahoma" w:hAnsi="Tahoma" w:cs="Tahoma"/>
          <w:b w:val="0"/>
          <w:bCs/>
          <w:color w:val="000000" w:themeColor="text1"/>
          <w:szCs w:val="21"/>
          <w:highlight w:val="none"/>
          <w14:textFill>
            <w14:solidFill>
              <w14:schemeClr w14:val="tx1"/>
            </w14:solidFill>
          </w14:textFill>
        </w:rPr>
        <w:t>验收</w:t>
      </w:r>
      <w:r>
        <w:rPr>
          <w:rFonts w:hint="eastAsia" w:ascii="Tahoma" w:hAnsi="Tahoma" w:cs="Tahoma"/>
          <w:b w:val="0"/>
          <w:bCs/>
          <w:color w:val="000000" w:themeColor="text1"/>
          <w:szCs w:val="21"/>
          <w:highlight w:val="none"/>
          <w:lang w:val="en-US" w:eastAsia="zh-CN"/>
          <w14:textFill>
            <w14:solidFill>
              <w14:schemeClr w14:val="tx1"/>
            </w14:solidFill>
          </w14:textFill>
        </w:rPr>
        <w:t>标准</w:t>
      </w:r>
      <w:r>
        <w:rPr>
          <w:rFonts w:hint="eastAsia" w:ascii="Tahoma" w:hAnsi="Tahoma" w:cs="Tahoma"/>
          <w:b w:val="0"/>
          <w:bCs/>
          <w:color w:val="000000" w:themeColor="text1"/>
          <w:szCs w:val="21"/>
          <w:highlight w:val="none"/>
          <w14:textFill>
            <w14:solidFill>
              <w14:schemeClr w14:val="tx1"/>
            </w14:solidFill>
          </w14:textFill>
        </w:rPr>
        <w:t>：</w:t>
      </w:r>
      <w:r>
        <w:rPr>
          <w:rFonts w:hint="eastAsia" w:ascii="Tahoma" w:hAnsi="Tahoma" w:cs="Tahoma"/>
          <w:b w:val="0"/>
          <w:bCs/>
          <w:color w:val="000000" w:themeColor="text1"/>
          <w:szCs w:val="21"/>
          <w:highlight w:val="none"/>
          <w:lang w:val="en-US" w:eastAsia="zh-CN"/>
          <w14:textFill>
            <w14:solidFill>
              <w14:schemeClr w14:val="tx1"/>
            </w14:solidFill>
          </w14:textFill>
        </w:rPr>
        <w:t>乙方交付搭软件平台及系统正式运行      日内，甲方组织相关人员参与培训、验收。</w:t>
      </w:r>
      <w:r>
        <w:rPr>
          <w:rFonts w:hint="eastAsia" w:ascii="Tahoma" w:hAnsi="Tahoma" w:cs="Tahoma"/>
          <w:b w:val="0"/>
          <w:bCs/>
          <w:color w:val="000000" w:themeColor="text1"/>
          <w:szCs w:val="21"/>
          <w:highlight w:val="none"/>
          <w14:textFill>
            <w14:solidFill>
              <w14:schemeClr w14:val="tx1"/>
            </w14:solidFill>
          </w14:textFill>
        </w:rPr>
        <w:t>在验收过程中，</w:t>
      </w:r>
      <w:r>
        <w:rPr>
          <w:rFonts w:hint="eastAsia" w:ascii="Tahoma" w:hAnsi="Tahoma" w:cs="Tahoma"/>
          <w:b w:val="0"/>
          <w:bCs/>
          <w:color w:val="000000" w:themeColor="text1"/>
          <w:szCs w:val="21"/>
          <w:highlight w:val="none"/>
          <w:lang w:val="en-US" w:eastAsia="zh-CN"/>
          <w14:textFill>
            <w14:solidFill>
              <w14:schemeClr w14:val="tx1"/>
            </w14:solidFill>
          </w14:textFill>
        </w:rPr>
        <w:t>软件系统以运行稳定、各类数据正确、满足经甲乙双方确认即为验收合格。</w:t>
      </w:r>
      <w:r>
        <w:rPr>
          <w:rFonts w:hint="eastAsia" w:ascii="Tahoma" w:hAnsi="Tahoma" w:cs="Tahoma"/>
          <w:b w:val="0"/>
          <w:bCs/>
          <w:color w:val="000000" w:themeColor="text1"/>
          <w:szCs w:val="21"/>
          <w:highlight w:val="none"/>
          <w14:textFill>
            <w14:solidFill>
              <w14:schemeClr w14:val="tx1"/>
            </w14:solidFill>
          </w14:textFill>
        </w:rPr>
        <w:t>因交付软件</w:t>
      </w:r>
      <w:r>
        <w:rPr>
          <w:rFonts w:hint="eastAsia" w:ascii="Tahoma" w:hAnsi="Tahoma" w:cs="Tahoma"/>
          <w:b w:val="0"/>
          <w:bCs/>
          <w:color w:val="000000" w:themeColor="text1"/>
          <w:szCs w:val="21"/>
          <w:highlight w:val="none"/>
          <w:lang w:val="en-US" w:eastAsia="zh-CN"/>
          <w14:textFill>
            <w14:solidFill>
              <w14:schemeClr w14:val="tx1"/>
            </w14:solidFill>
          </w14:textFill>
        </w:rPr>
        <w:t>平台</w:t>
      </w:r>
      <w:r>
        <w:rPr>
          <w:rFonts w:hint="eastAsia" w:ascii="Tahoma" w:hAnsi="Tahoma" w:cs="Tahoma"/>
          <w:b w:val="0"/>
          <w:bCs/>
          <w:color w:val="000000" w:themeColor="text1"/>
          <w:szCs w:val="21"/>
          <w:highlight w:val="none"/>
          <w14:textFill>
            <w14:solidFill>
              <w14:schemeClr w14:val="tx1"/>
            </w14:solidFill>
          </w14:textFill>
        </w:rPr>
        <w:t>的全部或部分不符合本合同约定等情形，乙方</w:t>
      </w:r>
      <w:r>
        <w:rPr>
          <w:rFonts w:hint="eastAsia" w:ascii="Tahoma" w:hAnsi="Tahoma" w:cs="Tahoma"/>
          <w:b w:val="0"/>
          <w:bCs/>
          <w:color w:val="000000" w:themeColor="text1"/>
          <w:szCs w:val="21"/>
          <w:highlight w:val="none"/>
          <w:lang w:val="en-US" w:eastAsia="zh-CN"/>
          <w14:textFill>
            <w14:solidFill>
              <w14:schemeClr w14:val="tx1"/>
            </w14:solidFill>
          </w14:textFill>
        </w:rPr>
        <w:t>应</w:t>
      </w:r>
      <w:r>
        <w:rPr>
          <w:rFonts w:hint="eastAsia" w:ascii="Tahoma" w:hAnsi="Tahoma" w:cs="Tahoma"/>
          <w:b w:val="0"/>
          <w:bCs/>
          <w:color w:val="000000" w:themeColor="text1"/>
          <w:szCs w:val="21"/>
          <w:highlight w:val="none"/>
          <w14:textFill>
            <w14:solidFill>
              <w14:schemeClr w14:val="tx1"/>
            </w14:solidFill>
          </w14:textFill>
        </w:rPr>
        <w:t>按甲方要求更换、补齐，</w:t>
      </w:r>
      <w:r>
        <w:rPr>
          <w:rFonts w:hint="eastAsia" w:ascii="Tahoma" w:hAnsi="Tahoma" w:cs="Tahoma"/>
          <w:b w:val="0"/>
          <w:bCs/>
          <w:color w:val="000000" w:themeColor="text1"/>
          <w:szCs w:val="21"/>
          <w:highlight w:val="none"/>
          <w:lang w:val="en-US" w:eastAsia="zh-CN"/>
          <w14:textFill>
            <w14:solidFill>
              <w14:schemeClr w14:val="tx1"/>
            </w14:solidFill>
          </w14:textFill>
        </w:rPr>
        <w:t>整改、</w:t>
      </w:r>
      <w:r>
        <w:rPr>
          <w:rFonts w:hint="eastAsia" w:ascii="Tahoma" w:hAnsi="Tahoma" w:cs="Tahoma"/>
          <w:b w:val="0"/>
          <w:bCs/>
          <w:color w:val="000000" w:themeColor="text1"/>
          <w:szCs w:val="21"/>
          <w:highlight w:val="none"/>
          <w14:textFill>
            <w14:solidFill>
              <w14:schemeClr w14:val="tx1"/>
            </w14:solidFill>
          </w14:textFill>
        </w:rPr>
        <w:t>确保所交付的货物符合合同约定，否则甲方可以拒绝接受该货物或终止本合同，由此给甲方造成的损失由乙方赔偿。乙方向甲方提供货物安装、运行、使用、测试、诊断和维修的技术文档，提供所购货物的用户手册等。</w:t>
      </w:r>
    </w:p>
    <w:p>
      <w:pPr>
        <w:spacing w:line="320" w:lineRule="exact"/>
        <w:jc w:val="center"/>
        <w:rPr>
          <w:rFonts w:ascii="Tahoma" w:hAnsi="Tahoma" w:eastAsia="黑体" w:cs="Tahoma"/>
          <w:b/>
          <w:color w:val="000000" w:themeColor="text1"/>
          <w:sz w:val="24"/>
          <w:highlight w:val="none"/>
          <w14:textFill>
            <w14:solidFill>
              <w14:schemeClr w14:val="tx1"/>
            </w14:solidFill>
          </w14:textFill>
        </w:rPr>
      </w:pPr>
    </w:p>
    <w:p>
      <w:pPr>
        <w:spacing w:line="320" w:lineRule="exact"/>
        <w:jc w:val="center"/>
        <w:rPr>
          <w:rFonts w:ascii="Tahoma" w:hAnsi="Tahoma" w:eastAsia="黑体" w:cs="Tahoma"/>
          <w:b/>
          <w:color w:val="000000" w:themeColor="text1"/>
          <w:sz w:val="24"/>
          <w:highlight w:val="none"/>
          <w14:textFill>
            <w14:solidFill>
              <w14:schemeClr w14:val="tx1"/>
            </w14:solidFill>
          </w14:textFill>
        </w:rPr>
      </w:pPr>
    </w:p>
    <w:p>
      <w:pPr>
        <w:spacing w:line="320" w:lineRule="exact"/>
        <w:jc w:val="center"/>
        <w:rPr>
          <w:rFonts w:ascii="Tahoma" w:hAnsi="Tahoma" w:eastAsia="黑体" w:cs="Tahoma"/>
          <w:b/>
          <w:color w:val="000000" w:themeColor="text1"/>
          <w:sz w:val="24"/>
          <w:highlight w:val="none"/>
          <w14:textFill>
            <w14:solidFill>
              <w14:schemeClr w14:val="tx1"/>
            </w14:solidFill>
          </w14:textFill>
        </w:rPr>
      </w:pPr>
    </w:p>
    <w:p>
      <w:pPr>
        <w:spacing w:line="320" w:lineRule="exact"/>
        <w:jc w:val="center"/>
        <w:rPr>
          <w:rFonts w:ascii="Tahoma" w:hAnsi="Tahoma" w:eastAsia="黑体" w:cs="Tahoma"/>
          <w:b/>
          <w:color w:val="000000" w:themeColor="text1"/>
          <w:sz w:val="24"/>
          <w:highlight w:val="none"/>
          <w14:textFill>
            <w14:solidFill>
              <w14:schemeClr w14:val="tx1"/>
            </w14:solidFill>
          </w14:textFill>
        </w:rPr>
      </w:pPr>
      <w:r>
        <w:rPr>
          <w:rFonts w:ascii="Tahoma" w:hAnsi="Tahoma" w:eastAsia="黑体" w:cs="Tahoma"/>
          <w:b/>
          <w:color w:val="000000" w:themeColor="text1"/>
          <w:sz w:val="24"/>
          <w:highlight w:val="none"/>
          <w14:textFill>
            <w14:solidFill>
              <w14:schemeClr w14:val="tx1"/>
            </w14:solidFill>
          </w14:textFill>
        </w:rPr>
        <w:t>7、包装</w:t>
      </w:r>
    </w:p>
    <w:p>
      <w:pPr>
        <w:spacing w:line="340" w:lineRule="atLeast"/>
        <w:rPr>
          <w:rFonts w:ascii="Tahoma" w:hAnsi="Tahoma" w:cs="Tahoma"/>
          <w:b/>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7.3</w:t>
      </w:r>
      <w:r>
        <w:rPr>
          <w:rFonts w:ascii="Tahoma" w:hAnsi="Tahoma" w:cs="Tahoma"/>
          <w:color w:val="000000" w:themeColor="text1"/>
          <w:szCs w:val="21"/>
          <w:highlight w:val="none"/>
          <w14:textFill>
            <w14:solidFill>
              <w14:schemeClr w14:val="tx1"/>
            </w14:solidFill>
          </w14:textFill>
        </w:rPr>
        <w:t xml:space="preserve"> 供方交付运输的所有合同货物应具有适合长途运输、多次搬运、装卸的坚固包装，并按合同货物的特点和需要，具有防潮、防雨、防锈、防震、防腐蚀、暴露于高温、高盐和降雨等恶劣环境以及露天存放等保护措施，以保证合同货物不受损坏。因包装不良引起合同货物损坏或丢失，供方应负全部责任。</w:t>
      </w:r>
    </w:p>
    <w:p>
      <w:pPr>
        <w:spacing w:line="340" w:lineRule="atLeas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7.5</w:t>
      </w:r>
      <w:r>
        <w:rPr>
          <w:rFonts w:ascii="Tahoma" w:hAnsi="Tahoma" w:cs="Tahoma"/>
          <w:color w:val="000000" w:themeColor="text1"/>
          <w:szCs w:val="21"/>
          <w:highlight w:val="none"/>
          <w14:textFill>
            <w14:solidFill>
              <w14:schemeClr w14:val="tx1"/>
            </w14:solidFill>
          </w14:textFill>
        </w:rPr>
        <w:tab/>
      </w:r>
      <w:r>
        <w:rPr>
          <w:rFonts w:ascii="Tahoma" w:hAnsi="Tahoma" w:cs="Tahoma"/>
          <w:color w:val="000000" w:themeColor="text1"/>
          <w:szCs w:val="21"/>
          <w:highlight w:val="none"/>
          <w14:textFill>
            <w14:solidFill>
              <w14:schemeClr w14:val="tx1"/>
            </w14:solidFill>
          </w14:textFill>
        </w:rPr>
        <w:t>对松散的附件，包装或捆装时供方应注明合同号、主货物名称、附件名称。对备品、备件和工具除上述内容外还应注明备品、备件或工具。</w:t>
      </w:r>
    </w:p>
    <w:p>
      <w:pPr>
        <w:spacing w:line="340" w:lineRule="atLeas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7.6</w:t>
      </w:r>
      <w:r>
        <w:rPr>
          <w:rFonts w:ascii="Tahoma" w:hAnsi="Tahoma" w:cs="Tahoma"/>
          <w:b/>
          <w:color w:val="000000" w:themeColor="text1"/>
          <w:szCs w:val="21"/>
          <w:highlight w:val="none"/>
          <w14:textFill>
            <w14:solidFill>
              <w14:schemeClr w14:val="tx1"/>
            </w14:solidFill>
          </w14:textFill>
        </w:rPr>
        <w:tab/>
      </w:r>
      <w:r>
        <w:rPr>
          <w:rFonts w:ascii="Tahoma" w:hAnsi="Tahoma" w:cs="Tahoma"/>
          <w:color w:val="000000" w:themeColor="text1"/>
          <w:szCs w:val="21"/>
          <w:highlight w:val="none"/>
          <w14:textFill>
            <w14:solidFill>
              <w14:schemeClr w14:val="tx1"/>
            </w14:solidFill>
          </w14:textFill>
        </w:rPr>
        <w:t>以上提到内容对裸装合同货物供方应用金属标签注明。如有大件，应提供足够的支柱和垫木，并应满足国家或行业对运输大件物品的要求。</w:t>
      </w:r>
    </w:p>
    <w:p>
      <w:pPr>
        <w:spacing w:line="340" w:lineRule="atLeas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7.7</w:t>
      </w:r>
      <w:r>
        <w:rPr>
          <w:rFonts w:ascii="Tahoma" w:hAnsi="Tahoma" w:cs="Tahoma"/>
          <w:color w:val="000000" w:themeColor="text1"/>
          <w:szCs w:val="21"/>
          <w:highlight w:val="none"/>
          <w14:textFill>
            <w14:solidFill>
              <w14:schemeClr w14:val="tx1"/>
            </w14:solidFill>
          </w14:textFill>
        </w:rPr>
        <w:tab/>
      </w:r>
      <w:r>
        <w:rPr>
          <w:rFonts w:ascii="Tahoma" w:hAnsi="Tahoma" w:cs="Tahoma"/>
          <w:color w:val="000000" w:themeColor="text1"/>
          <w:szCs w:val="21"/>
          <w:highlight w:val="none"/>
          <w14:textFill>
            <w14:solidFill>
              <w14:schemeClr w14:val="tx1"/>
            </w14:solidFill>
          </w14:textFill>
        </w:rPr>
        <w:t>供方应将下列文件随同合同货物在包装箱内一起交付：</w:t>
      </w:r>
    </w:p>
    <w:p>
      <w:pPr>
        <w:spacing w:line="340" w:lineRule="atLeas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（1）详细货物清单</w:t>
      </w:r>
    </w:p>
    <w:p>
      <w:pPr>
        <w:spacing w:line="340" w:lineRule="atLeas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（2）质量合格证书</w:t>
      </w:r>
    </w:p>
    <w:p>
      <w:pPr>
        <w:spacing w:line="340" w:lineRule="atLeas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7.8</w:t>
      </w:r>
      <w:r>
        <w:rPr>
          <w:rFonts w:ascii="Tahoma" w:hAnsi="Tahoma" w:cs="Tahoma"/>
          <w:color w:val="000000" w:themeColor="text1"/>
          <w:szCs w:val="21"/>
          <w:highlight w:val="none"/>
          <w14:textFill>
            <w14:solidFill>
              <w14:schemeClr w14:val="tx1"/>
            </w14:solidFill>
          </w14:textFill>
        </w:rPr>
        <w:tab/>
      </w:r>
      <w:r>
        <w:rPr>
          <w:rFonts w:ascii="Tahoma" w:hAnsi="Tahoma" w:cs="Tahoma"/>
          <w:color w:val="000000" w:themeColor="text1"/>
          <w:szCs w:val="21"/>
          <w:highlight w:val="none"/>
          <w14:textFill>
            <w14:solidFill>
              <w14:schemeClr w14:val="tx1"/>
            </w14:solidFill>
          </w14:textFill>
        </w:rPr>
        <w:t>供方每箱中应附有一份技术文件清单，注明技术文件名称和页数。交运的技术文件应</w:t>
      </w:r>
    </w:p>
    <w:p>
      <w:pPr>
        <w:spacing w:line="340" w:lineRule="atLeas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具有适合长途运输、多次搬运、装卸的坚固包装，并具有防潮、防雨、防腐蚀等保护措施，保证技术文件完好完整的提供需方。</w:t>
      </w:r>
    </w:p>
    <w:p>
      <w:pPr>
        <w:spacing w:line="340" w:lineRule="atLeas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7.9</w:t>
      </w:r>
      <w:r>
        <w:rPr>
          <w:rFonts w:ascii="Tahoma" w:hAnsi="Tahoma" w:cs="Tahoma"/>
          <w:color w:val="000000" w:themeColor="text1"/>
          <w:szCs w:val="21"/>
          <w:highlight w:val="none"/>
          <w14:textFill>
            <w14:solidFill>
              <w14:schemeClr w14:val="tx1"/>
            </w14:solidFill>
          </w14:textFill>
        </w:rPr>
        <w:t xml:space="preserve"> 包装、标记和包装箱内外的单据应严格符合合同的特殊要求，包括专用条款规定的要求以及与需方签约后发出的指示。</w:t>
      </w:r>
    </w:p>
    <w:p>
      <w:pPr>
        <w:spacing w:line="320" w:lineRule="exact"/>
        <w:jc w:val="center"/>
        <w:rPr>
          <w:rFonts w:ascii="Tahoma" w:hAnsi="Tahoma" w:eastAsia="黑体" w:cs="Tahoma"/>
          <w:b/>
          <w:color w:val="000000" w:themeColor="text1"/>
          <w:sz w:val="24"/>
          <w:highlight w:val="none"/>
          <w14:textFill>
            <w14:solidFill>
              <w14:schemeClr w14:val="tx1"/>
            </w14:solidFill>
          </w14:textFill>
        </w:rPr>
      </w:pPr>
      <w:r>
        <w:rPr>
          <w:rFonts w:ascii="Tahoma" w:hAnsi="Tahoma" w:eastAsia="黑体" w:cs="Tahoma"/>
          <w:b/>
          <w:color w:val="000000" w:themeColor="text1"/>
          <w:sz w:val="24"/>
          <w:highlight w:val="none"/>
          <w14:textFill>
            <w14:solidFill>
              <w14:schemeClr w14:val="tx1"/>
            </w14:solidFill>
          </w14:textFill>
        </w:rPr>
        <w:t>8、交货（发运）和单据</w:t>
      </w:r>
    </w:p>
    <w:p>
      <w:pPr>
        <w:spacing w:line="340" w:lineRule="atLeas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8.1</w:t>
      </w:r>
      <w:r>
        <w:rPr>
          <w:rFonts w:ascii="Tahoma" w:hAnsi="Tahoma" w:cs="Tahoma"/>
          <w:color w:val="000000" w:themeColor="text1"/>
          <w:szCs w:val="21"/>
          <w:highlight w:val="none"/>
          <w14:textFill>
            <w14:solidFill>
              <w14:schemeClr w14:val="tx1"/>
            </w14:solidFill>
          </w14:textFill>
        </w:rPr>
        <w:t>供方负责在本合同及附件所规定的交货期内，完成全部合同货物及技术文件发运、装卸任务，到达的日期以需方签收的日期为准。</w:t>
      </w:r>
    </w:p>
    <w:p>
      <w:pPr>
        <w:spacing w:line="340" w:lineRule="atLeas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8.2</w:t>
      </w:r>
      <w:r>
        <w:rPr>
          <w:rFonts w:ascii="Tahoma" w:hAnsi="Tahoma" w:cs="Tahoma"/>
          <w:color w:val="000000" w:themeColor="text1"/>
          <w:szCs w:val="21"/>
          <w:highlight w:val="none"/>
          <w14:textFill>
            <w14:solidFill>
              <w14:schemeClr w14:val="tx1"/>
            </w14:solidFill>
          </w14:textFill>
        </w:rPr>
        <w:t>供方提供的技术文件应是中文，单位为公制。如技术文件有缺少、丢失或损坏，供方接需方通知后</w:t>
      </w:r>
      <w:r>
        <w:rPr>
          <w:rFonts w:ascii="Tahoma" w:hAnsi="Tahoma" w:cs="Tahoma"/>
          <w:color w:val="000000" w:themeColor="text1"/>
          <w:szCs w:val="21"/>
          <w:highlight w:val="none"/>
          <w:u w:val="single"/>
          <w14:textFill>
            <w14:solidFill>
              <w14:schemeClr w14:val="tx1"/>
            </w14:solidFill>
          </w14:textFill>
        </w:rPr>
        <w:t>7</w:t>
      </w:r>
      <w:r>
        <w:rPr>
          <w:rFonts w:ascii="Tahoma" w:hAnsi="Tahoma" w:cs="Tahoma"/>
          <w:color w:val="000000" w:themeColor="text1"/>
          <w:szCs w:val="21"/>
          <w:highlight w:val="none"/>
          <w14:textFill>
            <w14:solidFill>
              <w14:schemeClr w14:val="tx1"/>
            </w14:solidFill>
          </w14:textFill>
        </w:rPr>
        <w:t>日内补发，费用由供方负担。</w:t>
      </w:r>
    </w:p>
    <w:p>
      <w:pPr>
        <w:spacing w:line="340" w:lineRule="atLeas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8.3</w:t>
      </w:r>
      <w:r>
        <w:rPr>
          <w:rFonts w:ascii="Tahoma" w:hAnsi="Tahoma" w:cs="Tahoma"/>
          <w:color w:val="000000" w:themeColor="text1"/>
          <w:szCs w:val="21"/>
          <w:highlight w:val="none"/>
          <w14:textFill>
            <w14:solidFill>
              <w14:schemeClr w14:val="tx1"/>
            </w14:solidFill>
          </w14:textFill>
        </w:rPr>
        <w:t>供方负责安排合同货物从供方厂家至目的地的运输工作、包括特殊安装工具、安装材料、和随货物备品配件等。</w:t>
      </w:r>
    </w:p>
    <w:p>
      <w:pPr>
        <w:spacing w:line="340" w:lineRule="atLeas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8.4</w:t>
      </w:r>
      <w:r>
        <w:rPr>
          <w:rFonts w:ascii="Tahoma" w:hAnsi="Tahoma" w:cs="Tahoma"/>
          <w:color w:val="000000" w:themeColor="text1"/>
          <w:szCs w:val="21"/>
          <w:highlight w:val="none"/>
          <w14:textFill>
            <w14:solidFill>
              <w14:schemeClr w14:val="tx1"/>
            </w14:solidFill>
          </w14:textFill>
        </w:rPr>
        <w:t>供方应根据本合同规定的交货日期，提前</w:t>
      </w:r>
      <w:r>
        <w:rPr>
          <w:rFonts w:ascii="Tahoma" w:hAnsi="Tahoma" w:cs="Tahoma"/>
          <w:color w:val="000000" w:themeColor="text1"/>
          <w:szCs w:val="21"/>
          <w:highlight w:val="none"/>
          <w:u w:val="single"/>
          <w14:textFill>
            <w14:solidFill>
              <w14:schemeClr w14:val="tx1"/>
            </w14:solidFill>
          </w14:textFill>
        </w:rPr>
        <w:t>10</w:t>
      </w:r>
      <w:r>
        <w:rPr>
          <w:rFonts w:ascii="Tahoma" w:hAnsi="Tahoma" w:cs="Tahoma"/>
          <w:color w:val="000000" w:themeColor="text1"/>
          <w:szCs w:val="21"/>
          <w:highlight w:val="none"/>
          <w14:textFill>
            <w14:solidFill>
              <w14:schemeClr w14:val="tx1"/>
            </w14:solidFill>
          </w14:textFill>
        </w:rPr>
        <w:t>日通过传真方式或电子邮件通知供方计划发运日期、计划到达日期、目的地、货物名称、数量和其它事项。</w:t>
      </w:r>
    </w:p>
    <w:p>
      <w:pPr>
        <w:spacing w:line="340" w:lineRule="atLeas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8.5</w:t>
      </w:r>
      <w:r>
        <w:rPr>
          <w:rFonts w:ascii="Tahoma" w:hAnsi="Tahoma" w:cs="Tahoma"/>
          <w:b/>
          <w:color w:val="000000" w:themeColor="text1"/>
          <w:szCs w:val="21"/>
          <w:highlight w:val="none"/>
          <w14:textFill>
            <w14:solidFill>
              <w14:schemeClr w14:val="tx1"/>
            </w14:solidFill>
          </w14:textFill>
        </w:rPr>
        <w:tab/>
      </w:r>
      <w:r>
        <w:rPr>
          <w:rFonts w:ascii="Tahoma" w:hAnsi="Tahoma" w:cs="Tahoma"/>
          <w:color w:val="000000" w:themeColor="text1"/>
          <w:szCs w:val="21"/>
          <w:highlight w:val="none"/>
          <w14:textFill>
            <w14:solidFill>
              <w14:schemeClr w14:val="tx1"/>
            </w14:solidFill>
          </w14:textFill>
        </w:rPr>
        <w:t>如果包装箱重量超过</w:t>
      </w:r>
      <w:r>
        <w:rPr>
          <w:rFonts w:ascii="Tahoma" w:hAnsi="Tahoma" w:cs="Tahoma"/>
          <w:color w:val="000000" w:themeColor="text1"/>
          <w:szCs w:val="21"/>
          <w:highlight w:val="none"/>
          <w:u w:val="single"/>
          <w14:textFill>
            <w14:solidFill>
              <w14:schemeClr w14:val="tx1"/>
            </w14:solidFill>
          </w14:textFill>
        </w:rPr>
        <w:t xml:space="preserve"> （交通运管部门的规定）   </w:t>
      </w:r>
      <w:r>
        <w:rPr>
          <w:rFonts w:ascii="Tahoma" w:hAnsi="Tahoma" w:cs="Tahoma"/>
          <w:color w:val="000000" w:themeColor="text1"/>
          <w:szCs w:val="21"/>
          <w:highlight w:val="none"/>
          <w14:textFill>
            <w14:solidFill>
              <w14:schemeClr w14:val="tx1"/>
            </w14:solidFill>
          </w14:textFill>
        </w:rPr>
        <w:t>吨、或长度超过</w:t>
      </w:r>
      <w:r>
        <w:rPr>
          <w:rFonts w:ascii="Tahoma" w:hAnsi="Tahoma" w:cs="Tahoma"/>
          <w:color w:val="000000" w:themeColor="text1"/>
          <w:szCs w:val="21"/>
          <w:highlight w:val="none"/>
          <w:u w:val="single"/>
          <w14:textFill>
            <w14:solidFill>
              <w14:schemeClr w14:val="tx1"/>
            </w14:solidFill>
          </w14:textFill>
        </w:rPr>
        <w:t xml:space="preserve"> （交通运管部门的规定）   </w:t>
      </w:r>
      <w:r>
        <w:rPr>
          <w:rFonts w:ascii="Tahoma" w:hAnsi="Tahoma" w:cs="Tahoma"/>
          <w:color w:val="000000" w:themeColor="text1"/>
          <w:szCs w:val="21"/>
          <w:highlight w:val="none"/>
          <w14:textFill>
            <w14:solidFill>
              <w14:schemeClr w14:val="tx1"/>
            </w14:solidFill>
          </w14:textFill>
        </w:rPr>
        <w:t>米，或宽度超过</w:t>
      </w:r>
      <w:r>
        <w:rPr>
          <w:rFonts w:ascii="Tahoma" w:hAnsi="Tahoma" w:cs="Tahoma"/>
          <w:color w:val="000000" w:themeColor="text1"/>
          <w:szCs w:val="21"/>
          <w:highlight w:val="none"/>
          <w:u w:val="single"/>
          <w14:textFill>
            <w14:solidFill>
              <w14:schemeClr w14:val="tx1"/>
            </w14:solidFill>
          </w14:textFill>
        </w:rPr>
        <w:t xml:space="preserve"> （交通运管部门的规定）   </w:t>
      </w:r>
      <w:r>
        <w:rPr>
          <w:rFonts w:ascii="Tahoma" w:hAnsi="Tahoma" w:cs="Tahoma"/>
          <w:color w:val="000000" w:themeColor="text1"/>
          <w:szCs w:val="21"/>
          <w:highlight w:val="none"/>
          <w14:textFill>
            <w14:solidFill>
              <w14:schemeClr w14:val="tx1"/>
            </w14:solidFill>
          </w14:textFill>
        </w:rPr>
        <w:t>米， 或高度超过</w:t>
      </w:r>
      <w:r>
        <w:rPr>
          <w:rFonts w:ascii="Tahoma" w:hAnsi="Tahoma" w:cs="Tahoma"/>
          <w:color w:val="000000" w:themeColor="text1"/>
          <w:szCs w:val="21"/>
          <w:highlight w:val="none"/>
          <w:u w:val="single"/>
          <w14:textFill>
            <w14:solidFill>
              <w14:schemeClr w14:val="tx1"/>
            </w14:solidFill>
          </w14:textFill>
        </w:rPr>
        <w:t xml:space="preserve"> （交通运管部门的规定）   </w:t>
      </w:r>
      <w:r>
        <w:rPr>
          <w:rFonts w:ascii="Tahoma" w:hAnsi="Tahoma" w:cs="Tahoma"/>
          <w:color w:val="000000" w:themeColor="text1"/>
          <w:szCs w:val="21"/>
          <w:highlight w:val="none"/>
          <w14:textFill>
            <w14:solidFill>
              <w14:schemeClr w14:val="tx1"/>
            </w14:solidFill>
          </w14:textFill>
        </w:rPr>
        <w:t>米，或特殊形状的包装，承包人有责任提前</w:t>
      </w:r>
      <w:r>
        <w:rPr>
          <w:rFonts w:ascii="Tahoma" w:hAnsi="Tahoma" w:cs="Tahoma"/>
          <w:color w:val="000000" w:themeColor="text1"/>
          <w:szCs w:val="21"/>
          <w:highlight w:val="none"/>
          <w:u w:val="single"/>
          <w14:textFill>
            <w14:solidFill>
              <w14:schemeClr w14:val="tx1"/>
            </w14:solidFill>
          </w14:textFill>
        </w:rPr>
        <w:t>10</w:t>
      </w:r>
      <w:r>
        <w:rPr>
          <w:rFonts w:ascii="Tahoma" w:hAnsi="Tahoma" w:cs="Tahoma"/>
          <w:color w:val="000000" w:themeColor="text1"/>
          <w:szCs w:val="21"/>
          <w:highlight w:val="none"/>
          <w14:textFill>
            <w14:solidFill>
              <w14:schemeClr w14:val="tx1"/>
            </w14:solidFill>
          </w14:textFill>
        </w:rPr>
        <w:t>日给需方及随车提供一份该货物包装的详细尺寸图，注明重心和起吊点，以便在合同货物到达后安排货物的卸车和存放，其费用由供方承担。</w:t>
      </w:r>
    </w:p>
    <w:p>
      <w:pPr>
        <w:spacing w:line="340" w:lineRule="atLeas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8.6</w:t>
      </w:r>
      <w:r>
        <w:rPr>
          <w:rFonts w:ascii="Tahoma" w:hAnsi="Tahoma" w:cs="Tahoma"/>
          <w:color w:val="000000" w:themeColor="text1"/>
          <w:szCs w:val="21"/>
          <w:highlight w:val="none"/>
          <w14:textFill>
            <w14:solidFill>
              <w14:schemeClr w14:val="tx1"/>
            </w14:solidFill>
          </w14:textFill>
        </w:rPr>
        <w:tab/>
      </w:r>
      <w:r>
        <w:rPr>
          <w:rFonts w:ascii="Tahoma" w:hAnsi="Tahoma" w:cs="Tahoma"/>
          <w:color w:val="000000" w:themeColor="text1"/>
          <w:szCs w:val="21"/>
          <w:highlight w:val="none"/>
          <w14:textFill>
            <w14:solidFill>
              <w14:schemeClr w14:val="tx1"/>
            </w14:solidFill>
          </w14:textFill>
        </w:rPr>
        <w:t>如果合同货物中有易燃品或危险品，承包人应提前</w:t>
      </w:r>
      <w:r>
        <w:rPr>
          <w:rFonts w:ascii="Tahoma" w:hAnsi="Tahoma" w:cs="Tahoma"/>
          <w:color w:val="000000" w:themeColor="text1"/>
          <w:szCs w:val="21"/>
          <w:highlight w:val="none"/>
          <w:u w:val="single"/>
          <w14:textFill>
            <w14:solidFill>
              <w14:schemeClr w14:val="tx1"/>
            </w14:solidFill>
          </w14:textFill>
        </w:rPr>
        <w:t xml:space="preserve"> 5</w:t>
      </w:r>
      <w:r>
        <w:rPr>
          <w:rFonts w:ascii="Tahoma" w:hAnsi="Tahoma" w:cs="Tahoma"/>
          <w:color w:val="000000" w:themeColor="text1"/>
          <w:szCs w:val="21"/>
          <w:highlight w:val="none"/>
          <w14:textFill>
            <w14:solidFill>
              <w14:schemeClr w14:val="tx1"/>
            </w14:solidFill>
          </w14:textFill>
        </w:rPr>
        <w:t>日通知需方，说明货物名称、特征、防止事故发生的办法和事故发生后的处理方法。</w:t>
      </w:r>
    </w:p>
    <w:p>
      <w:pPr>
        <w:spacing w:line="340" w:lineRule="atLeas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8.7</w:t>
      </w:r>
      <w:r>
        <w:rPr>
          <w:rFonts w:ascii="Tahoma" w:hAnsi="Tahoma" w:cs="Tahoma"/>
          <w:b/>
          <w:color w:val="000000" w:themeColor="text1"/>
          <w:szCs w:val="21"/>
          <w:highlight w:val="none"/>
          <w14:textFill>
            <w14:solidFill>
              <w14:schemeClr w14:val="tx1"/>
            </w14:solidFill>
          </w14:textFill>
        </w:rPr>
        <w:tab/>
      </w:r>
      <w:r>
        <w:rPr>
          <w:rFonts w:ascii="Tahoma" w:hAnsi="Tahoma" w:cs="Tahoma"/>
          <w:color w:val="000000" w:themeColor="text1"/>
          <w:szCs w:val="21"/>
          <w:highlight w:val="none"/>
          <w14:textFill>
            <w14:solidFill>
              <w14:schemeClr w14:val="tx1"/>
            </w14:solidFill>
          </w14:textFill>
        </w:rPr>
        <w:t>供方有责任发运全部生效合同货物，包括特殊安装工具、安装材料和随机备品配件。</w:t>
      </w:r>
    </w:p>
    <w:p>
      <w:pPr>
        <w:spacing w:line="340" w:lineRule="atLeas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8.8</w:t>
      </w:r>
      <w:r>
        <w:rPr>
          <w:rFonts w:ascii="Tahoma" w:hAnsi="Tahoma" w:cs="Tahoma"/>
          <w:color w:val="000000" w:themeColor="text1"/>
          <w:szCs w:val="21"/>
          <w:highlight w:val="none"/>
          <w14:textFill>
            <w14:solidFill>
              <w14:schemeClr w14:val="tx1"/>
            </w14:solidFill>
          </w14:textFill>
        </w:rPr>
        <w:tab/>
      </w:r>
      <w:r>
        <w:rPr>
          <w:rFonts w:ascii="Tahoma" w:hAnsi="Tahoma" w:cs="Tahoma"/>
          <w:color w:val="000000" w:themeColor="text1"/>
          <w:szCs w:val="21"/>
          <w:highlight w:val="none"/>
          <w14:textFill>
            <w14:solidFill>
              <w14:schemeClr w14:val="tx1"/>
            </w14:solidFill>
          </w14:textFill>
        </w:rPr>
        <w:t>如因供方原因，合同货物需要补充或更换，供方有责任将所需货物发运至项目现场，并承担一切风险和费用。</w:t>
      </w:r>
    </w:p>
    <w:p>
      <w:pPr>
        <w:spacing w:line="340" w:lineRule="atLeast"/>
        <w:rPr>
          <w:rFonts w:ascii="Tahoma" w:hAnsi="Tahoma" w:cs="Tahoma"/>
          <w:color w:val="000000" w:themeColor="text1"/>
          <w:szCs w:val="21"/>
          <w:highlight w:val="none"/>
          <w14:textFill>
            <w14:solidFill>
              <w14:schemeClr w14:val="tx1"/>
            </w14:solidFill>
          </w14:textFill>
        </w:rPr>
      </w:pPr>
      <w:r>
        <w:rPr>
          <w:rFonts w:ascii="Tahoma" w:hAnsi="Tahoma" w:eastAsia="黑体" w:cs="Tahoma"/>
          <w:b/>
          <w:color w:val="000000" w:themeColor="text1"/>
          <w:szCs w:val="21"/>
          <w:highlight w:val="none"/>
          <w14:textFill>
            <w14:solidFill>
              <w14:schemeClr w14:val="tx1"/>
            </w14:solidFill>
          </w14:textFill>
        </w:rPr>
        <w:t>8.9</w:t>
      </w:r>
      <w:r>
        <w:rPr>
          <w:rFonts w:ascii="Tahoma" w:hAnsi="Tahoma" w:eastAsia="黑体" w:cs="Tahoma"/>
          <w:b/>
          <w:color w:val="000000" w:themeColor="text1"/>
          <w:szCs w:val="21"/>
          <w:highlight w:val="none"/>
          <w14:textFill>
            <w14:solidFill>
              <w14:schemeClr w14:val="tx1"/>
            </w14:solidFill>
          </w14:textFill>
        </w:rPr>
        <w:tab/>
      </w:r>
      <w:r>
        <w:rPr>
          <w:rFonts w:ascii="Tahoma" w:hAnsi="Tahoma" w:cs="Tahoma"/>
          <w:color w:val="000000" w:themeColor="text1"/>
          <w:szCs w:val="21"/>
          <w:highlight w:val="none"/>
          <w14:textFill>
            <w14:solidFill>
              <w14:schemeClr w14:val="tx1"/>
            </w14:solidFill>
          </w14:textFill>
        </w:rPr>
        <w:t>在合同货物运输过程中，由于供方原因引起合同货物丢失或损坏，由供方向有关保险部门要求保险赔偿。供方有责任尽快重新供应或修理丢失或损坏的合同货物，因此发生的费用由承包人负担。</w:t>
      </w:r>
      <w:bookmarkStart w:id="24" w:name="_Toc184635104"/>
    </w:p>
    <w:bookmarkEnd w:id="24"/>
    <w:p>
      <w:pPr>
        <w:spacing w:line="340" w:lineRule="atLeast"/>
        <w:rPr>
          <w:rFonts w:ascii="Tahoma" w:hAnsi="Tahoma" w:eastAsia="新宋体" w:cs="Tahoma"/>
          <w:b/>
          <w:color w:val="000000" w:themeColor="text1"/>
          <w:szCs w:val="21"/>
          <w:highlight w:val="none"/>
          <w14:textFill>
            <w14:solidFill>
              <w14:schemeClr w14:val="tx1"/>
            </w14:solidFill>
          </w14:textFill>
        </w:rPr>
      </w:pPr>
      <w:r>
        <w:rPr>
          <w:rFonts w:ascii="Tahoma" w:hAnsi="Tahoma" w:eastAsia="新宋体" w:cs="Tahoma"/>
          <w:b/>
          <w:color w:val="000000" w:themeColor="text1"/>
          <w:szCs w:val="21"/>
          <w:highlight w:val="none"/>
          <w14:textFill>
            <w14:solidFill>
              <w14:schemeClr w14:val="tx1"/>
            </w14:solidFill>
          </w14:textFill>
        </w:rPr>
        <w:t>8.10</w:t>
      </w:r>
      <w:r>
        <w:rPr>
          <w:rFonts w:ascii="Tahoma" w:hAnsi="Tahoma" w:eastAsia="新宋体" w:cs="Tahoma"/>
          <w:color w:val="000000" w:themeColor="text1"/>
          <w:szCs w:val="21"/>
          <w:highlight w:val="none"/>
          <w14:textFill>
            <w14:solidFill>
              <w14:schemeClr w14:val="tx1"/>
            </w14:solidFill>
          </w14:textFill>
        </w:rPr>
        <w:t>需方应根据合同项目的需要，负责办理取得出入目的场地的专用或临时道路的通行权，</w:t>
      </w:r>
      <w:r>
        <w:rPr>
          <w:rFonts w:ascii="Tahoma" w:hAnsi="Tahoma" w:cs="Tahoma"/>
          <w:color w:val="000000" w:themeColor="text1"/>
          <w:szCs w:val="21"/>
          <w:highlight w:val="none"/>
          <w14:textFill>
            <w14:solidFill>
              <w14:schemeClr w14:val="tx1"/>
            </w14:solidFill>
          </w14:textFill>
        </w:rPr>
        <w:t>供方</w:t>
      </w:r>
      <w:r>
        <w:rPr>
          <w:rFonts w:ascii="Tahoma" w:hAnsi="Tahoma" w:eastAsia="新宋体" w:cs="Tahoma"/>
          <w:color w:val="000000" w:themeColor="text1"/>
          <w:szCs w:val="21"/>
          <w:highlight w:val="none"/>
          <w14:textFill>
            <w14:solidFill>
              <w14:schemeClr w14:val="tx1"/>
            </w14:solidFill>
          </w14:textFill>
        </w:rPr>
        <w:t>应协助采购人办理上述手续。</w:t>
      </w:r>
    </w:p>
    <w:p>
      <w:pPr>
        <w:spacing w:line="340" w:lineRule="atLeast"/>
        <w:rPr>
          <w:rFonts w:ascii="Tahoma" w:hAnsi="Tahoma" w:eastAsia="新宋体" w:cs="Tahoma"/>
          <w:b/>
          <w:color w:val="000000" w:themeColor="text1"/>
          <w:szCs w:val="21"/>
          <w:highlight w:val="none"/>
          <w14:textFill>
            <w14:solidFill>
              <w14:schemeClr w14:val="tx1"/>
            </w14:solidFill>
          </w14:textFill>
        </w:rPr>
      </w:pPr>
      <w:r>
        <w:rPr>
          <w:rFonts w:ascii="Tahoma" w:hAnsi="Tahoma" w:eastAsia="新宋体" w:cs="Tahoma"/>
          <w:b/>
          <w:color w:val="000000" w:themeColor="text1"/>
          <w:szCs w:val="21"/>
          <w:highlight w:val="none"/>
          <w14:textFill>
            <w14:solidFill>
              <w14:schemeClr w14:val="tx1"/>
            </w14:solidFill>
          </w14:textFill>
        </w:rPr>
        <w:t xml:space="preserve">8.11 </w:t>
      </w:r>
      <w:r>
        <w:rPr>
          <w:rFonts w:ascii="Tahoma" w:hAnsi="Tahoma" w:eastAsia="新宋体" w:cs="Tahoma"/>
          <w:color w:val="000000" w:themeColor="text1"/>
          <w:szCs w:val="21"/>
          <w:highlight w:val="none"/>
          <w14:textFill>
            <w14:solidFill>
              <w14:schemeClr w14:val="tx1"/>
            </w14:solidFill>
          </w14:textFill>
        </w:rPr>
        <w:t>供方运输车辆行驶所需的场外公共道路的通行费、过路费和税款等由承包人承担。</w:t>
      </w:r>
    </w:p>
    <w:p>
      <w:pPr>
        <w:spacing w:line="340" w:lineRule="atLeast"/>
        <w:rPr>
          <w:rFonts w:ascii="Tahoma" w:hAnsi="Tahoma" w:eastAsia="新宋体" w:cs="Tahoma"/>
          <w:color w:val="000000" w:themeColor="text1"/>
          <w:szCs w:val="21"/>
          <w:highlight w:val="none"/>
          <w14:textFill>
            <w14:solidFill>
              <w14:schemeClr w14:val="tx1"/>
            </w14:solidFill>
          </w14:textFill>
        </w:rPr>
      </w:pPr>
      <w:r>
        <w:rPr>
          <w:rFonts w:ascii="Tahoma" w:hAnsi="Tahoma" w:eastAsia="新宋体" w:cs="Tahoma"/>
          <w:b/>
          <w:color w:val="000000" w:themeColor="text1"/>
          <w:szCs w:val="21"/>
          <w:highlight w:val="none"/>
          <w14:textFill>
            <w14:solidFill>
              <w14:schemeClr w14:val="tx1"/>
            </w14:solidFill>
          </w14:textFill>
        </w:rPr>
        <w:t>8.12</w:t>
      </w:r>
      <w:r>
        <w:rPr>
          <w:rFonts w:ascii="Tahoma" w:hAnsi="Tahoma" w:eastAsia="新宋体" w:cs="Tahoma"/>
          <w:color w:val="000000" w:themeColor="text1"/>
          <w:szCs w:val="21"/>
          <w:highlight w:val="none"/>
          <w14:textFill>
            <w14:solidFill>
              <w14:schemeClr w14:val="tx1"/>
            </w14:solidFill>
          </w14:textFill>
        </w:rPr>
        <w:t xml:space="preserve"> 供方运输车辆和人员应遵守有关交通法规，严格按照道路和桥梁的限制荷重安全行驶，并服从交通管理部门的检查和监督。由供方负责运输的超大件或超重件，应由供方负责向交通管理部门办理有关手续。运输超大件或超重件所需的道路和桥梁临时加固改造费用和其他有关费用，由供方承担。因供方运输造成施工场地内外公共道路和桥梁损坏的，由供方承担修复损坏的全部费用和可能引起的赔偿。</w:t>
      </w:r>
    </w:p>
    <w:p>
      <w:pPr>
        <w:spacing w:line="340" w:lineRule="atLeas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8.13</w:t>
      </w:r>
      <w:r>
        <w:rPr>
          <w:rFonts w:ascii="Tahoma" w:hAnsi="Tahoma" w:cs="Tahoma"/>
          <w:color w:val="000000" w:themeColor="text1"/>
          <w:szCs w:val="21"/>
          <w:highlight w:val="none"/>
          <w14:textFill>
            <w14:solidFill>
              <w14:schemeClr w14:val="tx1"/>
            </w14:solidFill>
          </w14:textFill>
        </w:rPr>
        <w:t>货物在交付需方前发生的风险均由供方负责。</w:t>
      </w:r>
    </w:p>
    <w:p>
      <w:pPr>
        <w:spacing w:line="320" w:lineRule="exact"/>
        <w:jc w:val="center"/>
        <w:rPr>
          <w:rFonts w:ascii="Tahoma" w:hAnsi="Tahoma" w:eastAsia="黑体" w:cs="Tahoma"/>
          <w:b/>
          <w:color w:val="000000" w:themeColor="text1"/>
          <w:sz w:val="24"/>
          <w:highlight w:val="none"/>
          <w14:textFill>
            <w14:solidFill>
              <w14:schemeClr w14:val="tx1"/>
            </w14:solidFill>
          </w14:textFill>
        </w:rPr>
      </w:pPr>
      <w:r>
        <w:rPr>
          <w:rFonts w:ascii="Tahoma" w:hAnsi="Tahoma" w:eastAsia="黑体" w:cs="Tahoma"/>
          <w:b/>
          <w:color w:val="000000" w:themeColor="text1"/>
          <w:sz w:val="24"/>
          <w:highlight w:val="none"/>
          <w14:textFill>
            <w14:solidFill>
              <w14:schemeClr w14:val="tx1"/>
            </w14:solidFill>
          </w14:textFill>
        </w:rPr>
        <w:t>11、保证</w:t>
      </w:r>
    </w:p>
    <w:p>
      <w:pPr>
        <w:pStyle w:val="13"/>
        <w:spacing w:line="340" w:lineRule="atLeast"/>
        <w:rPr>
          <w:rFonts w:ascii="Tahoma" w:hAnsi="Tahoma" w:cs="Tahoma"/>
          <w:color w:val="000000" w:themeColor="text1"/>
          <w:szCs w:val="21"/>
          <w:highlight w:val="none"/>
          <w14:textFill>
            <w14:solidFill>
              <w14:schemeClr w14:val="tx1"/>
            </w14:solidFill>
          </w14:textFill>
        </w:rPr>
      </w:pPr>
      <w:r>
        <w:rPr>
          <w:rFonts w:ascii="Tahoma" w:hAnsi="Tahoma" w:cs="Tahoma"/>
          <w:b/>
          <w:bCs/>
          <w:color w:val="000000" w:themeColor="text1"/>
          <w:szCs w:val="21"/>
          <w:highlight w:val="none"/>
          <w14:textFill>
            <w14:solidFill>
              <w14:schemeClr w14:val="tx1"/>
            </w14:solidFill>
          </w14:textFill>
        </w:rPr>
        <w:t>11.1</w:t>
      </w:r>
      <w:r>
        <w:rPr>
          <w:rFonts w:ascii="Tahoma" w:hAnsi="Tahoma" w:cs="Tahoma"/>
          <w:color w:val="000000" w:themeColor="text1"/>
          <w:szCs w:val="21"/>
          <w:highlight w:val="none"/>
          <w14:textFill>
            <w14:solidFill>
              <w14:schemeClr w14:val="tx1"/>
            </w14:solidFill>
          </w14:textFill>
        </w:rPr>
        <w:t>供方应保证提供的货物：</w:t>
      </w:r>
    </w:p>
    <w:p>
      <w:pPr>
        <w:pStyle w:val="13"/>
        <w:numPr>
          <w:ilvl w:val="0"/>
          <w:numId w:val="4"/>
        </w:numPr>
        <w:spacing w:line="340" w:lineRule="atLeas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符合国家有关部门颁发的产品正常使用条件（环境温度、相对湿度、材料的物理力学性能）等。</w:t>
      </w:r>
    </w:p>
    <w:p>
      <w:pPr>
        <w:pStyle w:val="13"/>
        <w:numPr>
          <w:ilvl w:val="0"/>
          <w:numId w:val="4"/>
        </w:numPr>
        <w:spacing w:line="340" w:lineRule="atLeast"/>
        <w:rPr>
          <w:rFonts w:ascii="Tahoma" w:hAnsi="Tahoma" w:cs="Tahoma"/>
          <w:color w:val="000000" w:themeColor="text1"/>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乙方应保证，甲方在中华人民共和国使用本合同约定的软件或软件的一部分时，免于遭受第三方就知识产权（包括但不限于专利权、商标权、著作权及非专利技术）提起的诉讼、仲裁或任何请求。</w:t>
      </w:r>
    </w:p>
    <w:p>
      <w:pPr>
        <w:pStyle w:val="13"/>
        <w:numPr>
          <w:ilvl w:val="0"/>
          <w:numId w:val="4"/>
        </w:numPr>
        <w:spacing w:line="340" w:lineRule="atLeast"/>
        <w:rPr>
          <w:rFonts w:ascii="Tahoma" w:hAnsi="Tahoma" w:cs="Tahoma"/>
          <w:color w:val="000000" w:themeColor="text1"/>
          <w:szCs w:val="21"/>
          <w:highlight w:val="none"/>
          <w14:textFill>
            <w14:solidFill>
              <w14:schemeClr w14:val="tx1"/>
            </w14:solidFill>
          </w14:textFill>
        </w:rPr>
      </w:pPr>
      <w:r>
        <w:rPr>
          <w:rFonts w:hint="eastAsia" w:ascii="Tahoma" w:hAnsi="Tahoma" w:cs="Tahoma"/>
          <w:color w:val="000000" w:themeColor="text1"/>
          <w:szCs w:val="21"/>
          <w:highlight w:val="none"/>
          <w:lang w:val="en-US" w:eastAsia="zh-CN"/>
          <w14:textFill>
            <w14:solidFill>
              <w14:schemeClr w14:val="tx1"/>
            </w14:solidFill>
          </w14:textFill>
        </w:rPr>
        <w:t>乙方保证</w:t>
      </w:r>
      <w:r>
        <w:rPr>
          <w:rFonts w:hint="eastAsia" w:ascii="Tahoma" w:hAnsi="Tahoma" w:cs="Tahoma"/>
          <w:color w:val="000000" w:themeColor="text1"/>
          <w:szCs w:val="21"/>
          <w:highlight w:val="none"/>
          <w14:textFill>
            <w14:solidFill>
              <w14:schemeClr w14:val="tx1"/>
            </w14:solidFill>
          </w14:textFill>
        </w:rPr>
        <w:t>非经甲方事先书面同意，乙方不得将甲方在本合同签署及履行过程中</w:t>
      </w:r>
      <w:r>
        <w:rPr>
          <w:rFonts w:hint="eastAsia" w:ascii="Tahoma" w:hAnsi="Tahoma" w:cs="Tahoma"/>
          <w:color w:val="000000" w:themeColor="text1"/>
          <w:szCs w:val="21"/>
          <w:highlight w:val="none"/>
          <w:lang w:val="en-US" w:eastAsia="zh-CN"/>
          <w14:textFill>
            <w14:solidFill>
              <w14:schemeClr w14:val="tx1"/>
            </w14:solidFill>
          </w14:textFill>
        </w:rPr>
        <w:t>获得的甲方信息</w:t>
      </w:r>
      <w:r>
        <w:rPr>
          <w:rFonts w:hint="eastAsia" w:ascii="Tahoma" w:hAnsi="Tahoma" w:cs="Tahoma"/>
          <w:color w:val="000000" w:themeColor="text1"/>
          <w:szCs w:val="21"/>
          <w:highlight w:val="none"/>
          <w14:textFill>
            <w14:solidFill>
              <w14:schemeClr w14:val="tx1"/>
            </w14:solidFill>
          </w14:textFill>
        </w:rPr>
        <w:t>披露给任何第三人；乙方向与执行本合同的有关人员提供上述文件时，应保证有关人员遵守保密义务；由于乙方原因或人员引起泄密而造成甲方损失的，由乙方赔偿全部损失。</w:t>
      </w:r>
    </w:p>
    <w:p>
      <w:pPr>
        <w:spacing w:line="320" w:lineRule="exact"/>
        <w:jc w:val="center"/>
        <w:rPr>
          <w:rFonts w:ascii="Tahoma" w:hAnsi="Tahoma" w:eastAsia="黑体" w:cs="Tahoma"/>
          <w:b/>
          <w:color w:val="000000" w:themeColor="text1"/>
          <w:sz w:val="24"/>
          <w:highlight w:val="none"/>
          <w14:textFill>
            <w14:solidFill>
              <w14:schemeClr w14:val="tx1"/>
            </w14:solidFill>
          </w14:textFill>
        </w:rPr>
      </w:pPr>
      <w:r>
        <w:rPr>
          <w:rFonts w:ascii="Tahoma" w:hAnsi="Tahoma" w:eastAsia="黑体" w:cs="Tahoma"/>
          <w:b/>
          <w:color w:val="000000" w:themeColor="text1"/>
          <w:sz w:val="24"/>
          <w:highlight w:val="none"/>
          <w14:textFill>
            <w14:solidFill>
              <w14:schemeClr w14:val="tx1"/>
            </w14:solidFill>
          </w14:textFill>
        </w:rPr>
        <w:t>14、付款</w:t>
      </w:r>
    </w:p>
    <w:p>
      <w:pPr>
        <w:spacing w:line="340" w:lineRule="atLeas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14.3</w:t>
      </w:r>
      <w:r>
        <w:rPr>
          <w:rFonts w:ascii="Tahoma" w:hAnsi="Tahoma" w:cs="Tahoma"/>
          <w:color w:val="000000" w:themeColor="text1"/>
          <w:szCs w:val="21"/>
          <w:highlight w:val="none"/>
          <w14:textFill>
            <w14:solidFill>
              <w14:schemeClr w14:val="tx1"/>
            </w14:solidFill>
          </w14:textFill>
        </w:rPr>
        <w:t>本款增加：需方负责根据14.4项付款比例和条件将合同价款项通过银行电汇或需方与供方在合同中约定的方式支付供方</w:t>
      </w:r>
    </w:p>
    <w:p>
      <w:pPr>
        <w:tabs>
          <w:tab w:val="left" w:pos="900"/>
        </w:tabs>
        <w:snapToGrid w:val="0"/>
        <w:spacing w:line="34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14.4</w:t>
      </w:r>
      <w:r>
        <w:rPr>
          <w:rFonts w:ascii="Tahoma" w:hAnsi="Tahoma" w:cs="Tahoma"/>
          <w:color w:val="000000" w:themeColor="text1"/>
          <w:szCs w:val="21"/>
          <w:highlight w:val="none"/>
          <w14:textFill>
            <w14:solidFill>
              <w14:schemeClr w14:val="tx1"/>
            </w14:solidFill>
          </w14:textFill>
        </w:rPr>
        <w:t>本款增加：</w:t>
      </w:r>
      <w:r>
        <w:rPr>
          <w:rFonts w:ascii="Tahoma" w:hAnsi="Tahoma" w:cs="Tahoma"/>
          <w:bCs/>
          <w:color w:val="000000" w:themeColor="text1"/>
          <w:szCs w:val="21"/>
          <w:highlight w:val="none"/>
          <w14:textFill>
            <w14:solidFill>
              <w14:schemeClr w14:val="tx1"/>
            </w14:solidFill>
          </w14:textFill>
        </w:rPr>
        <w:t>供方</w:t>
      </w:r>
      <w:r>
        <w:rPr>
          <w:rFonts w:ascii="Tahoma" w:hAnsi="Tahoma" w:cs="Tahoma"/>
          <w:color w:val="000000" w:themeColor="text1"/>
          <w:szCs w:val="21"/>
          <w:highlight w:val="none"/>
          <w14:textFill>
            <w14:solidFill>
              <w14:schemeClr w14:val="tx1"/>
            </w14:solidFill>
          </w14:textFill>
        </w:rPr>
        <w:t>与供应商签订合同，合同生效后，在供方向需方提出支付申请后的</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个工作日内支付，本采购项目合同价款的支付方式为：</w:t>
      </w:r>
      <w:r>
        <w:rPr>
          <w:rFonts w:ascii="Tahoma" w:hAnsi="Tahoma" w:cs="Tahoma"/>
          <w:bCs/>
          <w:color w:val="000000" w:themeColor="text1"/>
          <w:szCs w:val="21"/>
          <w:highlight w:val="none"/>
          <w14:textFill>
            <w14:solidFill>
              <w14:schemeClr w14:val="tx1"/>
            </w14:solidFill>
          </w14:textFill>
        </w:rPr>
        <w:t>供方</w:t>
      </w:r>
      <w:r>
        <w:rPr>
          <w:rFonts w:ascii="Tahoma" w:hAnsi="Tahoma" w:cs="Tahoma"/>
          <w:color w:val="000000" w:themeColor="text1"/>
          <w:szCs w:val="21"/>
          <w:highlight w:val="none"/>
          <w14:textFill>
            <w14:solidFill>
              <w14:schemeClr w14:val="tx1"/>
            </w14:solidFill>
          </w14:textFill>
        </w:rPr>
        <w:t>与中标单位签订合同，经批准合同生效后，按合同约定的支付方式进行支付，可能存在延期支付，供方需承担延期支付的风险，敬请各供应商注意！</w:t>
      </w:r>
    </w:p>
    <w:p>
      <w:pPr>
        <w:tabs>
          <w:tab w:val="left" w:pos="900"/>
        </w:tabs>
        <w:snapToGrid w:val="0"/>
        <w:spacing w:line="34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如合同另有约定的，则从其约定。</w:t>
      </w:r>
    </w:p>
    <w:p>
      <w:pPr>
        <w:spacing w:line="340" w:lineRule="atLeast"/>
        <w:rPr>
          <w:rFonts w:ascii="Tahoma" w:hAnsi="Tahoma" w:cs="Tahoma"/>
          <w:b/>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w:t>
      </w:r>
      <w:r>
        <w:rPr>
          <w:rFonts w:hint="eastAsia" w:ascii="Tahoma" w:hAnsi="Tahoma" w:cs="Tahoma"/>
          <w:color w:val="000000" w:themeColor="text1"/>
          <w:szCs w:val="21"/>
          <w:highlight w:val="none"/>
          <w14:textFill>
            <w14:solidFill>
              <w14:schemeClr w14:val="tx1"/>
            </w14:solidFill>
          </w14:textFill>
        </w:rPr>
        <w:t>若资金未到位有可能由供方垫资的</w:t>
      </w:r>
      <w:r>
        <w:rPr>
          <w:rFonts w:ascii="Tahoma" w:hAnsi="Tahoma" w:cs="Tahoma"/>
          <w:color w:val="000000" w:themeColor="text1"/>
          <w:szCs w:val="21"/>
          <w:highlight w:val="none"/>
          <w14:textFill>
            <w14:solidFill>
              <w14:schemeClr w14:val="tx1"/>
            </w14:solidFill>
          </w14:textFill>
        </w:rPr>
        <w:t>需方与供方在合同中另行约定。</w:t>
      </w:r>
    </w:p>
    <w:p>
      <w:pPr>
        <w:spacing w:line="340" w:lineRule="atLeas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14.5</w:t>
      </w:r>
      <w:r>
        <w:rPr>
          <w:rFonts w:ascii="Tahoma" w:hAnsi="Tahoma" w:cs="Tahoma"/>
          <w:color w:val="000000" w:themeColor="text1"/>
          <w:szCs w:val="21"/>
          <w:highlight w:val="none"/>
          <w14:textFill>
            <w14:solidFill>
              <w14:schemeClr w14:val="tx1"/>
            </w14:solidFill>
          </w14:textFill>
        </w:rPr>
        <w:t>由于供方原因发生的银行费用全部由供方承担，由于需方发生的银行费用全部由需方承担。</w:t>
      </w:r>
    </w:p>
    <w:p>
      <w:pPr>
        <w:spacing w:line="340" w:lineRule="atLeast"/>
        <w:rPr>
          <w:color w:val="000000" w:themeColor="text1"/>
          <w:highlight w:val="none"/>
          <w14:textFill>
            <w14:solidFill>
              <w14:schemeClr w14:val="tx1"/>
            </w14:solidFill>
          </w14:textFill>
        </w:rPr>
      </w:pPr>
      <w:r>
        <w:rPr>
          <w:rFonts w:hint="eastAsia" w:ascii="Tahoma" w:hAnsi="Tahoma" w:cs="Tahoma"/>
          <w:b w:val="0"/>
          <w:bCs/>
          <w:color w:val="000000" w:themeColor="text1"/>
          <w:szCs w:val="21"/>
          <w:highlight w:val="none"/>
          <w:lang w:val="en-US" w:eastAsia="zh-CN"/>
          <w14:textFill>
            <w14:solidFill>
              <w14:schemeClr w14:val="tx1"/>
            </w14:solidFill>
          </w14:textFill>
        </w:rPr>
        <w:t>14.6</w:t>
      </w:r>
      <w:r>
        <w:rPr>
          <w:rFonts w:hint="eastAsia" w:ascii="Tahoma" w:hAnsi="Tahoma" w:cs="Tahoma"/>
          <w:b w:val="0"/>
          <w:bCs/>
          <w:color w:val="000000" w:themeColor="text1"/>
          <w:szCs w:val="21"/>
          <w:highlight w:val="none"/>
          <w:lang w:eastAsia="zh-CN"/>
          <w14:textFill>
            <w14:solidFill>
              <w14:schemeClr w14:val="tx1"/>
            </w14:solidFill>
          </w14:textFill>
        </w:rPr>
        <w:t xml:space="preserve">甲方支付上述任何一笔款项前，乙方应提供符合甲方财务做账要求的正规发票，否则，甲方有权拒付款项且不承担违约责任。    </w:t>
      </w:r>
    </w:p>
    <w:p>
      <w:pPr>
        <w:spacing w:line="320" w:lineRule="exact"/>
        <w:jc w:val="center"/>
        <w:rPr>
          <w:rFonts w:ascii="Tahoma" w:hAnsi="Tahoma" w:eastAsia="黑体" w:cs="Tahoma"/>
          <w:b/>
          <w:color w:val="000000" w:themeColor="text1"/>
          <w:sz w:val="24"/>
          <w:highlight w:val="none"/>
          <w14:textFill>
            <w14:solidFill>
              <w14:schemeClr w14:val="tx1"/>
            </w14:solidFill>
          </w14:textFill>
        </w:rPr>
      </w:pPr>
      <w:r>
        <w:rPr>
          <w:rFonts w:ascii="Tahoma" w:hAnsi="Tahoma" w:eastAsia="黑体" w:cs="Tahoma"/>
          <w:b/>
          <w:color w:val="000000" w:themeColor="text1"/>
          <w:sz w:val="24"/>
          <w:highlight w:val="none"/>
          <w14:textFill>
            <w14:solidFill>
              <w14:schemeClr w14:val="tx1"/>
            </w14:solidFill>
          </w14:textFill>
        </w:rPr>
        <w:t>16、变更指令和合同修改</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16.1</w:t>
      </w:r>
      <w:r>
        <w:rPr>
          <w:rFonts w:ascii="Tahoma" w:hAnsi="Tahoma" w:cs="Tahoma"/>
          <w:color w:val="000000" w:themeColor="text1"/>
          <w:szCs w:val="21"/>
          <w:highlight w:val="none"/>
          <w14:textFill>
            <w14:solidFill>
              <w14:schemeClr w14:val="tx1"/>
            </w14:solidFill>
          </w14:textFill>
        </w:rPr>
        <w:t>本款增加：</w:t>
      </w:r>
    </w:p>
    <w:p>
      <w:pPr>
        <w:spacing w:line="320" w:lineRule="exact"/>
        <w:ind w:firstLine="210" w:firstLineChars="1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采购人可以在任何时候可以根据项目实施的具体情况，就采购设备（或产品）数量的减少书面向供应商发出指令，但前提条件是：应在不改变合同其他条款的前提下，并在采购人要求供应商提供采购设备（或产品）供货的7天前书面通知供应商，以免对供应商造成不必要的损失。</w:t>
      </w:r>
    </w:p>
    <w:p>
      <w:pPr>
        <w:spacing w:line="330" w:lineRule="exact"/>
        <w:ind w:firstLine="210" w:firstLineChars="1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2）在采购合同履行中，采购人需追加与合同标的相同的货物、工程或者服务的，在不改变合同其他条款的前提下，可与供应商协商签订补充合同，但所有补充合同的采购金额不得超过原合同采购金额的百分之十。</w:t>
      </w:r>
    </w:p>
    <w:p>
      <w:pPr>
        <w:spacing w:line="320" w:lineRule="exact"/>
        <w:jc w:val="center"/>
        <w:rPr>
          <w:rFonts w:ascii="Tahoma" w:hAnsi="Tahoma" w:eastAsia="黑体" w:cs="Tahoma"/>
          <w:b/>
          <w:color w:val="000000" w:themeColor="text1"/>
          <w:sz w:val="24"/>
          <w:highlight w:val="none"/>
          <w14:textFill>
            <w14:solidFill>
              <w14:schemeClr w14:val="tx1"/>
            </w14:solidFill>
          </w14:textFill>
        </w:rPr>
      </w:pPr>
      <w:r>
        <w:rPr>
          <w:rFonts w:ascii="Tahoma" w:hAnsi="Tahoma" w:eastAsia="黑体" w:cs="Tahoma"/>
          <w:b/>
          <w:color w:val="000000" w:themeColor="text1"/>
          <w:sz w:val="24"/>
          <w:highlight w:val="none"/>
          <w14:textFill>
            <w14:solidFill>
              <w14:schemeClr w14:val="tx1"/>
            </w14:solidFill>
          </w14:textFill>
        </w:rPr>
        <w:t>18、履约延误和罚款</w:t>
      </w:r>
    </w:p>
    <w:p>
      <w:pPr>
        <w:spacing w:line="340" w:lineRule="atLeas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 xml:space="preserve">18.2 </w:t>
      </w:r>
      <w:r>
        <w:rPr>
          <w:rFonts w:ascii="Tahoma" w:hAnsi="Tahoma" w:cs="Tahoma"/>
          <w:color w:val="000000" w:themeColor="text1"/>
          <w:szCs w:val="21"/>
          <w:highlight w:val="none"/>
          <w14:textFill>
            <w14:solidFill>
              <w14:schemeClr w14:val="tx1"/>
            </w14:solidFill>
          </w14:textFill>
        </w:rPr>
        <w:t>供方有责任并保证按合同规定的货物交货期如期交货，如果因为供方原因使合同货物不能按期交货，承包人应按下列比例和数额支付采购人违约金。</w:t>
      </w:r>
    </w:p>
    <w:p>
      <w:pPr>
        <w:spacing w:line="320" w:lineRule="exact"/>
        <w:ind w:firstLine="210" w:firstLineChars="1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（1）每延期</w:t>
      </w:r>
      <w:r>
        <w:rPr>
          <w:rFonts w:ascii="Tahoma" w:hAnsi="Tahoma" w:cs="Tahoma"/>
          <w:color w:val="000000" w:themeColor="text1"/>
          <w:szCs w:val="21"/>
          <w:highlight w:val="none"/>
          <w:u w:val="single"/>
          <w14:textFill>
            <w14:solidFill>
              <w14:schemeClr w14:val="tx1"/>
            </w14:solidFill>
          </w14:textFill>
        </w:rPr>
        <w:t xml:space="preserve"> 7</w:t>
      </w:r>
      <w:r>
        <w:rPr>
          <w:rFonts w:ascii="Tahoma" w:hAnsi="Tahoma" w:cs="Tahoma"/>
          <w:color w:val="000000" w:themeColor="text1"/>
          <w:szCs w:val="21"/>
          <w:highlight w:val="none"/>
          <w14:textFill>
            <w14:solidFill>
              <w14:schemeClr w14:val="tx1"/>
            </w14:solidFill>
          </w14:textFill>
        </w:rPr>
        <w:t>天，违约金额为应发运合同货物价格的</w:t>
      </w:r>
      <w:r>
        <w:rPr>
          <w:rFonts w:ascii="Tahoma" w:hAnsi="Tahoma" w:cs="Tahoma"/>
          <w:color w:val="000000" w:themeColor="text1"/>
          <w:szCs w:val="21"/>
          <w:highlight w:val="none"/>
          <w:u w:val="single"/>
          <w14:textFill>
            <w14:solidFill>
              <w14:schemeClr w14:val="tx1"/>
            </w14:solidFill>
          </w14:textFill>
        </w:rPr>
        <w:t xml:space="preserve"> 1.0 </w:t>
      </w:r>
      <w:r>
        <w:rPr>
          <w:rFonts w:ascii="Tahoma" w:hAnsi="Tahoma" w:cs="Tahoma"/>
          <w:color w:val="000000" w:themeColor="text1"/>
          <w:szCs w:val="21"/>
          <w:highlight w:val="none"/>
          <w14:textFill>
            <w14:solidFill>
              <w14:schemeClr w14:val="tx1"/>
            </w14:solidFill>
          </w14:textFill>
        </w:rPr>
        <w:t>%。</w:t>
      </w:r>
    </w:p>
    <w:p>
      <w:pPr>
        <w:spacing w:line="340" w:lineRule="atLeast"/>
        <w:ind w:firstLine="210" w:firstLineChars="1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（2）从第</w:t>
      </w:r>
      <w:r>
        <w:rPr>
          <w:rFonts w:ascii="Tahoma" w:hAnsi="Tahoma" w:cs="Tahoma"/>
          <w:color w:val="000000" w:themeColor="text1"/>
          <w:szCs w:val="21"/>
          <w:highlight w:val="none"/>
          <w:u w:val="single"/>
          <w14:textFill>
            <w14:solidFill>
              <w14:schemeClr w14:val="tx1"/>
            </w14:solidFill>
          </w14:textFill>
        </w:rPr>
        <w:t xml:space="preserve"> 21</w:t>
      </w:r>
      <w:r>
        <w:rPr>
          <w:rFonts w:ascii="Tahoma" w:hAnsi="Tahoma" w:cs="Tahoma"/>
          <w:color w:val="000000" w:themeColor="text1"/>
          <w:szCs w:val="21"/>
          <w:highlight w:val="none"/>
          <w14:textFill>
            <w14:solidFill>
              <w14:schemeClr w14:val="tx1"/>
            </w14:solidFill>
          </w14:textFill>
        </w:rPr>
        <w:t>天起算，每延期</w:t>
      </w:r>
      <w:r>
        <w:rPr>
          <w:rFonts w:ascii="Tahoma" w:hAnsi="Tahoma" w:cs="Tahoma"/>
          <w:color w:val="000000" w:themeColor="text1"/>
          <w:szCs w:val="21"/>
          <w:highlight w:val="none"/>
          <w:u w:val="single"/>
          <w14:textFill>
            <w14:solidFill>
              <w14:schemeClr w14:val="tx1"/>
            </w14:solidFill>
          </w14:textFill>
        </w:rPr>
        <w:t xml:space="preserve"> 7</w:t>
      </w:r>
      <w:r>
        <w:rPr>
          <w:rFonts w:ascii="Tahoma" w:hAnsi="Tahoma" w:cs="Tahoma"/>
          <w:color w:val="000000" w:themeColor="text1"/>
          <w:szCs w:val="21"/>
          <w:highlight w:val="none"/>
          <w14:textFill>
            <w14:solidFill>
              <w14:schemeClr w14:val="tx1"/>
            </w14:solidFill>
          </w14:textFill>
        </w:rPr>
        <w:t>天违约金额为应发运合同货物价格的</w:t>
      </w:r>
      <w:r>
        <w:rPr>
          <w:rFonts w:ascii="Tahoma" w:hAnsi="Tahoma" w:cs="Tahoma"/>
          <w:color w:val="000000" w:themeColor="text1"/>
          <w:szCs w:val="21"/>
          <w:highlight w:val="none"/>
          <w:u w:val="single"/>
          <w14:textFill>
            <w14:solidFill>
              <w14:schemeClr w14:val="tx1"/>
            </w14:solidFill>
          </w14:textFill>
        </w:rPr>
        <w:t xml:space="preserve"> 1.5 </w:t>
      </w:r>
      <w:r>
        <w:rPr>
          <w:rFonts w:ascii="Tahoma" w:hAnsi="Tahoma" w:cs="Tahoma"/>
          <w:color w:val="000000" w:themeColor="text1"/>
          <w:szCs w:val="21"/>
          <w:highlight w:val="none"/>
          <w14:textFill>
            <w14:solidFill>
              <w14:schemeClr w14:val="tx1"/>
            </w14:solidFill>
          </w14:textFill>
        </w:rPr>
        <w:t>%。</w:t>
      </w:r>
    </w:p>
    <w:p>
      <w:pPr>
        <w:spacing w:line="340" w:lineRule="atLeast"/>
        <w:ind w:firstLine="210" w:firstLineChars="1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（3）从第</w:t>
      </w:r>
      <w:r>
        <w:rPr>
          <w:rFonts w:ascii="Tahoma" w:hAnsi="Tahoma" w:cs="Tahoma"/>
          <w:color w:val="000000" w:themeColor="text1"/>
          <w:szCs w:val="21"/>
          <w:highlight w:val="none"/>
          <w:u w:val="single"/>
          <w14:textFill>
            <w14:solidFill>
              <w14:schemeClr w14:val="tx1"/>
            </w14:solidFill>
          </w14:textFill>
        </w:rPr>
        <w:t xml:space="preserve"> 28</w:t>
      </w:r>
      <w:r>
        <w:rPr>
          <w:rFonts w:ascii="Tahoma" w:hAnsi="Tahoma" w:cs="Tahoma"/>
          <w:color w:val="000000" w:themeColor="text1"/>
          <w:szCs w:val="21"/>
          <w:highlight w:val="none"/>
          <w14:textFill>
            <w14:solidFill>
              <w14:schemeClr w14:val="tx1"/>
            </w14:solidFill>
          </w14:textFill>
        </w:rPr>
        <w:t>天起算，每延期</w:t>
      </w:r>
      <w:r>
        <w:rPr>
          <w:rFonts w:ascii="Tahoma" w:hAnsi="Tahoma" w:cs="Tahoma"/>
          <w:color w:val="000000" w:themeColor="text1"/>
          <w:szCs w:val="21"/>
          <w:highlight w:val="none"/>
          <w:u w:val="single"/>
          <w14:textFill>
            <w14:solidFill>
              <w14:schemeClr w14:val="tx1"/>
            </w14:solidFill>
          </w14:textFill>
        </w:rPr>
        <w:t xml:space="preserve"> 7</w:t>
      </w:r>
      <w:r>
        <w:rPr>
          <w:rFonts w:ascii="Tahoma" w:hAnsi="Tahoma" w:cs="Tahoma"/>
          <w:color w:val="000000" w:themeColor="text1"/>
          <w:szCs w:val="21"/>
          <w:highlight w:val="none"/>
          <w14:textFill>
            <w14:solidFill>
              <w14:schemeClr w14:val="tx1"/>
            </w14:solidFill>
          </w14:textFill>
        </w:rPr>
        <w:t>天违约金额为应发运合同货物价格的</w:t>
      </w:r>
      <w:r>
        <w:rPr>
          <w:rFonts w:ascii="Tahoma" w:hAnsi="Tahoma" w:cs="Tahoma"/>
          <w:color w:val="000000" w:themeColor="text1"/>
          <w:szCs w:val="21"/>
          <w:highlight w:val="none"/>
          <w:u w:val="single"/>
          <w14:textFill>
            <w14:solidFill>
              <w14:schemeClr w14:val="tx1"/>
            </w14:solidFill>
          </w14:textFill>
        </w:rPr>
        <w:t xml:space="preserve"> 2.0 </w:t>
      </w:r>
      <w:r>
        <w:rPr>
          <w:rFonts w:ascii="Tahoma" w:hAnsi="Tahoma" w:cs="Tahoma"/>
          <w:color w:val="000000" w:themeColor="text1"/>
          <w:szCs w:val="21"/>
          <w:highlight w:val="none"/>
          <w14:textFill>
            <w14:solidFill>
              <w14:schemeClr w14:val="tx1"/>
            </w14:solidFill>
          </w14:textFill>
        </w:rPr>
        <w:t>%。</w:t>
      </w:r>
    </w:p>
    <w:p>
      <w:pPr>
        <w:spacing w:line="340" w:lineRule="atLeast"/>
        <w:ind w:firstLine="210" w:firstLineChars="1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（4）根据以上计算方法，如不足七日按</w:t>
      </w:r>
      <w:r>
        <w:rPr>
          <w:rFonts w:ascii="Tahoma" w:hAnsi="Tahoma" w:cs="Tahoma"/>
          <w:color w:val="000000" w:themeColor="text1"/>
          <w:szCs w:val="21"/>
          <w:highlight w:val="none"/>
          <w:u w:val="single"/>
          <w14:textFill>
            <w14:solidFill>
              <w14:schemeClr w14:val="tx1"/>
            </w14:solidFill>
          </w14:textFill>
        </w:rPr>
        <w:t xml:space="preserve"> 7</w:t>
      </w:r>
      <w:r>
        <w:rPr>
          <w:rFonts w:ascii="Tahoma" w:hAnsi="Tahoma" w:cs="Tahoma"/>
          <w:color w:val="000000" w:themeColor="text1"/>
          <w:szCs w:val="21"/>
          <w:highlight w:val="none"/>
          <w14:textFill>
            <w14:solidFill>
              <w14:schemeClr w14:val="tx1"/>
            </w14:solidFill>
          </w14:textFill>
        </w:rPr>
        <w:t>天计。</w:t>
      </w:r>
    </w:p>
    <w:p>
      <w:pPr>
        <w:pStyle w:val="13"/>
        <w:spacing w:line="340" w:lineRule="atLeast"/>
        <w:rPr>
          <w:rFonts w:ascii="Tahoma" w:hAnsi="Tahoma" w:cs="Tahoma"/>
          <w:color w:val="000000" w:themeColor="text1"/>
          <w:szCs w:val="21"/>
          <w:highlight w:val="none"/>
          <w14:textFill>
            <w14:solidFill>
              <w14:schemeClr w14:val="tx1"/>
            </w14:solidFill>
          </w14:textFill>
        </w:rPr>
      </w:pPr>
      <w:r>
        <w:rPr>
          <w:rFonts w:ascii="Tahoma" w:hAnsi="Tahoma" w:cs="Tahoma"/>
          <w:b/>
          <w:bCs/>
          <w:color w:val="000000" w:themeColor="text1"/>
          <w:szCs w:val="21"/>
          <w:highlight w:val="none"/>
          <w14:textFill>
            <w14:solidFill>
              <w14:schemeClr w14:val="tx1"/>
            </w14:solidFill>
          </w14:textFill>
        </w:rPr>
        <w:t>18.3</w:t>
      </w:r>
      <w:r>
        <w:rPr>
          <w:rFonts w:ascii="Tahoma" w:hAnsi="Tahoma" w:cs="Tahoma"/>
          <w:color w:val="000000" w:themeColor="text1"/>
          <w:szCs w:val="21"/>
          <w:highlight w:val="none"/>
          <w14:textFill>
            <w14:solidFill>
              <w14:schemeClr w14:val="tx1"/>
            </w14:solidFill>
          </w14:textFill>
        </w:rPr>
        <w:t>供方支付违约金并不排除供方继续供货的责任。如果合同货物延期超过</w:t>
      </w:r>
      <w:r>
        <w:rPr>
          <w:rFonts w:ascii="Tahoma" w:hAnsi="Tahoma" w:cs="Tahoma"/>
          <w:color w:val="000000" w:themeColor="text1"/>
          <w:szCs w:val="21"/>
          <w:highlight w:val="none"/>
          <w:u w:val="single"/>
          <w14:textFill>
            <w14:solidFill>
              <w14:schemeClr w14:val="tx1"/>
            </w14:solidFill>
          </w14:textFill>
        </w:rPr>
        <w:t xml:space="preserve"> 30 </w:t>
      </w:r>
      <w:r>
        <w:rPr>
          <w:rFonts w:ascii="Tahoma" w:hAnsi="Tahoma" w:cs="Tahoma"/>
          <w:color w:val="000000" w:themeColor="text1"/>
          <w:szCs w:val="21"/>
          <w:highlight w:val="none"/>
          <w14:textFill>
            <w14:solidFill>
              <w14:schemeClr w14:val="tx1"/>
            </w14:solidFill>
          </w14:textFill>
        </w:rPr>
        <w:t>天的，采购人可以根据自己认为合适的方式另行采购相同的货物或零部件。因此发生的费用和责任由供方承担，同时供方应继续执行没有终止的合同部分。</w:t>
      </w:r>
    </w:p>
    <w:p>
      <w:pPr>
        <w:pStyle w:val="13"/>
        <w:spacing w:line="340" w:lineRule="atLeast"/>
        <w:rPr>
          <w:rFonts w:ascii="Tahoma" w:hAnsi="Tahoma" w:cs="Tahoma"/>
          <w:color w:val="000000" w:themeColor="text1"/>
          <w:szCs w:val="21"/>
          <w:highlight w:val="none"/>
          <w14:textFill>
            <w14:solidFill>
              <w14:schemeClr w14:val="tx1"/>
            </w14:solidFill>
          </w14:textFill>
        </w:rPr>
      </w:pPr>
      <w:r>
        <w:rPr>
          <w:rFonts w:ascii="Tahoma" w:hAnsi="Tahoma" w:cs="Tahoma"/>
          <w:b/>
          <w:bCs/>
          <w:color w:val="000000" w:themeColor="text1"/>
          <w:szCs w:val="21"/>
          <w:highlight w:val="none"/>
          <w14:textFill>
            <w14:solidFill>
              <w14:schemeClr w14:val="tx1"/>
            </w14:solidFill>
          </w14:textFill>
        </w:rPr>
        <w:t>18.4</w:t>
      </w:r>
      <w:r>
        <w:rPr>
          <w:rFonts w:ascii="Tahoma" w:hAnsi="Tahoma" w:cs="Tahoma"/>
          <w:color w:val="000000" w:themeColor="text1"/>
          <w:szCs w:val="21"/>
          <w:highlight w:val="none"/>
          <w14:textFill>
            <w14:solidFill>
              <w14:schemeClr w14:val="tx1"/>
            </w14:solidFill>
          </w14:textFill>
        </w:rPr>
        <w:t>供需双方对履约延误的赔偿和罚款在合同中另行约定的，则从其约定。</w:t>
      </w:r>
    </w:p>
    <w:p>
      <w:pPr>
        <w:pStyle w:val="13"/>
        <w:spacing w:line="400" w:lineRule="exact"/>
        <w:rPr>
          <w:rFonts w:ascii="Tahoma" w:hAnsi="Tahoma" w:cs="Tahoma"/>
          <w:color w:val="000000" w:themeColor="text1"/>
          <w:sz w:val="24"/>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18.5</w:t>
      </w:r>
      <w:r>
        <w:rPr>
          <w:rFonts w:ascii="Tahoma" w:hAnsi="Tahoma" w:cs="Tahoma"/>
          <w:color w:val="000000" w:themeColor="text1"/>
          <w:szCs w:val="21"/>
          <w:highlight w:val="none"/>
          <w14:textFill>
            <w14:solidFill>
              <w14:schemeClr w14:val="tx1"/>
            </w14:solidFill>
          </w14:textFill>
        </w:rPr>
        <w:t>供方根据以上条款承担的合同违约金总额不论单项或多项累计不得超过合同总价的</w:t>
      </w:r>
      <w:r>
        <w:rPr>
          <w:rFonts w:ascii="Tahoma" w:hAnsi="Tahoma" w:cs="Tahoma"/>
          <w:color w:val="000000" w:themeColor="text1"/>
          <w:szCs w:val="21"/>
          <w:highlight w:val="none"/>
          <w:u w:val="single"/>
          <w14:textFill>
            <w14:solidFill>
              <w14:schemeClr w14:val="tx1"/>
            </w14:solidFill>
          </w14:textFill>
        </w:rPr>
        <w:t xml:space="preserve"> 10 </w:t>
      </w:r>
      <w:r>
        <w:rPr>
          <w:rFonts w:ascii="Tahoma" w:hAnsi="Tahoma" w:cs="Tahoma"/>
          <w:color w:val="000000" w:themeColor="text1"/>
          <w:szCs w:val="21"/>
          <w:highlight w:val="none"/>
          <w14:textFill>
            <w14:solidFill>
              <w14:schemeClr w14:val="tx1"/>
            </w14:solidFill>
          </w14:textFill>
        </w:rPr>
        <w:t>%。</w:t>
      </w:r>
    </w:p>
    <w:p>
      <w:pPr>
        <w:spacing w:line="420" w:lineRule="exact"/>
        <w:jc w:val="center"/>
        <w:rPr>
          <w:rFonts w:ascii="Tahoma" w:hAnsi="Tahoma" w:eastAsia="黑体" w:cs="Tahoma"/>
          <w:b/>
          <w:bCs/>
          <w:color w:val="000000" w:themeColor="text1"/>
          <w:kern w:val="0"/>
          <w:sz w:val="36"/>
          <w:szCs w:val="30"/>
          <w:highlight w:val="none"/>
          <w14:textFill>
            <w14:solidFill>
              <w14:schemeClr w14:val="tx1"/>
            </w14:solidFill>
          </w14:textFill>
        </w:rPr>
      </w:pPr>
    </w:p>
    <w:p>
      <w:pPr>
        <w:spacing w:line="420" w:lineRule="exact"/>
        <w:jc w:val="center"/>
        <w:rPr>
          <w:rFonts w:ascii="Tahoma" w:hAnsi="Tahoma" w:eastAsia="黑体" w:cs="Tahoma"/>
          <w:b/>
          <w:bCs/>
          <w:color w:val="000000" w:themeColor="text1"/>
          <w:kern w:val="0"/>
          <w:sz w:val="36"/>
          <w:szCs w:val="30"/>
          <w:highlight w:val="none"/>
          <w14:textFill>
            <w14:solidFill>
              <w14:schemeClr w14:val="tx1"/>
            </w14:solidFill>
          </w14:textFill>
        </w:rPr>
      </w:pPr>
    </w:p>
    <w:p>
      <w:pPr>
        <w:pStyle w:val="9"/>
        <w:snapToGrid w:val="0"/>
        <w:spacing w:line="420" w:lineRule="atLeast"/>
        <w:ind w:firstLine="0"/>
        <w:jc w:val="center"/>
        <w:rPr>
          <w:rFonts w:ascii="Tahoma" w:hAnsi="Tahoma" w:cs="Tahoma"/>
          <w:b/>
          <w:bCs/>
          <w:color w:val="000000" w:themeColor="text1"/>
          <w:sz w:val="36"/>
          <w:highlight w:val="none"/>
          <w14:textFill>
            <w14:solidFill>
              <w14:schemeClr w14:val="tx1"/>
            </w14:solidFill>
          </w14:textFill>
        </w:rPr>
      </w:pPr>
    </w:p>
    <w:p>
      <w:pPr>
        <w:pStyle w:val="9"/>
        <w:snapToGrid w:val="0"/>
        <w:spacing w:line="420" w:lineRule="atLeast"/>
        <w:ind w:firstLine="0"/>
        <w:jc w:val="center"/>
        <w:rPr>
          <w:rFonts w:ascii="Tahoma" w:hAnsi="Tahoma" w:cs="Tahoma"/>
          <w:b/>
          <w:bCs/>
          <w:color w:val="000000" w:themeColor="text1"/>
          <w:sz w:val="36"/>
          <w:highlight w:val="none"/>
          <w14:textFill>
            <w14:solidFill>
              <w14:schemeClr w14:val="tx1"/>
            </w14:solidFill>
          </w14:textFill>
        </w:rPr>
      </w:pPr>
    </w:p>
    <w:p>
      <w:pPr>
        <w:pStyle w:val="9"/>
        <w:snapToGrid w:val="0"/>
        <w:spacing w:line="420" w:lineRule="atLeast"/>
        <w:ind w:firstLine="0"/>
        <w:jc w:val="center"/>
        <w:rPr>
          <w:rFonts w:ascii="Tahoma" w:hAnsi="Tahoma" w:cs="Tahoma"/>
          <w:b/>
          <w:bCs/>
          <w:color w:val="000000" w:themeColor="text1"/>
          <w:sz w:val="36"/>
          <w:highlight w:val="none"/>
          <w14:textFill>
            <w14:solidFill>
              <w14:schemeClr w14:val="tx1"/>
            </w14:solidFill>
          </w14:textFill>
        </w:rPr>
      </w:pPr>
    </w:p>
    <w:p>
      <w:pPr>
        <w:pStyle w:val="9"/>
        <w:snapToGrid w:val="0"/>
        <w:spacing w:line="420" w:lineRule="atLeast"/>
        <w:ind w:firstLine="0"/>
        <w:jc w:val="center"/>
        <w:rPr>
          <w:rFonts w:ascii="Tahoma" w:hAnsi="Tahoma" w:cs="Tahoma"/>
          <w:b/>
          <w:bCs/>
          <w:color w:val="000000" w:themeColor="text1"/>
          <w:sz w:val="36"/>
          <w:highlight w:val="none"/>
          <w14:textFill>
            <w14:solidFill>
              <w14:schemeClr w14:val="tx1"/>
            </w14:solidFill>
          </w14:textFill>
        </w:rPr>
      </w:pPr>
    </w:p>
    <w:p>
      <w:pPr>
        <w:pStyle w:val="9"/>
        <w:snapToGrid w:val="0"/>
        <w:spacing w:line="420" w:lineRule="atLeast"/>
        <w:ind w:firstLine="0"/>
        <w:jc w:val="center"/>
        <w:rPr>
          <w:rFonts w:ascii="Tahoma" w:hAnsi="Tahoma" w:cs="Tahoma"/>
          <w:b/>
          <w:bCs/>
          <w:color w:val="000000" w:themeColor="text1"/>
          <w:sz w:val="36"/>
          <w:highlight w:val="none"/>
          <w14:textFill>
            <w14:solidFill>
              <w14:schemeClr w14:val="tx1"/>
            </w14:solidFill>
          </w14:textFill>
        </w:rPr>
      </w:pPr>
    </w:p>
    <w:p>
      <w:pPr>
        <w:pStyle w:val="9"/>
        <w:snapToGrid w:val="0"/>
        <w:spacing w:line="420" w:lineRule="atLeast"/>
        <w:ind w:firstLine="0"/>
        <w:jc w:val="center"/>
        <w:rPr>
          <w:rFonts w:ascii="Tahoma" w:hAnsi="Tahoma" w:cs="Tahoma"/>
          <w:b/>
          <w:bCs/>
          <w:color w:val="000000" w:themeColor="text1"/>
          <w:sz w:val="36"/>
          <w:highlight w:val="none"/>
          <w14:textFill>
            <w14:solidFill>
              <w14:schemeClr w14:val="tx1"/>
            </w14:solidFill>
          </w14:textFill>
        </w:rPr>
      </w:pPr>
    </w:p>
    <w:p>
      <w:pPr>
        <w:pStyle w:val="9"/>
        <w:snapToGrid w:val="0"/>
        <w:spacing w:line="420" w:lineRule="atLeast"/>
        <w:ind w:firstLine="0"/>
        <w:jc w:val="center"/>
        <w:rPr>
          <w:rFonts w:ascii="Tahoma" w:hAnsi="Tahoma" w:cs="Tahoma"/>
          <w:b/>
          <w:bCs/>
          <w:color w:val="000000" w:themeColor="text1"/>
          <w:sz w:val="36"/>
          <w:highlight w:val="none"/>
          <w14:textFill>
            <w14:solidFill>
              <w14:schemeClr w14:val="tx1"/>
            </w14:solidFill>
          </w14:textFill>
        </w:rPr>
      </w:pPr>
    </w:p>
    <w:p>
      <w:pPr>
        <w:pStyle w:val="9"/>
        <w:snapToGrid w:val="0"/>
        <w:spacing w:line="420" w:lineRule="atLeast"/>
        <w:ind w:firstLine="0"/>
        <w:jc w:val="center"/>
        <w:rPr>
          <w:rFonts w:ascii="Tahoma" w:hAnsi="Tahoma" w:cs="Tahoma"/>
          <w:b/>
          <w:bCs/>
          <w:color w:val="000000" w:themeColor="text1"/>
          <w:sz w:val="36"/>
          <w:highlight w:val="none"/>
          <w14:textFill>
            <w14:solidFill>
              <w14:schemeClr w14:val="tx1"/>
            </w14:solidFill>
          </w14:textFill>
        </w:rPr>
      </w:pPr>
    </w:p>
    <w:p>
      <w:pPr>
        <w:pStyle w:val="9"/>
        <w:snapToGrid w:val="0"/>
        <w:spacing w:line="420" w:lineRule="atLeast"/>
        <w:ind w:firstLine="0"/>
        <w:jc w:val="center"/>
        <w:rPr>
          <w:rFonts w:ascii="Tahoma" w:hAnsi="Tahoma" w:cs="Tahoma"/>
          <w:b/>
          <w:bCs/>
          <w:color w:val="000000" w:themeColor="text1"/>
          <w:sz w:val="36"/>
          <w:highlight w:val="none"/>
          <w14:textFill>
            <w14:solidFill>
              <w14:schemeClr w14:val="tx1"/>
            </w14:solidFill>
          </w14:textFill>
        </w:rPr>
      </w:pPr>
    </w:p>
    <w:p>
      <w:pPr>
        <w:pStyle w:val="9"/>
        <w:snapToGrid w:val="0"/>
        <w:spacing w:line="420" w:lineRule="atLeast"/>
        <w:ind w:firstLine="0"/>
        <w:jc w:val="center"/>
        <w:rPr>
          <w:rFonts w:ascii="Tahoma" w:hAnsi="Tahoma" w:cs="Tahoma"/>
          <w:b/>
          <w:bCs/>
          <w:color w:val="000000" w:themeColor="text1"/>
          <w:sz w:val="36"/>
          <w:highlight w:val="none"/>
          <w14:textFill>
            <w14:solidFill>
              <w14:schemeClr w14:val="tx1"/>
            </w14:solidFill>
          </w14:textFill>
        </w:rPr>
      </w:pPr>
    </w:p>
    <w:p>
      <w:pPr>
        <w:rPr>
          <w:rFonts w:ascii="Tahoma" w:hAnsi="Tahoma" w:cs="Tahoma"/>
          <w:color w:val="000000" w:themeColor="text1"/>
          <w:highlight w:val="none"/>
          <w14:textFill>
            <w14:solidFill>
              <w14:schemeClr w14:val="tx1"/>
            </w14:solidFill>
          </w14:textFill>
        </w:rPr>
      </w:pPr>
    </w:p>
    <w:p>
      <w:pPr>
        <w:rPr>
          <w:rFonts w:ascii="Tahoma" w:hAnsi="Tahoma" w:cs="Tahoma"/>
          <w:color w:val="000000" w:themeColor="text1"/>
          <w:highlight w:val="none"/>
          <w14:textFill>
            <w14:solidFill>
              <w14:schemeClr w14:val="tx1"/>
            </w14:solidFill>
          </w14:textFill>
        </w:rPr>
      </w:pPr>
    </w:p>
    <w:p>
      <w:pPr>
        <w:rPr>
          <w:rFonts w:ascii="Tahoma" w:hAnsi="Tahoma" w:cs="Tahoma"/>
          <w:color w:val="000000" w:themeColor="text1"/>
          <w:highlight w:val="none"/>
          <w14:textFill>
            <w14:solidFill>
              <w14:schemeClr w14:val="tx1"/>
            </w14:solidFill>
          </w14:textFill>
        </w:rPr>
      </w:pPr>
    </w:p>
    <w:p>
      <w:pPr>
        <w:rPr>
          <w:rFonts w:ascii="Tahoma" w:hAnsi="Tahoma" w:cs="Tahoma"/>
          <w:color w:val="000000" w:themeColor="text1"/>
          <w:highlight w:val="none"/>
          <w14:textFill>
            <w14:solidFill>
              <w14:schemeClr w14:val="tx1"/>
            </w14:solidFill>
          </w14:textFill>
        </w:rPr>
      </w:pPr>
    </w:p>
    <w:p>
      <w:pPr>
        <w:rPr>
          <w:rFonts w:ascii="Tahoma" w:hAnsi="Tahoma" w:cs="Tahoma"/>
          <w:color w:val="000000" w:themeColor="text1"/>
          <w:highlight w:val="none"/>
          <w14:textFill>
            <w14:solidFill>
              <w14:schemeClr w14:val="tx1"/>
            </w14:solidFill>
          </w14:textFill>
        </w:rPr>
      </w:pPr>
    </w:p>
    <w:p>
      <w:pPr>
        <w:rPr>
          <w:rFonts w:ascii="Tahoma" w:hAnsi="Tahoma" w:cs="Tahoma"/>
          <w:color w:val="000000" w:themeColor="text1"/>
          <w:highlight w:val="none"/>
          <w14:textFill>
            <w14:solidFill>
              <w14:schemeClr w14:val="tx1"/>
            </w14:solidFill>
          </w14:textFill>
        </w:rPr>
      </w:pPr>
    </w:p>
    <w:p>
      <w:pPr>
        <w:rPr>
          <w:rFonts w:ascii="Tahoma" w:hAnsi="Tahoma" w:cs="Tahoma"/>
          <w:color w:val="000000" w:themeColor="text1"/>
          <w:highlight w:val="none"/>
          <w14:textFill>
            <w14:solidFill>
              <w14:schemeClr w14:val="tx1"/>
            </w14:solidFill>
          </w14:textFill>
        </w:rPr>
      </w:pPr>
    </w:p>
    <w:p>
      <w:pPr>
        <w:rPr>
          <w:rFonts w:ascii="Tahoma" w:hAnsi="Tahoma" w:cs="Tahoma"/>
          <w:color w:val="000000" w:themeColor="text1"/>
          <w:highlight w:val="none"/>
          <w14:textFill>
            <w14:solidFill>
              <w14:schemeClr w14:val="tx1"/>
            </w14:solidFill>
          </w14:textFill>
        </w:rPr>
      </w:pPr>
    </w:p>
    <w:p>
      <w:pPr>
        <w:rPr>
          <w:rFonts w:ascii="Tahoma" w:hAnsi="Tahoma" w:cs="Tahoma"/>
          <w:color w:val="000000" w:themeColor="text1"/>
          <w:highlight w:val="none"/>
          <w14:textFill>
            <w14:solidFill>
              <w14:schemeClr w14:val="tx1"/>
            </w14:solidFill>
          </w14:textFill>
        </w:rPr>
      </w:pPr>
    </w:p>
    <w:p>
      <w:pPr>
        <w:rPr>
          <w:rFonts w:ascii="Tahoma" w:hAnsi="Tahoma" w:cs="Tahoma"/>
          <w:color w:val="000000" w:themeColor="text1"/>
          <w:highlight w:val="none"/>
          <w14:textFill>
            <w14:solidFill>
              <w14:schemeClr w14:val="tx1"/>
            </w14:solidFill>
          </w14:textFill>
        </w:rPr>
      </w:pPr>
    </w:p>
    <w:p>
      <w:pPr>
        <w:rPr>
          <w:rFonts w:ascii="Tahoma" w:hAnsi="Tahoma" w:cs="Tahoma"/>
          <w:color w:val="000000" w:themeColor="text1"/>
          <w:highlight w:val="none"/>
          <w14:textFill>
            <w14:solidFill>
              <w14:schemeClr w14:val="tx1"/>
            </w14:solidFill>
          </w14:textFill>
        </w:rPr>
      </w:pPr>
    </w:p>
    <w:p>
      <w:pPr>
        <w:rPr>
          <w:rFonts w:ascii="Tahoma" w:hAnsi="Tahoma" w:cs="Tahoma"/>
          <w:color w:val="000000" w:themeColor="text1"/>
          <w:highlight w:val="none"/>
          <w14:textFill>
            <w14:solidFill>
              <w14:schemeClr w14:val="tx1"/>
            </w14:solidFill>
          </w14:textFill>
        </w:rPr>
      </w:pPr>
    </w:p>
    <w:p>
      <w:pPr>
        <w:rPr>
          <w:rFonts w:ascii="Tahoma" w:hAnsi="Tahoma" w:cs="Tahoma"/>
          <w:color w:val="000000" w:themeColor="text1"/>
          <w:highlight w:val="none"/>
          <w14:textFill>
            <w14:solidFill>
              <w14:schemeClr w14:val="tx1"/>
            </w14:solidFill>
          </w14:textFill>
        </w:rPr>
      </w:pPr>
    </w:p>
    <w:p>
      <w:pPr>
        <w:rPr>
          <w:rFonts w:ascii="Tahoma" w:hAnsi="Tahoma" w:cs="Tahoma"/>
          <w:color w:val="000000" w:themeColor="text1"/>
          <w:highlight w:val="none"/>
          <w14:textFill>
            <w14:solidFill>
              <w14:schemeClr w14:val="tx1"/>
            </w14:solidFill>
          </w14:textFill>
        </w:rPr>
      </w:pPr>
    </w:p>
    <w:p>
      <w:pPr>
        <w:rPr>
          <w:rFonts w:ascii="Tahoma" w:hAnsi="Tahoma" w:cs="Tahoma"/>
          <w:color w:val="000000" w:themeColor="text1"/>
          <w:highlight w:val="none"/>
          <w14:textFill>
            <w14:solidFill>
              <w14:schemeClr w14:val="tx1"/>
            </w14:solidFill>
          </w14:textFill>
        </w:rPr>
      </w:pPr>
    </w:p>
    <w:p>
      <w:pPr>
        <w:rPr>
          <w:rFonts w:ascii="Tahoma" w:hAnsi="Tahoma" w:cs="Tahoma"/>
          <w:color w:val="000000" w:themeColor="text1"/>
          <w:highlight w:val="none"/>
          <w14:textFill>
            <w14:solidFill>
              <w14:schemeClr w14:val="tx1"/>
            </w14:solidFill>
          </w14:textFill>
        </w:rPr>
      </w:pPr>
    </w:p>
    <w:p>
      <w:pPr>
        <w:rPr>
          <w:rFonts w:ascii="Tahoma" w:hAnsi="Tahoma" w:cs="Tahoma"/>
          <w:color w:val="000000" w:themeColor="text1"/>
          <w:highlight w:val="none"/>
          <w14:textFill>
            <w14:solidFill>
              <w14:schemeClr w14:val="tx1"/>
            </w14:solidFill>
          </w14:textFill>
        </w:rPr>
      </w:pPr>
    </w:p>
    <w:p>
      <w:pPr>
        <w:rPr>
          <w:rFonts w:ascii="Tahoma" w:hAnsi="Tahoma" w:cs="Tahoma"/>
          <w:color w:val="000000" w:themeColor="text1"/>
          <w:highlight w:val="none"/>
          <w14:textFill>
            <w14:solidFill>
              <w14:schemeClr w14:val="tx1"/>
            </w14:solidFill>
          </w14:textFill>
        </w:rPr>
      </w:pPr>
    </w:p>
    <w:p>
      <w:pPr>
        <w:rPr>
          <w:rFonts w:ascii="Tahoma" w:hAnsi="Tahoma" w:cs="Tahoma"/>
          <w:color w:val="000000" w:themeColor="text1"/>
          <w:highlight w:val="none"/>
          <w14:textFill>
            <w14:solidFill>
              <w14:schemeClr w14:val="tx1"/>
            </w14:solidFill>
          </w14:textFill>
        </w:rPr>
      </w:pPr>
    </w:p>
    <w:p>
      <w:pPr>
        <w:spacing w:line="300" w:lineRule="auto"/>
        <w:jc w:val="center"/>
        <w:outlineLvl w:val="0"/>
        <w:rPr>
          <w:rFonts w:ascii="Tahoma" w:hAnsi="Tahoma" w:eastAsia="黑体" w:cs="Tahoma"/>
          <w:b/>
          <w:bCs/>
          <w:color w:val="000000" w:themeColor="text1"/>
          <w:sz w:val="44"/>
          <w:highlight w:val="none"/>
          <w14:textFill>
            <w14:solidFill>
              <w14:schemeClr w14:val="tx1"/>
            </w14:solidFill>
          </w14:textFill>
        </w:rPr>
      </w:pPr>
      <w:bookmarkStart w:id="25" w:name="_Toc11713"/>
      <w:bookmarkStart w:id="26" w:name="_Toc16453"/>
    </w:p>
    <w:p>
      <w:pPr>
        <w:spacing w:line="300" w:lineRule="auto"/>
        <w:jc w:val="center"/>
        <w:outlineLvl w:val="0"/>
        <w:rPr>
          <w:rFonts w:ascii="Tahoma" w:hAnsi="Tahoma" w:eastAsia="黑体" w:cs="Tahoma"/>
          <w:b/>
          <w:bCs/>
          <w:color w:val="000000" w:themeColor="text1"/>
          <w:sz w:val="44"/>
          <w:highlight w:val="none"/>
          <w14:textFill>
            <w14:solidFill>
              <w14:schemeClr w14:val="tx1"/>
            </w14:solidFill>
          </w14:textFill>
        </w:rPr>
      </w:pPr>
    </w:p>
    <w:p>
      <w:pPr>
        <w:spacing w:line="300" w:lineRule="auto"/>
        <w:jc w:val="center"/>
        <w:outlineLvl w:val="0"/>
        <w:rPr>
          <w:rFonts w:ascii="Tahoma" w:hAnsi="Tahoma" w:eastAsia="黑体" w:cs="Tahoma"/>
          <w:b/>
          <w:bCs/>
          <w:color w:val="000000" w:themeColor="text1"/>
          <w:sz w:val="44"/>
          <w:highlight w:val="none"/>
          <w14:textFill>
            <w14:solidFill>
              <w14:schemeClr w14:val="tx1"/>
            </w14:solidFill>
          </w14:textFill>
        </w:rPr>
      </w:pPr>
    </w:p>
    <w:p>
      <w:pPr>
        <w:spacing w:line="300" w:lineRule="auto"/>
        <w:jc w:val="center"/>
        <w:outlineLvl w:val="0"/>
        <w:rPr>
          <w:rFonts w:ascii="Tahoma" w:hAnsi="Tahoma" w:eastAsia="黑体" w:cs="Tahoma"/>
          <w:b/>
          <w:bCs/>
          <w:color w:val="000000" w:themeColor="text1"/>
          <w:sz w:val="44"/>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spacing w:line="300" w:lineRule="auto"/>
        <w:jc w:val="center"/>
        <w:outlineLvl w:val="0"/>
        <w:rPr>
          <w:rFonts w:ascii="Tahoma" w:hAnsi="Tahoma" w:eastAsia="黑体" w:cs="Tahoma"/>
          <w:b/>
          <w:bCs/>
          <w:color w:val="000000" w:themeColor="text1"/>
          <w:sz w:val="44"/>
          <w:highlight w:val="none"/>
          <w14:textFill>
            <w14:solidFill>
              <w14:schemeClr w14:val="tx1"/>
            </w14:solidFill>
          </w14:textFill>
        </w:rPr>
      </w:pPr>
    </w:p>
    <w:p>
      <w:pPr>
        <w:spacing w:line="300" w:lineRule="auto"/>
        <w:jc w:val="center"/>
        <w:outlineLvl w:val="0"/>
        <w:rPr>
          <w:rFonts w:ascii="Tahoma" w:hAnsi="Tahoma" w:eastAsia="黑体" w:cs="Tahoma"/>
          <w:b/>
          <w:bCs/>
          <w:color w:val="000000" w:themeColor="text1"/>
          <w:sz w:val="44"/>
          <w:highlight w:val="none"/>
          <w14:textFill>
            <w14:solidFill>
              <w14:schemeClr w14:val="tx1"/>
            </w14:solidFill>
          </w14:textFill>
        </w:rPr>
      </w:pPr>
    </w:p>
    <w:p>
      <w:pPr>
        <w:spacing w:line="300" w:lineRule="auto"/>
        <w:jc w:val="center"/>
        <w:outlineLvl w:val="0"/>
        <w:rPr>
          <w:rFonts w:ascii="Tahoma" w:hAnsi="Tahoma" w:eastAsia="黑体" w:cs="Tahoma"/>
          <w:b/>
          <w:bCs/>
          <w:color w:val="000000" w:themeColor="text1"/>
          <w:sz w:val="44"/>
          <w:highlight w:val="none"/>
          <w14:textFill>
            <w14:solidFill>
              <w14:schemeClr w14:val="tx1"/>
            </w14:solidFill>
          </w14:textFill>
        </w:rPr>
      </w:pPr>
    </w:p>
    <w:p>
      <w:pPr>
        <w:spacing w:line="300" w:lineRule="auto"/>
        <w:jc w:val="center"/>
        <w:outlineLvl w:val="0"/>
        <w:rPr>
          <w:rFonts w:ascii="Tahoma" w:hAnsi="Tahoma" w:eastAsia="黑体" w:cs="Tahoma"/>
          <w:b/>
          <w:bCs/>
          <w:color w:val="000000" w:themeColor="text1"/>
          <w:sz w:val="32"/>
          <w:szCs w:val="32"/>
          <w:highlight w:val="none"/>
          <w14:textFill>
            <w14:solidFill>
              <w14:schemeClr w14:val="tx1"/>
            </w14:solidFill>
          </w14:textFill>
        </w:rPr>
      </w:pPr>
      <w:r>
        <w:rPr>
          <w:rFonts w:ascii="Tahoma" w:hAnsi="Tahoma" w:eastAsia="黑体" w:cs="Tahoma"/>
          <w:b/>
          <w:bCs/>
          <w:color w:val="000000" w:themeColor="text1"/>
          <w:sz w:val="44"/>
          <w:highlight w:val="none"/>
          <w14:textFill>
            <w14:solidFill>
              <w14:schemeClr w14:val="tx1"/>
            </w14:solidFill>
          </w14:textFill>
        </w:rPr>
        <w:t xml:space="preserve">第五章 </w:t>
      </w:r>
      <w:r>
        <w:rPr>
          <w:rFonts w:hint="eastAsia" w:ascii="Tahoma" w:hAnsi="Tahoma" w:eastAsia="黑体" w:cs="Tahoma"/>
          <w:b/>
          <w:bCs/>
          <w:color w:val="000000" w:themeColor="text1"/>
          <w:sz w:val="44"/>
          <w:highlight w:val="none"/>
          <w14:textFill>
            <w14:solidFill>
              <w14:schemeClr w14:val="tx1"/>
            </w14:solidFill>
          </w14:textFill>
        </w:rPr>
        <w:t>货物（产品）</w:t>
      </w:r>
      <w:r>
        <w:rPr>
          <w:rFonts w:ascii="Tahoma" w:hAnsi="Tahoma" w:eastAsia="黑体" w:cs="Tahoma"/>
          <w:b/>
          <w:bCs/>
          <w:color w:val="000000" w:themeColor="text1"/>
          <w:sz w:val="44"/>
          <w:highlight w:val="none"/>
          <w14:textFill>
            <w14:solidFill>
              <w14:schemeClr w14:val="tx1"/>
            </w14:solidFill>
          </w14:textFill>
        </w:rPr>
        <w:t>采购清单</w:t>
      </w:r>
      <w:bookmarkEnd w:id="25"/>
      <w:bookmarkEnd w:id="26"/>
    </w:p>
    <w:p>
      <w:pPr>
        <w:tabs>
          <w:tab w:val="left" w:pos="900"/>
        </w:tabs>
        <w:snapToGrid w:val="0"/>
        <w:spacing w:line="264" w:lineRule="auto"/>
        <w:jc w:val="both"/>
        <w:rPr>
          <w:rFonts w:ascii="Tahoma" w:hAnsi="Tahoma" w:eastAsia="黑体" w:cs="Tahoma"/>
          <w:b/>
          <w:bCs/>
          <w:color w:val="000000" w:themeColor="text1"/>
          <w:sz w:val="32"/>
          <w:szCs w:val="32"/>
          <w:highlight w:val="none"/>
          <w14:textFill>
            <w14:solidFill>
              <w14:schemeClr w14:val="tx1"/>
            </w14:solidFill>
          </w14:textFill>
        </w:rPr>
      </w:pPr>
    </w:p>
    <w:p>
      <w:pPr>
        <w:pStyle w:val="5"/>
        <w:rPr>
          <w:rFonts w:ascii="Tahoma" w:hAnsi="Tahoma" w:eastAsia="黑体" w:cs="Tahoma"/>
          <w:b/>
          <w:bCs/>
          <w:color w:val="000000" w:themeColor="text1"/>
          <w:sz w:val="32"/>
          <w:szCs w:val="32"/>
          <w:highlight w:val="none"/>
          <w14:textFill>
            <w14:solidFill>
              <w14:schemeClr w14:val="tx1"/>
            </w14:solidFill>
          </w14:textFill>
        </w:rPr>
      </w:pPr>
    </w:p>
    <w:p>
      <w:pPr>
        <w:rPr>
          <w:rFonts w:ascii="Tahoma" w:hAnsi="Tahoma" w:eastAsia="黑体" w:cs="Tahoma"/>
          <w:b/>
          <w:bCs/>
          <w:color w:val="000000" w:themeColor="text1"/>
          <w:sz w:val="32"/>
          <w:szCs w:val="32"/>
          <w:highlight w:val="none"/>
          <w14:textFill>
            <w14:solidFill>
              <w14:schemeClr w14:val="tx1"/>
            </w14:solidFill>
          </w14:textFill>
        </w:rPr>
      </w:pPr>
    </w:p>
    <w:p>
      <w:pPr>
        <w:pStyle w:val="5"/>
        <w:rPr>
          <w:rFonts w:ascii="Tahoma" w:hAnsi="Tahoma" w:eastAsia="黑体" w:cs="Tahoma"/>
          <w:b/>
          <w:bCs/>
          <w:color w:val="000000" w:themeColor="text1"/>
          <w:sz w:val="32"/>
          <w:szCs w:val="32"/>
          <w:highlight w:val="none"/>
          <w14:textFill>
            <w14:solidFill>
              <w14:schemeClr w14:val="tx1"/>
            </w14:solidFill>
          </w14:textFill>
        </w:rPr>
      </w:pPr>
    </w:p>
    <w:p>
      <w:pPr>
        <w:rPr>
          <w:rFonts w:ascii="Tahoma" w:hAnsi="Tahoma" w:eastAsia="黑体" w:cs="Tahoma"/>
          <w:b/>
          <w:bCs/>
          <w:color w:val="000000" w:themeColor="text1"/>
          <w:sz w:val="32"/>
          <w:szCs w:val="32"/>
          <w:highlight w:val="none"/>
          <w14:textFill>
            <w14:solidFill>
              <w14:schemeClr w14:val="tx1"/>
            </w14:solidFill>
          </w14:textFill>
        </w:rPr>
      </w:pPr>
    </w:p>
    <w:p>
      <w:pPr>
        <w:pStyle w:val="5"/>
        <w:rPr>
          <w:rFonts w:ascii="Tahoma" w:hAnsi="Tahoma" w:eastAsia="黑体" w:cs="Tahoma"/>
          <w:b/>
          <w:bCs/>
          <w:color w:val="000000" w:themeColor="text1"/>
          <w:sz w:val="32"/>
          <w:szCs w:val="32"/>
          <w:highlight w:val="none"/>
          <w14:textFill>
            <w14:solidFill>
              <w14:schemeClr w14:val="tx1"/>
            </w14:solidFill>
          </w14:textFill>
        </w:rPr>
      </w:pPr>
    </w:p>
    <w:p>
      <w:pPr>
        <w:rPr>
          <w:rFonts w:ascii="Tahoma" w:hAnsi="Tahoma" w:eastAsia="黑体" w:cs="Tahoma"/>
          <w:b/>
          <w:bCs/>
          <w:color w:val="000000" w:themeColor="text1"/>
          <w:sz w:val="32"/>
          <w:szCs w:val="32"/>
          <w:highlight w:val="none"/>
          <w14:textFill>
            <w14:solidFill>
              <w14:schemeClr w14:val="tx1"/>
            </w14:solidFill>
          </w14:textFill>
        </w:rPr>
      </w:pPr>
    </w:p>
    <w:p>
      <w:pPr>
        <w:pStyle w:val="5"/>
        <w:rPr>
          <w:rFonts w:ascii="Tahoma" w:hAnsi="Tahoma" w:eastAsia="黑体" w:cs="Tahoma"/>
          <w:b/>
          <w:bCs/>
          <w:color w:val="000000" w:themeColor="text1"/>
          <w:sz w:val="32"/>
          <w:szCs w:val="32"/>
          <w:highlight w:val="none"/>
          <w14:textFill>
            <w14:solidFill>
              <w14:schemeClr w14:val="tx1"/>
            </w14:solidFill>
          </w14:textFill>
        </w:rPr>
      </w:pPr>
    </w:p>
    <w:p>
      <w:pPr>
        <w:rPr>
          <w:rFonts w:ascii="Tahoma" w:hAnsi="Tahoma" w:eastAsia="黑体" w:cs="Tahoma"/>
          <w:b/>
          <w:bCs/>
          <w:color w:val="000000" w:themeColor="text1"/>
          <w:sz w:val="32"/>
          <w:szCs w:val="32"/>
          <w:highlight w:val="none"/>
          <w14:textFill>
            <w14:solidFill>
              <w14:schemeClr w14:val="tx1"/>
            </w14:solidFill>
          </w14:textFill>
        </w:rPr>
      </w:pPr>
    </w:p>
    <w:p>
      <w:pPr>
        <w:pStyle w:val="5"/>
        <w:rPr>
          <w:rFonts w:ascii="Tahoma" w:hAnsi="Tahoma" w:eastAsia="黑体" w:cs="Tahoma"/>
          <w:b/>
          <w:bCs/>
          <w:color w:val="000000" w:themeColor="text1"/>
          <w:sz w:val="32"/>
          <w:szCs w:val="32"/>
          <w:highlight w:val="none"/>
          <w14:textFill>
            <w14:solidFill>
              <w14:schemeClr w14:val="tx1"/>
            </w14:solidFill>
          </w14:textFill>
        </w:rPr>
      </w:pPr>
    </w:p>
    <w:p>
      <w:pPr>
        <w:rPr>
          <w:rFonts w:ascii="Tahoma" w:hAnsi="Tahoma" w:eastAsia="黑体" w:cs="Tahoma"/>
          <w:b/>
          <w:bCs/>
          <w:color w:val="000000" w:themeColor="text1"/>
          <w:sz w:val="32"/>
          <w:szCs w:val="32"/>
          <w:highlight w:val="none"/>
          <w14:textFill>
            <w14:solidFill>
              <w14:schemeClr w14:val="tx1"/>
            </w14:solidFill>
          </w14:textFill>
        </w:rPr>
      </w:pPr>
    </w:p>
    <w:p>
      <w:pPr>
        <w:numPr>
          <w:ilvl w:val="0"/>
          <w:numId w:val="0"/>
        </w:numPr>
        <w:tabs>
          <w:tab w:val="left" w:pos="900"/>
        </w:tabs>
        <w:snapToGrid w:val="0"/>
        <w:spacing w:line="264" w:lineRule="auto"/>
        <w:jc w:val="left"/>
        <w:rPr>
          <w:rFonts w:ascii="Tahoma" w:hAnsi="黑体" w:eastAsia="黑体" w:cs="Tahoma"/>
          <w:b/>
          <w:bCs/>
          <w:color w:val="000000" w:themeColor="text1"/>
          <w:sz w:val="21"/>
          <w:szCs w:val="21"/>
          <w:highlight w:val="none"/>
          <w14:textFill>
            <w14:solidFill>
              <w14:schemeClr w14:val="tx1"/>
            </w14:solidFill>
          </w14:textFill>
        </w:rPr>
      </w:pPr>
      <w:r>
        <w:rPr>
          <w:rFonts w:hint="eastAsia" w:ascii="Tahoma" w:hAnsi="黑体" w:eastAsia="黑体" w:cs="Tahoma"/>
          <w:b/>
          <w:color w:val="000000" w:themeColor="text1"/>
          <w:sz w:val="21"/>
          <w:szCs w:val="21"/>
          <w:highlight w:val="none"/>
          <w:lang w:val="en-US" w:eastAsia="zh-CN"/>
          <w14:textFill>
            <w14:solidFill>
              <w14:schemeClr w14:val="tx1"/>
            </w14:solidFill>
          </w14:textFill>
        </w:rPr>
        <w:t>一、硬件</w:t>
      </w:r>
      <w:r>
        <w:rPr>
          <w:rFonts w:hint="eastAsia" w:ascii="Tahoma" w:hAnsi="黑体" w:eastAsia="黑体" w:cs="Tahoma"/>
          <w:b/>
          <w:color w:val="000000" w:themeColor="text1"/>
          <w:sz w:val="21"/>
          <w:szCs w:val="21"/>
          <w:highlight w:val="none"/>
          <w14:textFill>
            <w14:solidFill>
              <w14:schemeClr w14:val="tx1"/>
            </w14:solidFill>
          </w14:textFill>
        </w:rPr>
        <w:t>采购</w:t>
      </w:r>
      <w:r>
        <w:rPr>
          <w:rFonts w:ascii="Tahoma" w:hAnsi="黑体" w:eastAsia="黑体" w:cs="Tahoma"/>
          <w:b/>
          <w:bCs/>
          <w:color w:val="000000" w:themeColor="text1"/>
          <w:sz w:val="21"/>
          <w:szCs w:val="21"/>
          <w:highlight w:val="none"/>
          <w14:textFill>
            <w14:solidFill>
              <w14:schemeClr w14:val="tx1"/>
            </w14:solidFill>
          </w14:textFill>
        </w:rPr>
        <w:t>需求一览表</w:t>
      </w:r>
    </w:p>
    <w:p>
      <w:pPr>
        <w:pStyle w:val="5"/>
        <w:rPr>
          <w:rFonts w:hint="default" w:ascii="Tahoma" w:hAnsi="黑体" w:eastAsia="黑体" w:cs="Tahoma"/>
          <w:b/>
          <w:bCs w:val="0"/>
          <w:color w:val="000000" w:themeColor="text1"/>
          <w:kern w:val="2"/>
          <w:sz w:val="21"/>
          <w:szCs w:val="21"/>
          <w:highlight w:val="none"/>
          <w:lang w:val="en-US" w:eastAsia="zh-CN" w:bidi="ar-SA"/>
          <w14:textFill>
            <w14:solidFill>
              <w14:schemeClr w14:val="tx1"/>
            </w14:solidFill>
          </w14:textFill>
        </w:rPr>
      </w:pPr>
      <w:r>
        <w:rPr>
          <w:rFonts w:hint="eastAsia" w:ascii="Tahoma" w:hAnsi="黑体" w:eastAsia="黑体" w:cs="Tahoma"/>
          <w:b/>
          <w:bCs w:val="0"/>
          <w:color w:val="000000" w:themeColor="text1"/>
          <w:kern w:val="2"/>
          <w:sz w:val="21"/>
          <w:szCs w:val="21"/>
          <w:highlight w:val="none"/>
          <w:lang w:val="en-US" w:eastAsia="zh-CN" w:bidi="ar-SA"/>
          <w14:textFill>
            <w14:solidFill>
              <w14:schemeClr w14:val="tx1"/>
            </w14:solidFill>
          </w14:textFill>
        </w:rPr>
        <w:t>1、医院桌面云系统</w:t>
      </w:r>
    </w:p>
    <w:tbl>
      <w:tblPr>
        <w:tblStyle w:val="20"/>
        <w:tblW w:w="9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38"/>
        <w:gridCol w:w="4018"/>
        <w:gridCol w:w="1876"/>
        <w:gridCol w:w="1276"/>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38" w:type="dxa"/>
            <w:shd w:val="clear" w:color="auto" w:fill="auto"/>
            <w:tcMar>
              <w:top w:w="12" w:type="dxa"/>
              <w:left w:w="12" w:type="dxa"/>
              <w:right w:w="12" w:type="dxa"/>
            </w:tcMar>
            <w:vAlign w:val="center"/>
          </w:tcPr>
          <w:p>
            <w:pPr>
              <w:snapToGrid w:val="0"/>
              <w:ind w:left="425" w:leftChars="0" w:hanging="425" w:firstLineChars="0"/>
              <w:jc w:val="center"/>
              <w:rPr>
                <w:rFonts w:hint="default" w:ascii="微软雅黑" w:hAnsi="微软雅黑" w:eastAsia="宋体" w:cs="Times New Roman"/>
                <w:b/>
                <w:bCs/>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序号</w:t>
            </w:r>
          </w:p>
        </w:tc>
        <w:tc>
          <w:tcPr>
            <w:tcW w:w="4018" w:type="dxa"/>
            <w:shd w:val="clear" w:color="auto" w:fill="auto"/>
            <w:tcMar>
              <w:top w:w="12" w:type="dxa"/>
              <w:left w:w="12" w:type="dxa"/>
              <w:right w:w="12" w:type="dxa"/>
            </w:tcMar>
            <w:vAlign w:val="center"/>
          </w:tcPr>
          <w:p>
            <w:pPr>
              <w:snapToGrid w:val="0"/>
              <w:ind w:left="425" w:leftChars="0" w:hanging="425" w:firstLineChars="0"/>
              <w:jc w:val="center"/>
              <w:rPr>
                <w:rFonts w:hint="default" w:ascii="微软雅黑" w:hAnsi="微软雅黑" w:eastAsia="宋体" w:cs="Times New Roman"/>
                <w:b/>
                <w:bCs/>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商品名称</w:t>
            </w:r>
          </w:p>
        </w:tc>
        <w:tc>
          <w:tcPr>
            <w:tcW w:w="1876" w:type="dxa"/>
            <w:shd w:val="clear" w:color="auto" w:fill="auto"/>
            <w:tcMar>
              <w:top w:w="12" w:type="dxa"/>
              <w:left w:w="12" w:type="dxa"/>
              <w:right w:w="12" w:type="dxa"/>
            </w:tcMar>
            <w:vAlign w:val="center"/>
          </w:tcPr>
          <w:p>
            <w:pPr>
              <w:snapToGrid w:val="0"/>
              <w:ind w:left="0" w:leftChars="0"/>
              <w:jc w:val="center"/>
              <w:rPr>
                <w:rFonts w:hint="default" w:ascii="微软雅黑" w:hAnsi="微软雅黑" w:eastAsia="宋体" w:cs="Times New Roman"/>
                <w:b/>
                <w:bCs/>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计量单位</w:t>
            </w:r>
          </w:p>
        </w:tc>
        <w:tc>
          <w:tcPr>
            <w:tcW w:w="1276" w:type="dxa"/>
            <w:shd w:val="clear" w:color="auto" w:fill="auto"/>
            <w:tcMar>
              <w:top w:w="12" w:type="dxa"/>
              <w:left w:w="12" w:type="dxa"/>
              <w:right w:w="12" w:type="dxa"/>
            </w:tcMar>
            <w:vAlign w:val="center"/>
          </w:tcPr>
          <w:p>
            <w:pPr>
              <w:snapToGrid w:val="0"/>
              <w:ind w:left="0" w:leftChars="0"/>
              <w:jc w:val="center"/>
              <w:rPr>
                <w:rFonts w:hint="default" w:ascii="微软雅黑" w:hAnsi="微软雅黑" w:eastAsia="宋体" w:cs="Times New Roman"/>
                <w:b/>
                <w:bCs/>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数量</w:t>
            </w:r>
          </w:p>
        </w:tc>
        <w:tc>
          <w:tcPr>
            <w:tcW w:w="1050" w:type="dxa"/>
            <w:shd w:val="clear" w:color="auto" w:fill="auto"/>
            <w:tcMar>
              <w:top w:w="12" w:type="dxa"/>
              <w:left w:w="12" w:type="dxa"/>
              <w:right w:w="12" w:type="dxa"/>
            </w:tcMar>
            <w:vAlign w:val="center"/>
          </w:tcPr>
          <w:p>
            <w:pPr>
              <w:snapToGrid w:val="0"/>
              <w:ind w:left="0" w:leftChars="0"/>
              <w:jc w:val="center"/>
              <w:rPr>
                <w:rFonts w:hint="default" w:ascii="微软雅黑" w:hAnsi="微软雅黑" w:eastAsia="宋体" w:cs="Times New Roman"/>
                <w:b/>
                <w:bCs/>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38"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4018"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桌面云资源池一体机</w:t>
            </w:r>
          </w:p>
        </w:tc>
        <w:tc>
          <w:tcPr>
            <w:tcW w:w="1876"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台</w:t>
            </w:r>
          </w:p>
        </w:tc>
        <w:tc>
          <w:tcPr>
            <w:tcW w:w="1276"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6</w:t>
            </w:r>
          </w:p>
        </w:tc>
        <w:tc>
          <w:tcPr>
            <w:tcW w:w="1050"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38"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4018"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时钟系统</w:t>
            </w:r>
          </w:p>
        </w:tc>
        <w:tc>
          <w:tcPr>
            <w:tcW w:w="1876"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台</w:t>
            </w:r>
          </w:p>
        </w:tc>
        <w:tc>
          <w:tcPr>
            <w:tcW w:w="1276"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0"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38"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4018"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桌面云控制器及软件</w:t>
            </w:r>
          </w:p>
        </w:tc>
        <w:tc>
          <w:tcPr>
            <w:tcW w:w="1876"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套</w:t>
            </w:r>
          </w:p>
        </w:tc>
        <w:tc>
          <w:tcPr>
            <w:tcW w:w="1276"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0"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38"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w:t>
            </w:r>
          </w:p>
        </w:tc>
        <w:tc>
          <w:tcPr>
            <w:tcW w:w="4018"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云终端</w:t>
            </w:r>
          </w:p>
        </w:tc>
        <w:tc>
          <w:tcPr>
            <w:tcW w:w="1876"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台</w:t>
            </w:r>
          </w:p>
        </w:tc>
        <w:tc>
          <w:tcPr>
            <w:tcW w:w="1276"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300</w:t>
            </w:r>
          </w:p>
        </w:tc>
        <w:tc>
          <w:tcPr>
            <w:tcW w:w="1050"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38"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4</w:t>
            </w:r>
          </w:p>
        </w:tc>
        <w:tc>
          <w:tcPr>
            <w:tcW w:w="4018"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业务存储交换机</w:t>
            </w:r>
          </w:p>
        </w:tc>
        <w:tc>
          <w:tcPr>
            <w:tcW w:w="1876"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台</w:t>
            </w:r>
          </w:p>
        </w:tc>
        <w:tc>
          <w:tcPr>
            <w:tcW w:w="1276"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4</w:t>
            </w:r>
          </w:p>
        </w:tc>
        <w:tc>
          <w:tcPr>
            <w:tcW w:w="1050"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38"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5</w:t>
            </w:r>
          </w:p>
        </w:tc>
        <w:tc>
          <w:tcPr>
            <w:tcW w:w="4018"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显示器、键鼠套装</w:t>
            </w:r>
          </w:p>
        </w:tc>
        <w:tc>
          <w:tcPr>
            <w:tcW w:w="1876"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套</w:t>
            </w:r>
          </w:p>
        </w:tc>
        <w:tc>
          <w:tcPr>
            <w:tcW w:w="1276"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300</w:t>
            </w:r>
          </w:p>
        </w:tc>
        <w:tc>
          <w:tcPr>
            <w:tcW w:w="1050"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bl>
    <w:p>
      <w:pPr>
        <w:pStyle w:val="5"/>
        <w:rPr>
          <w:color w:val="000000" w:themeColor="text1"/>
          <w:highlight w:val="none"/>
          <w14:textFill>
            <w14:solidFill>
              <w14:schemeClr w14:val="tx1"/>
            </w14:solidFill>
          </w14:textFill>
        </w:rPr>
      </w:pPr>
      <w:r>
        <w:rPr>
          <w:rFonts w:hint="eastAsia" w:ascii="Tahoma" w:hAnsi="黑体" w:eastAsia="黑体" w:cs="Tahoma"/>
          <w:b/>
          <w:bCs w:val="0"/>
          <w:color w:val="000000" w:themeColor="text1"/>
          <w:kern w:val="2"/>
          <w:sz w:val="21"/>
          <w:szCs w:val="21"/>
          <w:highlight w:val="none"/>
          <w:lang w:val="en-US" w:eastAsia="zh-CN" w:bidi="ar-SA"/>
          <w14:textFill>
            <w14:solidFill>
              <w14:schemeClr w14:val="tx1"/>
            </w14:solidFill>
          </w14:textFill>
        </w:rPr>
        <w:t>2、无线网络覆盖</w:t>
      </w:r>
    </w:p>
    <w:tbl>
      <w:tblPr>
        <w:tblStyle w:val="20"/>
        <w:tblW w:w="9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44"/>
        <w:gridCol w:w="4033"/>
        <w:gridCol w:w="1884"/>
        <w:gridCol w:w="1282"/>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4" w:type="dxa"/>
            <w:shd w:val="clear" w:color="auto" w:fill="auto"/>
            <w:tcMar>
              <w:top w:w="12" w:type="dxa"/>
              <w:left w:w="12" w:type="dxa"/>
              <w:right w:w="12" w:type="dxa"/>
            </w:tcMar>
            <w:vAlign w:val="center"/>
          </w:tcPr>
          <w:p>
            <w:pPr>
              <w:snapToGrid w:val="0"/>
              <w:ind w:left="425" w:leftChars="0" w:hanging="425"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序号</w:t>
            </w:r>
          </w:p>
        </w:tc>
        <w:tc>
          <w:tcPr>
            <w:tcW w:w="4033" w:type="dxa"/>
            <w:shd w:val="clear" w:color="auto" w:fill="auto"/>
            <w:tcMar>
              <w:top w:w="12" w:type="dxa"/>
              <w:left w:w="12" w:type="dxa"/>
              <w:right w:w="12" w:type="dxa"/>
            </w:tcMar>
            <w:vAlign w:val="center"/>
          </w:tcPr>
          <w:p>
            <w:pPr>
              <w:snapToGrid w:val="0"/>
              <w:ind w:left="425" w:leftChars="0" w:hanging="425" w:firstLine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商品名称</w:t>
            </w:r>
          </w:p>
        </w:tc>
        <w:tc>
          <w:tcPr>
            <w:tcW w:w="1884" w:type="dxa"/>
            <w:shd w:val="clear" w:color="auto" w:fill="auto"/>
            <w:tcMar>
              <w:top w:w="12" w:type="dxa"/>
              <w:left w:w="12" w:type="dxa"/>
              <w:right w:w="12" w:type="dxa"/>
            </w:tcMar>
            <w:vAlign w:val="center"/>
          </w:tcPr>
          <w:p>
            <w:pPr>
              <w:snapToGrid w:val="0"/>
              <w:ind w:left="0" w:left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计量单位</w:t>
            </w:r>
          </w:p>
        </w:tc>
        <w:tc>
          <w:tcPr>
            <w:tcW w:w="1282" w:type="dxa"/>
            <w:shd w:val="clear" w:color="auto" w:fill="auto"/>
            <w:tcMar>
              <w:top w:w="12" w:type="dxa"/>
              <w:left w:w="12" w:type="dxa"/>
              <w:right w:w="12" w:type="dxa"/>
            </w:tcMar>
            <w:vAlign w:val="center"/>
          </w:tcPr>
          <w:p>
            <w:pPr>
              <w:snapToGrid w:val="0"/>
              <w:ind w:left="0" w:left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数量</w:t>
            </w:r>
          </w:p>
        </w:tc>
        <w:tc>
          <w:tcPr>
            <w:tcW w:w="1054" w:type="dxa"/>
            <w:shd w:val="clear" w:color="auto" w:fill="auto"/>
            <w:tcMar>
              <w:top w:w="12" w:type="dxa"/>
              <w:left w:w="12" w:type="dxa"/>
              <w:right w:w="12" w:type="dxa"/>
            </w:tcMar>
            <w:vAlign w:val="center"/>
          </w:tcPr>
          <w:p>
            <w:pPr>
              <w:snapToGrid w:val="0"/>
              <w:ind w:left="0" w:left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4"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4033"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移动护理专用中心单元</w:t>
            </w:r>
          </w:p>
        </w:tc>
        <w:tc>
          <w:tcPr>
            <w:tcW w:w="1884"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台</w:t>
            </w:r>
          </w:p>
        </w:tc>
        <w:tc>
          <w:tcPr>
            <w:tcW w:w="1282"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60</w:t>
            </w:r>
          </w:p>
        </w:tc>
        <w:tc>
          <w:tcPr>
            <w:tcW w:w="1054"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4"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4033"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医院专用吸顶AP</w:t>
            </w:r>
          </w:p>
        </w:tc>
        <w:tc>
          <w:tcPr>
            <w:tcW w:w="1884"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台</w:t>
            </w:r>
          </w:p>
        </w:tc>
        <w:tc>
          <w:tcPr>
            <w:tcW w:w="1282"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400</w:t>
            </w:r>
          </w:p>
        </w:tc>
        <w:tc>
          <w:tcPr>
            <w:tcW w:w="1054"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4"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w:t>
            </w:r>
          </w:p>
        </w:tc>
        <w:tc>
          <w:tcPr>
            <w:tcW w:w="4033"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48口接入交换机</w:t>
            </w:r>
          </w:p>
        </w:tc>
        <w:tc>
          <w:tcPr>
            <w:tcW w:w="1884"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台</w:t>
            </w:r>
          </w:p>
        </w:tc>
        <w:tc>
          <w:tcPr>
            <w:tcW w:w="1282"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100</w:t>
            </w:r>
          </w:p>
        </w:tc>
        <w:tc>
          <w:tcPr>
            <w:tcW w:w="1054"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4"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4</w:t>
            </w:r>
          </w:p>
        </w:tc>
        <w:tc>
          <w:tcPr>
            <w:tcW w:w="4033"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楼宇汇聚交换机</w:t>
            </w:r>
          </w:p>
        </w:tc>
        <w:tc>
          <w:tcPr>
            <w:tcW w:w="1884"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台</w:t>
            </w:r>
          </w:p>
        </w:tc>
        <w:tc>
          <w:tcPr>
            <w:tcW w:w="1282"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25</w:t>
            </w:r>
          </w:p>
        </w:tc>
        <w:tc>
          <w:tcPr>
            <w:tcW w:w="1054"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4"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5</w:t>
            </w:r>
          </w:p>
        </w:tc>
        <w:tc>
          <w:tcPr>
            <w:tcW w:w="4033"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全院核心交换机</w:t>
            </w:r>
          </w:p>
        </w:tc>
        <w:tc>
          <w:tcPr>
            <w:tcW w:w="1884"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台</w:t>
            </w:r>
          </w:p>
        </w:tc>
        <w:tc>
          <w:tcPr>
            <w:tcW w:w="128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4</w:t>
            </w:r>
          </w:p>
        </w:tc>
        <w:tc>
          <w:tcPr>
            <w:tcW w:w="1054"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bl>
    <w:p>
      <w:pPr>
        <w:pStyle w:val="5"/>
        <w:rPr>
          <w:color w:val="000000" w:themeColor="text1"/>
          <w:highlight w:val="none"/>
          <w14:textFill>
            <w14:solidFill>
              <w14:schemeClr w14:val="tx1"/>
            </w14:solidFill>
          </w14:textFill>
        </w:rPr>
      </w:pPr>
      <w:r>
        <w:rPr>
          <w:rFonts w:hint="eastAsia" w:ascii="Tahoma" w:hAnsi="黑体" w:eastAsia="黑体" w:cs="Tahoma"/>
          <w:b/>
          <w:bCs w:val="0"/>
          <w:color w:val="000000" w:themeColor="text1"/>
          <w:kern w:val="2"/>
          <w:sz w:val="21"/>
          <w:szCs w:val="21"/>
          <w:highlight w:val="none"/>
          <w:lang w:val="en-US" w:eastAsia="zh-CN" w:bidi="ar-SA"/>
          <w14:textFill>
            <w14:solidFill>
              <w14:schemeClr w14:val="tx1"/>
            </w14:solidFill>
          </w14:textFill>
        </w:rPr>
        <w:t>3、无线网络控制器</w:t>
      </w:r>
    </w:p>
    <w:tbl>
      <w:tblPr>
        <w:tblStyle w:val="20"/>
        <w:tblW w:w="9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44"/>
        <w:gridCol w:w="4033"/>
        <w:gridCol w:w="1884"/>
        <w:gridCol w:w="1282"/>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4" w:type="dxa"/>
            <w:shd w:val="clear" w:color="auto" w:fill="auto"/>
            <w:tcMar>
              <w:top w:w="12" w:type="dxa"/>
              <w:left w:w="12" w:type="dxa"/>
              <w:right w:w="12" w:type="dxa"/>
            </w:tcMar>
            <w:vAlign w:val="center"/>
          </w:tcPr>
          <w:p>
            <w:pPr>
              <w:snapToGrid w:val="0"/>
              <w:ind w:left="425" w:leftChars="0" w:hanging="425"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序号</w:t>
            </w:r>
          </w:p>
        </w:tc>
        <w:tc>
          <w:tcPr>
            <w:tcW w:w="4033" w:type="dxa"/>
            <w:shd w:val="clear" w:color="auto" w:fill="auto"/>
            <w:tcMar>
              <w:top w:w="12" w:type="dxa"/>
              <w:left w:w="12" w:type="dxa"/>
              <w:right w:w="12" w:type="dxa"/>
            </w:tcMar>
            <w:vAlign w:val="center"/>
          </w:tcPr>
          <w:p>
            <w:pPr>
              <w:snapToGrid w:val="0"/>
              <w:ind w:left="425" w:leftChars="0" w:hanging="425" w:firstLine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商品名称</w:t>
            </w:r>
          </w:p>
        </w:tc>
        <w:tc>
          <w:tcPr>
            <w:tcW w:w="1884" w:type="dxa"/>
            <w:shd w:val="clear" w:color="auto" w:fill="auto"/>
            <w:tcMar>
              <w:top w:w="12" w:type="dxa"/>
              <w:left w:w="12" w:type="dxa"/>
              <w:right w:w="12" w:type="dxa"/>
            </w:tcMar>
            <w:vAlign w:val="center"/>
          </w:tcPr>
          <w:p>
            <w:pPr>
              <w:snapToGrid w:val="0"/>
              <w:ind w:left="0" w:left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计量单位</w:t>
            </w:r>
          </w:p>
        </w:tc>
        <w:tc>
          <w:tcPr>
            <w:tcW w:w="1282" w:type="dxa"/>
            <w:shd w:val="clear" w:color="auto" w:fill="auto"/>
            <w:tcMar>
              <w:top w:w="12" w:type="dxa"/>
              <w:left w:w="12" w:type="dxa"/>
              <w:right w:w="12" w:type="dxa"/>
            </w:tcMar>
            <w:vAlign w:val="center"/>
          </w:tcPr>
          <w:p>
            <w:pPr>
              <w:snapToGrid w:val="0"/>
              <w:ind w:left="0" w:leftChars="0"/>
              <w:jc w:val="cente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数量</w:t>
            </w:r>
          </w:p>
        </w:tc>
        <w:tc>
          <w:tcPr>
            <w:tcW w:w="1054" w:type="dxa"/>
            <w:shd w:val="clear" w:color="auto" w:fill="auto"/>
            <w:tcMar>
              <w:top w:w="12" w:type="dxa"/>
              <w:left w:w="12" w:type="dxa"/>
              <w:right w:w="12" w:type="dxa"/>
            </w:tcMar>
            <w:vAlign w:val="center"/>
          </w:tcPr>
          <w:p>
            <w:pPr>
              <w:snapToGrid w:val="0"/>
              <w:ind w:left="0" w:left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4"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4033"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医院网络管理平台</w:t>
            </w:r>
          </w:p>
        </w:tc>
        <w:tc>
          <w:tcPr>
            <w:tcW w:w="1884"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套</w:t>
            </w:r>
          </w:p>
        </w:tc>
        <w:tc>
          <w:tcPr>
            <w:tcW w:w="1282"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4"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bl>
    <w:p>
      <w:pPr>
        <w:rPr>
          <w:rFonts w:hint="eastAsia" w:ascii="Tahoma" w:hAnsi="黑体" w:eastAsia="黑体" w:cs="Tahoma"/>
          <w:b/>
          <w:bCs w:val="0"/>
          <w:color w:val="000000" w:themeColor="text1"/>
          <w:kern w:val="2"/>
          <w:sz w:val="21"/>
          <w:szCs w:val="21"/>
          <w:highlight w:val="none"/>
          <w:lang w:val="en-US" w:eastAsia="zh-CN" w:bidi="ar-SA"/>
          <w14:textFill>
            <w14:solidFill>
              <w14:schemeClr w14:val="tx1"/>
            </w14:solidFill>
          </w14:textFill>
        </w:rPr>
      </w:pPr>
    </w:p>
    <w:p>
      <w:pPr>
        <w:rPr>
          <w:rFonts w:hint="eastAsia" w:ascii="Tahoma" w:hAnsi="黑体" w:eastAsia="黑体" w:cs="Tahoma"/>
          <w:b/>
          <w:bCs w:val="0"/>
          <w:color w:val="000000" w:themeColor="text1"/>
          <w:kern w:val="2"/>
          <w:sz w:val="21"/>
          <w:szCs w:val="21"/>
          <w:highlight w:val="none"/>
          <w:lang w:val="en-US" w:eastAsia="zh-CN" w:bidi="ar-SA"/>
          <w14:textFill>
            <w14:solidFill>
              <w14:schemeClr w14:val="tx1"/>
            </w14:solidFill>
          </w14:textFill>
        </w:rPr>
      </w:pPr>
      <w:r>
        <w:rPr>
          <w:rFonts w:hint="eastAsia" w:ascii="Tahoma" w:hAnsi="黑体" w:eastAsia="黑体" w:cs="Tahoma"/>
          <w:b/>
          <w:bCs w:val="0"/>
          <w:color w:val="000000" w:themeColor="text1"/>
          <w:kern w:val="2"/>
          <w:sz w:val="21"/>
          <w:szCs w:val="21"/>
          <w:highlight w:val="none"/>
          <w:lang w:val="en-US" w:eastAsia="zh-CN" w:bidi="ar-SA"/>
          <w14:textFill>
            <w14:solidFill>
              <w14:schemeClr w14:val="tx1"/>
            </w14:solidFill>
          </w14:textFill>
        </w:rPr>
        <w:t>4、超融合</w:t>
      </w:r>
    </w:p>
    <w:p>
      <w:pPr>
        <w:rPr>
          <w:rFonts w:hint="default" w:ascii="Tahoma" w:hAnsi="黑体" w:eastAsia="黑体" w:cs="Tahoma"/>
          <w:b/>
          <w:bCs w:val="0"/>
          <w:color w:val="000000" w:themeColor="text1"/>
          <w:kern w:val="2"/>
          <w:sz w:val="21"/>
          <w:szCs w:val="21"/>
          <w:highlight w:val="none"/>
          <w:lang w:val="en-US" w:eastAsia="zh-CN" w:bidi="ar-SA"/>
          <w14:textFill>
            <w14:solidFill>
              <w14:schemeClr w14:val="tx1"/>
            </w14:solidFill>
          </w14:textFill>
        </w:rPr>
      </w:pPr>
      <w:r>
        <w:rPr>
          <w:rFonts w:hint="eastAsia" w:ascii="Tahoma" w:hAnsi="黑体" w:eastAsia="黑体" w:cs="Tahoma"/>
          <w:b/>
          <w:bCs w:val="0"/>
          <w:color w:val="000000" w:themeColor="text1"/>
          <w:kern w:val="2"/>
          <w:sz w:val="21"/>
          <w:szCs w:val="21"/>
          <w:highlight w:val="none"/>
          <w:lang w:val="en-US" w:eastAsia="zh-CN" w:bidi="ar-SA"/>
          <w14:textFill>
            <w14:solidFill>
              <w14:schemeClr w14:val="tx1"/>
            </w14:solidFill>
          </w14:textFill>
        </w:rPr>
        <w:t>4.1业务承载超融合</w:t>
      </w:r>
    </w:p>
    <w:tbl>
      <w:tblPr>
        <w:tblStyle w:val="20"/>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41"/>
        <w:gridCol w:w="4026"/>
        <w:gridCol w:w="1880"/>
        <w:gridCol w:w="1279"/>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425" w:leftChars="0" w:hanging="425"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序号</w:t>
            </w:r>
          </w:p>
        </w:tc>
        <w:tc>
          <w:tcPr>
            <w:tcW w:w="4026" w:type="dxa"/>
            <w:shd w:val="clear" w:color="auto" w:fill="auto"/>
            <w:tcMar>
              <w:top w:w="12" w:type="dxa"/>
              <w:left w:w="12" w:type="dxa"/>
              <w:right w:w="12" w:type="dxa"/>
            </w:tcMar>
            <w:vAlign w:val="center"/>
          </w:tcPr>
          <w:p>
            <w:pPr>
              <w:snapToGrid w:val="0"/>
              <w:ind w:left="425" w:leftChars="0" w:hanging="425" w:firstLine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商品名称</w:t>
            </w:r>
          </w:p>
        </w:tc>
        <w:tc>
          <w:tcPr>
            <w:tcW w:w="1880" w:type="dxa"/>
            <w:shd w:val="clear" w:color="auto" w:fill="auto"/>
            <w:tcMar>
              <w:top w:w="12" w:type="dxa"/>
              <w:left w:w="12" w:type="dxa"/>
              <w:right w:w="12" w:type="dxa"/>
            </w:tcMar>
            <w:vAlign w:val="center"/>
          </w:tcPr>
          <w:p>
            <w:pPr>
              <w:snapToGrid w:val="0"/>
              <w:ind w:left="0" w:left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计量单位</w:t>
            </w:r>
          </w:p>
        </w:tc>
        <w:tc>
          <w:tcPr>
            <w:tcW w:w="1279" w:type="dxa"/>
            <w:shd w:val="clear" w:color="auto" w:fill="auto"/>
            <w:tcMar>
              <w:top w:w="12" w:type="dxa"/>
              <w:left w:w="12" w:type="dxa"/>
              <w:right w:w="12" w:type="dxa"/>
            </w:tcMar>
            <w:vAlign w:val="center"/>
          </w:tcPr>
          <w:p>
            <w:pPr>
              <w:snapToGrid w:val="0"/>
              <w:ind w:left="0" w:left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数量</w:t>
            </w:r>
          </w:p>
        </w:tc>
        <w:tc>
          <w:tcPr>
            <w:tcW w:w="1052" w:type="dxa"/>
            <w:shd w:val="clear" w:color="auto" w:fill="auto"/>
            <w:tcMar>
              <w:top w:w="12" w:type="dxa"/>
              <w:left w:w="12" w:type="dxa"/>
              <w:right w:w="12" w:type="dxa"/>
            </w:tcMar>
            <w:vAlign w:val="center"/>
          </w:tcPr>
          <w:p>
            <w:pPr>
              <w:snapToGrid w:val="0"/>
              <w:ind w:left="0" w:left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超融合资源池平台服务器</w:t>
            </w:r>
          </w:p>
        </w:tc>
        <w:tc>
          <w:tcPr>
            <w:tcW w:w="1880"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1279"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超融合虚拟化软件</w:t>
            </w:r>
          </w:p>
        </w:tc>
        <w:tc>
          <w:tcPr>
            <w:tcW w:w="1880"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1279"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数据库管理平台</w:t>
            </w:r>
          </w:p>
        </w:tc>
        <w:tc>
          <w:tcPr>
            <w:tcW w:w="1880"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1279"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4</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业务存储交换机</w:t>
            </w:r>
          </w:p>
        </w:tc>
        <w:tc>
          <w:tcPr>
            <w:tcW w:w="1880"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1279"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5</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前置机</w:t>
            </w:r>
          </w:p>
        </w:tc>
        <w:tc>
          <w:tcPr>
            <w:tcW w:w="1880"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1279"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bl>
    <w:p>
      <w:pPr>
        <w:rPr>
          <w:rFonts w:hint="default"/>
          <w:color w:val="000000" w:themeColor="text1"/>
          <w:highlight w:val="none"/>
          <w:lang w:val="en-US" w:eastAsia="zh-CN"/>
          <w14:textFill>
            <w14:solidFill>
              <w14:schemeClr w14:val="tx1"/>
            </w14:solidFill>
          </w14:textFill>
        </w:rPr>
      </w:pPr>
      <w:r>
        <w:rPr>
          <w:rFonts w:hint="eastAsia" w:ascii="Tahoma" w:hAnsi="黑体" w:eastAsia="黑体" w:cs="Tahoma"/>
          <w:b/>
          <w:bCs w:val="0"/>
          <w:color w:val="000000" w:themeColor="text1"/>
          <w:kern w:val="2"/>
          <w:sz w:val="21"/>
          <w:szCs w:val="21"/>
          <w:highlight w:val="none"/>
          <w:lang w:val="en-US" w:eastAsia="zh-CN" w:bidi="ar-SA"/>
          <w14:textFill>
            <w14:solidFill>
              <w14:schemeClr w14:val="tx1"/>
            </w14:solidFill>
          </w14:textFill>
        </w:rPr>
        <w:t>4.2 等保三级</w:t>
      </w:r>
    </w:p>
    <w:tbl>
      <w:tblPr>
        <w:tblStyle w:val="20"/>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41"/>
        <w:gridCol w:w="4026"/>
        <w:gridCol w:w="1880"/>
        <w:gridCol w:w="1279"/>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425" w:leftChars="0" w:hanging="425"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序号</w:t>
            </w:r>
          </w:p>
        </w:tc>
        <w:tc>
          <w:tcPr>
            <w:tcW w:w="4026" w:type="dxa"/>
            <w:shd w:val="clear" w:color="auto" w:fill="auto"/>
            <w:tcMar>
              <w:top w:w="12" w:type="dxa"/>
              <w:left w:w="12" w:type="dxa"/>
              <w:right w:w="12" w:type="dxa"/>
            </w:tcMar>
            <w:vAlign w:val="center"/>
          </w:tcPr>
          <w:p>
            <w:pPr>
              <w:snapToGrid w:val="0"/>
              <w:ind w:left="425" w:leftChars="0" w:hanging="425" w:firstLine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商品名称</w:t>
            </w:r>
          </w:p>
        </w:tc>
        <w:tc>
          <w:tcPr>
            <w:tcW w:w="1880" w:type="dxa"/>
            <w:shd w:val="clear" w:color="auto" w:fill="auto"/>
            <w:tcMar>
              <w:top w:w="12" w:type="dxa"/>
              <w:left w:w="12" w:type="dxa"/>
              <w:right w:w="12" w:type="dxa"/>
            </w:tcMar>
            <w:vAlign w:val="center"/>
          </w:tcPr>
          <w:p>
            <w:pPr>
              <w:snapToGrid w:val="0"/>
              <w:ind w:left="0" w:left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计量单位</w:t>
            </w:r>
          </w:p>
        </w:tc>
        <w:tc>
          <w:tcPr>
            <w:tcW w:w="1279" w:type="dxa"/>
            <w:shd w:val="clear" w:color="auto" w:fill="auto"/>
            <w:tcMar>
              <w:top w:w="12" w:type="dxa"/>
              <w:left w:w="12" w:type="dxa"/>
              <w:right w:w="12" w:type="dxa"/>
            </w:tcMar>
            <w:vAlign w:val="center"/>
          </w:tcPr>
          <w:p>
            <w:pPr>
              <w:snapToGrid w:val="0"/>
              <w:ind w:left="0" w:left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数量</w:t>
            </w:r>
          </w:p>
        </w:tc>
        <w:tc>
          <w:tcPr>
            <w:tcW w:w="1052" w:type="dxa"/>
            <w:shd w:val="clear" w:color="auto" w:fill="auto"/>
            <w:tcMar>
              <w:top w:w="12" w:type="dxa"/>
              <w:left w:w="12" w:type="dxa"/>
              <w:right w:w="12" w:type="dxa"/>
            </w:tcMar>
            <w:vAlign w:val="center"/>
          </w:tcPr>
          <w:p>
            <w:pPr>
              <w:snapToGrid w:val="0"/>
              <w:ind w:left="0" w:left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4026"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互联网出口区下一代防火墙</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台</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4026"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互联网出口上网行为管理</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台</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w:t>
            </w:r>
          </w:p>
        </w:tc>
        <w:tc>
          <w:tcPr>
            <w:tcW w:w="4026"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外联区下一代防火墙</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台</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4</w:t>
            </w:r>
          </w:p>
        </w:tc>
        <w:tc>
          <w:tcPr>
            <w:tcW w:w="4026"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统一远程访问平台VPN</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台</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5</w:t>
            </w:r>
          </w:p>
        </w:tc>
        <w:tc>
          <w:tcPr>
            <w:tcW w:w="4026"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安全感知平台</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台</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6</w:t>
            </w:r>
          </w:p>
        </w:tc>
        <w:tc>
          <w:tcPr>
            <w:tcW w:w="4026"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 xml:space="preserve"> APT流量检测探针</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台</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7</w:t>
            </w:r>
          </w:p>
        </w:tc>
        <w:tc>
          <w:tcPr>
            <w:tcW w:w="4026"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 xml:space="preserve"> WEB应用防火墙</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台</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8</w:t>
            </w:r>
          </w:p>
        </w:tc>
        <w:tc>
          <w:tcPr>
            <w:tcW w:w="4026"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内网准入系统</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台</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9</w:t>
            </w:r>
          </w:p>
        </w:tc>
        <w:tc>
          <w:tcPr>
            <w:tcW w:w="4026"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数据库审计</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台</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10</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等保一体机</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台</w:t>
            </w:r>
          </w:p>
        </w:tc>
        <w:tc>
          <w:tcPr>
            <w:tcW w:w="1279"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11</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终端检测响应系统</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套</w:t>
            </w:r>
          </w:p>
        </w:tc>
        <w:tc>
          <w:tcPr>
            <w:tcW w:w="1279"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12</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安全隔离与信息交换系统</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套</w:t>
            </w:r>
          </w:p>
        </w:tc>
        <w:tc>
          <w:tcPr>
            <w:tcW w:w="1279"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bl>
    <w:p>
      <w:pPr>
        <w:rPr>
          <w:rFonts w:hint="default"/>
          <w:color w:val="000000" w:themeColor="text1"/>
          <w:highlight w:val="none"/>
          <w:lang w:val="en-US" w:eastAsia="zh-CN"/>
          <w14:textFill>
            <w14:solidFill>
              <w14:schemeClr w14:val="tx1"/>
            </w14:solidFill>
          </w14:textFill>
        </w:rPr>
      </w:pPr>
      <w:r>
        <w:rPr>
          <w:rFonts w:hint="eastAsia" w:ascii="Tahoma" w:hAnsi="黑体" w:eastAsia="黑体" w:cs="Tahoma"/>
          <w:b/>
          <w:bCs w:val="0"/>
          <w:color w:val="000000" w:themeColor="text1"/>
          <w:kern w:val="2"/>
          <w:sz w:val="21"/>
          <w:szCs w:val="21"/>
          <w:highlight w:val="none"/>
          <w:lang w:val="en-US" w:eastAsia="zh-CN" w:bidi="ar-SA"/>
          <w14:textFill>
            <w14:solidFill>
              <w14:schemeClr w14:val="tx1"/>
            </w14:solidFill>
          </w14:textFill>
        </w:rPr>
        <w:t>4.3 灾备业务承载平台资源池</w:t>
      </w:r>
    </w:p>
    <w:tbl>
      <w:tblPr>
        <w:tblStyle w:val="20"/>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41"/>
        <w:gridCol w:w="4026"/>
        <w:gridCol w:w="1880"/>
        <w:gridCol w:w="1279"/>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641" w:type="dxa"/>
            <w:shd w:val="clear" w:color="auto" w:fill="auto"/>
            <w:tcMar>
              <w:top w:w="12" w:type="dxa"/>
              <w:left w:w="12" w:type="dxa"/>
              <w:right w:w="12" w:type="dxa"/>
            </w:tcMar>
            <w:vAlign w:val="center"/>
          </w:tcPr>
          <w:p>
            <w:pPr>
              <w:snapToGrid w:val="0"/>
              <w:ind w:left="425" w:leftChars="0" w:hanging="425"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序号</w:t>
            </w:r>
          </w:p>
        </w:tc>
        <w:tc>
          <w:tcPr>
            <w:tcW w:w="4026" w:type="dxa"/>
            <w:shd w:val="clear" w:color="auto" w:fill="auto"/>
            <w:tcMar>
              <w:top w:w="12" w:type="dxa"/>
              <w:left w:w="12" w:type="dxa"/>
              <w:right w:w="12" w:type="dxa"/>
            </w:tcMar>
            <w:vAlign w:val="center"/>
          </w:tcPr>
          <w:p>
            <w:pPr>
              <w:snapToGrid w:val="0"/>
              <w:ind w:left="425" w:leftChars="0" w:hanging="425" w:firstLine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商品名称</w:t>
            </w:r>
          </w:p>
        </w:tc>
        <w:tc>
          <w:tcPr>
            <w:tcW w:w="1880" w:type="dxa"/>
            <w:shd w:val="clear" w:color="auto" w:fill="auto"/>
            <w:tcMar>
              <w:top w:w="12" w:type="dxa"/>
              <w:left w:w="12" w:type="dxa"/>
              <w:right w:w="12" w:type="dxa"/>
            </w:tcMar>
            <w:vAlign w:val="center"/>
          </w:tcPr>
          <w:p>
            <w:pPr>
              <w:snapToGrid w:val="0"/>
              <w:ind w:left="0" w:left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计量单位</w:t>
            </w:r>
          </w:p>
        </w:tc>
        <w:tc>
          <w:tcPr>
            <w:tcW w:w="1279" w:type="dxa"/>
            <w:shd w:val="clear" w:color="auto" w:fill="auto"/>
            <w:tcMar>
              <w:top w:w="12" w:type="dxa"/>
              <w:left w:w="12" w:type="dxa"/>
              <w:right w:w="12" w:type="dxa"/>
            </w:tcMar>
            <w:vAlign w:val="center"/>
          </w:tcPr>
          <w:p>
            <w:pPr>
              <w:snapToGrid w:val="0"/>
              <w:ind w:left="0" w:left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数量</w:t>
            </w:r>
          </w:p>
        </w:tc>
        <w:tc>
          <w:tcPr>
            <w:tcW w:w="1052" w:type="dxa"/>
            <w:shd w:val="clear" w:color="auto" w:fill="auto"/>
            <w:tcMar>
              <w:top w:w="12" w:type="dxa"/>
              <w:left w:w="12" w:type="dxa"/>
              <w:right w:w="12" w:type="dxa"/>
            </w:tcMar>
            <w:vAlign w:val="center"/>
          </w:tcPr>
          <w:p>
            <w:pPr>
              <w:snapToGrid w:val="0"/>
              <w:ind w:left="0" w:left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4026"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超融合资源池平台服务器</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台</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6</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4026"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超融合虚拟化软件</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套</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w:t>
            </w:r>
          </w:p>
        </w:tc>
        <w:tc>
          <w:tcPr>
            <w:tcW w:w="4026"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容灾备份软件</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套</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4</w:t>
            </w:r>
          </w:p>
        </w:tc>
        <w:tc>
          <w:tcPr>
            <w:tcW w:w="4026"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 xml:space="preserve"> 业务存储交换机</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台</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4</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bl>
    <w:p>
      <w:pPr>
        <w:pStyle w:val="8"/>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5、排队叫号系统</w:t>
      </w:r>
    </w:p>
    <w:tbl>
      <w:tblPr>
        <w:tblStyle w:val="20"/>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41"/>
        <w:gridCol w:w="4026"/>
        <w:gridCol w:w="1880"/>
        <w:gridCol w:w="1279"/>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641" w:type="dxa"/>
            <w:shd w:val="clear" w:color="auto" w:fill="auto"/>
            <w:tcMar>
              <w:top w:w="12" w:type="dxa"/>
              <w:left w:w="12" w:type="dxa"/>
              <w:right w:w="12" w:type="dxa"/>
            </w:tcMar>
            <w:vAlign w:val="center"/>
          </w:tcPr>
          <w:p>
            <w:pPr>
              <w:snapToGrid w:val="0"/>
              <w:ind w:left="425" w:leftChars="0" w:hanging="425"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序号</w:t>
            </w:r>
          </w:p>
        </w:tc>
        <w:tc>
          <w:tcPr>
            <w:tcW w:w="4026" w:type="dxa"/>
            <w:shd w:val="clear" w:color="auto" w:fill="auto"/>
            <w:tcMar>
              <w:top w:w="12" w:type="dxa"/>
              <w:left w:w="12" w:type="dxa"/>
              <w:right w:w="12" w:type="dxa"/>
            </w:tcMar>
            <w:vAlign w:val="center"/>
          </w:tcPr>
          <w:p>
            <w:pPr>
              <w:snapToGrid w:val="0"/>
              <w:ind w:left="425" w:leftChars="0" w:hanging="425" w:firstLine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商品名称</w:t>
            </w:r>
          </w:p>
        </w:tc>
        <w:tc>
          <w:tcPr>
            <w:tcW w:w="1880" w:type="dxa"/>
            <w:shd w:val="clear" w:color="auto" w:fill="auto"/>
            <w:tcMar>
              <w:top w:w="12" w:type="dxa"/>
              <w:left w:w="12" w:type="dxa"/>
              <w:right w:w="12" w:type="dxa"/>
            </w:tcMar>
            <w:vAlign w:val="center"/>
          </w:tcPr>
          <w:p>
            <w:pPr>
              <w:snapToGrid w:val="0"/>
              <w:ind w:left="0" w:left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计量单位</w:t>
            </w:r>
          </w:p>
        </w:tc>
        <w:tc>
          <w:tcPr>
            <w:tcW w:w="1279" w:type="dxa"/>
            <w:shd w:val="clear" w:color="auto" w:fill="auto"/>
            <w:tcMar>
              <w:top w:w="12" w:type="dxa"/>
              <w:left w:w="12" w:type="dxa"/>
              <w:right w:w="12" w:type="dxa"/>
            </w:tcMar>
            <w:vAlign w:val="center"/>
          </w:tcPr>
          <w:p>
            <w:pPr>
              <w:snapToGrid w:val="0"/>
              <w:ind w:left="0" w:left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数量</w:t>
            </w:r>
          </w:p>
        </w:tc>
        <w:tc>
          <w:tcPr>
            <w:tcW w:w="1052" w:type="dxa"/>
            <w:shd w:val="clear" w:color="auto" w:fill="auto"/>
            <w:tcMar>
              <w:top w:w="12" w:type="dxa"/>
              <w:left w:w="12" w:type="dxa"/>
              <w:right w:w="12" w:type="dxa"/>
            </w:tcMar>
            <w:vAlign w:val="center"/>
          </w:tcPr>
          <w:p>
            <w:pPr>
              <w:snapToGrid w:val="0"/>
              <w:ind w:left="0" w:left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门诊排队导诊软件</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套</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5</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分诊台话筒</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个</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5</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医生叫号对讲软件</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套</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50</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4</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诊室话筒</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个</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50</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5</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语音播报软件</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套</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6</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信息交互服务器软件</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套</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7</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机架式服务器</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台</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8</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门诊排队管理软件</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套</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9</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医技排队管理软件</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套</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10</w:t>
            </w:r>
          </w:p>
        </w:tc>
        <w:tc>
          <w:tcPr>
            <w:tcW w:w="4026" w:type="dxa"/>
            <w:vAlign w:val="center"/>
          </w:tcPr>
          <w:p>
            <w:pPr>
              <w:keepNext w:val="0"/>
              <w:keepLines w:val="0"/>
              <w:widowControl/>
              <w:suppressLineNumbers w:val="0"/>
              <w:jc w:val="center"/>
              <w:textAlignment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抽血排队管理软件</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套</w:t>
            </w:r>
          </w:p>
        </w:tc>
        <w:tc>
          <w:tcPr>
            <w:tcW w:w="1279"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11</w:t>
            </w:r>
          </w:p>
        </w:tc>
        <w:tc>
          <w:tcPr>
            <w:tcW w:w="4026" w:type="dxa"/>
            <w:vAlign w:val="center"/>
          </w:tcPr>
          <w:p>
            <w:pPr>
              <w:keepNext w:val="0"/>
              <w:keepLines w:val="0"/>
              <w:widowControl/>
              <w:suppressLineNumbers w:val="0"/>
              <w:jc w:val="center"/>
              <w:textAlignment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取药排队管理软件</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套</w:t>
            </w:r>
          </w:p>
        </w:tc>
        <w:tc>
          <w:tcPr>
            <w:tcW w:w="1279"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12</w:t>
            </w:r>
          </w:p>
        </w:tc>
        <w:tc>
          <w:tcPr>
            <w:tcW w:w="4026" w:type="dxa"/>
            <w:vAlign w:val="center"/>
          </w:tcPr>
          <w:p>
            <w:pPr>
              <w:keepNext w:val="0"/>
              <w:keepLines w:val="0"/>
              <w:widowControl/>
              <w:suppressLineNumbers w:val="0"/>
              <w:jc w:val="center"/>
              <w:textAlignment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自助签到机</w:t>
            </w:r>
          </w:p>
        </w:tc>
        <w:tc>
          <w:tcPr>
            <w:tcW w:w="1880"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台</w:t>
            </w:r>
          </w:p>
        </w:tc>
        <w:tc>
          <w:tcPr>
            <w:tcW w:w="1279"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13</w:t>
            </w:r>
          </w:p>
        </w:tc>
        <w:tc>
          <w:tcPr>
            <w:tcW w:w="4026" w:type="dxa"/>
            <w:vAlign w:val="center"/>
          </w:tcPr>
          <w:p>
            <w:pPr>
              <w:keepNext w:val="0"/>
              <w:keepLines w:val="0"/>
              <w:widowControl/>
              <w:suppressLineNumbers w:val="0"/>
              <w:jc w:val="center"/>
              <w:textAlignment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液晶一体机（15.6英寸高清液晶显示屏）</w:t>
            </w:r>
          </w:p>
        </w:tc>
        <w:tc>
          <w:tcPr>
            <w:tcW w:w="1880"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个</w:t>
            </w:r>
          </w:p>
        </w:tc>
        <w:tc>
          <w:tcPr>
            <w:tcW w:w="1279" w:type="dxa"/>
            <w:vAlign w:val="center"/>
          </w:tcPr>
          <w:p>
            <w:pPr>
              <w:keepNext w:val="0"/>
              <w:keepLines w:val="0"/>
              <w:widowControl/>
              <w:suppressLineNumbers w:val="0"/>
              <w:jc w:val="center"/>
              <w:textAlignment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14</w:t>
            </w:r>
          </w:p>
        </w:tc>
        <w:tc>
          <w:tcPr>
            <w:tcW w:w="4026" w:type="dxa"/>
            <w:vAlign w:val="center"/>
          </w:tcPr>
          <w:p>
            <w:pPr>
              <w:keepNext w:val="0"/>
              <w:keepLines w:val="0"/>
              <w:widowControl/>
              <w:suppressLineNumbers w:val="0"/>
              <w:jc w:val="center"/>
              <w:textAlignment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多媒体控制盒</w:t>
            </w:r>
          </w:p>
        </w:tc>
        <w:tc>
          <w:tcPr>
            <w:tcW w:w="1880"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个</w:t>
            </w:r>
          </w:p>
        </w:tc>
        <w:tc>
          <w:tcPr>
            <w:tcW w:w="1279" w:type="dxa"/>
            <w:vAlign w:val="center"/>
          </w:tcPr>
          <w:p>
            <w:pPr>
              <w:keepNext w:val="0"/>
              <w:keepLines w:val="0"/>
              <w:widowControl/>
              <w:suppressLineNumbers w:val="0"/>
              <w:jc w:val="center"/>
              <w:textAlignment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50</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15</w:t>
            </w:r>
          </w:p>
        </w:tc>
        <w:tc>
          <w:tcPr>
            <w:tcW w:w="4026" w:type="dxa"/>
            <w:vAlign w:val="center"/>
          </w:tcPr>
          <w:p>
            <w:pPr>
              <w:keepNext w:val="0"/>
              <w:keepLines w:val="0"/>
              <w:widowControl/>
              <w:suppressLineNumbers w:val="0"/>
              <w:jc w:val="center"/>
              <w:textAlignment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功放</w:t>
            </w:r>
          </w:p>
        </w:tc>
        <w:tc>
          <w:tcPr>
            <w:tcW w:w="1880"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个</w:t>
            </w:r>
          </w:p>
        </w:tc>
        <w:tc>
          <w:tcPr>
            <w:tcW w:w="1279" w:type="dxa"/>
            <w:vAlign w:val="center"/>
          </w:tcPr>
          <w:p>
            <w:pPr>
              <w:keepNext w:val="0"/>
              <w:keepLines w:val="0"/>
              <w:widowControl/>
              <w:suppressLineNumbers w:val="0"/>
              <w:jc w:val="center"/>
              <w:textAlignment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16</w:t>
            </w:r>
          </w:p>
        </w:tc>
        <w:tc>
          <w:tcPr>
            <w:tcW w:w="4026" w:type="dxa"/>
            <w:vAlign w:val="center"/>
          </w:tcPr>
          <w:p>
            <w:pPr>
              <w:keepNext w:val="0"/>
              <w:keepLines w:val="0"/>
              <w:widowControl/>
              <w:suppressLineNumbers w:val="0"/>
              <w:jc w:val="center"/>
              <w:textAlignment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吸顶式喇叭</w:t>
            </w:r>
          </w:p>
        </w:tc>
        <w:tc>
          <w:tcPr>
            <w:tcW w:w="1880"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个</w:t>
            </w:r>
          </w:p>
        </w:tc>
        <w:tc>
          <w:tcPr>
            <w:tcW w:w="1279" w:type="dxa"/>
            <w:vAlign w:val="center"/>
          </w:tcPr>
          <w:p>
            <w:pPr>
              <w:keepNext w:val="0"/>
              <w:keepLines w:val="0"/>
              <w:widowControl/>
              <w:suppressLineNumbers w:val="0"/>
              <w:jc w:val="center"/>
              <w:textAlignment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bl>
    <w:p>
      <w:pPr>
        <w:rPr>
          <w:rFonts w:hint="eastAsia" w:ascii="Tahoma" w:hAnsi="黑体" w:eastAsia="黑体" w:cs="Tahoma"/>
          <w:b/>
          <w:bCs w:val="0"/>
          <w:color w:val="000000" w:themeColor="text1"/>
          <w:kern w:val="2"/>
          <w:sz w:val="21"/>
          <w:szCs w:val="21"/>
          <w:highlight w:val="none"/>
          <w:lang w:val="en-US" w:eastAsia="zh-CN" w:bidi="ar-SA"/>
          <w14:textFill>
            <w14:solidFill>
              <w14:schemeClr w14:val="tx1"/>
            </w14:solidFill>
          </w14:textFill>
        </w:rPr>
      </w:pPr>
      <w:r>
        <w:rPr>
          <w:rFonts w:hint="eastAsia" w:ascii="Tahoma" w:hAnsi="黑体" w:eastAsia="黑体" w:cs="Tahoma"/>
          <w:b/>
          <w:bCs w:val="0"/>
          <w:color w:val="000000" w:themeColor="text1"/>
          <w:kern w:val="2"/>
          <w:sz w:val="21"/>
          <w:szCs w:val="21"/>
          <w:highlight w:val="none"/>
          <w:lang w:val="en-US" w:eastAsia="zh-CN" w:bidi="ar-SA"/>
          <w14:textFill>
            <w14:solidFill>
              <w14:schemeClr w14:val="tx1"/>
            </w14:solidFill>
          </w14:textFill>
        </w:rPr>
        <w:t>6、模块化机房建设</w:t>
      </w:r>
    </w:p>
    <w:p>
      <w:pPr>
        <w:pStyle w:val="10"/>
        <w:numPr>
          <w:ilvl w:val="0"/>
          <w:numId w:val="0"/>
        </w:numPr>
        <w:spacing w:line="340" w:lineRule="exact"/>
        <w:rPr>
          <w:rFonts w:hint="eastAsia" w:ascii="Tahoma" w:hAnsi="黑体" w:eastAsia="黑体" w:cs="Tahoma"/>
          <w:b/>
          <w:bCs w:val="0"/>
          <w:color w:val="000000" w:themeColor="text1"/>
          <w:kern w:val="2"/>
          <w:sz w:val="21"/>
          <w:szCs w:val="21"/>
          <w:highlight w:val="none"/>
          <w:lang w:val="en-US" w:eastAsia="zh-CN" w:bidi="ar-SA"/>
          <w14:textFill>
            <w14:solidFill>
              <w14:schemeClr w14:val="tx1"/>
            </w14:solidFill>
          </w14:textFill>
        </w:rPr>
      </w:pPr>
      <w:r>
        <w:rPr>
          <w:rFonts w:hint="eastAsia" w:ascii="Tahoma" w:hAnsi="黑体" w:eastAsia="黑体" w:cs="Tahoma"/>
          <w:b/>
          <w:bCs w:val="0"/>
          <w:color w:val="000000" w:themeColor="text1"/>
          <w:kern w:val="2"/>
          <w:sz w:val="21"/>
          <w:szCs w:val="21"/>
          <w:highlight w:val="none"/>
          <w:lang w:val="en-US" w:eastAsia="zh-CN" w:bidi="ar-SA"/>
          <w14:textFill>
            <w14:solidFill>
              <w14:schemeClr w14:val="tx1"/>
            </w14:solidFill>
          </w14:textFill>
        </w:rPr>
        <w:t>6.1 机房装修</w:t>
      </w:r>
    </w:p>
    <w:tbl>
      <w:tblPr>
        <w:tblStyle w:val="20"/>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41"/>
        <w:gridCol w:w="4026"/>
        <w:gridCol w:w="1880"/>
        <w:gridCol w:w="1279"/>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425" w:leftChars="0" w:hanging="425"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序号</w:t>
            </w:r>
          </w:p>
        </w:tc>
        <w:tc>
          <w:tcPr>
            <w:tcW w:w="4026" w:type="dxa"/>
            <w:shd w:val="clear" w:color="auto" w:fill="auto"/>
            <w:tcMar>
              <w:top w:w="12" w:type="dxa"/>
              <w:left w:w="12" w:type="dxa"/>
              <w:right w:w="12" w:type="dxa"/>
            </w:tcMar>
            <w:vAlign w:val="center"/>
          </w:tcPr>
          <w:p>
            <w:pPr>
              <w:snapToGrid w:val="0"/>
              <w:ind w:left="425" w:leftChars="0" w:hanging="425" w:firstLine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商品名称</w:t>
            </w:r>
          </w:p>
        </w:tc>
        <w:tc>
          <w:tcPr>
            <w:tcW w:w="1880" w:type="dxa"/>
            <w:shd w:val="clear" w:color="auto" w:fill="auto"/>
            <w:tcMar>
              <w:top w:w="12" w:type="dxa"/>
              <w:left w:w="12" w:type="dxa"/>
              <w:right w:w="12" w:type="dxa"/>
            </w:tcMar>
            <w:vAlign w:val="center"/>
          </w:tcPr>
          <w:p>
            <w:pPr>
              <w:snapToGrid w:val="0"/>
              <w:ind w:left="0" w:left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计量单位</w:t>
            </w:r>
          </w:p>
        </w:tc>
        <w:tc>
          <w:tcPr>
            <w:tcW w:w="1279" w:type="dxa"/>
            <w:shd w:val="clear" w:color="auto" w:fill="auto"/>
            <w:tcMar>
              <w:top w:w="12" w:type="dxa"/>
              <w:left w:w="12" w:type="dxa"/>
              <w:right w:w="12" w:type="dxa"/>
            </w:tcMar>
            <w:vAlign w:val="center"/>
          </w:tcPr>
          <w:p>
            <w:pPr>
              <w:snapToGrid w:val="0"/>
              <w:ind w:left="0" w:left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数量</w:t>
            </w:r>
          </w:p>
        </w:tc>
        <w:tc>
          <w:tcPr>
            <w:tcW w:w="1052" w:type="dxa"/>
            <w:shd w:val="clear" w:color="auto" w:fill="auto"/>
            <w:tcMar>
              <w:top w:w="12" w:type="dxa"/>
              <w:left w:w="12" w:type="dxa"/>
              <w:right w:w="12" w:type="dxa"/>
            </w:tcMar>
            <w:vAlign w:val="center"/>
          </w:tcPr>
          <w:p>
            <w:pPr>
              <w:snapToGrid w:val="0"/>
              <w:ind w:left="0" w:left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吊顶丝杆</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215</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主骨</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215</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吊顶防火吸音板</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215</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4</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照明</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套</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18</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5</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玻璃隔墙</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215</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6</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玻璃隔墙门</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套</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7</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防盗门</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套</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8</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隔墙龙骨</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350</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9</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隔墙隔音棉铺设</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350</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10</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机房防静电墙面</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350</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11</w:t>
            </w:r>
          </w:p>
        </w:tc>
        <w:tc>
          <w:tcPr>
            <w:tcW w:w="4026" w:type="dxa"/>
            <w:vAlign w:val="center"/>
          </w:tcPr>
          <w:p>
            <w:pPr>
              <w:keepNext w:val="0"/>
              <w:keepLines w:val="0"/>
              <w:widowControl/>
              <w:suppressLineNumbers w:val="0"/>
              <w:jc w:val="center"/>
              <w:textAlignment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地面防尘漆</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210</w:t>
            </w:r>
          </w:p>
        </w:tc>
        <w:tc>
          <w:tcPr>
            <w:tcW w:w="1052"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12</w:t>
            </w:r>
          </w:p>
        </w:tc>
        <w:tc>
          <w:tcPr>
            <w:tcW w:w="4026" w:type="dxa"/>
            <w:vAlign w:val="center"/>
          </w:tcPr>
          <w:p>
            <w:pPr>
              <w:keepNext w:val="0"/>
              <w:keepLines w:val="0"/>
              <w:widowControl/>
              <w:suppressLineNumbers w:val="0"/>
              <w:jc w:val="center"/>
              <w:textAlignment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封堵</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13</w:t>
            </w:r>
          </w:p>
        </w:tc>
        <w:tc>
          <w:tcPr>
            <w:tcW w:w="4026" w:type="dxa"/>
            <w:vAlign w:val="center"/>
          </w:tcPr>
          <w:p>
            <w:pPr>
              <w:keepNext w:val="0"/>
              <w:keepLines w:val="0"/>
              <w:widowControl/>
              <w:suppressLineNumbers w:val="0"/>
              <w:jc w:val="center"/>
              <w:textAlignment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电线敷设</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80</w:t>
            </w:r>
          </w:p>
        </w:tc>
        <w:tc>
          <w:tcPr>
            <w:tcW w:w="1052"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14</w:t>
            </w:r>
          </w:p>
        </w:tc>
        <w:tc>
          <w:tcPr>
            <w:tcW w:w="4026" w:type="dxa"/>
            <w:vAlign w:val="center"/>
          </w:tcPr>
          <w:p>
            <w:pPr>
              <w:keepNext w:val="0"/>
              <w:keepLines w:val="0"/>
              <w:widowControl/>
              <w:suppressLineNumbers w:val="0"/>
              <w:jc w:val="center"/>
              <w:textAlignment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接地</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bl>
    <w:p>
      <w:pPr>
        <w:pStyle w:val="10"/>
        <w:numPr>
          <w:ilvl w:val="0"/>
          <w:numId w:val="0"/>
        </w:numPr>
        <w:spacing w:line="340" w:lineRule="exact"/>
        <w:rPr>
          <w:rFonts w:hint="eastAsia" w:ascii="Tahoma" w:hAnsi="黑体" w:eastAsia="黑体" w:cs="Tahoma"/>
          <w:b/>
          <w:bCs w:val="0"/>
          <w:color w:val="000000" w:themeColor="text1"/>
          <w:kern w:val="2"/>
          <w:sz w:val="21"/>
          <w:szCs w:val="21"/>
          <w:highlight w:val="none"/>
          <w:lang w:val="en-US" w:eastAsia="zh-CN" w:bidi="ar-SA"/>
          <w14:textFill>
            <w14:solidFill>
              <w14:schemeClr w14:val="tx1"/>
            </w14:solidFill>
          </w14:textFill>
        </w:rPr>
      </w:pPr>
      <w:r>
        <w:rPr>
          <w:rFonts w:hint="eastAsia" w:ascii="Tahoma" w:hAnsi="黑体" w:eastAsia="黑体" w:cs="Tahoma"/>
          <w:b/>
          <w:bCs w:val="0"/>
          <w:color w:val="000000" w:themeColor="text1"/>
          <w:kern w:val="2"/>
          <w:sz w:val="21"/>
          <w:szCs w:val="21"/>
          <w:highlight w:val="none"/>
          <w:lang w:val="en-US" w:eastAsia="zh-CN" w:bidi="ar-SA"/>
          <w14:textFill>
            <w14:solidFill>
              <w14:schemeClr w14:val="tx1"/>
            </w14:solidFill>
          </w14:textFill>
        </w:rPr>
        <w:t>6.2 备用机房机柜</w:t>
      </w:r>
    </w:p>
    <w:tbl>
      <w:tblPr>
        <w:tblStyle w:val="20"/>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41"/>
        <w:gridCol w:w="4026"/>
        <w:gridCol w:w="1880"/>
        <w:gridCol w:w="1279"/>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425" w:leftChars="0" w:hanging="425"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序号</w:t>
            </w:r>
          </w:p>
        </w:tc>
        <w:tc>
          <w:tcPr>
            <w:tcW w:w="4026" w:type="dxa"/>
            <w:shd w:val="clear" w:color="auto" w:fill="auto"/>
            <w:tcMar>
              <w:top w:w="12" w:type="dxa"/>
              <w:left w:w="12" w:type="dxa"/>
              <w:right w:w="12" w:type="dxa"/>
            </w:tcMar>
            <w:vAlign w:val="center"/>
          </w:tcPr>
          <w:p>
            <w:pPr>
              <w:snapToGrid w:val="0"/>
              <w:ind w:left="425" w:leftChars="0" w:hanging="425" w:firstLine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商品名称</w:t>
            </w:r>
          </w:p>
        </w:tc>
        <w:tc>
          <w:tcPr>
            <w:tcW w:w="1880" w:type="dxa"/>
            <w:shd w:val="clear" w:color="auto" w:fill="auto"/>
            <w:tcMar>
              <w:top w:w="12" w:type="dxa"/>
              <w:left w:w="12" w:type="dxa"/>
              <w:right w:w="12" w:type="dxa"/>
            </w:tcMar>
            <w:vAlign w:val="center"/>
          </w:tcPr>
          <w:p>
            <w:pPr>
              <w:snapToGrid w:val="0"/>
              <w:ind w:left="0" w:left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计量单位</w:t>
            </w:r>
          </w:p>
        </w:tc>
        <w:tc>
          <w:tcPr>
            <w:tcW w:w="1279" w:type="dxa"/>
            <w:shd w:val="clear" w:color="auto" w:fill="auto"/>
            <w:tcMar>
              <w:top w:w="12" w:type="dxa"/>
              <w:left w:w="12" w:type="dxa"/>
              <w:right w:w="12" w:type="dxa"/>
            </w:tcMar>
            <w:vAlign w:val="center"/>
          </w:tcPr>
          <w:p>
            <w:pPr>
              <w:snapToGrid w:val="0"/>
              <w:ind w:left="0" w:left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数量</w:t>
            </w:r>
          </w:p>
        </w:tc>
        <w:tc>
          <w:tcPr>
            <w:tcW w:w="1052" w:type="dxa"/>
            <w:shd w:val="clear" w:color="auto" w:fill="auto"/>
            <w:tcMar>
              <w:top w:w="12" w:type="dxa"/>
              <w:left w:w="12" w:type="dxa"/>
              <w:right w:w="12" w:type="dxa"/>
            </w:tcMar>
            <w:vAlign w:val="center"/>
          </w:tcPr>
          <w:p>
            <w:pPr>
              <w:snapToGrid w:val="0"/>
              <w:ind w:left="0" w:left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服务器机柜(核心备份</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p>
        </w:tc>
        <w:tc>
          <w:tcPr>
            <w:tcW w:w="1880"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t>4</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固定承重板</w:t>
            </w:r>
          </w:p>
        </w:tc>
        <w:tc>
          <w:tcPr>
            <w:tcW w:w="1880"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件</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t>12</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气流遏制盲板</w:t>
            </w:r>
          </w:p>
        </w:tc>
        <w:tc>
          <w:tcPr>
            <w:tcW w:w="1880"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条</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t>240</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bl>
    <w:p>
      <w:pPr>
        <w:rPr>
          <w:rFonts w:hint="default"/>
          <w:color w:val="000000" w:themeColor="text1"/>
          <w:highlight w:val="none"/>
          <w:lang w:val="en-US" w:eastAsia="zh-CN"/>
          <w14:textFill>
            <w14:solidFill>
              <w14:schemeClr w14:val="tx1"/>
            </w14:solidFill>
          </w14:textFill>
        </w:rPr>
      </w:pPr>
      <w:r>
        <w:rPr>
          <w:rFonts w:hint="eastAsia" w:ascii="Tahoma" w:hAnsi="黑体" w:eastAsia="黑体" w:cs="Tahoma"/>
          <w:b/>
          <w:bCs w:val="0"/>
          <w:color w:val="000000" w:themeColor="text1"/>
          <w:kern w:val="2"/>
          <w:sz w:val="21"/>
          <w:szCs w:val="21"/>
          <w:highlight w:val="none"/>
          <w:lang w:val="en-US" w:eastAsia="zh-CN" w:bidi="ar-SA"/>
          <w14:textFill>
            <w14:solidFill>
              <w14:schemeClr w14:val="tx1"/>
            </w14:solidFill>
          </w14:textFill>
        </w:rPr>
        <w:t>6.3 消防系统</w:t>
      </w:r>
    </w:p>
    <w:tbl>
      <w:tblPr>
        <w:tblStyle w:val="20"/>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41"/>
        <w:gridCol w:w="4026"/>
        <w:gridCol w:w="1880"/>
        <w:gridCol w:w="1279"/>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425" w:leftChars="0" w:hanging="425"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序号</w:t>
            </w:r>
          </w:p>
        </w:tc>
        <w:tc>
          <w:tcPr>
            <w:tcW w:w="4026" w:type="dxa"/>
            <w:shd w:val="clear" w:color="auto" w:fill="auto"/>
            <w:tcMar>
              <w:top w:w="12" w:type="dxa"/>
              <w:left w:w="12" w:type="dxa"/>
              <w:right w:w="12" w:type="dxa"/>
            </w:tcMar>
            <w:vAlign w:val="center"/>
          </w:tcPr>
          <w:p>
            <w:pPr>
              <w:snapToGrid w:val="0"/>
              <w:ind w:left="425" w:leftChars="0" w:hanging="425" w:firstLine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商品名称</w:t>
            </w:r>
          </w:p>
        </w:tc>
        <w:tc>
          <w:tcPr>
            <w:tcW w:w="1880" w:type="dxa"/>
            <w:shd w:val="clear" w:color="auto" w:fill="auto"/>
            <w:tcMar>
              <w:top w:w="12" w:type="dxa"/>
              <w:left w:w="12" w:type="dxa"/>
              <w:right w:w="12" w:type="dxa"/>
            </w:tcMar>
            <w:vAlign w:val="center"/>
          </w:tcPr>
          <w:p>
            <w:pPr>
              <w:snapToGrid w:val="0"/>
              <w:ind w:left="0" w:left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计量单位</w:t>
            </w:r>
          </w:p>
        </w:tc>
        <w:tc>
          <w:tcPr>
            <w:tcW w:w="1279" w:type="dxa"/>
            <w:shd w:val="clear" w:color="auto" w:fill="auto"/>
            <w:tcMar>
              <w:top w:w="12" w:type="dxa"/>
              <w:left w:w="12" w:type="dxa"/>
              <w:right w:w="12" w:type="dxa"/>
            </w:tcMar>
            <w:vAlign w:val="center"/>
          </w:tcPr>
          <w:p>
            <w:pPr>
              <w:snapToGrid w:val="0"/>
              <w:ind w:left="0" w:left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数量</w:t>
            </w:r>
          </w:p>
        </w:tc>
        <w:tc>
          <w:tcPr>
            <w:tcW w:w="1052" w:type="dxa"/>
            <w:shd w:val="clear" w:color="auto" w:fill="auto"/>
            <w:tcMar>
              <w:top w:w="12" w:type="dxa"/>
              <w:left w:w="12" w:type="dxa"/>
              <w:right w:w="12" w:type="dxa"/>
            </w:tcMar>
            <w:vAlign w:val="center"/>
          </w:tcPr>
          <w:p>
            <w:pPr>
              <w:snapToGrid w:val="0"/>
              <w:ind w:left="0" w:left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4026"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点型光电感烟火灾探测器</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只</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4</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4026"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点型感温火灾探测器</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只</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4</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w:t>
            </w:r>
          </w:p>
        </w:tc>
        <w:tc>
          <w:tcPr>
            <w:tcW w:w="4026"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底座</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只</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8</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4</w:t>
            </w:r>
          </w:p>
        </w:tc>
        <w:tc>
          <w:tcPr>
            <w:tcW w:w="4026"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输入输出模块</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只</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5</w:t>
            </w:r>
          </w:p>
        </w:tc>
        <w:tc>
          <w:tcPr>
            <w:tcW w:w="4026"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手/自动转换模块</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只</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6</w:t>
            </w:r>
          </w:p>
        </w:tc>
        <w:tc>
          <w:tcPr>
            <w:tcW w:w="4026"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火灾声光警报器</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只</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7</w:t>
            </w:r>
          </w:p>
        </w:tc>
        <w:tc>
          <w:tcPr>
            <w:tcW w:w="4026"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紧急启停按钮</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只</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8</w:t>
            </w:r>
          </w:p>
        </w:tc>
        <w:tc>
          <w:tcPr>
            <w:tcW w:w="4026"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气体喷洒释放灯</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块</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Merge w:val="restart"/>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9</w:t>
            </w:r>
          </w:p>
        </w:tc>
        <w:tc>
          <w:tcPr>
            <w:tcW w:w="4026" w:type="dxa"/>
            <w:vMerge w:val="restart"/>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七氟丙烷自动灭火装置</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套</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Merge w:val="continue"/>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c>
          <w:tcPr>
            <w:tcW w:w="4026" w:type="dxa"/>
            <w:vMerge w:val="continue"/>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KG</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192</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10</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气体灭火控制器</w:t>
            </w:r>
          </w:p>
        </w:tc>
        <w:tc>
          <w:tcPr>
            <w:tcW w:w="1880"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台</w:t>
            </w:r>
          </w:p>
        </w:tc>
        <w:tc>
          <w:tcPr>
            <w:tcW w:w="1279"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11</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消防报警线缆</w:t>
            </w:r>
          </w:p>
        </w:tc>
        <w:tc>
          <w:tcPr>
            <w:tcW w:w="1880"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米</w:t>
            </w:r>
          </w:p>
        </w:tc>
        <w:tc>
          <w:tcPr>
            <w:tcW w:w="1279"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 xml:space="preserve">500 </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12</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消防报警线管</w:t>
            </w:r>
          </w:p>
        </w:tc>
        <w:tc>
          <w:tcPr>
            <w:tcW w:w="1880"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米</w:t>
            </w:r>
          </w:p>
        </w:tc>
        <w:tc>
          <w:tcPr>
            <w:tcW w:w="1279"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80</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bl>
    <w:p>
      <w:pPr>
        <w:rPr>
          <w:rFonts w:hint="default"/>
          <w:color w:val="000000" w:themeColor="text1"/>
          <w:highlight w:val="none"/>
          <w:lang w:val="en-US" w:eastAsia="zh-CN"/>
          <w14:textFill>
            <w14:solidFill>
              <w14:schemeClr w14:val="tx1"/>
            </w14:solidFill>
          </w14:textFill>
        </w:rPr>
      </w:pPr>
      <w:r>
        <w:rPr>
          <w:rFonts w:hint="eastAsia" w:ascii="Tahoma" w:hAnsi="黑体" w:eastAsia="黑体" w:cs="Tahoma"/>
          <w:b/>
          <w:bCs w:val="0"/>
          <w:color w:val="000000" w:themeColor="text1"/>
          <w:kern w:val="2"/>
          <w:sz w:val="21"/>
          <w:szCs w:val="21"/>
          <w:highlight w:val="none"/>
          <w:lang w:val="en-US" w:eastAsia="zh-CN" w:bidi="ar-SA"/>
          <w14:textFill>
            <w14:solidFill>
              <w14:schemeClr w14:val="tx1"/>
            </w14:solidFill>
          </w14:textFill>
        </w:rPr>
        <w:t>6.4 模块化机柜系统</w:t>
      </w:r>
    </w:p>
    <w:tbl>
      <w:tblPr>
        <w:tblStyle w:val="20"/>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41"/>
        <w:gridCol w:w="4026"/>
        <w:gridCol w:w="1880"/>
        <w:gridCol w:w="1279"/>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425" w:leftChars="0" w:hanging="425"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序号</w:t>
            </w:r>
          </w:p>
        </w:tc>
        <w:tc>
          <w:tcPr>
            <w:tcW w:w="4026" w:type="dxa"/>
            <w:shd w:val="clear" w:color="auto" w:fill="auto"/>
            <w:tcMar>
              <w:top w:w="12" w:type="dxa"/>
              <w:left w:w="12" w:type="dxa"/>
              <w:right w:w="12" w:type="dxa"/>
            </w:tcMar>
            <w:vAlign w:val="center"/>
          </w:tcPr>
          <w:p>
            <w:pPr>
              <w:snapToGrid w:val="0"/>
              <w:ind w:left="425" w:leftChars="0" w:hanging="425" w:firstLine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商品名称</w:t>
            </w:r>
          </w:p>
        </w:tc>
        <w:tc>
          <w:tcPr>
            <w:tcW w:w="1880" w:type="dxa"/>
            <w:shd w:val="clear" w:color="auto" w:fill="auto"/>
            <w:tcMar>
              <w:top w:w="12" w:type="dxa"/>
              <w:left w:w="12" w:type="dxa"/>
              <w:right w:w="12" w:type="dxa"/>
            </w:tcMar>
            <w:vAlign w:val="center"/>
          </w:tcPr>
          <w:p>
            <w:pPr>
              <w:snapToGrid w:val="0"/>
              <w:ind w:left="0" w:left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计量单位</w:t>
            </w:r>
          </w:p>
        </w:tc>
        <w:tc>
          <w:tcPr>
            <w:tcW w:w="1279" w:type="dxa"/>
            <w:shd w:val="clear" w:color="auto" w:fill="auto"/>
            <w:tcMar>
              <w:top w:w="12" w:type="dxa"/>
              <w:left w:w="12" w:type="dxa"/>
              <w:right w:w="12" w:type="dxa"/>
            </w:tcMar>
            <w:vAlign w:val="center"/>
          </w:tcPr>
          <w:p>
            <w:pPr>
              <w:snapToGrid w:val="0"/>
              <w:ind w:left="0" w:left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数量</w:t>
            </w:r>
          </w:p>
        </w:tc>
        <w:tc>
          <w:tcPr>
            <w:tcW w:w="1052" w:type="dxa"/>
            <w:shd w:val="clear" w:color="auto" w:fill="auto"/>
            <w:tcMar>
              <w:top w:w="12" w:type="dxa"/>
              <w:left w:w="12" w:type="dxa"/>
              <w:right w:w="12" w:type="dxa"/>
            </w:tcMar>
            <w:vAlign w:val="center"/>
          </w:tcPr>
          <w:p>
            <w:pPr>
              <w:snapToGrid w:val="0"/>
              <w:ind w:left="0" w:left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服务器机柜</w:t>
            </w:r>
          </w:p>
        </w:tc>
        <w:tc>
          <w:tcPr>
            <w:tcW w:w="1880"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台</w:t>
            </w:r>
          </w:p>
        </w:tc>
        <w:tc>
          <w:tcPr>
            <w:tcW w:w="1279"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24</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固定层板</w:t>
            </w:r>
          </w:p>
        </w:tc>
        <w:tc>
          <w:tcPr>
            <w:tcW w:w="1880"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块</w:t>
            </w:r>
          </w:p>
        </w:tc>
        <w:tc>
          <w:tcPr>
            <w:tcW w:w="1279"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48</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L型支架</w:t>
            </w:r>
          </w:p>
        </w:tc>
        <w:tc>
          <w:tcPr>
            <w:tcW w:w="1880"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对</w:t>
            </w:r>
          </w:p>
        </w:tc>
        <w:tc>
          <w:tcPr>
            <w:tcW w:w="1279"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48</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4</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盲板</w:t>
            </w:r>
          </w:p>
        </w:tc>
        <w:tc>
          <w:tcPr>
            <w:tcW w:w="1880"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块</w:t>
            </w:r>
          </w:p>
        </w:tc>
        <w:tc>
          <w:tcPr>
            <w:tcW w:w="1279"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480</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5</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PDU</w:t>
            </w:r>
          </w:p>
        </w:tc>
        <w:tc>
          <w:tcPr>
            <w:tcW w:w="1880"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个</w:t>
            </w:r>
          </w:p>
        </w:tc>
        <w:tc>
          <w:tcPr>
            <w:tcW w:w="1279"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24</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bl>
    <w:p>
      <w:pPr>
        <w:rPr>
          <w:rFonts w:hint="eastAsia" w:ascii="Tahoma" w:hAnsi="黑体" w:eastAsia="黑体" w:cs="Tahoma"/>
          <w:b/>
          <w:bCs w:val="0"/>
          <w:color w:val="000000" w:themeColor="text1"/>
          <w:kern w:val="2"/>
          <w:sz w:val="21"/>
          <w:szCs w:val="21"/>
          <w:highlight w:val="none"/>
          <w:lang w:val="en-US" w:eastAsia="zh-CN" w:bidi="ar-SA"/>
          <w14:textFill>
            <w14:solidFill>
              <w14:schemeClr w14:val="tx1"/>
            </w14:solidFill>
          </w14:textFill>
        </w:rPr>
      </w:pPr>
    </w:p>
    <w:p>
      <w:pPr>
        <w:rPr>
          <w:rFonts w:hint="default"/>
          <w:color w:val="000000" w:themeColor="text1"/>
          <w:highlight w:val="none"/>
          <w:lang w:val="en-US" w:eastAsia="zh-CN"/>
          <w14:textFill>
            <w14:solidFill>
              <w14:schemeClr w14:val="tx1"/>
            </w14:solidFill>
          </w14:textFill>
        </w:rPr>
      </w:pPr>
      <w:r>
        <w:rPr>
          <w:rFonts w:hint="eastAsia" w:ascii="Tahoma" w:hAnsi="黑体" w:eastAsia="黑体" w:cs="Tahoma"/>
          <w:b/>
          <w:bCs w:val="0"/>
          <w:color w:val="000000" w:themeColor="text1"/>
          <w:kern w:val="2"/>
          <w:sz w:val="21"/>
          <w:szCs w:val="21"/>
          <w:highlight w:val="none"/>
          <w:lang w:val="en-US" w:eastAsia="zh-CN" w:bidi="ar-SA"/>
          <w14:textFill>
            <w14:solidFill>
              <w14:schemeClr w14:val="tx1"/>
            </w14:solidFill>
          </w14:textFill>
        </w:rPr>
        <w:t>6.5 封闭冷通道</w:t>
      </w:r>
    </w:p>
    <w:tbl>
      <w:tblPr>
        <w:tblStyle w:val="20"/>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41"/>
        <w:gridCol w:w="4026"/>
        <w:gridCol w:w="1880"/>
        <w:gridCol w:w="1279"/>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425" w:leftChars="0" w:hanging="425"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序号</w:t>
            </w:r>
          </w:p>
        </w:tc>
        <w:tc>
          <w:tcPr>
            <w:tcW w:w="4026" w:type="dxa"/>
            <w:shd w:val="clear" w:color="auto" w:fill="auto"/>
            <w:tcMar>
              <w:top w:w="12" w:type="dxa"/>
              <w:left w:w="12" w:type="dxa"/>
              <w:right w:w="12" w:type="dxa"/>
            </w:tcMar>
            <w:vAlign w:val="center"/>
          </w:tcPr>
          <w:p>
            <w:pPr>
              <w:snapToGrid w:val="0"/>
              <w:ind w:left="425" w:leftChars="0" w:hanging="425" w:firstLine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商品名称</w:t>
            </w:r>
          </w:p>
        </w:tc>
        <w:tc>
          <w:tcPr>
            <w:tcW w:w="1880" w:type="dxa"/>
            <w:shd w:val="clear" w:color="auto" w:fill="auto"/>
            <w:tcMar>
              <w:top w:w="12" w:type="dxa"/>
              <w:left w:w="12" w:type="dxa"/>
              <w:right w:w="12" w:type="dxa"/>
            </w:tcMar>
            <w:vAlign w:val="center"/>
          </w:tcPr>
          <w:p>
            <w:pPr>
              <w:snapToGrid w:val="0"/>
              <w:ind w:left="0" w:left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计量单位</w:t>
            </w:r>
          </w:p>
        </w:tc>
        <w:tc>
          <w:tcPr>
            <w:tcW w:w="1279" w:type="dxa"/>
            <w:shd w:val="clear" w:color="auto" w:fill="auto"/>
            <w:tcMar>
              <w:top w:w="12" w:type="dxa"/>
              <w:left w:w="12" w:type="dxa"/>
              <w:right w:w="12" w:type="dxa"/>
            </w:tcMar>
            <w:vAlign w:val="center"/>
          </w:tcPr>
          <w:p>
            <w:pPr>
              <w:snapToGrid w:val="0"/>
              <w:ind w:left="0" w:left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数量</w:t>
            </w:r>
          </w:p>
        </w:tc>
        <w:tc>
          <w:tcPr>
            <w:tcW w:w="1052" w:type="dxa"/>
            <w:shd w:val="clear" w:color="auto" w:fill="auto"/>
            <w:tcMar>
              <w:top w:w="12" w:type="dxa"/>
              <w:left w:w="12" w:type="dxa"/>
              <w:right w:w="12" w:type="dxa"/>
            </w:tcMar>
            <w:vAlign w:val="center"/>
          </w:tcPr>
          <w:p>
            <w:pPr>
              <w:snapToGrid w:val="0"/>
              <w:ind w:left="0" w:left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自动动双开滑动门</w:t>
            </w:r>
          </w:p>
        </w:tc>
        <w:tc>
          <w:tcPr>
            <w:tcW w:w="1880"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套</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600宽天窗</w:t>
            </w:r>
          </w:p>
        </w:tc>
        <w:tc>
          <w:tcPr>
            <w:tcW w:w="1880"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套</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15</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天窗控制盒</w:t>
            </w:r>
          </w:p>
        </w:tc>
        <w:tc>
          <w:tcPr>
            <w:tcW w:w="1880"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套</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4</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LED照明灯</w:t>
            </w:r>
          </w:p>
        </w:tc>
        <w:tc>
          <w:tcPr>
            <w:tcW w:w="1880"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个</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15</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5</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机柜配套侧门</w:t>
            </w:r>
          </w:p>
        </w:tc>
        <w:tc>
          <w:tcPr>
            <w:tcW w:w="1880"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套</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6</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机柜配套侧门</w:t>
            </w:r>
          </w:p>
        </w:tc>
        <w:tc>
          <w:tcPr>
            <w:tcW w:w="1880"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套</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7</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围板</w:t>
            </w:r>
          </w:p>
        </w:tc>
        <w:tc>
          <w:tcPr>
            <w:tcW w:w="1880"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套</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30</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8</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顶部线槽</w:t>
            </w:r>
          </w:p>
        </w:tc>
        <w:tc>
          <w:tcPr>
            <w:tcW w:w="1880"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个</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60</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9</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走线梯</w:t>
            </w:r>
          </w:p>
        </w:tc>
        <w:tc>
          <w:tcPr>
            <w:tcW w:w="1880"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个</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10</w:t>
            </w:r>
          </w:p>
        </w:tc>
        <w:tc>
          <w:tcPr>
            <w:tcW w:w="4026" w:type="dxa"/>
            <w:vAlign w:val="center"/>
          </w:tcPr>
          <w:p>
            <w:pPr>
              <w:keepNext w:val="0"/>
              <w:keepLines w:val="0"/>
              <w:widowControl/>
              <w:suppressLineNumbers w:val="0"/>
              <w:jc w:val="center"/>
              <w:textAlignment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机柜灯带</w:t>
            </w:r>
          </w:p>
        </w:tc>
        <w:tc>
          <w:tcPr>
            <w:tcW w:w="1880" w:type="dxa"/>
            <w:vAlign w:val="center"/>
          </w:tcPr>
          <w:p>
            <w:pPr>
              <w:keepNext w:val="0"/>
              <w:keepLines w:val="0"/>
              <w:widowControl/>
              <w:suppressLineNumbers w:val="0"/>
              <w:jc w:val="center"/>
              <w:textAlignment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套</w:t>
            </w:r>
          </w:p>
        </w:tc>
        <w:tc>
          <w:tcPr>
            <w:tcW w:w="1279"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30</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11</w:t>
            </w:r>
          </w:p>
        </w:tc>
        <w:tc>
          <w:tcPr>
            <w:tcW w:w="4026" w:type="dxa"/>
            <w:vAlign w:val="center"/>
          </w:tcPr>
          <w:p>
            <w:pPr>
              <w:keepNext w:val="0"/>
              <w:keepLines w:val="0"/>
              <w:widowControl/>
              <w:suppressLineNumbers w:val="0"/>
              <w:jc w:val="center"/>
              <w:textAlignment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灯带控制器（机柜双色</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灯带用）</w:t>
            </w:r>
          </w:p>
        </w:tc>
        <w:tc>
          <w:tcPr>
            <w:tcW w:w="1880" w:type="dxa"/>
            <w:vAlign w:val="center"/>
          </w:tcPr>
          <w:p>
            <w:pPr>
              <w:keepNext w:val="0"/>
              <w:keepLines w:val="0"/>
              <w:widowControl/>
              <w:suppressLineNumbers w:val="0"/>
              <w:jc w:val="center"/>
              <w:textAlignment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套</w:t>
            </w:r>
          </w:p>
        </w:tc>
        <w:tc>
          <w:tcPr>
            <w:tcW w:w="1279"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bl>
    <w:p>
      <w:pPr>
        <w:rPr>
          <w:rFonts w:hint="default"/>
          <w:color w:val="000000" w:themeColor="text1"/>
          <w:highlight w:val="none"/>
          <w:lang w:val="en-US" w:eastAsia="zh-CN"/>
          <w14:textFill>
            <w14:solidFill>
              <w14:schemeClr w14:val="tx1"/>
            </w14:solidFill>
          </w14:textFill>
        </w:rPr>
      </w:pPr>
      <w:r>
        <w:rPr>
          <w:rFonts w:hint="eastAsia" w:ascii="Tahoma" w:hAnsi="黑体" w:eastAsia="黑体" w:cs="Tahoma"/>
          <w:b/>
          <w:bCs w:val="0"/>
          <w:color w:val="000000" w:themeColor="text1"/>
          <w:kern w:val="2"/>
          <w:sz w:val="21"/>
          <w:szCs w:val="21"/>
          <w:highlight w:val="none"/>
          <w:lang w:val="en-US" w:eastAsia="zh-CN" w:bidi="ar-SA"/>
          <w14:textFill>
            <w14:solidFill>
              <w14:schemeClr w14:val="tx1"/>
            </w14:solidFill>
          </w14:textFill>
        </w:rPr>
        <w:t>6.6 行级空调系统</w:t>
      </w:r>
    </w:p>
    <w:tbl>
      <w:tblPr>
        <w:tblStyle w:val="20"/>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41"/>
        <w:gridCol w:w="4026"/>
        <w:gridCol w:w="1880"/>
        <w:gridCol w:w="1279"/>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641" w:type="dxa"/>
            <w:shd w:val="clear" w:color="auto" w:fill="auto"/>
            <w:tcMar>
              <w:top w:w="12" w:type="dxa"/>
              <w:left w:w="12" w:type="dxa"/>
              <w:right w:w="12" w:type="dxa"/>
            </w:tcMar>
            <w:vAlign w:val="center"/>
          </w:tcPr>
          <w:p>
            <w:pPr>
              <w:snapToGrid w:val="0"/>
              <w:ind w:left="425" w:leftChars="0" w:hanging="425"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序号</w:t>
            </w:r>
          </w:p>
        </w:tc>
        <w:tc>
          <w:tcPr>
            <w:tcW w:w="4026" w:type="dxa"/>
            <w:shd w:val="clear" w:color="auto" w:fill="auto"/>
            <w:tcMar>
              <w:top w:w="12" w:type="dxa"/>
              <w:left w:w="12" w:type="dxa"/>
              <w:right w:w="12" w:type="dxa"/>
            </w:tcMar>
            <w:vAlign w:val="center"/>
          </w:tcPr>
          <w:p>
            <w:pPr>
              <w:snapToGrid w:val="0"/>
              <w:ind w:left="425" w:leftChars="0" w:hanging="425" w:firstLine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商品名称</w:t>
            </w:r>
          </w:p>
        </w:tc>
        <w:tc>
          <w:tcPr>
            <w:tcW w:w="1880" w:type="dxa"/>
            <w:shd w:val="clear" w:color="auto" w:fill="auto"/>
            <w:tcMar>
              <w:top w:w="12" w:type="dxa"/>
              <w:left w:w="12" w:type="dxa"/>
              <w:right w:w="12" w:type="dxa"/>
            </w:tcMar>
            <w:vAlign w:val="center"/>
          </w:tcPr>
          <w:p>
            <w:pPr>
              <w:snapToGrid w:val="0"/>
              <w:ind w:left="0" w:left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计量单位</w:t>
            </w:r>
          </w:p>
        </w:tc>
        <w:tc>
          <w:tcPr>
            <w:tcW w:w="1279" w:type="dxa"/>
            <w:shd w:val="clear" w:color="auto" w:fill="auto"/>
            <w:tcMar>
              <w:top w:w="12" w:type="dxa"/>
              <w:left w:w="12" w:type="dxa"/>
              <w:right w:w="12" w:type="dxa"/>
            </w:tcMar>
            <w:vAlign w:val="center"/>
          </w:tcPr>
          <w:p>
            <w:pPr>
              <w:snapToGrid w:val="0"/>
              <w:ind w:left="0" w:left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数量</w:t>
            </w:r>
          </w:p>
        </w:tc>
        <w:tc>
          <w:tcPr>
            <w:tcW w:w="1052" w:type="dxa"/>
            <w:shd w:val="clear" w:color="auto" w:fill="auto"/>
            <w:tcMar>
              <w:top w:w="12" w:type="dxa"/>
              <w:left w:w="12" w:type="dxa"/>
              <w:right w:w="12" w:type="dxa"/>
            </w:tcMar>
            <w:vAlign w:val="center"/>
          </w:tcPr>
          <w:p>
            <w:pPr>
              <w:snapToGrid w:val="0"/>
              <w:ind w:left="0" w:left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精密空调（恒温恒湿）</w:t>
            </w:r>
          </w:p>
        </w:tc>
        <w:tc>
          <w:tcPr>
            <w:tcW w:w="1880"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1279"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4</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低温组件</w:t>
            </w:r>
          </w:p>
        </w:tc>
        <w:tc>
          <w:tcPr>
            <w:tcW w:w="1880"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1279"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4</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bl>
    <w:p>
      <w:pPr>
        <w:rPr>
          <w:rFonts w:hint="default"/>
          <w:color w:val="000000" w:themeColor="text1"/>
          <w:highlight w:val="none"/>
          <w:lang w:val="en-US" w:eastAsia="zh-CN"/>
          <w14:textFill>
            <w14:solidFill>
              <w14:schemeClr w14:val="tx1"/>
            </w14:solidFill>
          </w14:textFill>
        </w:rPr>
      </w:pPr>
      <w:r>
        <w:rPr>
          <w:rFonts w:hint="eastAsia" w:ascii="Tahoma" w:hAnsi="黑体" w:eastAsia="黑体" w:cs="Tahoma"/>
          <w:b/>
          <w:bCs w:val="0"/>
          <w:color w:val="000000" w:themeColor="text1"/>
          <w:kern w:val="2"/>
          <w:sz w:val="21"/>
          <w:szCs w:val="21"/>
          <w:highlight w:val="none"/>
          <w:lang w:val="en-US" w:eastAsia="zh-CN" w:bidi="ar-SA"/>
          <w14:textFill>
            <w14:solidFill>
              <w14:schemeClr w14:val="tx1"/>
            </w14:solidFill>
          </w14:textFill>
        </w:rPr>
        <w:t>6.7 UPS配电</w:t>
      </w:r>
    </w:p>
    <w:tbl>
      <w:tblPr>
        <w:tblStyle w:val="20"/>
        <w:tblW w:w="10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4"/>
        <w:gridCol w:w="4084"/>
        <w:gridCol w:w="1907"/>
        <w:gridCol w:w="129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664" w:type="dxa"/>
            <w:shd w:val="clear" w:color="auto" w:fill="auto"/>
            <w:tcMar>
              <w:top w:w="12" w:type="dxa"/>
              <w:left w:w="12" w:type="dxa"/>
              <w:right w:w="12" w:type="dxa"/>
            </w:tcMar>
            <w:vAlign w:val="center"/>
          </w:tcPr>
          <w:p>
            <w:pPr>
              <w:snapToGrid w:val="0"/>
              <w:ind w:left="425" w:leftChars="0" w:hanging="425"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序号</w:t>
            </w:r>
          </w:p>
        </w:tc>
        <w:tc>
          <w:tcPr>
            <w:tcW w:w="4084" w:type="dxa"/>
            <w:shd w:val="clear" w:color="auto" w:fill="auto"/>
            <w:tcMar>
              <w:top w:w="12" w:type="dxa"/>
              <w:left w:w="12" w:type="dxa"/>
              <w:right w:w="12" w:type="dxa"/>
            </w:tcMar>
            <w:vAlign w:val="center"/>
          </w:tcPr>
          <w:p>
            <w:pPr>
              <w:snapToGrid w:val="0"/>
              <w:ind w:left="425" w:leftChars="0" w:hanging="425" w:firstLine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商品名称</w:t>
            </w:r>
          </w:p>
        </w:tc>
        <w:tc>
          <w:tcPr>
            <w:tcW w:w="1907" w:type="dxa"/>
            <w:shd w:val="clear" w:color="auto" w:fill="auto"/>
            <w:tcMar>
              <w:top w:w="12" w:type="dxa"/>
              <w:left w:w="12" w:type="dxa"/>
              <w:right w:w="12" w:type="dxa"/>
            </w:tcMar>
            <w:vAlign w:val="center"/>
          </w:tcPr>
          <w:p>
            <w:pPr>
              <w:snapToGrid w:val="0"/>
              <w:ind w:left="0" w:left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计量单位</w:t>
            </w:r>
          </w:p>
        </w:tc>
        <w:tc>
          <w:tcPr>
            <w:tcW w:w="1296" w:type="dxa"/>
            <w:shd w:val="clear" w:color="auto" w:fill="auto"/>
            <w:tcMar>
              <w:top w:w="12" w:type="dxa"/>
              <w:left w:w="12" w:type="dxa"/>
              <w:right w:w="12" w:type="dxa"/>
            </w:tcMar>
            <w:vAlign w:val="center"/>
          </w:tcPr>
          <w:p>
            <w:pPr>
              <w:snapToGrid w:val="0"/>
              <w:ind w:left="0" w:left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数量</w:t>
            </w:r>
          </w:p>
        </w:tc>
        <w:tc>
          <w:tcPr>
            <w:tcW w:w="1066" w:type="dxa"/>
            <w:shd w:val="clear" w:color="auto" w:fill="auto"/>
            <w:tcMar>
              <w:top w:w="12" w:type="dxa"/>
              <w:left w:w="12" w:type="dxa"/>
              <w:right w:w="12" w:type="dxa"/>
            </w:tcMar>
            <w:vAlign w:val="center"/>
          </w:tcPr>
          <w:p>
            <w:pPr>
              <w:snapToGrid w:val="0"/>
              <w:ind w:left="0" w:left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664"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4084"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输入输出配电柜</w:t>
            </w:r>
          </w:p>
        </w:tc>
        <w:tc>
          <w:tcPr>
            <w:tcW w:w="1907"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台</w:t>
            </w:r>
          </w:p>
        </w:tc>
        <w:tc>
          <w:tcPr>
            <w:tcW w:w="129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 xml:space="preserve">1 </w:t>
            </w:r>
          </w:p>
        </w:tc>
        <w:tc>
          <w:tcPr>
            <w:tcW w:w="1066"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664"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4084"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精密列头柜</w:t>
            </w:r>
          </w:p>
        </w:tc>
        <w:tc>
          <w:tcPr>
            <w:tcW w:w="1907"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台</w:t>
            </w:r>
          </w:p>
        </w:tc>
        <w:tc>
          <w:tcPr>
            <w:tcW w:w="129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 xml:space="preserve">2 </w:t>
            </w:r>
          </w:p>
        </w:tc>
        <w:tc>
          <w:tcPr>
            <w:tcW w:w="1066"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664"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w:t>
            </w:r>
          </w:p>
        </w:tc>
        <w:tc>
          <w:tcPr>
            <w:tcW w:w="4084"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UPS主机柜</w:t>
            </w:r>
          </w:p>
        </w:tc>
        <w:tc>
          <w:tcPr>
            <w:tcW w:w="1907"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台</w:t>
            </w:r>
          </w:p>
        </w:tc>
        <w:tc>
          <w:tcPr>
            <w:tcW w:w="129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 xml:space="preserve">1 </w:t>
            </w:r>
          </w:p>
        </w:tc>
        <w:tc>
          <w:tcPr>
            <w:tcW w:w="1066"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664"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4</w:t>
            </w:r>
          </w:p>
        </w:tc>
        <w:tc>
          <w:tcPr>
            <w:tcW w:w="4084"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UPS模块</w:t>
            </w:r>
          </w:p>
        </w:tc>
        <w:tc>
          <w:tcPr>
            <w:tcW w:w="1907"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台</w:t>
            </w:r>
          </w:p>
        </w:tc>
        <w:tc>
          <w:tcPr>
            <w:tcW w:w="129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 xml:space="preserve">3 </w:t>
            </w:r>
          </w:p>
        </w:tc>
        <w:tc>
          <w:tcPr>
            <w:tcW w:w="1066"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664"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5</w:t>
            </w:r>
          </w:p>
        </w:tc>
        <w:tc>
          <w:tcPr>
            <w:tcW w:w="4084"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蓄电池</w:t>
            </w:r>
          </w:p>
        </w:tc>
        <w:tc>
          <w:tcPr>
            <w:tcW w:w="1907"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只</w:t>
            </w:r>
          </w:p>
        </w:tc>
        <w:tc>
          <w:tcPr>
            <w:tcW w:w="129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 xml:space="preserve">128 </w:t>
            </w:r>
          </w:p>
        </w:tc>
        <w:tc>
          <w:tcPr>
            <w:tcW w:w="1066"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664"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6</w:t>
            </w:r>
          </w:p>
        </w:tc>
        <w:tc>
          <w:tcPr>
            <w:tcW w:w="4084"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电池架</w:t>
            </w:r>
          </w:p>
        </w:tc>
        <w:tc>
          <w:tcPr>
            <w:tcW w:w="1907"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套</w:t>
            </w:r>
          </w:p>
        </w:tc>
        <w:tc>
          <w:tcPr>
            <w:tcW w:w="129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 xml:space="preserve">2 </w:t>
            </w:r>
          </w:p>
        </w:tc>
        <w:tc>
          <w:tcPr>
            <w:tcW w:w="1066"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664"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7</w:t>
            </w:r>
          </w:p>
        </w:tc>
        <w:tc>
          <w:tcPr>
            <w:tcW w:w="4084"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电池连接铜排</w:t>
            </w:r>
          </w:p>
        </w:tc>
        <w:tc>
          <w:tcPr>
            <w:tcW w:w="1907"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根</w:t>
            </w:r>
          </w:p>
        </w:tc>
        <w:tc>
          <w:tcPr>
            <w:tcW w:w="129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 xml:space="preserve">128 </w:t>
            </w:r>
          </w:p>
        </w:tc>
        <w:tc>
          <w:tcPr>
            <w:tcW w:w="1066"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bl>
    <w:p>
      <w:pPr>
        <w:numPr>
          <w:ilvl w:val="0"/>
          <w:numId w:val="0"/>
        </w:numPr>
        <w:rPr>
          <w:rFonts w:hint="eastAsia" w:ascii="Tahoma" w:hAnsi="黑体" w:eastAsia="黑体" w:cs="Tahoma"/>
          <w:b/>
          <w:bCs w:val="0"/>
          <w:color w:val="000000" w:themeColor="text1"/>
          <w:kern w:val="2"/>
          <w:sz w:val="21"/>
          <w:szCs w:val="21"/>
          <w:highlight w:val="none"/>
          <w:lang w:val="en-US" w:eastAsia="zh-CN" w:bidi="ar-SA"/>
          <w14:textFill>
            <w14:solidFill>
              <w14:schemeClr w14:val="tx1"/>
            </w14:solidFill>
          </w14:textFill>
        </w:rPr>
      </w:pPr>
      <w:r>
        <w:rPr>
          <w:rFonts w:hint="eastAsia" w:ascii="Tahoma" w:hAnsi="黑体" w:eastAsia="黑体" w:cs="Tahoma"/>
          <w:b/>
          <w:bCs w:val="0"/>
          <w:color w:val="000000" w:themeColor="text1"/>
          <w:kern w:val="2"/>
          <w:sz w:val="21"/>
          <w:szCs w:val="21"/>
          <w:highlight w:val="none"/>
          <w:lang w:val="en-US" w:eastAsia="zh-CN" w:bidi="ar-SA"/>
          <w14:textFill>
            <w14:solidFill>
              <w14:schemeClr w14:val="tx1"/>
            </w14:solidFill>
          </w14:textFill>
        </w:rPr>
        <w:t>6.8 机房视频系统</w:t>
      </w:r>
    </w:p>
    <w:tbl>
      <w:tblPr>
        <w:tblStyle w:val="20"/>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41"/>
        <w:gridCol w:w="4026"/>
        <w:gridCol w:w="1880"/>
        <w:gridCol w:w="1279"/>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425" w:leftChars="0" w:hanging="425"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序号</w:t>
            </w:r>
          </w:p>
        </w:tc>
        <w:tc>
          <w:tcPr>
            <w:tcW w:w="4026" w:type="dxa"/>
            <w:shd w:val="clear" w:color="auto" w:fill="auto"/>
            <w:tcMar>
              <w:top w:w="12" w:type="dxa"/>
              <w:left w:w="12" w:type="dxa"/>
              <w:right w:w="12" w:type="dxa"/>
            </w:tcMar>
            <w:vAlign w:val="center"/>
          </w:tcPr>
          <w:p>
            <w:pPr>
              <w:snapToGrid w:val="0"/>
              <w:ind w:left="425" w:leftChars="0" w:hanging="425" w:firstLine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商品名称</w:t>
            </w:r>
          </w:p>
        </w:tc>
        <w:tc>
          <w:tcPr>
            <w:tcW w:w="1880" w:type="dxa"/>
            <w:shd w:val="clear" w:color="auto" w:fill="auto"/>
            <w:tcMar>
              <w:top w:w="12" w:type="dxa"/>
              <w:left w:w="12" w:type="dxa"/>
              <w:right w:w="12" w:type="dxa"/>
            </w:tcMar>
            <w:vAlign w:val="center"/>
          </w:tcPr>
          <w:p>
            <w:pPr>
              <w:snapToGrid w:val="0"/>
              <w:ind w:left="0" w:left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计量单位</w:t>
            </w:r>
          </w:p>
        </w:tc>
        <w:tc>
          <w:tcPr>
            <w:tcW w:w="1279" w:type="dxa"/>
            <w:shd w:val="clear" w:color="auto" w:fill="auto"/>
            <w:tcMar>
              <w:top w:w="12" w:type="dxa"/>
              <w:left w:w="12" w:type="dxa"/>
              <w:right w:w="12" w:type="dxa"/>
            </w:tcMar>
            <w:vAlign w:val="center"/>
          </w:tcPr>
          <w:p>
            <w:pPr>
              <w:snapToGrid w:val="0"/>
              <w:ind w:left="0" w:left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数量</w:t>
            </w:r>
          </w:p>
        </w:tc>
        <w:tc>
          <w:tcPr>
            <w:tcW w:w="1052" w:type="dxa"/>
            <w:shd w:val="clear" w:color="auto" w:fill="auto"/>
            <w:tcMar>
              <w:top w:w="12" w:type="dxa"/>
              <w:left w:w="12" w:type="dxa"/>
              <w:right w:w="12" w:type="dxa"/>
            </w:tcMar>
            <w:vAlign w:val="center"/>
          </w:tcPr>
          <w:p>
            <w:pPr>
              <w:snapToGrid w:val="0"/>
              <w:ind w:left="0" w:left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4路网络硬盘录像机 </w:t>
            </w:r>
          </w:p>
        </w:tc>
        <w:tc>
          <w:tcPr>
            <w:tcW w:w="1880"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c>
          <w:tcPr>
            <w:tcW w:w="1279"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1</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红外半球式网络摄像机</w:t>
            </w:r>
          </w:p>
        </w:tc>
        <w:tc>
          <w:tcPr>
            <w:tcW w:w="1880"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c>
          <w:tcPr>
            <w:tcW w:w="1279"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2</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4TB监控级硬盘</w:t>
            </w:r>
          </w:p>
        </w:tc>
        <w:tc>
          <w:tcPr>
            <w:tcW w:w="1880"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块</w:t>
            </w:r>
          </w:p>
        </w:tc>
        <w:tc>
          <w:tcPr>
            <w:tcW w:w="1279"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1</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bl>
    <w:p>
      <w:pPr>
        <w:rPr>
          <w:rFonts w:hint="eastAsia" w:ascii="Tahoma" w:hAnsi="黑体" w:eastAsia="黑体" w:cs="Tahoma"/>
          <w:b/>
          <w:bCs w:val="0"/>
          <w:color w:val="000000" w:themeColor="text1"/>
          <w:kern w:val="2"/>
          <w:sz w:val="21"/>
          <w:szCs w:val="21"/>
          <w:highlight w:val="none"/>
          <w:lang w:val="en-US" w:eastAsia="zh-CN" w:bidi="ar-SA"/>
          <w14:textFill>
            <w14:solidFill>
              <w14:schemeClr w14:val="tx1"/>
            </w14:solidFill>
          </w14:textFill>
        </w:rPr>
      </w:pPr>
    </w:p>
    <w:p>
      <w:pPr>
        <w:rPr>
          <w:rFonts w:hint="default"/>
          <w:color w:val="000000" w:themeColor="text1"/>
          <w:highlight w:val="none"/>
          <w:lang w:val="en-US" w:eastAsia="zh-CN"/>
          <w14:textFill>
            <w14:solidFill>
              <w14:schemeClr w14:val="tx1"/>
            </w14:solidFill>
          </w14:textFill>
        </w:rPr>
      </w:pPr>
      <w:r>
        <w:rPr>
          <w:rFonts w:hint="eastAsia" w:ascii="Tahoma" w:hAnsi="黑体" w:eastAsia="黑体" w:cs="Tahoma"/>
          <w:b/>
          <w:bCs w:val="0"/>
          <w:color w:val="000000" w:themeColor="text1"/>
          <w:kern w:val="2"/>
          <w:sz w:val="21"/>
          <w:szCs w:val="21"/>
          <w:highlight w:val="none"/>
          <w:lang w:val="en-US" w:eastAsia="zh-CN" w:bidi="ar-SA"/>
          <w14:textFill>
            <w14:solidFill>
              <w14:schemeClr w14:val="tx1"/>
            </w14:solidFill>
          </w14:textFill>
        </w:rPr>
        <w:t>6.9 机房动环检测设施管理系统</w:t>
      </w:r>
    </w:p>
    <w:tbl>
      <w:tblPr>
        <w:tblStyle w:val="20"/>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41"/>
        <w:gridCol w:w="4026"/>
        <w:gridCol w:w="1880"/>
        <w:gridCol w:w="1279"/>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425" w:leftChars="0" w:hanging="425"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序号</w:t>
            </w:r>
          </w:p>
        </w:tc>
        <w:tc>
          <w:tcPr>
            <w:tcW w:w="4026" w:type="dxa"/>
            <w:shd w:val="clear" w:color="auto" w:fill="auto"/>
            <w:tcMar>
              <w:top w:w="12" w:type="dxa"/>
              <w:left w:w="12" w:type="dxa"/>
              <w:right w:w="12" w:type="dxa"/>
            </w:tcMar>
            <w:vAlign w:val="center"/>
          </w:tcPr>
          <w:p>
            <w:pPr>
              <w:snapToGrid w:val="0"/>
              <w:ind w:left="425" w:leftChars="0" w:hanging="425" w:firstLine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商品名称</w:t>
            </w:r>
          </w:p>
        </w:tc>
        <w:tc>
          <w:tcPr>
            <w:tcW w:w="1880" w:type="dxa"/>
            <w:shd w:val="clear" w:color="auto" w:fill="auto"/>
            <w:tcMar>
              <w:top w:w="12" w:type="dxa"/>
              <w:left w:w="12" w:type="dxa"/>
              <w:right w:w="12" w:type="dxa"/>
            </w:tcMar>
            <w:vAlign w:val="center"/>
          </w:tcPr>
          <w:p>
            <w:pPr>
              <w:snapToGrid w:val="0"/>
              <w:ind w:left="0" w:left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计量单位</w:t>
            </w:r>
          </w:p>
        </w:tc>
        <w:tc>
          <w:tcPr>
            <w:tcW w:w="1279" w:type="dxa"/>
            <w:shd w:val="clear" w:color="auto" w:fill="auto"/>
            <w:tcMar>
              <w:top w:w="12" w:type="dxa"/>
              <w:left w:w="12" w:type="dxa"/>
              <w:right w:w="12" w:type="dxa"/>
            </w:tcMar>
            <w:vAlign w:val="center"/>
          </w:tcPr>
          <w:p>
            <w:pPr>
              <w:snapToGrid w:val="0"/>
              <w:ind w:left="0" w:left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数量</w:t>
            </w:r>
          </w:p>
        </w:tc>
        <w:tc>
          <w:tcPr>
            <w:tcW w:w="1052" w:type="dxa"/>
            <w:shd w:val="clear" w:color="auto" w:fill="auto"/>
            <w:tcMar>
              <w:top w:w="12" w:type="dxa"/>
              <w:left w:w="12" w:type="dxa"/>
              <w:right w:w="12" w:type="dxa"/>
            </w:tcMar>
            <w:vAlign w:val="center"/>
          </w:tcPr>
          <w:p>
            <w:pPr>
              <w:snapToGrid w:val="0"/>
              <w:ind w:left="0" w:left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监控系统主机</w:t>
            </w:r>
          </w:p>
        </w:tc>
        <w:tc>
          <w:tcPr>
            <w:tcW w:w="1880"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台</w:t>
            </w:r>
          </w:p>
        </w:tc>
        <w:tc>
          <w:tcPr>
            <w:tcW w:w="1279"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1</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4G全网通短信报警模块 </w:t>
            </w:r>
          </w:p>
        </w:tc>
        <w:tc>
          <w:tcPr>
            <w:tcW w:w="1880"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台</w:t>
            </w:r>
          </w:p>
        </w:tc>
        <w:tc>
          <w:tcPr>
            <w:tcW w:w="1279"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1</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电容触摸屏（21.5寸）</w:t>
            </w:r>
          </w:p>
        </w:tc>
        <w:tc>
          <w:tcPr>
            <w:tcW w:w="1880"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台</w:t>
            </w:r>
          </w:p>
        </w:tc>
        <w:tc>
          <w:tcPr>
            <w:tcW w:w="1279"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1</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4</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声光告警模块</w:t>
            </w:r>
          </w:p>
        </w:tc>
        <w:tc>
          <w:tcPr>
            <w:tcW w:w="1880"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个</w:t>
            </w:r>
          </w:p>
        </w:tc>
        <w:tc>
          <w:tcPr>
            <w:tcW w:w="1279"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1</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5</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设备接入软件模块</w:t>
            </w:r>
          </w:p>
        </w:tc>
        <w:tc>
          <w:tcPr>
            <w:tcW w:w="1880"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台</w:t>
            </w:r>
          </w:p>
        </w:tc>
        <w:tc>
          <w:tcPr>
            <w:tcW w:w="1279"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5</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6</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温湿度传感器 （大LCD屏）</w:t>
            </w:r>
          </w:p>
        </w:tc>
        <w:tc>
          <w:tcPr>
            <w:tcW w:w="1880"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个</w:t>
            </w:r>
          </w:p>
        </w:tc>
        <w:tc>
          <w:tcPr>
            <w:tcW w:w="1279"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2</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7</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烟雾传感器</w:t>
            </w:r>
          </w:p>
        </w:tc>
        <w:tc>
          <w:tcPr>
            <w:tcW w:w="1880"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个</w:t>
            </w:r>
          </w:p>
        </w:tc>
        <w:tc>
          <w:tcPr>
            <w:tcW w:w="1279"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2</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8</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非定位线式漏水检测报警器</w:t>
            </w:r>
          </w:p>
        </w:tc>
        <w:tc>
          <w:tcPr>
            <w:tcW w:w="1880"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个</w:t>
            </w:r>
          </w:p>
        </w:tc>
        <w:tc>
          <w:tcPr>
            <w:tcW w:w="1279"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2</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9</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非定位线式漏水感应线</w:t>
            </w:r>
          </w:p>
        </w:tc>
        <w:tc>
          <w:tcPr>
            <w:tcW w:w="1880"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条</w:t>
            </w:r>
          </w:p>
        </w:tc>
        <w:tc>
          <w:tcPr>
            <w:tcW w:w="1279"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2</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10</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12V/3A 直流电源</w:t>
            </w:r>
          </w:p>
        </w:tc>
        <w:tc>
          <w:tcPr>
            <w:tcW w:w="1880"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台</w:t>
            </w:r>
          </w:p>
        </w:tc>
        <w:tc>
          <w:tcPr>
            <w:tcW w:w="1279"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2</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11</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双门禁控制器 </w:t>
            </w:r>
          </w:p>
        </w:tc>
        <w:tc>
          <w:tcPr>
            <w:tcW w:w="1880"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台</w:t>
            </w:r>
          </w:p>
        </w:tc>
        <w:tc>
          <w:tcPr>
            <w:tcW w:w="1279"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1</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12</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指纹门禁刷卡器 </w:t>
            </w:r>
          </w:p>
        </w:tc>
        <w:tc>
          <w:tcPr>
            <w:tcW w:w="1880"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块</w:t>
            </w:r>
          </w:p>
        </w:tc>
        <w:tc>
          <w:tcPr>
            <w:tcW w:w="1279"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2</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13</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配套用触摸开关 </w:t>
            </w:r>
          </w:p>
        </w:tc>
        <w:tc>
          <w:tcPr>
            <w:tcW w:w="1880"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个</w:t>
            </w:r>
          </w:p>
        </w:tc>
        <w:tc>
          <w:tcPr>
            <w:tcW w:w="1279"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2</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14</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应急开关附件</w:t>
            </w:r>
          </w:p>
        </w:tc>
        <w:tc>
          <w:tcPr>
            <w:tcW w:w="1880"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个</w:t>
            </w:r>
          </w:p>
        </w:tc>
        <w:tc>
          <w:tcPr>
            <w:tcW w:w="1279"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2</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15</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ID卡 </w:t>
            </w:r>
          </w:p>
        </w:tc>
        <w:tc>
          <w:tcPr>
            <w:tcW w:w="1880"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个</w:t>
            </w:r>
          </w:p>
        </w:tc>
        <w:tc>
          <w:tcPr>
            <w:tcW w:w="1279"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10</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16</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交换机</w:t>
            </w:r>
          </w:p>
        </w:tc>
        <w:tc>
          <w:tcPr>
            <w:tcW w:w="1880"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个</w:t>
            </w:r>
          </w:p>
        </w:tc>
        <w:tc>
          <w:tcPr>
            <w:tcW w:w="1279"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1</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bl>
    <w:p>
      <w:pPr>
        <w:pStyle w:val="5"/>
        <w:numPr>
          <w:ilvl w:val="0"/>
          <w:numId w:val="0"/>
        </w:numPr>
        <w:rPr>
          <w:rFonts w:hint="eastAsia" w:ascii="Tahoma" w:hAnsi="黑体" w:eastAsia="黑体" w:cs="Tahoma"/>
          <w:b/>
          <w:bCs w:val="0"/>
          <w:color w:val="000000" w:themeColor="text1"/>
          <w:kern w:val="2"/>
          <w:sz w:val="21"/>
          <w:szCs w:val="21"/>
          <w:highlight w:val="none"/>
          <w:lang w:val="en-US" w:eastAsia="zh-CN" w:bidi="ar-SA"/>
          <w14:textFill>
            <w14:solidFill>
              <w14:schemeClr w14:val="tx1"/>
            </w14:solidFill>
          </w14:textFill>
        </w:rPr>
      </w:pPr>
      <w:r>
        <w:rPr>
          <w:rFonts w:hint="eastAsia" w:ascii="Tahoma" w:hAnsi="黑体" w:eastAsia="黑体" w:cs="Tahoma"/>
          <w:b/>
          <w:bCs w:val="0"/>
          <w:color w:val="000000" w:themeColor="text1"/>
          <w:kern w:val="2"/>
          <w:sz w:val="21"/>
          <w:szCs w:val="21"/>
          <w:highlight w:val="none"/>
          <w:lang w:val="en-US" w:eastAsia="zh-CN" w:bidi="ar-SA"/>
          <w14:textFill>
            <w14:solidFill>
              <w14:schemeClr w14:val="tx1"/>
            </w14:solidFill>
          </w14:textFill>
        </w:rPr>
        <w:t>7、综合布线</w:t>
      </w:r>
    </w:p>
    <w:tbl>
      <w:tblPr>
        <w:tblStyle w:val="20"/>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41"/>
        <w:gridCol w:w="4026"/>
        <w:gridCol w:w="1880"/>
        <w:gridCol w:w="1279"/>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425" w:leftChars="0" w:hanging="425"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序号</w:t>
            </w:r>
          </w:p>
        </w:tc>
        <w:tc>
          <w:tcPr>
            <w:tcW w:w="4026" w:type="dxa"/>
            <w:shd w:val="clear" w:color="auto" w:fill="auto"/>
            <w:tcMar>
              <w:top w:w="12" w:type="dxa"/>
              <w:left w:w="12" w:type="dxa"/>
              <w:right w:w="12" w:type="dxa"/>
            </w:tcMar>
            <w:vAlign w:val="center"/>
          </w:tcPr>
          <w:p>
            <w:pPr>
              <w:snapToGrid w:val="0"/>
              <w:ind w:left="425" w:leftChars="0" w:hanging="425" w:firstLine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商品名称</w:t>
            </w:r>
          </w:p>
        </w:tc>
        <w:tc>
          <w:tcPr>
            <w:tcW w:w="1880" w:type="dxa"/>
            <w:shd w:val="clear" w:color="auto" w:fill="auto"/>
            <w:tcMar>
              <w:top w:w="12" w:type="dxa"/>
              <w:left w:w="12" w:type="dxa"/>
              <w:right w:w="12" w:type="dxa"/>
            </w:tcMar>
            <w:vAlign w:val="center"/>
          </w:tcPr>
          <w:p>
            <w:pPr>
              <w:snapToGrid w:val="0"/>
              <w:ind w:left="0" w:left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计量单位</w:t>
            </w:r>
          </w:p>
        </w:tc>
        <w:tc>
          <w:tcPr>
            <w:tcW w:w="1279" w:type="dxa"/>
            <w:shd w:val="clear" w:color="auto" w:fill="auto"/>
            <w:tcMar>
              <w:top w:w="12" w:type="dxa"/>
              <w:left w:w="12" w:type="dxa"/>
              <w:right w:w="12" w:type="dxa"/>
            </w:tcMar>
            <w:vAlign w:val="center"/>
          </w:tcPr>
          <w:p>
            <w:pPr>
              <w:snapToGrid w:val="0"/>
              <w:ind w:left="0" w:left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数量</w:t>
            </w:r>
          </w:p>
        </w:tc>
        <w:tc>
          <w:tcPr>
            <w:tcW w:w="1052" w:type="dxa"/>
            <w:shd w:val="clear" w:color="auto" w:fill="auto"/>
            <w:tcMar>
              <w:top w:w="12" w:type="dxa"/>
              <w:left w:w="12" w:type="dxa"/>
              <w:right w:w="12" w:type="dxa"/>
            </w:tcMar>
            <w:vAlign w:val="center"/>
          </w:tcPr>
          <w:p>
            <w:pPr>
              <w:snapToGrid w:val="0"/>
              <w:ind w:left="0" w:left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光缆</w:t>
            </w:r>
          </w:p>
        </w:tc>
        <w:tc>
          <w:tcPr>
            <w:tcW w:w="1880"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米</w:t>
            </w:r>
          </w:p>
        </w:tc>
        <w:tc>
          <w:tcPr>
            <w:tcW w:w="1279"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6000</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4口终端盒</w:t>
            </w:r>
          </w:p>
        </w:tc>
        <w:tc>
          <w:tcPr>
            <w:tcW w:w="1880"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个</w:t>
            </w:r>
          </w:p>
        </w:tc>
        <w:tc>
          <w:tcPr>
            <w:tcW w:w="1279"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10</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SC/SC3米尾纤</w:t>
            </w:r>
          </w:p>
        </w:tc>
        <w:tc>
          <w:tcPr>
            <w:tcW w:w="1880"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根</w:t>
            </w:r>
          </w:p>
        </w:tc>
        <w:tc>
          <w:tcPr>
            <w:tcW w:w="1279"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50</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4</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超六类网线</w:t>
            </w:r>
          </w:p>
        </w:tc>
        <w:tc>
          <w:tcPr>
            <w:tcW w:w="1880"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箱</w:t>
            </w:r>
          </w:p>
        </w:tc>
        <w:tc>
          <w:tcPr>
            <w:tcW w:w="1279"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300</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5</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电源线</w:t>
            </w:r>
          </w:p>
        </w:tc>
        <w:tc>
          <w:tcPr>
            <w:tcW w:w="1880"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批</w:t>
            </w:r>
          </w:p>
        </w:tc>
        <w:tc>
          <w:tcPr>
            <w:tcW w:w="1279"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1</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6</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六类网络配线架</w:t>
            </w:r>
          </w:p>
        </w:tc>
        <w:tc>
          <w:tcPr>
            <w:tcW w:w="1880"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个</w:t>
            </w:r>
          </w:p>
        </w:tc>
        <w:tc>
          <w:tcPr>
            <w:tcW w:w="1279"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20</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7</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理线架</w:t>
            </w:r>
          </w:p>
        </w:tc>
        <w:tc>
          <w:tcPr>
            <w:tcW w:w="1880"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个</w:t>
            </w:r>
          </w:p>
        </w:tc>
        <w:tc>
          <w:tcPr>
            <w:tcW w:w="1279"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20</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8</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86底盒</w:t>
            </w:r>
          </w:p>
        </w:tc>
        <w:tc>
          <w:tcPr>
            <w:tcW w:w="1880"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个</w:t>
            </w:r>
          </w:p>
        </w:tc>
        <w:tc>
          <w:tcPr>
            <w:tcW w:w="1279"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600</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9</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双口面板</w:t>
            </w:r>
          </w:p>
        </w:tc>
        <w:tc>
          <w:tcPr>
            <w:tcW w:w="1880"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个</w:t>
            </w:r>
          </w:p>
        </w:tc>
        <w:tc>
          <w:tcPr>
            <w:tcW w:w="1279"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600</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10</w:t>
            </w:r>
          </w:p>
        </w:tc>
        <w:tc>
          <w:tcPr>
            <w:tcW w:w="4026" w:type="dxa"/>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六类模块</w:t>
            </w:r>
          </w:p>
        </w:tc>
        <w:tc>
          <w:tcPr>
            <w:tcW w:w="1880"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个</w:t>
            </w:r>
          </w:p>
        </w:tc>
        <w:tc>
          <w:tcPr>
            <w:tcW w:w="1279" w:type="dxa"/>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1200</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11</w:t>
            </w:r>
          </w:p>
        </w:tc>
        <w:tc>
          <w:tcPr>
            <w:tcW w:w="4026" w:type="dxa"/>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双口面板</w:t>
            </w:r>
          </w:p>
        </w:tc>
        <w:tc>
          <w:tcPr>
            <w:tcW w:w="1880"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个</w:t>
            </w:r>
          </w:p>
        </w:tc>
        <w:tc>
          <w:tcPr>
            <w:tcW w:w="1279" w:type="dxa"/>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600</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12</w:t>
            </w:r>
          </w:p>
        </w:tc>
        <w:tc>
          <w:tcPr>
            <w:tcW w:w="4026" w:type="dxa"/>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PVC线管B型</w:t>
            </w:r>
          </w:p>
        </w:tc>
        <w:tc>
          <w:tcPr>
            <w:tcW w:w="1880"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米</w:t>
            </w:r>
          </w:p>
        </w:tc>
        <w:tc>
          <w:tcPr>
            <w:tcW w:w="1279" w:type="dxa"/>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2000</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13</w:t>
            </w:r>
          </w:p>
        </w:tc>
        <w:tc>
          <w:tcPr>
            <w:tcW w:w="4026" w:type="dxa"/>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墙面开槽带恢复</w:t>
            </w:r>
          </w:p>
        </w:tc>
        <w:tc>
          <w:tcPr>
            <w:tcW w:w="1880"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米</w:t>
            </w:r>
          </w:p>
        </w:tc>
        <w:tc>
          <w:tcPr>
            <w:tcW w:w="1279"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1800</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bl>
    <w:p>
      <w:pPr>
        <w:pStyle w:val="5"/>
        <w:numPr>
          <w:ilvl w:val="0"/>
          <w:numId w:val="0"/>
        </w:numPr>
        <w:rPr>
          <w:rFonts w:hint="eastAsia" w:ascii="Tahoma" w:hAnsi="黑体" w:eastAsia="黑体" w:cs="Tahoma"/>
          <w:b/>
          <w:bCs w:val="0"/>
          <w:color w:val="000000" w:themeColor="text1"/>
          <w:kern w:val="2"/>
          <w:sz w:val="21"/>
          <w:szCs w:val="21"/>
          <w:highlight w:val="none"/>
          <w:lang w:val="en-US" w:eastAsia="zh-CN" w:bidi="ar-SA"/>
          <w14:textFill>
            <w14:solidFill>
              <w14:schemeClr w14:val="tx1"/>
            </w14:solidFill>
          </w14:textFill>
        </w:rPr>
      </w:pPr>
      <w:r>
        <w:rPr>
          <w:rFonts w:hint="eastAsia" w:ascii="Tahoma" w:hAnsi="黑体" w:eastAsia="黑体" w:cs="Tahoma"/>
          <w:b/>
          <w:bCs w:val="0"/>
          <w:color w:val="000000" w:themeColor="text1"/>
          <w:kern w:val="2"/>
          <w:sz w:val="21"/>
          <w:szCs w:val="21"/>
          <w:highlight w:val="none"/>
          <w:lang w:val="en-US" w:eastAsia="zh-CN" w:bidi="ar-SA"/>
          <w14:textFill>
            <w14:solidFill>
              <w14:schemeClr w14:val="tx1"/>
            </w14:solidFill>
          </w14:textFill>
        </w:rPr>
        <w:t>8、网络安全等级保护测评</w:t>
      </w:r>
    </w:p>
    <w:tbl>
      <w:tblPr>
        <w:tblStyle w:val="20"/>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41"/>
        <w:gridCol w:w="4026"/>
        <w:gridCol w:w="1880"/>
        <w:gridCol w:w="1279"/>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425" w:leftChars="0" w:hanging="425"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序号</w:t>
            </w:r>
          </w:p>
        </w:tc>
        <w:tc>
          <w:tcPr>
            <w:tcW w:w="4026" w:type="dxa"/>
            <w:shd w:val="clear" w:color="auto" w:fill="auto"/>
            <w:tcMar>
              <w:top w:w="12" w:type="dxa"/>
              <w:left w:w="12" w:type="dxa"/>
              <w:right w:w="12" w:type="dxa"/>
            </w:tcMar>
            <w:vAlign w:val="center"/>
          </w:tcPr>
          <w:p>
            <w:pPr>
              <w:snapToGrid w:val="0"/>
              <w:ind w:left="425" w:leftChars="0" w:hanging="425" w:firstLine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商品名称</w:t>
            </w:r>
          </w:p>
        </w:tc>
        <w:tc>
          <w:tcPr>
            <w:tcW w:w="1880" w:type="dxa"/>
            <w:shd w:val="clear" w:color="auto" w:fill="auto"/>
            <w:tcMar>
              <w:top w:w="12" w:type="dxa"/>
              <w:left w:w="12" w:type="dxa"/>
              <w:right w:w="12" w:type="dxa"/>
            </w:tcMar>
            <w:vAlign w:val="center"/>
          </w:tcPr>
          <w:p>
            <w:pPr>
              <w:snapToGrid w:val="0"/>
              <w:ind w:left="0" w:left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计量单位</w:t>
            </w:r>
          </w:p>
        </w:tc>
        <w:tc>
          <w:tcPr>
            <w:tcW w:w="1279" w:type="dxa"/>
            <w:shd w:val="clear" w:color="auto" w:fill="auto"/>
            <w:tcMar>
              <w:top w:w="12" w:type="dxa"/>
              <w:left w:w="12" w:type="dxa"/>
              <w:right w:w="12" w:type="dxa"/>
            </w:tcMar>
            <w:vAlign w:val="center"/>
          </w:tcPr>
          <w:p>
            <w:pPr>
              <w:snapToGrid w:val="0"/>
              <w:ind w:left="0" w:left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数量</w:t>
            </w:r>
          </w:p>
        </w:tc>
        <w:tc>
          <w:tcPr>
            <w:tcW w:w="1052" w:type="dxa"/>
            <w:shd w:val="clear" w:color="auto" w:fill="auto"/>
            <w:tcMar>
              <w:top w:w="12" w:type="dxa"/>
              <w:left w:w="12" w:type="dxa"/>
              <w:right w:w="12" w:type="dxa"/>
            </w:tcMar>
            <w:vAlign w:val="center"/>
          </w:tcPr>
          <w:p>
            <w:pPr>
              <w:snapToGrid w:val="0"/>
              <w:ind w:left="0" w:left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8237" w:type="dxa"/>
            <w:gridSpan w:val="4"/>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安全物理环境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1.1</w:t>
            </w:r>
          </w:p>
        </w:tc>
        <w:tc>
          <w:tcPr>
            <w:tcW w:w="4026"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物理位置选择</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1.2</w:t>
            </w:r>
          </w:p>
        </w:tc>
        <w:tc>
          <w:tcPr>
            <w:tcW w:w="4026"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物理访问控制</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1.3</w:t>
            </w:r>
          </w:p>
        </w:tc>
        <w:tc>
          <w:tcPr>
            <w:tcW w:w="4026"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防盗窃和防破坏</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1.4</w:t>
            </w:r>
          </w:p>
        </w:tc>
        <w:tc>
          <w:tcPr>
            <w:tcW w:w="4026"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防雷击</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1.5</w:t>
            </w:r>
          </w:p>
        </w:tc>
        <w:tc>
          <w:tcPr>
            <w:tcW w:w="4026"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防火</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1.6</w:t>
            </w:r>
          </w:p>
        </w:tc>
        <w:tc>
          <w:tcPr>
            <w:tcW w:w="4026"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防水和防潮</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1.7</w:t>
            </w:r>
          </w:p>
        </w:tc>
        <w:tc>
          <w:tcPr>
            <w:tcW w:w="4026"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防静电</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1.8</w:t>
            </w:r>
          </w:p>
        </w:tc>
        <w:tc>
          <w:tcPr>
            <w:tcW w:w="4026"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温湿度控制</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1.9</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电力供应</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1.10</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电磁防护</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8237" w:type="dxa"/>
            <w:gridSpan w:val="4"/>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t>安全通信网络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2.1</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网络架构</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5</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2.2</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通信传输</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2.3</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可信验证</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w:t>
            </w:r>
          </w:p>
        </w:tc>
        <w:tc>
          <w:tcPr>
            <w:tcW w:w="8237" w:type="dxa"/>
            <w:gridSpan w:val="4"/>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安全区域边界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3.1</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边界防护</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4</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3.2</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访问控制</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5</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3.3</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入侵防范</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4</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3.4</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恶意代码和垃圾邮件防范</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3.5</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安全审计</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4</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3.6</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可信验证</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4</w:t>
            </w:r>
          </w:p>
        </w:tc>
        <w:tc>
          <w:tcPr>
            <w:tcW w:w="8237" w:type="dxa"/>
            <w:gridSpan w:val="4"/>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安全计算环境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4.1</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身份鉴别</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4</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4.2</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访问控制</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7</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4.3</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安全审计</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4</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4.4</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入侵防范</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6</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4.5</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恶意代码防范</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4.6</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可信验证</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4.7</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数据完整性</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4.8</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数据保密性</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4.9</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数据备份恢复</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4.10</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剩余信息保护</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4.11</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个人信息保护</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5</w:t>
            </w:r>
          </w:p>
        </w:tc>
        <w:tc>
          <w:tcPr>
            <w:tcW w:w="8237" w:type="dxa"/>
            <w:gridSpan w:val="4"/>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安全管理中心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5.1</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系统管理</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1052"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5.2</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审计管理</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1052"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5.3</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安全管理</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1052"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5.4</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集中管控</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6</w:t>
            </w:r>
          </w:p>
        </w:tc>
        <w:tc>
          <w:tcPr>
            <w:tcW w:w="1052"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6</w:t>
            </w:r>
          </w:p>
        </w:tc>
        <w:tc>
          <w:tcPr>
            <w:tcW w:w="8237" w:type="dxa"/>
            <w:gridSpan w:val="4"/>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安全管理制度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6.1</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安全策略</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6.2</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管理制度</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w:t>
            </w:r>
          </w:p>
        </w:tc>
        <w:tc>
          <w:tcPr>
            <w:tcW w:w="1052"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6.3</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制定和发布</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1052"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6.4</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评审和修订</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7</w:t>
            </w:r>
          </w:p>
        </w:tc>
        <w:tc>
          <w:tcPr>
            <w:tcW w:w="8237" w:type="dxa"/>
            <w:gridSpan w:val="4"/>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安全管理机构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7.1</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岗位设置</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w:t>
            </w:r>
          </w:p>
        </w:tc>
        <w:tc>
          <w:tcPr>
            <w:tcW w:w="1052"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7.2</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人员配备</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1052"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7.3</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授权和审批</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w:t>
            </w:r>
          </w:p>
        </w:tc>
        <w:tc>
          <w:tcPr>
            <w:tcW w:w="1052"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7.4</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沟通和合作</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w:t>
            </w:r>
          </w:p>
        </w:tc>
        <w:tc>
          <w:tcPr>
            <w:tcW w:w="1052"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7.5</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审核和检查</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w:t>
            </w:r>
          </w:p>
        </w:tc>
        <w:tc>
          <w:tcPr>
            <w:tcW w:w="1052"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8</w:t>
            </w:r>
          </w:p>
        </w:tc>
        <w:tc>
          <w:tcPr>
            <w:tcW w:w="8237" w:type="dxa"/>
            <w:gridSpan w:val="4"/>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安全管理人员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8.1</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人员录用</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w:t>
            </w:r>
          </w:p>
        </w:tc>
        <w:tc>
          <w:tcPr>
            <w:tcW w:w="1052"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8.2</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人员离岗</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1052"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8.3</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安全意识教育和培训</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w:t>
            </w:r>
          </w:p>
        </w:tc>
        <w:tc>
          <w:tcPr>
            <w:tcW w:w="1052"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8.4</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外部人员访问管理</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4</w:t>
            </w:r>
          </w:p>
        </w:tc>
        <w:tc>
          <w:tcPr>
            <w:tcW w:w="1052"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9</w:t>
            </w:r>
          </w:p>
        </w:tc>
        <w:tc>
          <w:tcPr>
            <w:tcW w:w="8237" w:type="dxa"/>
            <w:gridSpan w:val="4"/>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安全建设管理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9.1</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定级和备案</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4</w:t>
            </w:r>
          </w:p>
        </w:tc>
        <w:tc>
          <w:tcPr>
            <w:tcW w:w="1052"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9.2</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安全方案设计</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w:t>
            </w:r>
          </w:p>
        </w:tc>
        <w:tc>
          <w:tcPr>
            <w:tcW w:w="1052"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9.3</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产品采购和使用</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w:t>
            </w:r>
          </w:p>
        </w:tc>
        <w:tc>
          <w:tcPr>
            <w:tcW w:w="1052"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9.4</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自行软件开发</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7</w:t>
            </w:r>
          </w:p>
        </w:tc>
        <w:tc>
          <w:tcPr>
            <w:tcW w:w="1052"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9.5</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外包软件开发</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w:t>
            </w:r>
          </w:p>
        </w:tc>
        <w:tc>
          <w:tcPr>
            <w:tcW w:w="1052"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9.6</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工程实施</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w:t>
            </w:r>
          </w:p>
        </w:tc>
        <w:tc>
          <w:tcPr>
            <w:tcW w:w="1052"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9.7</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测试验收</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1052"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9.8</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系统交付</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w:t>
            </w:r>
          </w:p>
        </w:tc>
        <w:tc>
          <w:tcPr>
            <w:tcW w:w="1052"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9.9</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等级测评</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w:t>
            </w:r>
          </w:p>
        </w:tc>
        <w:tc>
          <w:tcPr>
            <w:tcW w:w="1052"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9.10</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服务供应商选择</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w:t>
            </w:r>
          </w:p>
        </w:tc>
        <w:tc>
          <w:tcPr>
            <w:tcW w:w="1052"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10</w:t>
            </w:r>
          </w:p>
        </w:tc>
        <w:tc>
          <w:tcPr>
            <w:tcW w:w="8237" w:type="dxa"/>
            <w:gridSpan w:val="4"/>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安全运维管理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10.1</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环境管理</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w:t>
            </w:r>
          </w:p>
        </w:tc>
        <w:tc>
          <w:tcPr>
            <w:tcW w:w="1052"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10.2</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资产管理</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w:t>
            </w:r>
          </w:p>
        </w:tc>
        <w:tc>
          <w:tcPr>
            <w:tcW w:w="1052"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10.3</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介质管理</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1052"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10.4</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设备维护管理</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4</w:t>
            </w:r>
          </w:p>
        </w:tc>
        <w:tc>
          <w:tcPr>
            <w:tcW w:w="1052"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10.5</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漏洞和风险管理</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1052"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10.6</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网络和系统安全管理</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10</w:t>
            </w:r>
          </w:p>
        </w:tc>
        <w:tc>
          <w:tcPr>
            <w:tcW w:w="1052"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10.7</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恶意代码防范管理</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1052"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10.8</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配置管理</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1052"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10.9</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密码管理</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1052"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10.10</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变更管理</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w:t>
            </w:r>
          </w:p>
        </w:tc>
        <w:tc>
          <w:tcPr>
            <w:tcW w:w="1052"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10.11</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备份与恢复管理</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w:t>
            </w:r>
          </w:p>
        </w:tc>
        <w:tc>
          <w:tcPr>
            <w:tcW w:w="1052"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10.12</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安全事件处置</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4</w:t>
            </w:r>
          </w:p>
        </w:tc>
        <w:tc>
          <w:tcPr>
            <w:tcW w:w="1052"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10.13</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应急预案管理</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4</w:t>
            </w:r>
          </w:p>
        </w:tc>
        <w:tc>
          <w:tcPr>
            <w:tcW w:w="1052"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10.14</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外包运维管理</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4</w:t>
            </w:r>
          </w:p>
        </w:tc>
        <w:tc>
          <w:tcPr>
            <w:tcW w:w="1052"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bl>
    <w:p>
      <w:pPr>
        <w:pStyle w:val="5"/>
        <w:numPr>
          <w:ilvl w:val="0"/>
          <w:numId w:val="0"/>
        </w:numPr>
        <w:rPr>
          <w:rFonts w:hint="default" w:ascii="Tahoma" w:hAnsi="黑体" w:eastAsia="黑体" w:cs="Tahoma"/>
          <w:b/>
          <w:bCs w:val="0"/>
          <w:color w:val="000000" w:themeColor="text1"/>
          <w:kern w:val="2"/>
          <w:sz w:val="21"/>
          <w:szCs w:val="21"/>
          <w:highlight w:val="none"/>
          <w:lang w:val="en-US" w:eastAsia="zh-CN" w:bidi="ar-SA"/>
          <w14:textFill>
            <w14:solidFill>
              <w14:schemeClr w14:val="tx1"/>
            </w14:solidFill>
          </w14:textFill>
        </w:rPr>
      </w:pPr>
      <w:r>
        <w:rPr>
          <w:rFonts w:hint="eastAsia" w:ascii="Tahoma" w:hAnsi="黑体" w:eastAsia="黑体" w:cs="Tahoma"/>
          <w:b/>
          <w:bCs w:val="0"/>
          <w:color w:val="000000" w:themeColor="text1"/>
          <w:kern w:val="2"/>
          <w:sz w:val="21"/>
          <w:szCs w:val="21"/>
          <w:highlight w:val="none"/>
          <w:lang w:val="en-US" w:eastAsia="zh-CN" w:bidi="ar-SA"/>
          <w14:textFill>
            <w14:solidFill>
              <w14:schemeClr w14:val="tx1"/>
            </w14:solidFill>
          </w14:textFill>
        </w:rPr>
        <w:t>9、120急救中心</w:t>
      </w:r>
    </w:p>
    <w:tbl>
      <w:tblPr>
        <w:tblStyle w:val="20"/>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41"/>
        <w:gridCol w:w="4026"/>
        <w:gridCol w:w="1880"/>
        <w:gridCol w:w="1279"/>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425" w:leftChars="0" w:hanging="425"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序号</w:t>
            </w:r>
          </w:p>
        </w:tc>
        <w:tc>
          <w:tcPr>
            <w:tcW w:w="4026" w:type="dxa"/>
            <w:shd w:val="clear" w:color="auto" w:fill="auto"/>
            <w:tcMar>
              <w:top w:w="12" w:type="dxa"/>
              <w:left w:w="12" w:type="dxa"/>
              <w:right w:w="12" w:type="dxa"/>
            </w:tcMar>
            <w:vAlign w:val="center"/>
          </w:tcPr>
          <w:p>
            <w:pPr>
              <w:snapToGrid w:val="0"/>
              <w:ind w:left="425" w:leftChars="0" w:hanging="425" w:firstLine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商品名称</w:t>
            </w:r>
          </w:p>
        </w:tc>
        <w:tc>
          <w:tcPr>
            <w:tcW w:w="1880" w:type="dxa"/>
            <w:shd w:val="clear" w:color="auto" w:fill="auto"/>
            <w:tcMar>
              <w:top w:w="12" w:type="dxa"/>
              <w:left w:w="12" w:type="dxa"/>
              <w:right w:w="12" w:type="dxa"/>
            </w:tcMar>
            <w:vAlign w:val="center"/>
          </w:tcPr>
          <w:p>
            <w:pPr>
              <w:snapToGrid w:val="0"/>
              <w:ind w:left="0" w:left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计量单位</w:t>
            </w:r>
          </w:p>
        </w:tc>
        <w:tc>
          <w:tcPr>
            <w:tcW w:w="1279" w:type="dxa"/>
            <w:shd w:val="clear" w:color="auto" w:fill="auto"/>
            <w:tcMar>
              <w:top w:w="12" w:type="dxa"/>
              <w:left w:w="12" w:type="dxa"/>
              <w:right w:w="12" w:type="dxa"/>
            </w:tcMar>
            <w:vAlign w:val="center"/>
          </w:tcPr>
          <w:p>
            <w:pPr>
              <w:snapToGrid w:val="0"/>
              <w:ind w:left="0" w:left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数量</w:t>
            </w:r>
          </w:p>
        </w:tc>
        <w:tc>
          <w:tcPr>
            <w:tcW w:w="1052" w:type="dxa"/>
            <w:shd w:val="clear" w:color="auto" w:fill="auto"/>
            <w:tcMar>
              <w:top w:w="12" w:type="dxa"/>
              <w:left w:w="12" w:type="dxa"/>
              <w:right w:w="12" w:type="dxa"/>
            </w:tcMar>
            <w:vAlign w:val="center"/>
          </w:tcPr>
          <w:p>
            <w:pPr>
              <w:snapToGrid w:val="0"/>
              <w:ind w:left="0" w:left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ahoma" w:hAnsi="Tahoma" w:cs="Tahoma"/>
                <w:color w:val="000000" w:themeColor="text1"/>
                <w:kern w:val="2"/>
                <w:sz w:val="21"/>
                <w:szCs w:val="21"/>
                <w:highlight w:val="none"/>
                <w:lang w:val="en-US" w:eastAsia="zh-CN" w:bidi="ar-SA"/>
                <w14:textFill>
                  <w14:solidFill>
                    <w14:schemeClr w14:val="tx1"/>
                  </w14:solidFill>
                </w14:textFill>
              </w:rPr>
            </w:pPr>
            <w:r>
              <w:rPr>
                <w:rFonts w:hint="default" w:ascii="Tahoma" w:hAnsi="Tahoma" w:eastAsia="宋体" w:cs="Tahoma"/>
                <w:i w:val="0"/>
                <w:iCs w:val="0"/>
                <w:color w:val="000000" w:themeColor="text1"/>
                <w:kern w:val="0"/>
                <w:sz w:val="22"/>
                <w:szCs w:val="22"/>
                <w:highlight w:val="none"/>
                <w:u w:val="none"/>
                <w:lang w:val="en-US" w:eastAsia="zh-CN" w:bidi="ar"/>
                <w14:textFill>
                  <w14:solidFill>
                    <w14:schemeClr w14:val="tx1"/>
                  </w14:solidFill>
                </w14:textFill>
              </w:rPr>
              <w:t>1</w:t>
            </w:r>
          </w:p>
        </w:tc>
        <w:tc>
          <w:tcPr>
            <w:tcW w:w="4026"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液晶拼接屏</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套</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ahoma" w:hAnsi="Tahoma" w:cs="Tahoma"/>
                <w:color w:val="000000" w:themeColor="text1"/>
                <w:kern w:val="2"/>
                <w:sz w:val="21"/>
                <w:szCs w:val="21"/>
                <w:highlight w:val="none"/>
                <w:lang w:val="en-US" w:eastAsia="zh-CN" w:bidi="ar-SA"/>
                <w14:textFill>
                  <w14:solidFill>
                    <w14:schemeClr w14:val="tx1"/>
                  </w14:solidFill>
                </w14:textFill>
              </w:rPr>
            </w:pPr>
            <w:r>
              <w:rPr>
                <w:rFonts w:hint="default" w:ascii="Tahoma" w:hAnsi="Tahoma" w:eastAsia="宋体" w:cs="Tahoma"/>
                <w:i w:val="0"/>
                <w:iCs w:val="0"/>
                <w:color w:val="000000" w:themeColor="text1"/>
                <w:kern w:val="0"/>
                <w:sz w:val="22"/>
                <w:szCs w:val="22"/>
                <w:highlight w:val="none"/>
                <w:u w:val="none"/>
                <w:lang w:val="en-US" w:eastAsia="zh-CN" w:bidi="ar"/>
                <w14:textFill>
                  <w14:solidFill>
                    <w14:schemeClr w14:val="tx1"/>
                  </w14:solidFill>
                </w14:textFill>
              </w:rPr>
              <w:t>2</w:t>
            </w:r>
          </w:p>
        </w:tc>
        <w:tc>
          <w:tcPr>
            <w:tcW w:w="4026"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LED字幕屏</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台</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ahoma" w:hAnsi="Tahoma" w:cs="Tahoma"/>
                <w:color w:val="000000" w:themeColor="text1"/>
                <w:kern w:val="2"/>
                <w:sz w:val="21"/>
                <w:szCs w:val="21"/>
                <w:highlight w:val="none"/>
                <w:lang w:val="en-US" w:eastAsia="zh-CN" w:bidi="ar-SA"/>
                <w14:textFill>
                  <w14:solidFill>
                    <w14:schemeClr w14:val="tx1"/>
                  </w14:solidFill>
                </w14:textFill>
              </w:rPr>
            </w:pPr>
            <w:r>
              <w:rPr>
                <w:rFonts w:hint="default" w:ascii="Tahoma" w:hAnsi="Tahoma" w:eastAsia="宋体" w:cs="Tahoma"/>
                <w:i w:val="0"/>
                <w:iCs w:val="0"/>
                <w:color w:val="000000" w:themeColor="text1"/>
                <w:kern w:val="0"/>
                <w:sz w:val="22"/>
                <w:szCs w:val="22"/>
                <w:highlight w:val="none"/>
                <w:u w:val="none"/>
                <w:lang w:val="en-US" w:eastAsia="zh-CN" w:bidi="ar"/>
                <w14:textFill>
                  <w14:solidFill>
                    <w14:schemeClr w14:val="tx1"/>
                  </w14:solidFill>
                </w14:textFill>
              </w:rPr>
              <w:t>3</w:t>
            </w:r>
          </w:p>
        </w:tc>
        <w:tc>
          <w:tcPr>
            <w:tcW w:w="4026"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中心概览屏</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台</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ahoma" w:hAnsi="Tahoma" w:cs="Tahoma"/>
                <w:color w:val="000000" w:themeColor="text1"/>
                <w:kern w:val="2"/>
                <w:sz w:val="21"/>
                <w:szCs w:val="21"/>
                <w:highlight w:val="none"/>
                <w:lang w:val="en-US" w:eastAsia="zh-CN" w:bidi="ar-SA"/>
                <w14:textFill>
                  <w14:solidFill>
                    <w14:schemeClr w14:val="tx1"/>
                  </w14:solidFill>
                </w14:textFill>
              </w:rPr>
            </w:pPr>
            <w:r>
              <w:rPr>
                <w:rFonts w:hint="default" w:ascii="Tahoma" w:hAnsi="Tahoma" w:eastAsia="宋体" w:cs="Tahoma"/>
                <w:i w:val="0"/>
                <w:iCs w:val="0"/>
                <w:color w:val="000000" w:themeColor="text1"/>
                <w:kern w:val="0"/>
                <w:sz w:val="22"/>
                <w:szCs w:val="22"/>
                <w:highlight w:val="none"/>
                <w:u w:val="none"/>
                <w:lang w:val="en-US" w:eastAsia="zh-CN" w:bidi="ar"/>
                <w14:textFill>
                  <w14:solidFill>
                    <w14:schemeClr w14:val="tx1"/>
                  </w14:solidFill>
                </w14:textFill>
              </w:rPr>
              <w:t>4</w:t>
            </w:r>
          </w:p>
        </w:tc>
        <w:tc>
          <w:tcPr>
            <w:tcW w:w="4026"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机顶盒</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台</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ahoma" w:hAnsi="Tahoma" w:cs="Tahoma"/>
                <w:color w:val="000000" w:themeColor="text1"/>
                <w:kern w:val="2"/>
                <w:sz w:val="21"/>
                <w:szCs w:val="21"/>
                <w:highlight w:val="none"/>
                <w:lang w:val="en-US" w:eastAsia="zh-CN" w:bidi="ar-SA"/>
                <w14:textFill>
                  <w14:solidFill>
                    <w14:schemeClr w14:val="tx1"/>
                  </w14:solidFill>
                </w14:textFill>
              </w:rPr>
            </w:pPr>
            <w:r>
              <w:rPr>
                <w:rFonts w:hint="default" w:ascii="Tahoma" w:hAnsi="Tahoma" w:eastAsia="宋体" w:cs="Tahoma"/>
                <w:i w:val="0"/>
                <w:iCs w:val="0"/>
                <w:color w:val="000000" w:themeColor="text1"/>
                <w:kern w:val="0"/>
                <w:sz w:val="22"/>
                <w:szCs w:val="22"/>
                <w:highlight w:val="none"/>
                <w:u w:val="none"/>
                <w:lang w:val="en-US" w:eastAsia="zh-CN" w:bidi="ar"/>
                <w14:textFill>
                  <w14:solidFill>
                    <w14:schemeClr w14:val="tx1"/>
                  </w14:solidFill>
                </w14:textFill>
              </w:rPr>
              <w:t>5</w:t>
            </w:r>
          </w:p>
        </w:tc>
        <w:tc>
          <w:tcPr>
            <w:tcW w:w="4026"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音箱</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套</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ahoma" w:hAnsi="Tahoma" w:cs="Tahoma"/>
                <w:color w:val="000000" w:themeColor="text1"/>
                <w:kern w:val="2"/>
                <w:sz w:val="21"/>
                <w:szCs w:val="21"/>
                <w:highlight w:val="none"/>
                <w:lang w:val="en-US" w:eastAsia="zh-CN" w:bidi="ar-SA"/>
                <w14:textFill>
                  <w14:solidFill>
                    <w14:schemeClr w14:val="tx1"/>
                  </w14:solidFill>
                </w14:textFill>
              </w:rPr>
            </w:pPr>
            <w:r>
              <w:rPr>
                <w:rFonts w:hint="default" w:ascii="Tahoma" w:hAnsi="Tahoma" w:eastAsia="宋体" w:cs="Tahoma"/>
                <w:i w:val="0"/>
                <w:iCs w:val="0"/>
                <w:color w:val="000000" w:themeColor="text1"/>
                <w:kern w:val="0"/>
                <w:sz w:val="22"/>
                <w:szCs w:val="22"/>
                <w:highlight w:val="none"/>
                <w:u w:val="none"/>
                <w:lang w:val="en-US" w:eastAsia="zh-CN" w:bidi="ar"/>
                <w14:textFill>
                  <w14:solidFill>
                    <w14:schemeClr w14:val="tx1"/>
                  </w14:solidFill>
                </w14:textFill>
              </w:rPr>
              <w:t>6</w:t>
            </w:r>
          </w:p>
        </w:tc>
        <w:tc>
          <w:tcPr>
            <w:tcW w:w="4026"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拼接屏管理电脑</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台</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ahoma" w:hAnsi="Tahoma" w:cs="Tahoma"/>
                <w:color w:val="000000" w:themeColor="text1"/>
                <w:kern w:val="2"/>
                <w:sz w:val="21"/>
                <w:szCs w:val="21"/>
                <w:highlight w:val="none"/>
                <w:lang w:val="en-US" w:eastAsia="zh-CN" w:bidi="ar-SA"/>
                <w14:textFill>
                  <w14:solidFill>
                    <w14:schemeClr w14:val="tx1"/>
                  </w14:solidFill>
                </w14:textFill>
              </w:rPr>
            </w:pPr>
            <w:r>
              <w:rPr>
                <w:rFonts w:hint="default" w:ascii="Tahoma" w:hAnsi="Tahoma" w:eastAsia="宋体" w:cs="Tahoma"/>
                <w:i w:val="0"/>
                <w:iCs w:val="0"/>
                <w:color w:val="000000" w:themeColor="text1"/>
                <w:kern w:val="0"/>
                <w:sz w:val="22"/>
                <w:szCs w:val="22"/>
                <w:highlight w:val="none"/>
                <w:u w:val="none"/>
                <w:lang w:val="en-US" w:eastAsia="zh-CN" w:bidi="ar"/>
                <w14:textFill>
                  <w14:solidFill>
                    <w14:schemeClr w14:val="tx1"/>
                  </w14:solidFill>
                </w14:textFill>
              </w:rPr>
              <w:t>7</w:t>
            </w:r>
          </w:p>
        </w:tc>
        <w:tc>
          <w:tcPr>
            <w:tcW w:w="4026"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座席位显示器</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台</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ahoma" w:hAnsi="Tahoma" w:eastAsia="宋体" w:cs="Tahoma"/>
                <w:color w:val="000000" w:themeColor="text1"/>
                <w:kern w:val="2"/>
                <w:sz w:val="21"/>
                <w:szCs w:val="21"/>
                <w:highlight w:val="none"/>
                <w:lang w:val="en-US" w:eastAsia="zh-CN" w:bidi="ar-SA"/>
                <w14:textFill>
                  <w14:solidFill>
                    <w14:schemeClr w14:val="tx1"/>
                  </w14:solidFill>
                </w14:textFill>
              </w:rPr>
            </w:pPr>
            <w:r>
              <w:rPr>
                <w:rFonts w:hint="default" w:ascii="Tahoma" w:hAnsi="Tahoma" w:eastAsia="宋体" w:cs="Tahoma"/>
                <w:i w:val="0"/>
                <w:iCs w:val="0"/>
                <w:color w:val="000000" w:themeColor="text1"/>
                <w:kern w:val="0"/>
                <w:sz w:val="22"/>
                <w:szCs w:val="22"/>
                <w:highlight w:val="none"/>
                <w:u w:val="none"/>
                <w:lang w:val="en-US" w:eastAsia="zh-CN" w:bidi="ar"/>
                <w14:textFill>
                  <w14:solidFill>
                    <w14:schemeClr w14:val="tx1"/>
                  </w14:solidFill>
                </w14:textFill>
              </w:rPr>
              <w:t>8</w:t>
            </w:r>
          </w:p>
        </w:tc>
        <w:tc>
          <w:tcPr>
            <w:tcW w:w="4026"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座席位主机</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台</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keepNext w:val="0"/>
              <w:keepLines w:val="0"/>
              <w:widowControl/>
              <w:suppressLineNumbers w:val="0"/>
              <w:jc w:val="center"/>
              <w:textAlignment w:val="center"/>
              <w:rPr>
                <w:rFonts w:hint="default" w:ascii="Tahoma" w:hAnsi="Tahoma" w:eastAsia="宋体" w:cs="Tahoma"/>
                <w:color w:val="000000" w:themeColor="text1"/>
                <w:kern w:val="2"/>
                <w:sz w:val="21"/>
                <w:szCs w:val="21"/>
                <w:highlight w:val="none"/>
                <w:lang w:val="en-US" w:eastAsia="zh-CN" w:bidi="ar-SA"/>
                <w14:textFill>
                  <w14:solidFill>
                    <w14:schemeClr w14:val="tx1"/>
                  </w14:solidFill>
                </w14:textFill>
              </w:rPr>
            </w:pPr>
            <w:r>
              <w:rPr>
                <w:rFonts w:hint="default" w:ascii="Tahoma" w:hAnsi="Tahoma" w:eastAsia="宋体" w:cs="Tahoma"/>
                <w:i w:val="0"/>
                <w:iCs w:val="0"/>
                <w:color w:val="000000" w:themeColor="text1"/>
                <w:kern w:val="0"/>
                <w:sz w:val="22"/>
                <w:szCs w:val="22"/>
                <w:highlight w:val="none"/>
                <w:u w:val="none"/>
                <w:lang w:val="en-US" w:eastAsia="zh-CN" w:bidi="ar"/>
                <w14:textFill>
                  <w14:solidFill>
                    <w14:schemeClr w14:val="tx1"/>
                  </w14:solidFill>
                </w14:textFill>
              </w:rPr>
              <w:t>9</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IP电话</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台</w:t>
            </w:r>
          </w:p>
        </w:tc>
        <w:tc>
          <w:tcPr>
            <w:tcW w:w="1279"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keepNext w:val="0"/>
              <w:keepLines w:val="0"/>
              <w:widowControl/>
              <w:suppressLineNumbers w:val="0"/>
              <w:jc w:val="center"/>
              <w:textAlignment w:val="center"/>
              <w:rPr>
                <w:rFonts w:hint="default" w:ascii="Tahoma" w:hAnsi="Tahoma" w:eastAsia="宋体" w:cs="Tahoma"/>
                <w:color w:val="000000" w:themeColor="text1"/>
                <w:kern w:val="2"/>
                <w:sz w:val="21"/>
                <w:szCs w:val="21"/>
                <w:highlight w:val="none"/>
                <w:lang w:val="en-US" w:eastAsia="zh-CN" w:bidi="ar-SA"/>
                <w14:textFill>
                  <w14:solidFill>
                    <w14:schemeClr w14:val="tx1"/>
                  </w14:solidFill>
                </w14:textFill>
              </w:rPr>
            </w:pPr>
            <w:r>
              <w:rPr>
                <w:rFonts w:hint="default" w:ascii="Tahoma" w:hAnsi="Tahoma" w:eastAsia="宋体" w:cs="Tahoma"/>
                <w:i w:val="0"/>
                <w:iCs w:val="0"/>
                <w:color w:val="000000" w:themeColor="text1"/>
                <w:kern w:val="0"/>
                <w:sz w:val="22"/>
                <w:szCs w:val="22"/>
                <w:highlight w:val="none"/>
                <w:u w:val="none"/>
                <w:lang w:val="en-US" w:eastAsia="zh-CN" w:bidi="ar"/>
                <w14:textFill>
                  <w14:solidFill>
                    <w14:schemeClr w14:val="tx1"/>
                  </w14:solidFill>
                </w14:textFill>
              </w:rPr>
              <w:t>10</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模拟线路网关</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台</w:t>
            </w:r>
          </w:p>
        </w:tc>
        <w:tc>
          <w:tcPr>
            <w:tcW w:w="1279"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keepNext w:val="0"/>
              <w:keepLines w:val="0"/>
              <w:widowControl/>
              <w:suppressLineNumbers w:val="0"/>
              <w:jc w:val="center"/>
              <w:textAlignment w:val="center"/>
              <w:rPr>
                <w:rFonts w:hint="default" w:ascii="Tahoma" w:hAnsi="Tahoma" w:cs="Tahoma"/>
                <w:color w:val="000000" w:themeColor="text1"/>
                <w:kern w:val="2"/>
                <w:sz w:val="21"/>
                <w:szCs w:val="21"/>
                <w:highlight w:val="none"/>
                <w:lang w:val="en-US" w:eastAsia="zh-CN" w:bidi="ar-SA"/>
                <w14:textFill>
                  <w14:solidFill>
                    <w14:schemeClr w14:val="tx1"/>
                  </w14:solidFill>
                </w14:textFill>
              </w:rPr>
            </w:pPr>
            <w:r>
              <w:rPr>
                <w:rFonts w:hint="default" w:ascii="Tahoma" w:hAnsi="Tahoma" w:eastAsia="宋体" w:cs="Tahoma"/>
                <w:i w:val="0"/>
                <w:iCs w:val="0"/>
                <w:color w:val="000000" w:themeColor="text1"/>
                <w:kern w:val="0"/>
                <w:sz w:val="22"/>
                <w:szCs w:val="22"/>
                <w:highlight w:val="none"/>
                <w:u w:val="none"/>
                <w:lang w:val="en-US" w:eastAsia="zh-CN" w:bidi="ar"/>
                <w14:textFill>
                  <w14:solidFill>
                    <w14:schemeClr w14:val="tx1"/>
                  </w14:solidFill>
                </w14:textFill>
              </w:rPr>
              <w:t>11</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交换机</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台</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keepNext w:val="0"/>
              <w:keepLines w:val="0"/>
              <w:widowControl/>
              <w:suppressLineNumbers w:val="0"/>
              <w:jc w:val="center"/>
              <w:textAlignment w:val="center"/>
              <w:rPr>
                <w:rFonts w:hint="default" w:ascii="Tahoma" w:hAnsi="Tahoma" w:cs="Tahoma"/>
                <w:color w:val="000000" w:themeColor="text1"/>
                <w:kern w:val="2"/>
                <w:sz w:val="21"/>
                <w:szCs w:val="21"/>
                <w:highlight w:val="none"/>
                <w:lang w:val="en-US" w:eastAsia="zh-CN" w:bidi="ar-SA"/>
                <w14:textFill>
                  <w14:solidFill>
                    <w14:schemeClr w14:val="tx1"/>
                  </w14:solidFill>
                </w14:textFill>
              </w:rPr>
            </w:pPr>
            <w:r>
              <w:rPr>
                <w:rFonts w:hint="default" w:ascii="Tahoma" w:hAnsi="Tahoma" w:eastAsia="宋体" w:cs="Tahoma"/>
                <w:i w:val="0"/>
                <w:iCs w:val="0"/>
                <w:color w:val="000000" w:themeColor="text1"/>
                <w:kern w:val="0"/>
                <w:sz w:val="22"/>
                <w:szCs w:val="22"/>
                <w:highlight w:val="none"/>
                <w:u w:val="none"/>
                <w:lang w:val="en-US" w:eastAsia="zh-CN" w:bidi="ar"/>
                <w14:textFill>
                  <w14:solidFill>
                    <w14:schemeClr w14:val="tx1"/>
                  </w14:solidFill>
                </w14:textFill>
              </w:rPr>
              <w:t>12</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交换机</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台</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keepNext w:val="0"/>
              <w:keepLines w:val="0"/>
              <w:widowControl/>
              <w:suppressLineNumbers w:val="0"/>
              <w:jc w:val="center"/>
              <w:textAlignment w:val="center"/>
              <w:rPr>
                <w:rFonts w:hint="default" w:ascii="Tahoma" w:hAnsi="Tahoma" w:cs="Tahoma"/>
                <w:color w:val="000000" w:themeColor="text1"/>
                <w:kern w:val="2"/>
                <w:sz w:val="21"/>
                <w:szCs w:val="21"/>
                <w:highlight w:val="none"/>
                <w:lang w:val="en-US" w:eastAsia="zh-CN" w:bidi="ar-SA"/>
                <w14:textFill>
                  <w14:solidFill>
                    <w14:schemeClr w14:val="tx1"/>
                  </w14:solidFill>
                </w14:textFill>
              </w:rPr>
            </w:pPr>
            <w:r>
              <w:rPr>
                <w:rFonts w:hint="default" w:ascii="Tahoma" w:hAnsi="Tahoma" w:eastAsia="宋体" w:cs="Tahoma"/>
                <w:i w:val="0"/>
                <w:iCs w:val="0"/>
                <w:color w:val="000000" w:themeColor="text1"/>
                <w:kern w:val="0"/>
                <w:sz w:val="22"/>
                <w:szCs w:val="22"/>
                <w:highlight w:val="none"/>
                <w:u w:val="none"/>
                <w:lang w:val="en-US" w:eastAsia="zh-CN" w:bidi="ar"/>
                <w14:textFill>
                  <w14:solidFill>
                    <w14:schemeClr w14:val="tx1"/>
                  </w14:solidFill>
                </w14:textFill>
              </w:rPr>
              <w:t>13</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一体机</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台</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keepNext w:val="0"/>
              <w:keepLines w:val="0"/>
              <w:widowControl/>
              <w:suppressLineNumbers w:val="0"/>
              <w:jc w:val="center"/>
              <w:textAlignment w:val="center"/>
              <w:rPr>
                <w:rFonts w:hint="default" w:ascii="Tahoma" w:hAnsi="Tahoma" w:cs="Tahoma"/>
                <w:color w:val="000000" w:themeColor="text1"/>
                <w:kern w:val="2"/>
                <w:sz w:val="21"/>
                <w:szCs w:val="21"/>
                <w:highlight w:val="none"/>
                <w:lang w:val="en-US" w:eastAsia="zh-CN" w:bidi="ar-SA"/>
                <w14:textFill>
                  <w14:solidFill>
                    <w14:schemeClr w14:val="tx1"/>
                  </w14:solidFill>
                </w14:textFill>
              </w:rPr>
            </w:pPr>
            <w:r>
              <w:rPr>
                <w:rFonts w:hint="default" w:ascii="Tahoma" w:hAnsi="Tahoma" w:eastAsia="宋体" w:cs="Tahoma"/>
                <w:i w:val="0"/>
                <w:iCs w:val="0"/>
                <w:color w:val="000000" w:themeColor="text1"/>
                <w:kern w:val="0"/>
                <w:sz w:val="22"/>
                <w:szCs w:val="22"/>
                <w:highlight w:val="none"/>
                <w:u w:val="none"/>
                <w:lang w:val="en-US" w:eastAsia="zh-CN" w:bidi="ar"/>
                <w14:textFill>
                  <w14:solidFill>
                    <w14:schemeClr w14:val="tx1"/>
                  </w14:solidFill>
                </w14:textFill>
              </w:rPr>
              <w:t>14</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激光打印机</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台</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keepNext w:val="0"/>
              <w:keepLines w:val="0"/>
              <w:widowControl/>
              <w:suppressLineNumbers w:val="0"/>
              <w:jc w:val="center"/>
              <w:textAlignment w:val="center"/>
              <w:rPr>
                <w:rFonts w:hint="default" w:ascii="Tahoma" w:hAnsi="Tahoma" w:cs="Tahoma"/>
                <w:color w:val="000000" w:themeColor="text1"/>
                <w:kern w:val="2"/>
                <w:sz w:val="21"/>
                <w:szCs w:val="21"/>
                <w:highlight w:val="none"/>
                <w:lang w:val="en-US" w:eastAsia="zh-CN" w:bidi="ar-SA"/>
                <w14:textFill>
                  <w14:solidFill>
                    <w14:schemeClr w14:val="tx1"/>
                  </w14:solidFill>
                </w14:textFill>
              </w:rPr>
            </w:pPr>
            <w:r>
              <w:rPr>
                <w:rFonts w:hint="default" w:ascii="Tahoma" w:hAnsi="Tahoma" w:eastAsia="宋体" w:cs="Tahoma"/>
                <w:i w:val="0"/>
                <w:iCs w:val="0"/>
                <w:color w:val="000000" w:themeColor="text1"/>
                <w:kern w:val="0"/>
                <w:sz w:val="22"/>
                <w:szCs w:val="22"/>
                <w:highlight w:val="none"/>
                <w:u w:val="none"/>
                <w:lang w:val="en-US" w:eastAsia="zh-CN" w:bidi="ar"/>
                <w14:textFill>
                  <w14:solidFill>
                    <w14:schemeClr w14:val="tx1"/>
                  </w14:solidFill>
                </w14:textFill>
              </w:rPr>
              <w:t>15</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声光报警器</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个</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keepNext w:val="0"/>
              <w:keepLines w:val="0"/>
              <w:widowControl/>
              <w:suppressLineNumbers w:val="0"/>
              <w:jc w:val="center"/>
              <w:textAlignment w:val="center"/>
              <w:rPr>
                <w:rFonts w:hint="default" w:ascii="Tahoma" w:hAnsi="Tahoma" w:cs="Tahoma"/>
                <w:color w:val="000000" w:themeColor="text1"/>
                <w:kern w:val="2"/>
                <w:sz w:val="21"/>
                <w:szCs w:val="21"/>
                <w:highlight w:val="none"/>
                <w:lang w:val="en-US" w:eastAsia="zh-CN" w:bidi="ar-SA"/>
                <w14:textFill>
                  <w14:solidFill>
                    <w14:schemeClr w14:val="tx1"/>
                  </w14:solidFill>
                </w14:textFill>
              </w:rPr>
            </w:pPr>
            <w:r>
              <w:rPr>
                <w:rFonts w:hint="default" w:ascii="Tahoma" w:hAnsi="Tahoma" w:eastAsia="宋体" w:cs="Tahoma"/>
                <w:i w:val="0"/>
                <w:iCs w:val="0"/>
                <w:color w:val="000000" w:themeColor="text1"/>
                <w:kern w:val="0"/>
                <w:sz w:val="22"/>
                <w:szCs w:val="22"/>
                <w:highlight w:val="none"/>
                <w:u w:val="none"/>
                <w:lang w:val="en-US" w:eastAsia="zh-CN" w:bidi="ar"/>
                <w14:textFill>
                  <w14:solidFill>
                    <w14:schemeClr w14:val="tx1"/>
                  </w14:solidFill>
                </w14:textFill>
              </w:rPr>
              <w:t>16</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流量卡</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套</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20</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keepNext w:val="0"/>
              <w:keepLines w:val="0"/>
              <w:widowControl/>
              <w:suppressLineNumbers w:val="0"/>
              <w:jc w:val="center"/>
              <w:textAlignment w:val="center"/>
              <w:rPr>
                <w:rFonts w:hint="default" w:ascii="Tahoma" w:hAnsi="Tahoma" w:cs="Tahoma"/>
                <w:color w:val="000000" w:themeColor="text1"/>
                <w:kern w:val="2"/>
                <w:sz w:val="21"/>
                <w:szCs w:val="21"/>
                <w:highlight w:val="none"/>
                <w:lang w:val="en-US" w:eastAsia="zh-CN" w:bidi="ar-SA"/>
                <w14:textFill>
                  <w14:solidFill>
                    <w14:schemeClr w14:val="tx1"/>
                  </w14:solidFill>
                </w14:textFill>
              </w:rPr>
            </w:pPr>
            <w:r>
              <w:rPr>
                <w:rFonts w:hint="default" w:ascii="Tahoma" w:hAnsi="Tahoma" w:eastAsia="宋体" w:cs="Tahoma"/>
                <w:i w:val="0"/>
                <w:iCs w:val="0"/>
                <w:color w:val="000000" w:themeColor="text1"/>
                <w:kern w:val="0"/>
                <w:sz w:val="22"/>
                <w:szCs w:val="22"/>
                <w:highlight w:val="none"/>
                <w:u w:val="none"/>
                <w:lang w:val="en-US" w:eastAsia="zh-CN" w:bidi="ar"/>
                <w14:textFill>
                  <w14:solidFill>
                    <w14:schemeClr w14:val="tx1"/>
                  </w14:solidFill>
                </w14:textFill>
              </w:rPr>
              <w:t>17</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平板电脑</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台</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40</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keepNext w:val="0"/>
              <w:keepLines w:val="0"/>
              <w:widowControl/>
              <w:suppressLineNumbers w:val="0"/>
              <w:jc w:val="center"/>
              <w:textAlignment w:val="center"/>
              <w:rPr>
                <w:rFonts w:hint="default" w:ascii="Tahoma" w:hAnsi="Tahoma" w:eastAsia="宋体" w:cs="Tahoma"/>
                <w:color w:val="000000" w:themeColor="text1"/>
                <w:kern w:val="2"/>
                <w:sz w:val="21"/>
                <w:szCs w:val="21"/>
                <w:highlight w:val="none"/>
                <w:lang w:val="en-US" w:eastAsia="zh-CN" w:bidi="ar-SA"/>
                <w14:textFill>
                  <w14:solidFill>
                    <w14:schemeClr w14:val="tx1"/>
                  </w14:solidFill>
                </w14:textFill>
              </w:rPr>
            </w:pPr>
            <w:r>
              <w:rPr>
                <w:rFonts w:hint="default" w:ascii="Tahoma" w:hAnsi="Tahoma" w:eastAsia="宋体" w:cs="Tahoma"/>
                <w:i w:val="0"/>
                <w:iCs w:val="0"/>
                <w:color w:val="000000" w:themeColor="text1"/>
                <w:kern w:val="0"/>
                <w:sz w:val="22"/>
                <w:szCs w:val="22"/>
                <w:highlight w:val="none"/>
                <w:u w:val="none"/>
                <w:lang w:val="en-US" w:eastAsia="zh-CN" w:bidi="ar"/>
                <w14:textFill>
                  <w14:solidFill>
                    <w14:schemeClr w14:val="tx1"/>
                  </w14:solidFill>
                </w14:textFill>
              </w:rPr>
              <w:t>18</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采集设备</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台</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20</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keepNext w:val="0"/>
              <w:keepLines w:val="0"/>
              <w:widowControl/>
              <w:suppressLineNumbers w:val="0"/>
              <w:jc w:val="center"/>
              <w:textAlignment w:val="center"/>
              <w:rPr>
                <w:rFonts w:hint="default" w:ascii="Tahoma" w:hAnsi="Tahoma" w:eastAsia="宋体" w:cs="Tahoma"/>
                <w:color w:val="000000" w:themeColor="text1"/>
                <w:kern w:val="2"/>
                <w:sz w:val="21"/>
                <w:szCs w:val="21"/>
                <w:highlight w:val="none"/>
                <w:lang w:val="en-US" w:eastAsia="zh-CN" w:bidi="ar-SA"/>
                <w14:textFill>
                  <w14:solidFill>
                    <w14:schemeClr w14:val="tx1"/>
                  </w14:solidFill>
                </w14:textFill>
              </w:rPr>
            </w:pPr>
            <w:r>
              <w:rPr>
                <w:rFonts w:hint="default" w:ascii="Tahoma" w:hAnsi="Tahoma" w:eastAsia="宋体" w:cs="Tahoma"/>
                <w:i w:val="0"/>
                <w:iCs w:val="0"/>
                <w:color w:val="000000" w:themeColor="text1"/>
                <w:kern w:val="0"/>
                <w:sz w:val="22"/>
                <w:szCs w:val="22"/>
                <w:highlight w:val="none"/>
                <w:u w:val="none"/>
                <w:lang w:val="en-US" w:eastAsia="zh-CN" w:bidi="ar"/>
                <w14:textFill>
                  <w14:solidFill>
                    <w14:schemeClr w14:val="tx1"/>
                  </w14:solidFill>
                </w14:textFill>
              </w:rPr>
              <w:t>19</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车载GPS</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个</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20</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keepNext w:val="0"/>
              <w:keepLines w:val="0"/>
              <w:widowControl/>
              <w:suppressLineNumbers w:val="0"/>
              <w:jc w:val="center"/>
              <w:textAlignment w:val="center"/>
              <w:rPr>
                <w:rFonts w:hint="default" w:ascii="Tahoma" w:hAnsi="Tahoma" w:eastAsia="宋体" w:cs="Tahoma"/>
                <w:color w:val="000000" w:themeColor="text1"/>
                <w:kern w:val="2"/>
                <w:sz w:val="21"/>
                <w:szCs w:val="21"/>
                <w:highlight w:val="none"/>
                <w:lang w:val="en-US" w:eastAsia="zh-CN" w:bidi="ar-SA"/>
                <w14:textFill>
                  <w14:solidFill>
                    <w14:schemeClr w14:val="tx1"/>
                  </w14:solidFill>
                </w14:textFill>
              </w:rPr>
            </w:pPr>
            <w:r>
              <w:rPr>
                <w:rFonts w:hint="default" w:ascii="Tahoma" w:hAnsi="Tahoma" w:eastAsia="宋体" w:cs="Tahoma"/>
                <w:i w:val="0"/>
                <w:iCs w:val="0"/>
                <w:color w:val="000000" w:themeColor="text1"/>
                <w:kern w:val="0"/>
                <w:sz w:val="22"/>
                <w:szCs w:val="22"/>
                <w:highlight w:val="none"/>
                <w:u w:val="none"/>
                <w:lang w:val="en-US" w:eastAsia="zh-CN" w:bidi="ar"/>
                <w14:textFill>
                  <w14:solidFill>
                    <w14:schemeClr w14:val="tx1"/>
                  </w14:solidFill>
                </w14:textFill>
              </w:rPr>
              <w:t>20</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车辆改造费</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套</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20</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keepNext w:val="0"/>
              <w:keepLines w:val="0"/>
              <w:widowControl/>
              <w:suppressLineNumbers w:val="0"/>
              <w:jc w:val="center"/>
              <w:textAlignment w:val="center"/>
              <w:rPr>
                <w:rFonts w:hint="default" w:ascii="Tahoma" w:hAnsi="Tahoma" w:eastAsia="宋体" w:cs="Tahoma"/>
                <w:color w:val="000000" w:themeColor="text1"/>
                <w:kern w:val="2"/>
                <w:sz w:val="21"/>
                <w:szCs w:val="21"/>
                <w:highlight w:val="none"/>
                <w:lang w:val="en-US" w:eastAsia="zh-CN" w:bidi="ar-SA"/>
                <w14:textFill>
                  <w14:solidFill>
                    <w14:schemeClr w14:val="tx1"/>
                  </w14:solidFill>
                </w14:textFill>
              </w:rPr>
            </w:pPr>
            <w:r>
              <w:rPr>
                <w:rFonts w:hint="default" w:ascii="Tahoma" w:hAnsi="Tahoma" w:eastAsia="宋体" w:cs="Tahoma"/>
                <w:i w:val="0"/>
                <w:iCs w:val="0"/>
                <w:color w:val="000000" w:themeColor="text1"/>
                <w:kern w:val="0"/>
                <w:sz w:val="22"/>
                <w:szCs w:val="22"/>
                <w:highlight w:val="none"/>
                <w:u w:val="none"/>
                <w:lang w:val="en-US" w:eastAsia="zh-CN" w:bidi="ar"/>
                <w14:textFill>
                  <w14:solidFill>
                    <w14:schemeClr w14:val="tx1"/>
                  </w14:solidFill>
                </w14:textFill>
              </w:rPr>
              <w:t>21</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车载录像机</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台</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20</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keepNext w:val="0"/>
              <w:keepLines w:val="0"/>
              <w:widowControl/>
              <w:suppressLineNumbers w:val="0"/>
              <w:jc w:val="center"/>
              <w:textAlignment w:val="center"/>
              <w:rPr>
                <w:rFonts w:hint="default" w:ascii="Tahoma" w:hAnsi="Tahoma" w:eastAsia="宋体" w:cs="Tahoma"/>
                <w:color w:val="000000" w:themeColor="text1"/>
                <w:kern w:val="2"/>
                <w:sz w:val="21"/>
                <w:szCs w:val="21"/>
                <w:highlight w:val="none"/>
                <w:lang w:val="en-US" w:eastAsia="zh-CN" w:bidi="ar-SA"/>
                <w14:textFill>
                  <w14:solidFill>
                    <w14:schemeClr w14:val="tx1"/>
                  </w14:solidFill>
                </w14:textFill>
              </w:rPr>
            </w:pPr>
            <w:r>
              <w:rPr>
                <w:rFonts w:hint="default" w:ascii="Tahoma" w:hAnsi="Tahoma" w:eastAsia="宋体" w:cs="Tahoma"/>
                <w:i w:val="0"/>
                <w:iCs w:val="0"/>
                <w:color w:val="000000" w:themeColor="text1"/>
                <w:kern w:val="0"/>
                <w:sz w:val="22"/>
                <w:szCs w:val="22"/>
                <w:highlight w:val="none"/>
                <w:u w:val="none"/>
                <w:lang w:val="en-US" w:eastAsia="zh-CN" w:bidi="ar"/>
                <w14:textFill>
                  <w14:solidFill>
                    <w14:schemeClr w14:val="tx1"/>
                  </w14:solidFill>
                </w14:textFill>
              </w:rPr>
              <w:t>22</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车载硬盘2T</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台</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20</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keepNext w:val="0"/>
              <w:keepLines w:val="0"/>
              <w:widowControl/>
              <w:suppressLineNumbers w:val="0"/>
              <w:jc w:val="center"/>
              <w:textAlignment w:val="center"/>
              <w:rPr>
                <w:rFonts w:hint="default" w:ascii="Tahoma" w:hAnsi="Tahoma" w:eastAsia="宋体" w:cs="Tahoma"/>
                <w:color w:val="000000" w:themeColor="text1"/>
                <w:kern w:val="2"/>
                <w:sz w:val="21"/>
                <w:szCs w:val="21"/>
                <w:highlight w:val="none"/>
                <w:lang w:val="en-US" w:eastAsia="zh-CN" w:bidi="ar-SA"/>
                <w14:textFill>
                  <w14:solidFill>
                    <w14:schemeClr w14:val="tx1"/>
                  </w14:solidFill>
                </w14:textFill>
              </w:rPr>
            </w:pPr>
            <w:r>
              <w:rPr>
                <w:rFonts w:hint="default" w:ascii="Tahoma" w:hAnsi="Tahoma" w:eastAsia="宋体" w:cs="Tahoma"/>
                <w:i w:val="0"/>
                <w:iCs w:val="0"/>
                <w:color w:val="000000" w:themeColor="text1"/>
                <w:kern w:val="0"/>
                <w:sz w:val="22"/>
                <w:szCs w:val="22"/>
                <w:highlight w:val="none"/>
                <w:u w:val="none"/>
                <w:lang w:val="en-US" w:eastAsia="zh-CN" w:bidi="ar"/>
                <w14:textFill>
                  <w14:solidFill>
                    <w14:schemeClr w14:val="tx1"/>
                  </w14:solidFill>
                </w14:textFill>
              </w:rPr>
              <w:t>23</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车载摄像头</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台</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40</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keepNext w:val="0"/>
              <w:keepLines w:val="0"/>
              <w:widowControl/>
              <w:suppressLineNumbers w:val="0"/>
              <w:jc w:val="center"/>
              <w:textAlignment w:val="center"/>
              <w:rPr>
                <w:rFonts w:hint="default" w:ascii="Tahoma" w:hAnsi="Tahoma" w:eastAsia="宋体" w:cs="Tahoma"/>
                <w:color w:val="000000" w:themeColor="text1"/>
                <w:kern w:val="2"/>
                <w:sz w:val="21"/>
                <w:szCs w:val="21"/>
                <w:highlight w:val="none"/>
                <w:lang w:val="en-US" w:eastAsia="zh-CN" w:bidi="ar-SA"/>
                <w14:textFill>
                  <w14:solidFill>
                    <w14:schemeClr w14:val="tx1"/>
                  </w14:solidFill>
                </w14:textFill>
              </w:rPr>
            </w:pPr>
            <w:r>
              <w:rPr>
                <w:rFonts w:hint="default" w:ascii="Tahoma" w:hAnsi="Tahoma" w:eastAsia="宋体" w:cs="Tahoma"/>
                <w:i w:val="0"/>
                <w:iCs w:val="0"/>
                <w:color w:val="000000" w:themeColor="text1"/>
                <w:kern w:val="0"/>
                <w:sz w:val="22"/>
                <w:szCs w:val="22"/>
                <w:highlight w:val="none"/>
                <w:u w:val="none"/>
                <w:lang w:val="en-US" w:eastAsia="zh-CN" w:bidi="ar"/>
                <w14:textFill>
                  <w14:solidFill>
                    <w14:schemeClr w14:val="tx1"/>
                  </w14:solidFill>
                </w14:textFill>
              </w:rPr>
              <w:t>24</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车载对讲终端</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个</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20</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keepNext w:val="0"/>
              <w:keepLines w:val="0"/>
              <w:widowControl/>
              <w:suppressLineNumbers w:val="0"/>
              <w:jc w:val="center"/>
              <w:textAlignment w:val="center"/>
              <w:rPr>
                <w:rFonts w:hint="default" w:ascii="Tahoma" w:hAnsi="Tahoma" w:eastAsia="宋体" w:cs="Tahoma"/>
                <w:color w:val="000000" w:themeColor="text1"/>
                <w:kern w:val="2"/>
                <w:sz w:val="21"/>
                <w:szCs w:val="21"/>
                <w:highlight w:val="none"/>
                <w:lang w:val="en-US" w:eastAsia="zh-CN" w:bidi="ar-SA"/>
                <w14:textFill>
                  <w14:solidFill>
                    <w14:schemeClr w14:val="tx1"/>
                  </w14:solidFill>
                </w14:textFill>
              </w:rPr>
            </w:pPr>
            <w:r>
              <w:rPr>
                <w:rFonts w:hint="default" w:ascii="Tahoma" w:hAnsi="Tahoma" w:eastAsia="宋体" w:cs="Tahoma"/>
                <w:i w:val="0"/>
                <w:iCs w:val="0"/>
                <w:color w:val="000000" w:themeColor="text1"/>
                <w:kern w:val="0"/>
                <w:sz w:val="22"/>
                <w:szCs w:val="22"/>
                <w:highlight w:val="none"/>
                <w:u w:val="none"/>
                <w:lang w:val="en-US" w:eastAsia="zh-CN" w:bidi="ar"/>
                <w14:textFill>
                  <w14:solidFill>
                    <w14:schemeClr w14:val="tx1"/>
                  </w14:solidFill>
                </w14:textFill>
              </w:rPr>
              <w:t>25</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车载监控平台</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台</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keepNext w:val="0"/>
              <w:keepLines w:val="0"/>
              <w:widowControl/>
              <w:suppressLineNumbers w:val="0"/>
              <w:jc w:val="center"/>
              <w:textAlignment w:val="center"/>
              <w:rPr>
                <w:rFonts w:hint="default" w:ascii="Tahoma" w:hAnsi="Tahoma" w:eastAsia="宋体" w:cs="Tahoma"/>
                <w:color w:val="000000" w:themeColor="text1"/>
                <w:kern w:val="2"/>
                <w:sz w:val="21"/>
                <w:szCs w:val="21"/>
                <w:highlight w:val="none"/>
                <w:lang w:val="en-US" w:eastAsia="zh-CN" w:bidi="ar-SA"/>
                <w14:textFill>
                  <w14:solidFill>
                    <w14:schemeClr w14:val="tx1"/>
                  </w14:solidFill>
                </w14:textFill>
              </w:rPr>
            </w:pPr>
            <w:r>
              <w:rPr>
                <w:rFonts w:hint="default" w:ascii="Tahoma" w:hAnsi="Tahoma" w:eastAsia="宋体" w:cs="Tahoma"/>
                <w:i w:val="0"/>
                <w:iCs w:val="0"/>
                <w:color w:val="000000" w:themeColor="text1"/>
                <w:kern w:val="0"/>
                <w:sz w:val="22"/>
                <w:szCs w:val="22"/>
                <w:highlight w:val="none"/>
                <w:u w:val="none"/>
                <w:lang w:val="en-US" w:eastAsia="zh-CN" w:bidi="ar"/>
                <w14:textFill>
                  <w14:solidFill>
                    <w14:schemeClr w14:val="tx1"/>
                  </w14:solidFill>
                </w14:textFill>
              </w:rPr>
              <w:t>26</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平台硬件服务器</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台</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keepNext w:val="0"/>
              <w:keepLines w:val="0"/>
              <w:widowControl/>
              <w:suppressLineNumbers w:val="0"/>
              <w:jc w:val="center"/>
              <w:textAlignment w:val="center"/>
              <w:rPr>
                <w:rFonts w:hint="default" w:ascii="Tahoma" w:hAnsi="Tahoma" w:eastAsia="宋体" w:cs="Tahoma"/>
                <w:color w:val="000000" w:themeColor="text1"/>
                <w:kern w:val="2"/>
                <w:sz w:val="21"/>
                <w:szCs w:val="21"/>
                <w:highlight w:val="none"/>
                <w:lang w:val="en-US" w:eastAsia="zh-CN" w:bidi="ar-SA"/>
                <w14:textFill>
                  <w14:solidFill>
                    <w14:schemeClr w14:val="tx1"/>
                  </w14:solidFill>
                </w14:textFill>
              </w:rPr>
            </w:pPr>
            <w:r>
              <w:rPr>
                <w:rFonts w:hint="default" w:ascii="Tahoma" w:hAnsi="Tahoma" w:eastAsia="宋体" w:cs="Tahoma"/>
                <w:i w:val="0"/>
                <w:iCs w:val="0"/>
                <w:color w:val="000000" w:themeColor="text1"/>
                <w:kern w:val="0"/>
                <w:sz w:val="22"/>
                <w:szCs w:val="22"/>
                <w:highlight w:val="none"/>
                <w:u w:val="none"/>
                <w:lang w:val="en-US" w:eastAsia="zh-CN" w:bidi="ar"/>
                <w14:textFill>
                  <w14:solidFill>
                    <w14:schemeClr w14:val="tx1"/>
                  </w14:solidFill>
                </w14:textFill>
              </w:rPr>
              <w:t>27</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嵌入式高清解码器整机</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套</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keepNext w:val="0"/>
              <w:keepLines w:val="0"/>
              <w:widowControl/>
              <w:suppressLineNumbers w:val="0"/>
              <w:jc w:val="center"/>
              <w:textAlignment w:val="center"/>
              <w:rPr>
                <w:rFonts w:hint="default" w:ascii="Tahoma" w:hAnsi="Tahoma" w:eastAsia="宋体" w:cs="Tahoma"/>
                <w:color w:val="000000" w:themeColor="text1"/>
                <w:kern w:val="2"/>
                <w:sz w:val="21"/>
                <w:szCs w:val="21"/>
                <w:highlight w:val="none"/>
                <w:lang w:val="en-US" w:eastAsia="zh-CN" w:bidi="ar-SA"/>
                <w14:textFill>
                  <w14:solidFill>
                    <w14:schemeClr w14:val="tx1"/>
                  </w14:solidFill>
                </w14:textFill>
              </w:rPr>
            </w:pPr>
            <w:r>
              <w:rPr>
                <w:rFonts w:hint="default" w:ascii="Tahoma" w:hAnsi="Tahoma" w:eastAsia="宋体" w:cs="Tahoma"/>
                <w:i w:val="0"/>
                <w:iCs w:val="0"/>
                <w:color w:val="000000" w:themeColor="text1"/>
                <w:kern w:val="0"/>
                <w:sz w:val="22"/>
                <w:szCs w:val="22"/>
                <w:highlight w:val="none"/>
                <w:u w:val="none"/>
                <w:lang w:val="en-US" w:eastAsia="zh-CN" w:bidi="ar"/>
                <w14:textFill>
                  <w14:solidFill>
                    <w14:schemeClr w14:val="tx1"/>
                  </w14:solidFill>
                </w14:textFill>
              </w:rPr>
              <w:t>28</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车载专用线</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套</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20</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keepNext w:val="0"/>
              <w:keepLines w:val="0"/>
              <w:widowControl/>
              <w:suppressLineNumbers w:val="0"/>
              <w:jc w:val="center"/>
              <w:textAlignment w:val="center"/>
              <w:rPr>
                <w:rFonts w:hint="default" w:ascii="Tahoma" w:hAnsi="Tahoma" w:eastAsia="宋体" w:cs="Tahoma"/>
                <w:color w:val="000000" w:themeColor="text1"/>
                <w:kern w:val="2"/>
                <w:sz w:val="21"/>
                <w:szCs w:val="21"/>
                <w:highlight w:val="none"/>
                <w:lang w:val="en-US" w:eastAsia="zh-CN" w:bidi="ar-SA"/>
                <w14:textFill>
                  <w14:solidFill>
                    <w14:schemeClr w14:val="tx1"/>
                  </w14:solidFill>
                </w14:textFill>
              </w:rPr>
            </w:pPr>
            <w:r>
              <w:rPr>
                <w:rFonts w:hint="default" w:ascii="Tahoma" w:hAnsi="Tahoma" w:eastAsia="宋体" w:cs="Tahoma"/>
                <w:i w:val="0"/>
                <w:iCs w:val="0"/>
                <w:color w:val="000000" w:themeColor="text1"/>
                <w:kern w:val="0"/>
                <w:sz w:val="22"/>
                <w:szCs w:val="22"/>
                <w:highlight w:val="none"/>
                <w:u w:val="none"/>
                <w:lang w:val="en-US" w:eastAsia="zh-CN" w:bidi="ar"/>
                <w14:textFill>
                  <w14:solidFill>
                    <w14:schemeClr w14:val="tx1"/>
                  </w14:solidFill>
                </w14:textFill>
              </w:rPr>
              <w:t>29</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车载专用线</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套</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20</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keepNext w:val="0"/>
              <w:keepLines w:val="0"/>
              <w:widowControl/>
              <w:suppressLineNumbers w:val="0"/>
              <w:jc w:val="center"/>
              <w:textAlignment w:val="center"/>
              <w:rPr>
                <w:rFonts w:hint="default" w:ascii="Tahoma" w:hAnsi="Tahoma" w:eastAsia="宋体" w:cs="Tahoma"/>
                <w:color w:val="000000" w:themeColor="text1"/>
                <w:kern w:val="2"/>
                <w:sz w:val="21"/>
                <w:szCs w:val="21"/>
                <w:highlight w:val="none"/>
                <w:lang w:val="en-US" w:eastAsia="zh-CN" w:bidi="ar-SA"/>
                <w14:textFill>
                  <w14:solidFill>
                    <w14:schemeClr w14:val="tx1"/>
                  </w14:solidFill>
                </w14:textFill>
              </w:rPr>
            </w:pPr>
            <w:r>
              <w:rPr>
                <w:rFonts w:hint="default" w:ascii="Tahoma" w:hAnsi="Tahoma" w:eastAsia="宋体" w:cs="Tahoma"/>
                <w:i w:val="0"/>
                <w:iCs w:val="0"/>
                <w:color w:val="000000" w:themeColor="text1"/>
                <w:kern w:val="0"/>
                <w:sz w:val="22"/>
                <w:szCs w:val="22"/>
                <w:highlight w:val="none"/>
                <w:u w:val="none"/>
                <w:lang w:val="en-US" w:eastAsia="zh-CN" w:bidi="ar"/>
                <w14:textFill>
                  <w14:solidFill>
                    <w14:schemeClr w14:val="tx1"/>
                  </w14:solidFill>
                </w14:textFill>
              </w:rPr>
              <w:t>30</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装修服务</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keepNext w:val="0"/>
              <w:keepLines w:val="0"/>
              <w:widowControl/>
              <w:suppressLineNumbers w:val="0"/>
              <w:jc w:val="center"/>
              <w:textAlignment w:val="center"/>
              <w:rPr>
                <w:rFonts w:hint="default" w:ascii="Tahoma" w:hAnsi="Tahoma" w:cs="Tahoma"/>
                <w:color w:val="000000" w:themeColor="text1"/>
                <w:kern w:val="2"/>
                <w:sz w:val="21"/>
                <w:szCs w:val="21"/>
                <w:highlight w:val="none"/>
                <w:lang w:val="en-US" w:eastAsia="zh-CN" w:bidi="ar-SA"/>
                <w14:textFill>
                  <w14:solidFill>
                    <w14:schemeClr w14:val="tx1"/>
                  </w14:solidFill>
                </w14:textFill>
              </w:rPr>
            </w:pPr>
            <w:r>
              <w:rPr>
                <w:rFonts w:hint="default" w:ascii="Tahoma" w:hAnsi="Tahoma" w:eastAsia="宋体" w:cs="Tahoma"/>
                <w:i w:val="0"/>
                <w:iCs w:val="0"/>
                <w:color w:val="000000" w:themeColor="text1"/>
                <w:kern w:val="0"/>
                <w:sz w:val="22"/>
                <w:szCs w:val="22"/>
                <w:highlight w:val="none"/>
                <w:u w:val="none"/>
                <w:lang w:val="en-US" w:eastAsia="zh-CN" w:bidi="ar"/>
                <w14:textFill>
                  <w14:solidFill>
                    <w14:schemeClr w14:val="tx1"/>
                  </w14:solidFill>
                </w14:textFill>
              </w:rPr>
              <w:t>31</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桌椅</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套</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w:t>
            </w:r>
          </w:p>
        </w:tc>
        <w:tc>
          <w:tcPr>
            <w:tcW w:w="1052"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keepNext w:val="0"/>
              <w:keepLines w:val="0"/>
              <w:widowControl/>
              <w:suppressLineNumbers w:val="0"/>
              <w:jc w:val="center"/>
              <w:textAlignment w:val="center"/>
              <w:rPr>
                <w:rFonts w:hint="default" w:ascii="Tahoma" w:hAnsi="Tahoma" w:cs="Tahoma"/>
                <w:color w:val="000000" w:themeColor="text1"/>
                <w:kern w:val="2"/>
                <w:sz w:val="21"/>
                <w:szCs w:val="21"/>
                <w:highlight w:val="none"/>
                <w:lang w:val="en-US" w:eastAsia="zh-CN" w:bidi="ar-SA"/>
                <w14:textFill>
                  <w14:solidFill>
                    <w14:schemeClr w14:val="tx1"/>
                  </w14:solidFill>
                </w14:textFill>
              </w:rPr>
            </w:pPr>
            <w:r>
              <w:rPr>
                <w:rFonts w:hint="default" w:ascii="Tahoma" w:hAnsi="Tahoma" w:eastAsia="宋体" w:cs="Tahoma"/>
                <w:i w:val="0"/>
                <w:iCs w:val="0"/>
                <w:color w:val="000000" w:themeColor="text1"/>
                <w:kern w:val="0"/>
                <w:sz w:val="22"/>
                <w:szCs w:val="22"/>
                <w:highlight w:val="none"/>
                <w:u w:val="none"/>
                <w:lang w:val="en-US" w:eastAsia="zh-CN" w:bidi="ar"/>
                <w14:textFill>
                  <w14:solidFill>
                    <w14:schemeClr w14:val="tx1"/>
                  </w14:solidFill>
                </w14:textFill>
              </w:rPr>
              <w:t>32</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空调</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套</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keepNext w:val="0"/>
              <w:keepLines w:val="0"/>
              <w:widowControl/>
              <w:suppressLineNumbers w:val="0"/>
              <w:jc w:val="center"/>
              <w:textAlignment w:val="center"/>
              <w:rPr>
                <w:rFonts w:hint="default" w:ascii="Tahoma" w:hAnsi="Tahoma" w:cs="Tahoma"/>
                <w:color w:val="000000" w:themeColor="text1"/>
                <w:kern w:val="2"/>
                <w:sz w:val="21"/>
                <w:szCs w:val="21"/>
                <w:highlight w:val="none"/>
                <w:lang w:val="en-US" w:eastAsia="zh-CN" w:bidi="ar-SA"/>
                <w14:textFill>
                  <w14:solidFill>
                    <w14:schemeClr w14:val="tx1"/>
                  </w14:solidFill>
                </w14:textFill>
              </w:rPr>
            </w:pPr>
            <w:r>
              <w:rPr>
                <w:rFonts w:hint="default" w:ascii="Tahoma" w:hAnsi="Tahoma" w:eastAsia="宋体" w:cs="Tahoma"/>
                <w:i w:val="0"/>
                <w:iCs w:val="0"/>
                <w:color w:val="000000" w:themeColor="text1"/>
                <w:kern w:val="0"/>
                <w:sz w:val="22"/>
                <w:szCs w:val="22"/>
                <w:highlight w:val="none"/>
                <w:u w:val="none"/>
                <w:lang w:val="en-US" w:eastAsia="zh-CN" w:bidi="ar"/>
                <w14:textFill>
                  <w14:solidFill>
                    <w14:schemeClr w14:val="tx1"/>
                  </w14:solidFill>
                </w14:textFill>
              </w:rPr>
              <w:t>33</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空调</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台</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keepNext w:val="0"/>
              <w:keepLines w:val="0"/>
              <w:widowControl/>
              <w:suppressLineNumbers w:val="0"/>
              <w:jc w:val="center"/>
              <w:textAlignment w:val="center"/>
              <w:rPr>
                <w:rFonts w:hint="default" w:ascii="Tahoma" w:hAnsi="Tahoma" w:cs="Tahoma"/>
                <w:color w:val="000000" w:themeColor="text1"/>
                <w:kern w:val="2"/>
                <w:sz w:val="21"/>
                <w:szCs w:val="21"/>
                <w:highlight w:val="none"/>
                <w:lang w:val="en-US" w:eastAsia="zh-CN" w:bidi="ar-SA"/>
                <w14:textFill>
                  <w14:solidFill>
                    <w14:schemeClr w14:val="tx1"/>
                  </w14:solidFill>
                </w14:textFill>
              </w:rPr>
            </w:pPr>
            <w:r>
              <w:rPr>
                <w:rFonts w:hint="default" w:ascii="Tahoma" w:hAnsi="Tahoma" w:eastAsia="宋体" w:cs="Tahoma"/>
                <w:i w:val="0"/>
                <w:iCs w:val="0"/>
                <w:color w:val="000000" w:themeColor="text1"/>
                <w:kern w:val="0"/>
                <w:sz w:val="22"/>
                <w:szCs w:val="22"/>
                <w:highlight w:val="none"/>
                <w:u w:val="none"/>
                <w:lang w:val="en-US" w:eastAsia="zh-CN" w:bidi="ar"/>
                <w14:textFill>
                  <w14:solidFill>
                    <w14:schemeClr w14:val="tx1"/>
                  </w14:solidFill>
                </w14:textFill>
              </w:rPr>
              <w:t>34</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配电箱</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keepNext w:val="0"/>
              <w:keepLines w:val="0"/>
              <w:widowControl/>
              <w:suppressLineNumbers w:val="0"/>
              <w:jc w:val="center"/>
              <w:textAlignment w:val="center"/>
              <w:rPr>
                <w:rFonts w:hint="default" w:ascii="Tahoma" w:hAnsi="Tahoma" w:cs="Tahoma"/>
                <w:color w:val="000000" w:themeColor="text1"/>
                <w:kern w:val="2"/>
                <w:sz w:val="21"/>
                <w:szCs w:val="21"/>
                <w:highlight w:val="none"/>
                <w:lang w:val="en-US" w:eastAsia="zh-CN" w:bidi="ar-SA"/>
                <w14:textFill>
                  <w14:solidFill>
                    <w14:schemeClr w14:val="tx1"/>
                  </w14:solidFill>
                </w14:textFill>
              </w:rPr>
            </w:pPr>
            <w:r>
              <w:rPr>
                <w:rFonts w:hint="default" w:ascii="Tahoma" w:hAnsi="Tahoma" w:eastAsia="宋体" w:cs="Tahoma"/>
                <w:i w:val="0"/>
                <w:iCs w:val="0"/>
                <w:color w:val="000000" w:themeColor="text1"/>
                <w:kern w:val="0"/>
                <w:sz w:val="22"/>
                <w:szCs w:val="22"/>
                <w:highlight w:val="none"/>
                <w:u w:val="none"/>
                <w:lang w:val="en-US" w:eastAsia="zh-CN" w:bidi="ar"/>
                <w14:textFill>
                  <w14:solidFill>
                    <w14:schemeClr w14:val="tx1"/>
                  </w14:solidFill>
                </w14:textFill>
              </w:rPr>
              <w:t>35</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机柜</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套</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keepNext w:val="0"/>
              <w:keepLines w:val="0"/>
              <w:widowControl/>
              <w:suppressLineNumbers w:val="0"/>
              <w:jc w:val="center"/>
              <w:textAlignment w:val="center"/>
              <w:rPr>
                <w:rFonts w:hint="default" w:ascii="Tahoma" w:hAnsi="Tahoma" w:cs="Tahoma"/>
                <w:color w:val="000000" w:themeColor="text1"/>
                <w:kern w:val="2"/>
                <w:sz w:val="21"/>
                <w:szCs w:val="21"/>
                <w:highlight w:val="none"/>
                <w:lang w:val="en-US" w:eastAsia="zh-CN" w:bidi="ar-SA"/>
                <w14:textFill>
                  <w14:solidFill>
                    <w14:schemeClr w14:val="tx1"/>
                  </w14:solidFill>
                </w14:textFill>
              </w:rPr>
            </w:pPr>
            <w:r>
              <w:rPr>
                <w:rFonts w:hint="default" w:ascii="Tahoma" w:hAnsi="Tahoma" w:eastAsia="宋体" w:cs="Tahoma"/>
                <w:i w:val="0"/>
                <w:iCs w:val="0"/>
                <w:color w:val="000000" w:themeColor="text1"/>
                <w:kern w:val="0"/>
                <w:sz w:val="22"/>
                <w:szCs w:val="22"/>
                <w:highlight w:val="none"/>
                <w:u w:val="none"/>
                <w:lang w:val="en-US" w:eastAsia="zh-CN" w:bidi="ar"/>
                <w14:textFill>
                  <w14:solidFill>
                    <w14:schemeClr w14:val="tx1"/>
                  </w14:solidFill>
                </w14:textFill>
              </w:rPr>
              <w:t>36</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备用电源</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套</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1052"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keepNext w:val="0"/>
              <w:keepLines w:val="0"/>
              <w:widowControl/>
              <w:suppressLineNumbers w:val="0"/>
              <w:jc w:val="center"/>
              <w:textAlignment w:val="center"/>
              <w:rPr>
                <w:rFonts w:hint="default" w:ascii="Tahoma" w:hAnsi="Tahoma" w:cs="Tahoma"/>
                <w:color w:val="000000" w:themeColor="text1"/>
                <w:kern w:val="2"/>
                <w:sz w:val="21"/>
                <w:szCs w:val="21"/>
                <w:highlight w:val="none"/>
                <w:lang w:val="en-US" w:eastAsia="zh-CN" w:bidi="ar-SA"/>
                <w14:textFill>
                  <w14:solidFill>
                    <w14:schemeClr w14:val="tx1"/>
                  </w14:solidFill>
                </w14:textFill>
              </w:rPr>
            </w:pPr>
            <w:r>
              <w:rPr>
                <w:rFonts w:hint="default" w:ascii="Tahoma" w:hAnsi="Tahoma" w:eastAsia="宋体" w:cs="Tahoma"/>
                <w:i w:val="0"/>
                <w:iCs w:val="0"/>
                <w:color w:val="000000" w:themeColor="text1"/>
                <w:kern w:val="0"/>
                <w:sz w:val="22"/>
                <w:szCs w:val="22"/>
                <w:highlight w:val="none"/>
                <w:u w:val="none"/>
                <w:lang w:val="en-US" w:eastAsia="zh-CN" w:bidi="ar"/>
                <w14:textFill>
                  <w14:solidFill>
                    <w14:schemeClr w14:val="tx1"/>
                  </w14:solidFill>
                </w14:textFill>
              </w:rPr>
              <w:t>37</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技术服务</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套</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keepNext w:val="0"/>
              <w:keepLines w:val="0"/>
              <w:widowControl/>
              <w:suppressLineNumbers w:val="0"/>
              <w:jc w:val="center"/>
              <w:textAlignment w:val="center"/>
              <w:rPr>
                <w:rFonts w:hint="default" w:ascii="Tahoma" w:hAnsi="Tahoma" w:cs="Tahoma"/>
                <w:color w:val="000000" w:themeColor="text1"/>
                <w:kern w:val="2"/>
                <w:sz w:val="21"/>
                <w:szCs w:val="21"/>
                <w:highlight w:val="none"/>
                <w:lang w:val="en-US" w:eastAsia="zh-CN" w:bidi="ar-SA"/>
                <w14:textFill>
                  <w14:solidFill>
                    <w14:schemeClr w14:val="tx1"/>
                  </w14:solidFill>
                </w14:textFill>
              </w:rPr>
            </w:pPr>
            <w:r>
              <w:rPr>
                <w:rFonts w:hint="default" w:ascii="Tahoma" w:hAnsi="Tahoma" w:eastAsia="宋体" w:cs="Tahoma"/>
                <w:i w:val="0"/>
                <w:iCs w:val="0"/>
                <w:color w:val="000000" w:themeColor="text1"/>
                <w:kern w:val="0"/>
                <w:sz w:val="22"/>
                <w:szCs w:val="22"/>
                <w:highlight w:val="none"/>
                <w:u w:val="none"/>
                <w:lang w:val="en-US" w:eastAsia="zh-CN" w:bidi="ar"/>
                <w14:textFill>
                  <w14:solidFill>
                    <w14:schemeClr w14:val="tx1"/>
                  </w14:solidFill>
                </w14:textFill>
              </w:rPr>
              <w:t>38</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消防设备</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套</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bl>
    <w:p>
      <w:pPr>
        <w:pStyle w:val="10"/>
        <w:spacing w:line="340" w:lineRule="exact"/>
        <w:ind w:firstLine="310" w:firstLineChars="147"/>
        <w:rPr>
          <w:rFonts w:hint="eastAsia" w:ascii="黑体" w:hAnsi="黑体" w:eastAsia="黑体"/>
          <w:b/>
          <w:bCs/>
          <w:color w:val="000000" w:themeColor="text1"/>
          <w:sz w:val="21"/>
          <w:szCs w:val="21"/>
          <w:highlight w:val="none"/>
          <w14:textFill>
            <w14:solidFill>
              <w14:schemeClr w14:val="tx1"/>
            </w14:solidFill>
          </w14:textFill>
        </w:rPr>
      </w:pPr>
    </w:p>
    <w:p>
      <w:pPr>
        <w:rPr>
          <w:color w:val="000000" w:themeColor="text1"/>
          <w:highlight w:val="none"/>
          <w14:textFill>
            <w14:solidFill>
              <w14:schemeClr w14:val="tx1"/>
            </w14:solidFill>
          </w14:textFill>
        </w:rPr>
      </w:pPr>
    </w:p>
    <w:p>
      <w:pPr>
        <w:jc w:val="center"/>
        <w:rPr>
          <w:color w:val="000000" w:themeColor="text1"/>
          <w:highlight w:val="none"/>
          <w14:textFill>
            <w14:solidFill>
              <w14:schemeClr w14:val="tx1"/>
            </w14:solidFill>
          </w14:textFill>
        </w:rPr>
      </w:pPr>
    </w:p>
    <w:p>
      <w:pPr>
        <w:numPr>
          <w:ilvl w:val="0"/>
          <w:numId w:val="0"/>
        </w:numPr>
        <w:tabs>
          <w:tab w:val="left" w:pos="900"/>
        </w:tabs>
        <w:snapToGrid w:val="0"/>
        <w:spacing w:line="264" w:lineRule="auto"/>
        <w:jc w:val="left"/>
        <w:rPr>
          <w:rFonts w:hint="eastAsia" w:ascii="Tahoma" w:hAnsi="黑体" w:eastAsia="黑体" w:cs="Tahoma"/>
          <w:b/>
          <w:color w:val="000000" w:themeColor="text1"/>
          <w:sz w:val="21"/>
          <w:szCs w:val="21"/>
          <w:highlight w:val="none"/>
          <w:lang w:val="en-US" w:eastAsia="zh-CN"/>
          <w14:textFill>
            <w14:solidFill>
              <w14:schemeClr w14:val="tx1"/>
            </w14:solidFill>
          </w14:textFill>
        </w:rPr>
      </w:pPr>
      <w:bookmarkStart w:id="27" w:name="_Toc12201"/>
      <w:bookmarkStart w:id="28" w:name="_Toc32713"/>
    </w:p>
    <w:p>
      <w:pPr>
        <w:numPr>
          <w:ilvl w:val="0"/>
          <w:numId w:val="0"/>
        </w:numPr>
        <w:tabs>
          <w:tab w:val="left" w:pos="900"/>
        </w:tabs>
        <w:snapToGrid w:val="0"/>
        <w:spacing w:line="264" w:lineRule="auto"/>
        <w:jc w:val="left"/>
        <w:rPr>
          <w:rFonts w:hint="eastAsia" w:ascii="Tahoma" w:hAnsi="黑体" w:eastAsia="黑体" w:cs="Tahoma"/>
          <w:b/>
          <w:color w:val="000000" w:themeColor="text1"/>
          <w:sz w:val="21"/>
          <w:szCs w:val="21"/>
          <w:highlight w:val="none"/>
          <w:lang w:val="en-US" w:eastAsia="zh-CN"/>
          <w14:textFill>
            <w14:solidFill>
              <w14:schemeClr w14:val="tx1"/>
            </w14:solidFill>
          </w14:textFill>
        </w:rPr>
      </w:pPr>
    </w:p>
    <w:p>
      <w:pPr>
        <w:numPr>
          <w:ilvl w:val="0"/>
          <w:numId w:val="0"/>
        </w:numPr>
        <w:tabs>
          <w:tab w:val="left" w:pos="900"/>
        </w:tabs>
        <w:snapToGrid w:val="0"/>
        <w:spacing w:line="264" w:lineRule="auto"/>
        <w:jc w:val="left"/>
        <w:rPr>
          <w:rFonts w:hint="eastAsia" w:ascii="Tahoma" w:hAnsi="黑体" w:eastAsia="黑体" w:cs="Tahoma"/>
          <w:b/>
          <w:color w:val="000000" w:themeColor="text1"/>
          <w:sz w:val="21"/>
          <w:szCs w:val="21"/>
          <w:highlight w:val="none"/>
          <w:lang w:val="en-US" w:eastAsia="zh-CN"/>
          <w14:textFill>
            <w14:solidFill>
              <w14:schemeClr w14:val="tx1"/>
            </w14:solidFill>
          </w14:textFill>
        </w:rPr>
      </w:pPr>
    </w:p>
    <w:p>
      <w:pPr>
        <w:numPr>
          <w:ilvl w:val="0"/>
          <w:numId w:val="0"/>
        </w:numPr>
        <w:tabs>
          <w:tab w:val="left" w:pos="900"/>
        </w:tabs>
        <w:snapToGrid w:val="0"/>
        <w:spacing w:line="264" w:lineRule="auto"/>
        <w:jc w:val="left"/>
        <w:rPr>
          <w:rFonts w:hint="eastAsia" w:ascii="Tahoma" w:hAnsi="黑体" w:eastAsia="黑体" w:cs="Tahoma"/>
          <w:b/>
          <w:color w:val="000000" w:themeColor="text1"/>
          <w:sz w:val="21"/>
          <w:szCs w:val="21"/>
          <w:highlight w:val="none"/>
          <w:lang w:val="en-US" w:eastAsia="zh-CN"/>
          <w14:textFill>
            <w14:solidFill>
              <w14:schemeClr w14:val="tx1"/>
            </w14:solidFill>
          </w14:textFill>
        </w:rPr>
      </w:pPr>
    </w:p>
    <w:p>
      <w:pPr>
        <w:numPr>
          <w:ilvl w:val="0"/>
          <w:numId w:val="0"/>
        </w:numPr>
        <w:tabs>
          <w:tab w:val="left" w:pos="900"/>
        </w:tabs>
        <w:snapToGrid w:val="0"/>
        <w:spacing w:line="264" w:lineRule="auto"/>
        <w:jc w:val="left"/>
        <w:rPr>
          <w:rFonts w:hint="eastAsia" w:ascii="Tahoma" w:hAnsi="黑体" w:eastAsia="黑体" w:cs="Tahoma"/>
          <w:b/>
          <w:color w:val="000000" w:themeColor="text1"/>
          <w:sz w:val="21"/>
          <w:szCs w:val="21"/>
          <w:highlight w:val="none"/>
          <w:lang w:val="en-US" w:eastAsia="zh-CN"/>
          <w14:textFill>
            <w14:solidFill>
              <w14:schemeClr w14:val="tx1"/>
            </w14:solidFill>
          </w14:textFill>
        </w:rPr>
      </w:pPr>
    </w:p>
    <w:p>
      <w:pPr>
        <w:numPr>
          <w:ilvl w:val="0"/>
          <w:numId w:val="0"/>
        </w:numPr>
        <w:tabs>
          <w:tab w:val="left" w:pos="900"/>
        </w:tabs>
        <w:snapToGrid w:val="0"/>
        <w:spacing w:line="264" w:lineRule="auto"/>
        <w:jc w:val="left"/>
        <w:rPr>
          <w:rFonts w:ascii="Tahoma" w:hAnsi="黑体" w:eastAsia="黑体" w:cs="Tahoma"/>
          <w:b/>
          <w:bCs/>
          <w:color w:val="000000" w:themeColor="text1"/>
          <w:sz w:val="21"/>
          <w:szCs w:val="21"/>
          <w:highlight w:val="none"/>
          <w14:textFill>
            <w14:solidFill>
              <w14:schemeClr w14:val="tx1"/>
            </w14:solidFill>
          </w14:textFill>
        </w:rPr>
      </w:pPr>
      <w:r>
        <w:rPr>
          <w:rFonts w:hint="eastAsia" w:ascii="Tahoma" w:hAnsi="黑体" w:eastAsia="黑体" w:cs="Tahoma"/>
          <w:b/>
          <w:color w:val="000000" w:themeColor="text1"/>
          <w:sz w:val="21"/>
          <w:szCs w:val="21"/>
          <w:highlight w:val="none"/>
          <w:lang w:val="en-US" w:eastAsia="zh-CN"/>
          <w14:textFill>
            <w14:solidFill>
              <w14:schemeClr w14:val="tx1"/>
            </w14:solidFill>
          </w14:textFill>
        </w:rPr>
        <w:t>二、软件</w:t>
      </w:r>
      <w:r>
        <w:rPr>
          <w:rFonts w:hint="eastAsia" w:ascii="Tahoma" w:hAnsi="黑体" w:eastAsia="黑体" w:cs="Tahoma"/>
          <w:b/>
          <w:color w:val="000000" w:themeColor="text1"/>
          <w:sz w:val="21"/>
          <w:szCs w:val="21"/>
          <w:highlight w:val="none"/>
          <w14:textFill>
            <w14:solidFill>
              <w14:schemeClr w14:val="tx1"/>
            </w14:solidFill>
          </w14:textFill>
        </w:rPr>
        <w:t>采购</w:t>
      </w:r>
      <w:r>
        <w:rPr>
          <w:rFonts w:ascii="Tahoma" w:hAnsi="黑体" w:eastAsia="黑体" w:cs="Tahoma"/>
          <w:b/>
          <w:bCs/>
          <w:color w:val="000000" w:themeColor="text1"/>
          <w:sz w:val="21"/>
          <w:szCs w:val="21"/>
          <w:highlight w:val="none"/>
          <w14:textFill>
            <w14:solidFill>
              <w14:schemeClr w14:val="tx1"/>
            </w14:solidFill>
          </w14:textFill>
        </w:rPr>
        <w:t>需求一览表</w:t>
      </w:r>
    </w:p>
    <w:tbl>
      <w:tblPr>
        <w:tblStyle w:val="20"/>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41"/>
        <w:gridCol w:w="4026"/>
        <w:gridCol w:w="1880"/>
        <w:gridCol w:w="1279"/>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425" w:leftChars="0" w:hanging="425"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序号</w:t>
            </w:r>
          </w:p>
        </w:tc>
        <w:tc>
          <w:tcPr>
            <w:tcW w:w="4026" w:type="dxa"/>
            <w:shd w:val="clear" w:color="auto" w:fill="auto"/>
            <w:tcMar>
              <w:top w:w="12" w:type="dxa"/>
              <w:left w:w="12" w:type="dxa"/>
              <w:right w:w="12" w:type="dxa"/>
            </w:tcMar>
            <w:vAlign w:val="center"/>
          </w:tcPr>
          <w:p>
            <w:pPr>
              <w:snapToGrid w:val="0"/>
              <w:ind w:left="425" w:leftChars="0" w:hanging="425" w:firstLine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商品名称</w:t>
            </w:r>
          </w:p>
        </w:tc>
        <w:tc>
          <w:tcPr>
            <w:tcW w:w="1880" w:type="dxa"/>
            <w:shd w:val="clear" w:color="auto" w:fill="auto"/>
            <w:tcMar>
              <w:top w:w="12" w:type="dxa"/>
              <w:left w:w="12" w:type="dxa"/>
              <w:right w:w="12" w:type="dxa"/>
            </w:tcMar>
            <w:vAlign w:val="center"/>
          </w:tcPr>
          <w:p>
            <w:pPr>
              <w:snapToGrid w:val="0"/>
              <w:ind w:left="0" w:left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计量单位</w:t>
            </w:r>
          </w:p>
        </w:tc>
        <w:tc>
          <w:tcPr>
            <w:tcW w:w="1279" w:type="dxa"/>
            <w:shd w:val="clear" w:color="auto" w:fill="auto"/>
            <w:tcMar>
              <w:top w:w="12" w:type="dxa"/>
              <w:left w:w="12" w:type="dxa"/>
              <w:right w:w="12" w:type="dxa"/>
            </w:tcMar>
            <w:vAlign w:val="center"/>
          </w:tcPr>
          <w:p>
            <w:pPr>
              <w:snapToGrid w:val="0"/>
              <w:ind w:left="0" w:left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数量</w:t>
            </w:r>
          </w:p>
        </w:tc>
        <w:tc>
          <w:tcPr>
            <w:tcW w:w="1052" w:type="dxa"/>
            <w:shd w:val="clear" w:color="auto" w:fill="auto"/>
            <w:tcMar>
              <w:top w:w="12" w:type="dxa"/>
              <w:left w:w="12" w:type="dxa"/>
              <w:right w:w="12" w:type="dxa"/>
            </w:tcMar>
            <w:vAlign w:val="center"/>
          </w:tcPr>
          <w:p>
            <w:pPr>
              <w:snapToGrid w:val="0"/>
              <w:ind w:left="0" w:left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1</w:t>
            </w:r>
          </w:p>
        </w:tc>
        <w:tc>
          <w:tcPr>
            <w:tcW w:w="8237" w:type="dxa"/>
            <w:gridSpan w:val="4"/>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患者服务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1.1</w:t>
            </w:r>
          </w:p>
        </w:tc>
        <w:tc>
          <w:tcPr>
            <w:tcW w:w="4026"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门诊分诊管理系统</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套</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1</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1.2</w:t>
            </w:r>
          </w:p>
        </w:tc>
        <w:tc>
          <w:tcPr>
            <w:tcW w:w="4026"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医技收费管理系统</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套</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1</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1.3</w:t>
            </w:r>
          </w:p>
        </w:tc>
        <w:tc>
          <w:tcPr>
            <w:tcW w:w="4026"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床旁结算系统</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套</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1</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1.3.1</w:t>
            </w:r>
          </w:p>
        </w:tc>
        <w:tc>
          <w:tcPr>
            <w:tcW w:w="4026"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床旁腕带扫码支付</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套</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1</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1.3.2</w:t>
            </w:r>
          </w:p>
        </w:tc>
        <w:tc>
          <w:tcPr>
            <w:tcW w:w="4026"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催款单床旁结算</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套</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1</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1.3.3</w:t>
            </w:r>
          </w:p>
        </w:tc>
        <w:tc>
          <w:tcPr>
            <w:tcW w:w="4026"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对账平台</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套</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1</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2</w:t>
            </w:r>
          </w:p>
        </w:tc>
        <w:tc>
          <w:tcPr>
            <w:tcW w:w="8237" w:type="dxa"/>
            <w:gridSpan w:val="4"/>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临床诊疗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2.1</w:t>
            </w:r>
          </w:p>
        </w:tc>
        <w:tc>
          <w:tcPr>
            <w:tcW w:w="4026"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护理管理系统</w:t>
            </w:r>
          </w:p>
        </w:tc>
        <w:tc>
          <w:tcPr>
            <w:tcW w:w="1880"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套</w:t>
            </w:r>
          </w:p>
        </w:tc>
        <w:tc>
          <w:tcPr>
            <w:tcW w:w="1279"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2.2</w:t>
            </w:r>
          </w:p>
        </w:tc>
        <w:tc>
          <w:tcPr>
            <w:tcW w:w="4026"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护理病历信息系统</w:t>
            </w:r>
          </w:p>
        </w:tc>
        <w:tc>
          <w:tcPr>
            <w:tcW w:w="1880"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套</w:t>
            </w:r>
          </w:p>
        </w:tc>
        <w:tc>
          <w:tcPr>
            <w:tcW w:w="1279"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2.3</w:t>
            </w:r>
          </w:p>
        </w:tc>
        <w:tc>
          <w:tcPr>
            <w:tcW w:w="4026"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护理计划管理系统</w:t>
            </w:r>
          </w:p>
        </w:tc>
        <w:tc>
          <w:tcPr>
            <w:tcW w:w="1880"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套</w:t>
            </w:r>
          </w:p>
        </w:tc>
        <w:tc>
          <w:tcPr>
            <w:tcW w:w="1279"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2.4</w:t>
            </w:r>
          </w:p>
        </w:tc>
        <w:tc>
          <w:tcPr>
            <w:tcW w:w="4026"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移动护理系统</w:t>
            </w:r>
          </w:p>
        </w:tc>
        <w:tc>
          <w:tcPr>
            <w:tcW w:w="1880"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套</w:t>
            </w:r>
          </w:p>
        </w:tc>
        <w:tc>
          <w:tcPr>
            <w:tcW w:w="1279"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2.5</w:t>
            </w:r>
          </w:p>
        </w:tc>
        <w:tc>
          <w:tcPr>
            <w:tcW w:w="4026"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临床辅助决策支持信息系统（CDSS）</w:t>
            </w:r>
          </w:p>
        </w:tc>
        <w:tc>
          <w:tcPr>
            <w:tcW w:w="1880"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套</w:t>
            </w:r>
          </w:p>
        </w:tc>
        <w:tc>
          <w:tcPr>
            <w:tcW w:w="1279"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2.6</w:t>
            </w:r>
          </w:p>
        </w:tc>
        <w:tc>
          <w:tcPr>
            <w:tcW w:w="4026"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康复信息管理系统</w:t>
            </w:r>
          </w:p>
        </w:tc>
        <w:tc>
          <w:tcPr>
            <w:tcW w:w="1880"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套</w:t>
            </w:r>
          </w:p>
        </w:tc>
        <w:tc>
          <w:tcPr>
            <w:tcW w:w="1279"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3</w:t>
            </w:r>
          </w:p>
        </w:tc>
        <w:tc>
          <w:tcPr>
            <w:tcW w:w="8237" w:type="dxa"/>
            <w:gridSpan w:val="4"/>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医技业务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3.1</w:t>
            </w:r>
          </w:p>
        </w:tc>
        <w:tc>
          <w:tcPr>
            <w:tcW w:w="4026"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全院输血流程管理系统</w:t>
            </w:r>
          </w:p>
        </w:tc>
        <w:tc>
          <w:tcPr>
            <w:tcW w:w="1880"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套</w:t>
            </w:r>
          </w:p>
        </w:tc>
        <w:tc>
          <w:tcPr>
            <w:tcW w:w="1279"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3.2</w:t>
            </w:r>
          </w:p>
        </w:tc>
        <w:tc>
          <w:tcPr>
            <w:tcW w:w="4026"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放射报告管理信息系统</w:t>
            </w:r>
          </w:p>
        </w:tc>
        <w:tc>
          <w:tcPr>
            <w:tcW w:w="1880"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套</w:t>
            </w:r>
          </w:p>
        </w:tc>
        <w:tc>
          <w:tcPr>
            <w:tcW w:w="1279"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3.3</w:t>
            </w:r>
          </w:p>
        </w:tc>
        <w:tc>
          <w:tcPr>
            <w:tcW w:w="4026"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手术管理软件</w:t>
            </w:r>
          </w:p>
        </w:tc>
        <w:tc>
          <w:tcPr>
            <w:tcW w:w="1880"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套</w:t>
            </w:r>
          </w:p>
        </w:tc>
        <w:tc>
          <w:tcPr>
            <w:tcW w:w="1279"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3.4</w:t>
            </w:r>
          </w:p>
        </w:tc>
        <w:tc>
          <w:tcPr>
            <w:tcW w:w="4026"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手术麻醉管理系统</w:t>
            </w:r>
          </w:p>
        </w:tc>
        <w:tc>
          <w:tcPr>
            <w:tcW w:w="1880"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套</w:t>
            </w:r>
          </w:p>
        </w:tc>
        <w:tc>
          <w:tcPr>
            <w:tcW w:w="1279"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3.5</w:t>
            </w:r>
          </w:p>
        </w:tc>
        <w:tc>
          <w:tcPr>
            <w:tcW w:w="4026"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重症监护信息系统</w:t>
            </w:r>
          </w:p>
        </w:tc>
        <w:tc>
          <w:tcPr>
            <w:tcW w:w="1880"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套</w:t>
            </w:r>
          </w:p>
        </w:tc>
        <w:tc>
          <w:tcPr>
            <w:tcW w:w="1279"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3.6</w:t>
            </w:r>
          </w:p>
        </w:tc>
        <w:tc>
          <w:tcPr>
            <w:tcW w:w="4026"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血液透析中心智能管理系统</w:t>
            </w:r>
          </w:p>
        </w:tc>
        <w:tc>
          <w:tcPr>
            <w:tcW w:w="1880"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套</w:t>
            </w:r>
          </w:p>
        </w:tc>
        <w:tc>
          <w:tcPr>
            <w:tcW w:w="1279"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3.7</w:t>
            </w:r>
          </w:p>
        </w:tc>
        <w:tc>
          <w:tcPr>
            <w:tcW w:w="4026"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微生物检验</w:t>
            </w:r>
          </w:p>
        </w:tc>
        <w:tc>
          <w:tcPr>
            <w:tcW w:w="1880"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套</w:t>
            </w:r>
          </w:p>
        </w:tc>
        <w:tc>
          <w:tcPr>
            <w:tcW w:w="1279"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4</w:t>
            </w:r>
          </w:p>
        </w:tc>
        <w:tc>
          <w:tcPr>
            <w:tcW w:w="8237" w:type="dxa"/>
            <w:gridSpan w:val="4"/>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药耗管理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4.1</w:t>
            </w:r>
          </w:p>
        </w:tc>
        <w:tc>
          <w:tcPr>
            <w:tcW w:w="4026"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住院输液配置中心</w:t>
            </w:r>
          </w:p>
        </w:tc>
        <w:tc>
          <w:tcPr>
            <w:tcW w:w="1880"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套</w:t>
            </w:r>
          </w:p>
        </w:tc>
        <w:tc>
          <w:tcPr>
            <w:tcW w:w="1279"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5</w:t>
            </w:r>
          </w:p>
        </w:tc>
        <w:tc>
          <w:tcPr>
            <w:tcW w:w="8237" w:type="dxa"/>
            <w:gridSpan w:val="4"/>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医疗管理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5.1</w:t>
            </w:r>
          </w:p>
        </w:tc>
        <w:tc>
          <w:tcPr>
            <w:tcW w:w="4026"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实时审方系统</w:t>
            </w:r>
          </w:p>
        </w:tc>
        <w:tc>
          <w:tcPr>
            <w:tcW w:w="1880"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套</w:t>
            </w:r>
          </w:p>
        </w:tc>
        <w:tc>
          <w:tcPr>
            <w:tcW w:w="1279"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5.2</w:t>
            </w:r>
          </w:p>
        </w:tc>
        <w:tc>
          <w:tcPr>
            <w:tcW w:w="4026"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不良事件管理软件</w:t>
            </w:r>
          </w:p>
        </w:tc>
        <w:tc>
          <w:tcPr>
            <w:tcW w:w="1880"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套</w:t>
            </w:r>
          </w:p>
        </w:tc>
        <w:tc>
          <w:tcPr>
            <w:tcW w:w="1279"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5.3</w:t>
            </w:r>
          </w:p>
        </w:tc>
        <w:tc>
          <w:tcPr>
            <w:tcW w:w="4026"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疾病监测报告管理系统</w:t>
            </w:r>
          </w:p>
        </w:tc>
        <w:tc>
          <w:tcPr>
            <w:tcW w:w="1880"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套</w:t>
            </w:r>
          </w:p>
        </w:tc>
        <w:tc>
          <w:tcPr>
            <w:tcW w:w="1279"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5.4</w:t>
            </w:r>
          </w:p>
        </w:tc>
        <w:tc>
          <w:tcPr>
            <w:tcW w:w="4026"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DRGS医保精细化管理系统</w:t>
            </w:r>
          </w:p>
        </w:tc>
        <w:tc>
          <w:tcPr>
            <w:tcW w:w="1880"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套</w:t>
            </w:r>
          </w:p>
        </w:tc>
        <w:tc>
          <w:tcPr>
            <w:tcW w:w="1279"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5.5</w:t>
            </w:r>
          </w:p>
        </w:tc>
        <w:tc>
          <w:tcPr>
            <w:tcW w:w="4026"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危急值流转系统</w:t>
            </w:r>
          </w:p>
        </w:tc>
        <w:tc>
          <w:tcPr>
            <w:tcW w:w="1880"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套</w:t>
            </w:r>
          </w:p>
        </w:tc>
        <w:tc>
          <w:tcPr>
            <w:tcW w:w="1279"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5.6</w:t>
            </w:r>
          </w:p>
        </w:tc>
        <w:tc>
          <w:tcPr>
            <w:tcW w:w="4026"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电子签名系统（CA）</w:t>
            </w:r>
          </w:p>
        </w:tc>
        <w:tc>
          <w:tcPr>
            <w:tcW w:w="1880"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套</w:t>
            </w:r>
          </w:p>
        </w:tc>
        <w:tc>
          <w:tcPr>
            <w:tcW w:w="1279"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6</w:t>
            </w:r>
          </w:p>
        </w:tc>
        <w:tc>
          <w:tcPr>
            <w:tcW w:w="8237" w:type="dxa"/>
            <w:gridSpan w:val="4"/>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急诊信息系统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6.1</w:t>
            </w:r>
          </w:p>
        </w:tc>
        <w:tc>
          <w:tcPr>
            <w:tcW w:w="4026"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急诊信息系统</w:t>
            </w:r>
          </w:p>
        </w:tc>
        <w:tc>
          <w:tcPr>
            <w:tcW w:w="1880"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套</w:t>
            </w:r>
          </w:p>
        </w:tc>
        <w:tc>
          <w:tcPr>
            <w:tcW w:w="1279"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7</w:t>
            </w:r>
          </w:p>
        </w:tc>
        <w:tc>
          <w:tcPr>
            <w:tcW w:w="8237" w:type="dxa"/>
            <w:gridSpan w:val="4"/>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智慧护理大屏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7.1</w:t>
            </w:r>
          </w:p>
        </w:tc>
        <w:tc>
          <w:tcPr>
            <w:tcW w:w="4026"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zh-CN" w:eastAsia="zh-CN" w:bidi="ar-SA"/>
                <w14:textFill>
                  <w14:solidFill>
                    <w14:schemeClr w14:val="tx1"/>
                  </w14:solidFill>
                </w14:textFill>
              </w:rPr>
              <w:fldChar w:fldCharType="begin"/>
            </w:r>
            <w:r>
              <w:rPr>
                <w:rFonts w:hint="eastAsia" w:ascii="微软雅黑" w:hAnsi="微软雅黑" w:eastAsia="宋体" w:cs="Times New Roman"/>
                <w:color w:val="000000" w:themeColor="text1"/>
                <w:kern w:val="2"/>
                <w:sz w:val="21"/>
                <w:szCs w:val="21"/>
                <w:highlight w:val="none"/>
                <w:lang w:val="zh-CN" w:eastAsia="zh-CN" w:bidi="ar-SA"/>
                <w14:textFill>
                  <w14:solidFill>
                    <w14:schemeClr w14:val="tx1"/>
                  </w14:solidFill>
                </w14:textFill>
              </w:rPr>
              <w:instrText xml:space="preserve"> HYPERLINK \l _Toc13553 </w:instrText>
            </w:r>
            <w:r>
              <w:rPr>
                <w:rFonts w:hint="eastAsia" w:ascii="微软雅黑" w:hAnsi="微软雅黑" w:eastAsia="宋体" w:cs="Times New Roman"/>
                <w:color w:val="000000" w:themeColor="text1"/>
                <w:kern w:val="2"/>
                <w:sz w:val="21"/>
                <w:szCs w:val="21"/>
                <w:highlight w:val="none"/>
                <w:lang w:val="zh-CN" w:eastAsia="zh-CN" w:bidi="ar-SA"/>
                <w14:textFill>
                  <w14:solidFill>
                    <w14:schemeClr w14:val="tx1"/>
                  </w14:solidFill>
                </w14:textFill>
              </w:rPr>
              <w:fldChar w:fldCharType="separate"/>
            </w: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功能框架</w:t>
            </w:r>
            <w:r>
              <w:rPr>
                <w:rFonts w:hint="eastAsia" w:ascii="微软雅黑" w:hAnsi="微软雅黑" w:eastAsia="宋体" w:cs="Times New Roman"/>
                <w:color w:val="000000" w:themeColor="text1"/>
                <w:kern w:val="2"/>
                <w:sz w:val="21"/>
                <w:szCs w:val="21"/>
                <w:highlight w:val="none"/>
                <w:lang w:val="zh-CN" w:eastAsia="zh-CN" w:bidi="ar-SA"/>
                <w14:textFill>
                  <w14:solidFill>
                    <w14:schemeClr w14:val="tx1"/>
                  </w14:solidFill>
                </w14:textFill>
              </w:rPr>
              <w:fldChar w:fldCharType="end"/>
            </w:r>
          </w:p>
        </w:tc>
        <w:tc>
          <w:tcPr>
            <w:tcW w:w="1880"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套</w:t>
            </w:r>
          </w:p>
        </w:tc>
        <w:tc>
          <w:tcPr>
            <w:tcW w:w="1279"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7.2</w:t>
            </w:r>
          </w:p>
        </w:tc>
        <w:tc>
          <w:tcPr>
            <w:tcW w:w="4026"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产品功能</w:t>
            </w:r>
          </w:p>
        </w:tc>
        <w:tc>
          <w:tcPr>
            <w:tcW w:w="1880"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套</w:t>
            </w:r>
          </w:p>
        </w:tc>
        <w:tc>
          <w:tcPr>
            <w:tcW w:w="1279"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7.3</w:t>
            </w:r>
          </w:p>
        </w:tc>
        <w:tc>
          <w:tcPr>
            <w:tcW w:w="4026"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系统功能（列表）</w:t>
            </w:r>
          </w:p>
        </w:tc>
        <w:tc>
          <w:tcPr>
            <w:tcW w:w="1880"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套</w:t>
            </w:r>
          </w:p>
        </w:tc>
        <w:tc>
          <w:tcPr>
            <w:tcW w:w="1279"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8</w:t>
            </w:r>
          </w:p>
        </w:tc>
        <w:tc>
          <w:tcPr>
            <w:tcW w:w="8237" w:type="dxa"/>
            <w:gridSpan w:val="4"/>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医务管理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8.1</w:t>
            </w:r>
          </w:p>
        </w:tc>
        <w:tc>
          <w:tcPr>
            <w:tcW w:w="4026"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医生资质授权</w:t>
            </w:r>
          </w:p>
        </w:tc>
        <w:tc>
          <w:tcPr>
            <w:tcW w:w="1880"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套</w:t>
            </w:r>
          </w:p>
        </w:tc>
        <w:tc>
          <w:tcPr>
            <w:tcW w:w="1279"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9</w:t>
            </w:r>
          </w:p>
        </w:tc>
        <w:tc>
          <w:tcPr>
            <w:tcW w:w="8237" w:type="dxa"/>
            <w:gridSpan w:val="4"/>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数字化病案管理系统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9.1</w:t>
            </w:r>
          </w:p>
        </w:tc>
        <w:tc>
          <w:tcPr>
            <w:tcW w:w="4026"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数字化病案管理系统</w:t>
            </w:r>
          </w:p>
        </w:tc>
        <w:tc>
          <w:tcPr>
            <w:tcW w:w="1880"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套</w:t>
            </w:r>
          </w:p>
        </w:tc>
        <w:tc>
          <w:tcPr>
            <w:tcW w:w="1279"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10</w:t>
            </w:r>
          </w:p>
        </w:tc>
        <w:tc>
          <w:tcPr>
            <w:tcW w:w="8237" w:type="dxa"/>
            <w:gridSpan w:val="4"/>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医院信息集成平台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10</w:t>
            </w: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.1</w:t>
            </w:r>
          </w:p>
        </w:tc>
        <w:tc>
          <w:tcPr>
            <w:tcW w:w="4026"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zh-CN" w:eastAsia="zh-CN" w:bidi="ar-SA"/>
                <w14:textFill>
                  <w14:solidFill>
                    <w14:schemeClr w14:val="tx1"/>
                  </w14:solidFill>
                </w14:textFill>
              </w:rPr>
              <w:fldChar w:fldCharType="begin"/>
            </w:r>
            <w:r>
              <w:rPr>
                <w:rFonts w:hint="eastAsia" w:ascii="微软雅黑" w:hAnsi="微软雅黑" w:eastAsia="宋体" w:cs="Times New Roman"/>
                <w:color w:val="000000" w:themeColor="text1"/>
                <w:kern w:val="2"/>
                <w:sz w:val="21"/>
                <w:szCs w:val="21"/>
                <w:highlight w:val="none"/>
                <w:lang w:val="zh-CN" w:eastAsia="zh-CN" w:bidi="ar-SA"/>
                <w14:textFill>
                  <w14:solidFill>
                    <w14:schemeClr w14:val="tx1"/>
                  </w14:solidFill>
                </w14:textFill>
              </w:rPr>
              <w:instrText xml:space="preserve"> HYPERLINK \l _Toc28241 </w:instrText>
            </w:r>
            <w:r>
              <w:rPr>
                <w:rFonts w:hint="eastAsia" w:ascii="微软雅黑" w:hAnsi="微软雅黑" w:eastAsia="宋体" w:cs="Times New Roman"/>
                <w:color w:val="000000" w:themeColor="text1"/>
                <w:kern w:val="2"/>
                <w:sz w:val="21"/>
                <w:szCs w:val="21"/>
                <w:highlight w:val="none"/>
                <w:lang w:val="zh-CN" w:eastAsia="zh-CN" w:bidi="ar-SA"/>
                <w14:textFill>
                  <w14:solidFill>
                    <w14:schemeClr w14:val="tx1"/>
                  </w14:solidFill>
                </w14:textFill>
              </w:rPr>
              <w:fldChar w:fldCharType="separate"/>
            </w: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信息资源中心</w:t>
            </w:r>
            <w:r>
              <w:rPr>
                <w:rFonts w:hint="eastAsia" w:ascii="微软雅黑" w:hAnsi="微软雅黑" w:eastAsia="宋体" w:cs="Times New Roman"/>
                <w:color w:val="000000" w:themeColor="text1"/>
                <w:kern w:val="2"/>
                <w:sz w:val="21"/>
                <w:szCs w:val="21"/>
                <w:highlight w:val="none"/>
                <w:lang w:val="zh-CN" w:eastAsia="zh-CN" w:bidi="ar-SA"/>
                <w14:textFill>
                  <w14:solidFill>
                    <w14:schemeClr w14:val="tx1"/>
                  </w14:solidFill>
                </w14:textFill>
              </w:rPr>
              <w:fldChar w:fldCharType="end"/>
            </w:r>
          </w:p>
        </w:tc>
        <w:tc>
          <w:tcPr>
            <w:tcW w:w="1880"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套</w:t>
            </w:r>
          </w:p>
        </w:tc>
        <w:tc>
          <w:tcPr>
            <w:tcW w:w="1279"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10</w:t>
            </w: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.1</w:t>
            </w:r>
          </w:p>
        </w:tc>
        <w:tc>
          <w:tcPr>
            <w:tcW w:w="4026"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信息集成平台</w:t>
            </w:r>
          </w:p>
        </w:tc>
        <w:tc>
          <w:tcPr>
            <w:tcW w:w="1880"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套</w:t>
            </w:r>
          </w:p>
        </w:tc>
        <w:tc>
          <w:tcPr>
            <w:tcW w:w="1279"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10</w:t>
            </w: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.1</w:t>
            </w:r>
          </w:p>
        </w:tc>
        <w:tc>
          <w:tcPr>
            <w:tcW w:w="4026"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业务数据中心（ODR）</w:t>
            </w:r>
          </w:p>
        </w:tc>
        <w:tc>
          <w:tcPr>
            <w:tcW w:w="1880"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套</w:t>
            </w:r>
          </w:p>
        </w:tc>
        <w:tc>
          <w:tcPr>
            <w:tcW w:w="1279"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10</w:t>
            </w: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.1</w:t>
            </w:r>
          </w:p>
        </w:tc>
        <w:tc>
          <w:tcPr>
            <w:tcW w:w="4026"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临床</w:t>
            </w: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数据中心（</w:t>
            </w: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C</w:t>
            </w: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DR）</w:t>
            </w:r>
          </w:p>
        </w:tc>
        <w:tc>
          <w:tcPr>
            <w:tcW w:w="1880"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套</w:t>
            </w:r>
          </w:p>
        </w:tc>
        <w:tc>
          <w:tcPr>
            <w:tcW w:w="1279"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11</w:t>
            </w:r>
          </w:p>
        </w:tc>
        <w:tc>
          <w:tcPr>
            <w:tcW w:w="8237" w:type="dxa"/>
            <w:gridSpan w:val="4"/>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互联网医院平台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11</w:t>
            </w: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.1</w:t>
            </w:r>
          </w:p>
        </w:tc>
        <w:tc>
          <w:tcPr>
            <w:tcW w:w="4026"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互联网医院平台</w:t>
            </w:r>
          </w:p>
        </w:tc>
        <w:tc>
          <w:tcPr>
            <w:tcW w:w="1880"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套</w:t>
            </w:r>
          </w:p>
        </w:tc>
        <w:tc>
          <w:tcPr>
            <w:tcW w:w="1279"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12</w:t>
            </w:r>
          </w:p>
        </w:tc>
        <w:tc>
          <w:tcPr>
            <w:tcW w:w="8237" w:type="dxa"/>
            <w:gridSpan w:val="4"/>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慢病管理平台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12</w:t>
            </w: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.1</w:t>
            </w:r>
          </w:p>
        </w:tc>
        <w:tc>
          <w:tcPr>
            <w:tcW w:w="4026"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慢病管理平台</w:t>
            </w:r>
          </w:p>
        </w:tc>
        <w:tc>
          <w:tcPr>
            <w:tcW w:w="1880"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套</w:t>
            </w:r>
          </w:p>
        </w:tc>
        <w:tc>
          <w:tcPr>
            <w:tcW w:w="1279"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13</w:t>
            </w:r>
          </w:p>
        </w:tc>
        <w:tc>
          <w:tcPr>
            <w:tcW w:w="8237" w:type="dxa"/>
            <w:gridSpan w:val="4"/>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120急救智慧中心平台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13.1</w:t>
            </w:r>
          </w:p>
        </w:tc>
        <w:tc>
          <w:tcPr>
            <w:tcW w:w="4026"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120急救智慧中心平台</w:t>
            </w:r>
          </w:p>
        </w:tc>
        <w:tc>
          <w:tcPr>
            <w:tcW w:w="1880"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套</w:t>
            </w:r>
          </w:p>
        </w:tc>
        <w:tc>
          <w:tcPr>
            <w:tcW w:w="1279"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14</w:t>
            </w:r>
          </w:p>
        </w:tc>
        <w:tc>
          <w:tcPr>
            <w:tcW w:w="8237" w:type="dxa"/>
            <w:gridSpan w:val="4"/>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院内卒中急救管理平台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14</w:t>
            </w: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.1</w:t>
            </w:r>
          </w:p>
        </w:tc>
        <w:tc>
          <w:tcPr>
            <w:tcW w:w="4026"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院内卒中急救管理平台</w:t>
            </w:r>
          </w:p>
        </w:tc>
        <w:tc>
          <w:tcPr>
            <w:tcW w:w="1880"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套</w:t>
            </w:r>
          </w:p>
        </w:tc>
        <w:tc>
          <w:tcPr>
            <w:tcW w:w="1279"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15</w:t>
            </w:r>
          </w:p>
        </w:tc>
        <w:tc>
          <w:tcPr>
            <w:tcW w:w="8237" w:type="dxa"/>
            <w:gridSpan w:val="4"/>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院内胸痛急救管理平台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15</w:t>
            </w: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.1</w:t>
            </w:r>
          </w:p>
        </w:tc>
        <w:tc>
          <w:tcPr>
            <w:tcW w:w="4026"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院内胸痛急救管理平台</w:t>
            </w:r>
          </w:p>
        </w:tc>
        <w:tc>
          <w:tcPr>
            <w:tcW w:w="1880"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套</w:t>
            </w:r>
          </w:p>
        </w:tc>
        <w:tc>
          <w:tcPr>
            <w:tcW w:w="1279"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16</w:t>
            </w:r>
          </w:p>
        </w:tc>
        <w:tc>
          <w:tcPr>
            <w:tcW w:w="8237" w:type="dxa"/>
            <w:gridSpan w:val="4"/>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医保智能检测系统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16</w:t>
            </w: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w:t>
            </w: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4026"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医保智能检测系统</w:t>
            </w:r>
          </w:p>
        </w:tc>
        <w:tc>
          <w:tcPr>
            <w:tcW w:w="1880"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套</w:t>
            </w:r>
          </w:p>
        </w:tc>
        <w:tc>
          <w:tcPr>
            <w:tcW w:w="1279"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bl>
    <w:p>
      <w:pPr>
        <w:pStyle w:val="10"/>
        <w:spacing w:line="340" w:lineRule="exact"/>
        <w:ind w:firstLine="310" w:firstLineChars="147"/>
        <w:rPr>
          <w:rFonts w:hint="eastAsia" w:ascii="黑体" w:hAnsi="黑体" w:eastAsia="黑体"/>
          <w:b/>
          <w:bCs/>
          <w:color w:val="000000" w:themeColor="text1"/>
          <w:sz w:val="21"/>
          <w:szCs w:val="21"/>
          <w:highlight w:val="none"/>
          <w14:textFill>
            <w14:solidFill>
              <w14:schemeClr w14:val="tx1"/>
            </w14:solidFill>
          </w14:textFill>
        </w:rPr>
      </w:pPr>
    </w:p>
    <w:p>
      <w:pPr>
        <w:pStyle w:val="10"/>
        <w:keepNext w:val="0"/>
        <w:keepLines w:val="0"/>
        <w:pageBreakBefore w:val="0"/>
        <w:widowControl/>
        <w:kinsoku/>
        <w:wordWrap/>
        <w:overflowPunct/>
        <w:topLinePunct w:val="0"/>
        <w:autoSpaceDE/>
        <w:autoSpaceDN/>
        <w:bidi w:val="0"/>
        <w:adjustRightInd/>
        <w:snapToGrid/>
        <w:spacing w:line="300" w:lineRule="exact"/>
        <w:ind w:firstLine="310" w:firstLineChars="147"/>
        <w:textAlignment w:val="auto"/>
        <w:rPr>
          <w:rFonts w:hint="eastAsia" w:ascii="黑体" w:hAnsi="黑体" w:eastAsia="黑体"/>
          <w:b/>
          <w:bCs/>
          <w:color w:val="000000" w:themeColor="text1"/>
          <w:sz w:val="21"/>
          <w:szCs w:val="21"/>
          <w:highlight w:val="none"/>
          <w14:textFill>
            <w14:solidFill>
              <w14:schemeClr w14:val="tx1"/>
            </w14:solidFill>
          </w14:textFill>
        </w:rPr>
      </w:pPr>
      <w:r>
        <w:rPr>
          <w:rFonts w:hint="eastAsia" w:ascii="黑体" w:hAnsi="黑体" w:eastAsia="黑体"/>
          <w:b/>
          <w:bCs/>
          <w:color w:val="000000" w:themeColor="text1"/>
          <w:sz w:val="21"/>
          <w:szCs w:val="21"/>
          <w:highlight w:val="none"/>
          <w14:textFill>
            <w14:solidFill>
              <w14:schemeClr w14:val="tx1"/>
            </w14:solidFill>
          </w14:textFill>
        </w:rPr>
        <w:t>说明：</w:t>
      </w:r>
    </w:p>
    <w:p>
      <w:pPr>
        <w:pStyle w:val="10"/>
        <w:keepNext w:val="0"/>
        <w:keepLines w:val="0"/>
        <w:pageBreakBefore w:val="0"/>
        <w:widowControl/>
        <w:kinsoku/>
        <w:wordWrap/>
        <w:overflowPunct/>
        <w:topLinePunct w:val="0"/>
        <w:autoSpaceDE/>
        <w:autoSpaceDN/>
        <w:bidi w:val="0"/>
        <w:adjustRightInd/>
        <w:snapToGrid/>
        <w:spacing w:line="300" w:lineRule="exact"/>
        <w:ind w:firstLine="310" w:firstLineChars="147"/>
        <w:textAlignment w:val="auto"/>
        <w:rPr>
          <w:rFonts w:ascii="Tahoma" w:hAnsi="Tahoma" w:eastAsia="黑体" w:cs="Tahoma"/>
          <w:b/>
          <w:bCs/>
          <w:color w:val="000000" w:themeColor="text1"/>
          <w:sz w:val="21"/>
          <w:szCs w:val="21"/>
          <w:highlight w:val="none"/>
          <w14:textFill>
            <w14:solidFill>
              <w14:schemeClr w14:val="tx1"/>
            </w14:solidFill>
          </w14:textFill>
        </w:rPr>
      </w:pPr>
      <w:r>
        <w:rPr>
          <w:rFonts w:ascii="Tahoma" w:hAnsi="Tahoma" w:eastAsia="黑体" w:cs="Tahoma"/>
          <w:b/>
          <w:bCs/>
          <w:color w:val="000000" w:themeColor="text1"/>
          <w:sz w:val="21"/>
          <w:szCs w:val="21"/>
          <w:highlight w:val="none"/>
          <w14:textFill>
            <w14:solidFill>
              <w14:schemeClr w14:val="tx1"/>
            </w14:solidFill>
          </w14:textFill>
        </w:rPr>
        <w:t>1、上述除设备或产品费用外，应包括设备或产品的运输费、各种保险费用、包装费用、装卸（包括达到目的地后的卸车，短途运输）、保管费用、</w:t>
      </w:r>
      <w:r>
        <w:rPr>
          <w:rFonts w:hint="eastAsia" w:ascii="Tahoma" w:hAnsi="Tahoma" w:eastAsia="黑体" w:cs="Tahoma"/>
          <w:b/>
          <w:bCs/>
          <w:color w:val="000000" w:themeColor="text1"/>
          <w:sz w:val="21"/>
          <w:szCs w:val="21"/>
          <w:highlight w:val="none"/>
          <w:lang w:val="en-US" w:eastAsia="zh-CN"/>
          <w14:textFill>
            <w14:solidFill>
              <w14:schemeClr w14:val="tx1"/>
            </w14:solidFill>
          </w14:textFill>
        </w:rPr>
        <w:t>培训费、改装费、</w:t>
      </w:r>
      <w:r>
        <w:rPr>
          <w:rFonts w:ascii="Tahoma" w:hAnsi="Tahoma" w:eastAsia="黑体" w:cs="Tahoma"/>
          <w:b/>
          <w:bCs/>
          <w:color w:val="000000" w:themeColor="text1"/>
          <w:sz w:val="21"/>
          <w:szCs w:val="21"/>
          <w:highlight w:val="none"/>
          <w14:textFill>
            <w14:solidFill>
              <w14:schemeClr w14:val="tx1"/>
            </w14:solidFill>
          </w14:textFill>
        </w:rPr>
        <w:t>安装</w:t>
      </w:r>
      <w:r>
        <w:rPr>
          <w:rFonts w:hint="eastAsia" w:ascii="Tahoma" w:hAnsi="Tahoma" w:eastAsia="黑体" w:cs="Tahoma"/>
          <w:b/>
          <w:bCs/>
          <w:color w:val="000000" w:themeColor="text1"/>
          <w:sz w:val="21"/>
          <w:szCs w:val="21"/>
          <w:highlight w:val="none"/>
          <w14:textFill>
            <w14:solidFill>
              <w14:schemeClr w14:val="tx1"/>
            </w14:solidFill>
          </w14:textFill>
        </w:rPr>
        <w:t>（按参数要求中的图纸进行安装）</w:t>
      </w:r>
      <w:r>
        <w:rPr>
          <w:rFonts w:ascii="Tahoma" w:hAnsi="Tahoma" w:eastAsia="黑体" w:cs="Tahoma"/>
          <w:b/>
          <w:bCs/>
          <w:color w:val="000000" w:themeColor="text1"/>
          <w:sz w:val="21"/>
          <w:szCs w:val="21"/>
          <w:highlight w:val="none"/>
          <w14:textFill>
            <w14:solidFill>
              <w14:schemeClr w14:val="tx1"/>
            </w14:solidFill>
          </w14:textFill>
        </w:rPr>
        <w:t>、调试、试验或检验及验收费用、移交前的维护、移交等及各种税费等一切</w:t>
      </w:r>
      <w:r>
        <w:rPr>
          <w:rFonts w:hint="eastAsia" w:ascii="Tahoma" w:hAnsi="Tahoma" w:eastAsia="黑体" w:cs="Tahoma"/>
          <w:b/>
          <w:bCs/>
          <w:color w:val="000000" w:themeColor="text1"/>
          <w:sz w:val="21"/>
          <w:szCs w:val="21"/>
          <w:highlight w:val="none"/>
          <w:lang w:val="en-US" w:eastAsia="zh-CN"/>
          <w14:textFill>
            <w14:solidFill>
              <w14:schemeClr w14:val="tx1"/>
            </w14:solidFill>
          </w14:textFill>
        </w:rPr>
        <w:t>与本项目相关</w:t>
      </w:r>
      <w:r>
        <w:rPr>
          <w:rFonts w:ascii="Tahoma" w:hAnsi="Tahoma" w:eastAsia="黑体" w:cs="Tahoma"/>
          <w:b/>
          <w:bCs/>
          <w:color w:val="000000" w:themeColor="text1"/>
          <w:sz w:val="21"/>
          <w:szCs w:val="21"/>
          <w:highlight w:val="none"/>
          <w14:textFill>
            <w14:solidFill>
              <w14:schemeClr w14:val="tx1"/>
            </w14:solidFill>
          </w14:textFill>
        </w:rPr>
        <w:t>费用。</w:t>
      </w:r>
    </w:p>
    <w:p>
      <w:pPr>
        <w:keepNext w:val="0"/>
        <w:keepLines w:val="0"/>
        <w:pageBreakBefore w:val="0"/>
        <w:widowControl/>
        <w:kinsoku/>
        <w:wordWrap/>
        <w:overflowPunct/>
        <w:topLinePunct w:val="0"/>
        <w:autoSpaceDE/>
        <w:autoSpaceDN/>
        <w:bidi w:val="0"/>
        <w:adjustRightInd/>
        <w:snapToGrid/>
        <w:spacing w:line="300" w:lineRule="exact"/>
        <w:ind w:firstLine="310" w:firstLineChars="147"/>
        <w:jc w:val="left"/>
        <w:textAlignment w:val="auto"/>
        <w:rPr>
          <w:rFonts w:hint="eastAsia" w:ascii="Tahoma" w:hAnsi="Tahoma" w:eastAsia="黑体" w:cs="Tahoma"/>
          <w:b/>
          <w:bCs/>
          <w:color w:val="000000" w:themeColor="text1"/>
          <w:szCs w:val="21"/>
          <w:highlight w:val="none"/>
          <w:lang w:val="en-US" w:eastAsia="zh-CN"/>
          <w14:textFill>
            <w14:solidFill>
              <w14:schemeClr w14:val="tx1"/>
            </w14:solidFill>
          </w14:textFill>
        </w:rPr>
      </w:pPr>
      <w:r>
        <w:rPr>
          <w:rFonts w:ascii="Tahoma" w:hAnsi="Tahoma" w:eastAsia="黑体" w:cs="Tahoma"/>
          <w:b/>
          <w:bCs/>
          <w:color w:val="000000" w:themeColor="text1"/>
          <w:szCs w:val="21"/>
          <w:highlight w:val="none"/>
          <w14:textFill>
            <w14:solidFill>
              <w14:schemeClr w14:val="tx1"/>
            </w14:solidFill>
          </w14:textFill>
        </w:rPr>
        <w:t>2、供应商所提供的设备或产品的费用除主体外，包括其全部配套附件、附属设备、配套设备等，需进行组装或拼装的设备应是完整、成套、满足功能要求的产品，其价格除主体外还应包括其足够安装母体和连接、紧固相关设备的零部件等全部配套设备和附件的费用</w:t>
      </w:r>
      <w:r>
        <w:rPr>
          <w:rFonts w:hint="eastAsia" w:ascii="Tahoma" w:hAnsi="Tahoma" w:eastAsia="黑体" w:cs="Tahoma"/>
          <w:b/>
          <w:bCs/>
          <w:color w:val="000000" w:themeColor="text1"/>
          <w:szCs w:val="21"/>
          <w:highlight w:val="none"/>
          <w:lang w:eastAsia="zh-CN"/>
          <w14:textFill>
            <w14:solidFill>
              <w14:schemeClr w14:val="tx1"/>
            </w14:solidFill>
          </w14:textFill>
        </w:rPr>
        <w:t>。</w:t>
      </w:r>
    </w:p>
    <w:p>
      <w:pPr>
        <w:pStyle w:val="10"/>
        <w:keepNext w:val="0"/>
        <w:keepLines w:val="0"/>
        <w:pageBreakBefore w:val="0"/>
        <w:widowControl/>
        <w:kinsoku/>
        <w:wordWrap/>
        <w:overflowPunct/>
        <w:topLinePunct w:val="0"/>
        <w:autoSpaceDE/>
        <w:autoSpaceDN/>
        <w:bidi w:val="0"/>
        <w:adjustRightInd/>
        <w:snapToGrid/>
        <w:spacing w:line="300" w:lineRule="exact"/>
        <w:ind w:firstLine="310" w:firstLineChars="147"/>
        <w:textAlignment w:val="auto"/>
        <w:rPr>
          <w:rFonts w:hint="default" w:ascii="黑体" w:hAnsi="黑体" w:eastAsia="黑体"/>
          <w:b/>
          <w:bCs/>
          <w:color w:val="000000" w:themeColor="text1"/>
          <w:sz w:val="21"/>
          <w:szCs w:val="21"/>
          <w:highlight w:val="none"/>
          <w:lang w:val="en-US"/>
          <w14:textFill>
            <w14:solidFill>
              <w14:schemeClr w14:val="tx1"/>
            </w14:solidFill>
          </w14:textFill>
        </w:rPr>
      </w:pPr>
      <w:r>
        <w:rPr>
          <w:rFonts w:hint="eastAsia" w:ascii="黑体" w:hAnsi="黑体" w:eastAsia="黑体"/>
          <w:b/>
          <w:bCs/>
          <w:color w:val="000000" w:themeColor="text1"/>
          <w:sz w:val="21"/>
          <w:szCs w:val="21"/>
          <w:highlight w:val="none"/>
          <w:lang w:val="en-US" w:eastAsia="zh-CN"/>
          <w14:textFill>
            <w14:solidFill>
              <w14:schemeClr w14:val="tx1"/>
            </w14:solidFill>
          </w14:textFill>
        </w:rPr>
        <w:t>3、中标人在实施本院软、硬件部分要与招标人原系统无缝衔接，如发生与原软、硬件部分实施不畅通或技术指标对接出现重大问题，可与招标人沟通重新按照（不低于原要求）开发系统，招标人不再承担任何费用。</w:t>
      </w:r>
    </w:p>
    <w:p>
      <w:pPr>
        <w:pStyle w:val="9"/>
        <w:snapToGrid w:val="0"/>
        <w:spacing w:line="420" w:lineRule="atLeast"/>
        <w:ind w:firstLine="0"/>
        <w:jc w:val="center"/>
        <w:outlineLvl w:val="0"/>
        <w:rPr>
          <w:rFonts w:ascii="Tahoma" w:hAnsi="Tahoma" w:eastAsia="黑体" w:cs="Tahoma"/>
          <w:b/>
          <w:bCs/>
          <w:color w:val="000000" w:themeColor="text1"/>
          <w:sz w:val="44"/>
          <w:highlight w:val="none"/>
          <w14:textFill>
            <w14:solidFill>
              <w14:schemeClr w14:val="tx1"/>
            </w14:solidFill>
          </w14:textFill>
        </w:rPr>
      </w:pPr>
    </w:p>
    <w:p>
      <w:pPr>
        <w:pStyle w:val="9"/>
        <w:snapToGrid w:val="0"/>
        <w:spacing w:line="420" w:lineRule="atLeast"/>
        <w:ind w:firstLine="0"/>
        <w:jc w:val="center"/>
        <w:outlineLvl w:val="0"/>
        <w:rPr>
          <w:rFonts w:ascii="Tahoma" w:hAnsi="Tahoma" w:eastAsia="黑体" w:cs="Tahoma"/>
          <w:b/>
          <w:bCs/>
          <w:color w:val="000000" w:themeColor="text1"/>
          <w:sz w:val="44"/>
          <w:highlight w:val="none"/>
          <w14:textFill>
            <w14:solidFill>
              <w14:schemeClr w14:val="tx1"/>
            </w14:solidFill>
          </w14:textFill>
        </w:rPr>
      </w:pPr>
    </w:p>
    <w:p>
      <w:pPr>
        <w:pStyle w:val="9"/>
        <w:snapToGrid w:val="0"/>
        <w:spacing w:line="420" w:lineRule="atLeast"/>
        <w:ind w:firstLine="0"/>
        <w:jc w:val="center"/>
        <w:outlineLvl w:val="0"/>
        <w:rPr>
          <w:rFonts w:ascii="Tahoma" w:hAnsi="Tahoma" w:eastAsia="黑体" w:cs="Tahoma"/>
          <w:b/>
          <w:bCs/>
          <w:color w:val="000000" w:themeColor="text1"/>
          <w:sz w:val="44"/>
          <w:highlight w:val="none"/>
          <w14:textFill>
            <w14:solidFill>
              <w14:schemeClr w14:val="tx1"/>
            </w14:solidFill>
          </w14:textFill>
        </w:rPr>
      </w:pPr>
    </w:p>
    <w:p>
      <w:pPr>
        <w:pStyle w:val="9"/>
        <w:snapToGrid w:val="0"/>
        <w:spacing w:line="420" w:lineRule="atLeast"/>
        <w:ind w:firstLine="0"/>
        <w:jc w:val="center"/>
        <w:outlineLvl w:val="0"/>
        <w:rPr>
          <w:rFonts w:ascii="Tahoma" w:hAnsi="Tahoma" w:eastAsia="黑体" w:cs="Tahoma"/>
          <w:b/>
          <w:bCs/>
          <w:color w:val="000000" w:themeColor="text1"/>
          <w:sz w:val="44"/>
          <w:highlight w:val="none"/>
          <w14:textFill>
            <w14:solidFill>
              <w14:schemeClr w14:val="tx1"/>
            </w14:solidFill>
          </w14:textFill>
        </w:rPr>
      </w:pPr>
    </w:p>
    <w:p>
      <w:pPr>
        <w:pStyle w:val="9"/>
        <w:snapToGrid w:val="0"/>
        <w:spacing w:line="420" w:lineRule="atLeast"/>
        <w:ind w:firstLine="0"/>
        <w:jc w:val="center"/>
        <w:outlineLvl w:val="0"/>
        <w:rPr>
          <w:rFonts w:ascii="Tahoma" w:hAnsi="Tahoma" w:eastAsia="黑体" w:cs="Tahoma"/>
          <w:b/>
          <w:bCs/>
          <w:color w:val="000000" w:themeColor="text1"/>
          <w:sz w:val="44"/>
          <w:highlight w:val="none"/>
          <w14:textFill>
            <w14:solidFill>
              <w14:schemeClr w14:val="tx1"/>
            </w14:solidFill>
          </w14:textFill>
        </w:rPr>
      </w:pPr>
    </w:p>
    <w:p>
      <w:pPr>
        <w:pStyle w:val="9"/>
        <w:snapToGrid w:val="0"/>
        <w:spacing w:line="420" w:lineRule="atLeast"/>
        <w:ind w:firstLine="0"/>
        <w:jc w:val="center"/>
        <w:outlineLvl w:val="0"/>
        <w:rPr>
          <w:rFonts w:ascii="Tahoma" w:hAnsi="Tahoma" w:eastAsia="黑体" w:cs="Tahoma"/>
          <w:b/>
          <w:bCs/>
          <w:color w:val="000000" w:themeColor="text1"/>
          <w:sz w:val="44"/>
          <w:highlight w:val="none"/>
          <w14:textFill>
            <w14:solidFill>
              <w14:schemeClr w14:val="tx1"/>
            </w14:solidFill>
          </w14:textFill>
        </w:rPr>
      </w:pPr>
    </w:p>
    <w:p>
      <w:pPr>
        <w:pStyle w:val="9"/>
        <w:snapToGrid w:val="0"/>
        <w:spacing w:line="420" w:lineRule="atLeast"/>
        <w:ind w:firstLine="0"/>
        <w:jc w:val="center"/>
        <w:outlineLvl w:val="0"/>
        <w:rPr>
          <w:rFonts w:ascii="Tahoma" w:hAnsi="Tahoma" w:eastAsia="黑体" w:cs="Tahoma"/>
          <w:b/>
          <w:bCs/>
          <w:color w:val="000000" w:themeColor="text1"/>
          <w:sz w:val="44"/>
          <w:highlight w:val="none"/>
          <w14:textFill>
            <w14:solidFill>
              <w14:schemeClr w14:val="tx1"/>
            </w14:solidFill>
          </w14:textFill>
        </w:rPr>
      </w:pPr>
    </w:p>
    <w:p>
      <w:pPr>
        <w:pStyle w:val="9"/>
        <w:snapToGrid w:val="0"/>
        <w:spacing w:line="420" w:lineRule="atLeast"/>
        <w:ind w:firstLine="0"/>
        <w:jc w:val="center"/>
        <w:outlineLvl w:val="0"/>
        <w:rPr>
          <w:rFonts w:ascii="Tahoma" w:hAnsi="Tahoma" w:eastAsia="黑体" w:cs="Tahoma"/>
          <w:b/>
          <w:bCs/>
          <w:color w:val="000000" w:themeColor="text1"/>
          <w:sz w:val="44"/>
          <w:highlight w:val="none"/>
          <w14:textFill>
            <w14:solidFill>
              <w14:schemeClr w14:val="tx1"/>
            </w14:solidFill>
          </w14:textFill>
        </w:rPr>
      </w:pPr>
    </w:p>
    <w:p>
      <w:pPr>
        <w:pStyle w:val="9"/>
        <w:snapToGrid w:val="0"/>
        <w:spacing w:line="420" w:lineRule="atLeast"/>
        <w:ind w:firstLine="0"/>
        <w:jc w:val="center"/>
        <w:outlineLvl w:val="0"/>
        <w:rPr>
          <w:rFonts w:ascii="Tahoma" w:hAnsi="Tahoma" w:eastAsia="黑体" w:cs="Tahoma"/>
          <w:b/>
          <w:bCs/>
          <w:color w:val="000000" w:themeColor="text1"/>
          <w:sz w:val="44"/>
          <w:highlight w:val="none"/>
          <w14:textFill>
            <w14:solidFill>
              <w14:schemeClr w14:val="tx1"/>
            </w14:solidFill>
          </w14:textFill>
        </w:rPr>
      </w:pPr>
    </w:p>
    <w:p>
      <w:pPr>
        <w:pStyle w:val="9"/>
        <w:snapToGrid w:val="0"/>
        <w:spacing w:line="420" w:lineRule="atLeast"/>
        <w:ind w:firstLine="0"/>
        <w:jc w:val="center"/>
        <w:outlineLvl w:val="0"/>
        <w:rPr>
          <w:rFonts w:ascii="Tahoma" w:hAnsi="Tahoma" w:eastAsia="黑体" w:cs="Tahoma"/>
          <w:b/>
          <w:bCs/>
          <w:color w:val="000000" w:themeColor="text1"/>
          <w:sz w:val="44"/>
          <w:highlight w:val="none"/>
          <w14:textFill>
            <w14:solidFill>
              <w14:schemeClr w14:val="tx1"/>
            </w14:solidFill>
          </w14:textFill>
        </w:rPr>
      </w:pPr>
    </w:p>
    <w:p>
      <w:pPr>
        <w:pStyle w:val="9"/>
        <w:snapToGrid w:val="0"/>
        <w:spacing w:line="420" w:lineRule="atLeast"/>
        <w:ind w:firstLine="0"/>
        <w:jc w:val="center"/>
        <w:outlineLvl w:val="0"/>
        <w:rPr>
          <w:rFonts w:ascii="Tahoma" w:hAnsi="Tahoma" w:cs="Tahoma"/>
          <w:color w:val="000000" w:themeColor="text1"/>
          <w:highlight w:val="none"/>
          <w14:textFill>
            <w14:solidFill>
              <w14:schemeClr w14:val="tx1"/>
            </w14:solidFill>
          </w14:textFill>
        </w:rPr>
      </w:pPr>
      <w:r>
        <w:rPr>
          <w:rFonts w:ascii="Tahoma" w:hAnsi="Tahoma" w:eastAsia="黑体" w:cs="Tahoma"/>
          <w:b/>
          <w:bCs/>
          <w:color w:val="000000" w:themeColor="text1"/>
          <w:sz w:val="44"/>
          <w:highlight w:val="none"/>
          <w14:textFill>
            <w14:solidFill>
              <w14:schemeClr w14:val="tx1"/>
            </w14:solidFill>
          </w14:textFill>
        </w:rPr>
        <w:t>第六章  技术标准及要求</w:t>
      </w:r>
      <w:bookmarkEnd w:id="27"/>
      <w:bookmarkEnd w:id="28"/>
    </w:p>
    <w:p>
      <w:pPr>
        <w:pStyle w:val="16"/>
        <w:rPr>
          <w:rFonts w:ascii="Tahoma" w:hAnsi="Tahoma" w:cs="Tahoma"/>
          <w:color w:val="000000" w:themeColor="text1"/>
          <w:highlight w:val="none"/>
          <w14:textFill>
            <w14:solidFill>
              <w14:schemeClr w14:val="tx1"/>
            </w14:solidFill>
          </w14:textFill>
        </w:rPr>
      </w:pPr>
    </w:p>
    <w:p>
      <w:pPr>
        <w:keepNext w:val="0"/>
        <w:keepLines w:val="0"/>
        <w:pageBreakBefore w:val="0"/>
        <w:widowControl/>
        <w:kinsoku/>
        <w:wordWrap/>
        <w:overflowPunct/>
        <w:topLinePunct w:val="0"/>
        <w:bidi w:val="0"/>
        <w:adjustRightInd/>
        <w:spacing w:line="320" w:lineRule="exact"/>
        <w:jc w:val="center"/>
        <w:rPr>
          <w:rFonts w:hint="eastAsia" w:ascii="Tahoma" w:hAnsi="Tahoma" w:eastAsia="黑体" w:cs="Tahoma"/>
          <w:b/>
          <w:color w:val="000000" w:themeColor="text1"/>
          <w:sz w:val="28"/>
          <w:szCs w:val="28"/>
          <w:highlight w:val="none"/>
          <w:lang w:val="en-US" w:eastAsia="zh-CN"/>
          <w14:textFill>
            <w14:solidFill>
              <w14:schemeClr w14:val="tx1"/>
            </w14:solidFill>
          </w14:textFill>
        </w:rPr>
      </w:pPr>
      <w:bookmarkStart w:id="29" w:name="_Toc61318613"/>
      <w:bookmarkStart w:id="30" w:name="_Toc71087056"/>
    </w:p>
    <w:p>
      <w:pPr>
        <w:keepNext w:val="0"/>
        <w:keepLines w:val="0"/>
        <w:pageBreakBefore w:val="0"/>
        <w:widowControl/>
        <w:kinsoku/>
        <w:wordWrap/>
        <w:overflowPunct/>
        <w:topLinePunct w:val="0"/>
        <w:bidi w:val="0"/>
        <w:adjustRightInd/>
        <w:spacing w:line="320" w:lineRule="exact"/>
        <w:jc w:val="center"/>
        <w:rPr>
          <w:rFonts w:hint="eastAsia" w:ascii="Tahoma" w:hAnsi="Tahoma" w:eastAsia="黑体" w:cs="Tahoma"/>
          <w:b/>
          <w:color w:val="000000" w:themeColor="text1"/>
          <w:sz w:val="28"/>
          <w:szCs w:val="28"/>
          <w:highlight w:val="none"/>
          <w:lang w:val="en-US" w:eastAsia="zh-CN"/>
          <w14:textFill>
            <w14:solidFill>
              <w14:schemeClr w14:val="tx1"/>
            </w14:solidFill>
          </w14:textFill>
        </w:rPr>
      </w:pPr>
    </w:p>
    <w:p>
      <w:pPr>
        <w:keepNext w:val="0"/>
        <w:keepLines w:val="0"/>
        <w:pageBreakBefore w:val="0"/>
        <w:widowControl/>
        <w:kinsoku/>
        <w:wordWrap/>
        <w:overflowPunct/>
        <w:topLinePunct w:val="0"/>
        <w:bidi w:val="0"/>
        <w:adjustRightInd/>
        <w:spacing w:line="320" w:lineRule="exact"/>
        <w:jc w:val="center"/>
        <w:rPr>
          <w:rFonts w:hint="eastAsia" w:ascii="Tahoma" w:hAnsi="Tahoma" w:eastAsia="黑体" w:cs="Tahoma"/>
          <w:b/>
          <w:color w:val="000000" w:themeColor="text1"/>
          <w:sz w:val="28"/>
          <w:szCs w:val="28"/>
          <w:highlight w:val="none"/>
          <w:lang w:val="en-US" w:eastAsia="zh-CN"/>
          <w14:textFill>
            <w14:solidFill>
              <w14:schemeClr w14:val="tx1"/>
            </w14:solidFill>
          </w14:textFill>
        </w:rPr>
      </w:pPr>
    </w:p>
    <w:p>
      <w:pPr>
        <w:keepNext w:val="0"/>
        <w:keepLines w:val="0"/>
        <w:pageBreakBefore w:val="0"/>
        <w:widowControl/>
        <w:kinsoku/>
        <w:wordWrap/>
        <w:overflowPunct/>
        <w:topLinePunct w:val="0"/>
        <w:bidi w:val="0"/>
        <w:adjustRightInd/>
        <w:spacing w:line="320" w:lineRule="exact"/>
        <w:jc w:val="center"/>
        <w:rPr>
          <w:rFonts w:hint="eastAsia" w:ascii="Tahoma" w:hAnsi="Tahoma" w:eastAsia="黑体" w:cs="Tahoma"/>
          <w:b/>
          <w:color w:val="000000" w:themeColor="text1"/>
          <w:sz w:val="28"/>
          <w:szCs w:val="28"/>
          <w:highlight w:val="none"/>
          <w:lang w:val="en-US" w:eastAsia="zh-CN"/>
          <w14:textFill>
            <w14:solidFill>
              <w14:schemeClr w14:val="tx1"/>
            </w14:solidFill>
          </w14:textFill>
        </w:rPr>
      </w:pPr>
    </w:p>
    <w:p>
      <w:pPr>
        <w:keepNext w:val="0"/>
        <w:keepLines w:val="0"/>
        <w:pageBreakBefore w:val="0"/>
        <w:widowControl/>
        <w:kinsoku/>
        <w:wordWrap/>
        <w:overflowPunct/>
        <w:topLinePunct w:val="0"/>
        <w:bidi w:val="0"/>
        <w:adjustRightInd/>
        <w:spacing w:line="320" w:lineRule="exact"/>
        <w:jc w:val="center"/>
        <w:rPr>
          <w:rFonts w:hint="eastAsia" w:ascii="Tahoma" w:hAnsi="Tahoma" w:eastAsia="黑体" w:cs="Tahoma"/>
          <w:b/>
          <w:color w:val="000000" w:themeColor="text1"/>
          <w:sz w:val="28"/>
          <w:szCs w:val="28"/>
          <w:highlight w:val="none"/>
          <w:lang w:val="en-US" w:eastAsia="zh-CN"/>
          <w14:textFill>
            <w14:solidFill>
              <w14:schemeClr w14:val="tx1"/>
            </w14:solidFill>
          </w14:textFill>
        </w:rPr>
      </w:pPr>
    </w:p>
    <w:p>
      <w:pPr>
        <w:keepNext w:val="0"/>
        <w:keepLines w:val="0"/>
        <w:pageBreakBefore w:val="0"/>
        <w:widowControl/>
        <w:kinsoku/>
        <w:wordWrap/>
        <w:overflowPunct/>
        <w:topLinePunct w:val="0"/>
        <w:bidi w:val="0"/>
        <w:adjustRightInd/>
        <w:spacing w:line="320" w:lineRule="exact"/>
        <w:jc w:val="center"/>
        <w:rPr>
          <w:rFonts w:hint="eastAsia" w:ascii="Tahoma" w:hAnsi="Tahoma" w:eastAsia="黑体" w:cs="Tahoma"/>
          <w:b/>
          <w:color w:val="000000" w:themeColor="text1"/>
          <w:sz w:val="28"/>
          <w:szCs w:val="28"/>
          <w:highlight w:val="none"/>
          <w:lang w:val="en-US" w:eastAsia="zh-CN"/>
          <w14:textFill>
            <w14:solidFill>
              <w14:schemeClr w14:val="tx1"/>
            </w14:solidFill>
          </w14:textFill>
        </w:rPr>
      </w:pPr>
    </w:p>
    <w:p>
      <w:pPr>
        <w:keepNext w:val="0"/>
        <w:keepLines w:val="0"/>
        <w:pageBreakBefore w:val="0"/>
        <w:widowControl/>
        <w:kinsoku/>
        <w:wordWrap/>
        <w:overflowPunct/>
        <w:topLinePunct w:val="0"/>
        <w:bidi w:val="0"/>
        <w:adjustRightInd/>
        <w:spacing w:line="320" w:lineRule="exact"/>
        <w:jc w:val="center"/>
        <w:rPr>
          <w:rFonts w:hint="eastAsia" w:ascii="Tahoma" w:hAnsi="Tahoma" w:eastAsia="黑体" w:cs="Tahoma"/>
          <w:b/>
          <w:color w:val="000000" w:themeColor="text1"/>
          <w:sz w:val="28"/>
          <w:szCs w:val="28"/>
          <w:highlight w:val="none"/>
          <w:lang w:val="en-US" w:eastAsia="zh-CN"/>
          <w14:textFill>
            <w14:solidFill>
              <w14:schemeClr w14:val="tx1"/>
            </w14:solidFill>
          </w14:textFill>
        </w:rPr>
      </w:pPr>
    </w:p>
    <w:p>
      <w:pPr>
        <w:keepNext w:val="0"/>
        <w:keepLines w:val="0"/>
        <w:pageBreakBefore w:val="0"/>
        <w:widowControl/>
        <w:kinsoku/>
        <w:wordWrap/>
        <w:overflowPunct/>
        <w:topLinePunct w:val="0"/>
        <w:bidi w:val="0"/>
        <w:adjustRightInd/>
        <w:spacing w:line="320" w:lineRule="exact"/>
        <w:jc w:val="center"/>
        <w:rPr>
          <w:rFonts w:hint="eastAsia" w:ascii="Tahoma" w:hAnsi="Tahoma" w:eastAsia="黑体" w:cs="Tahoma"/>
          <w:b/>
          <w:color w:val="000000" w:themeColor="text1"/>
          <w:sz w:val="28"/>
          <w:szCs w:val="28"/>
          <w:highlight w:val="none"/>
          <w:lang w:val="en-US" w:eastAsia="zh-CN"/>
          <w14:textFill>
            <w14:solidFill>
              <w14:schemeClr w14:val="tx1"/>
            </w14:solidFill>
          </w14:textFill>
        </w:rPr>
      </w:pPr>
    </w:p>
    <w:p>
      <w:pPr>
        <w:keepNext w:val="0"/>
        <w:keepLines w:val="0"/>
        <w:pageBreakBefore w:val="0"/>
        <w:widowControl/>
        <w:kinsoku/>
        <w:wordWrap/>
        <w:overflowPunct/>
        <w:topLinePunct w:val="0"/>
        <w:bidi w:val="0"/>
        <w:adjustRightInd/>
        <w:spacing w:line="320" w:lineRule="exact"/>
        <w:jc w:val="center"/>
        <w:rPr>
          <w:rFonts w:hint="eastAsia" w:ascii="Tahoma" w:hAnsi="Tahoma" w:eastAsia="黑体" w:cs="Tahoma"/>
          <w:b/>
          <w:color w:val="000000" w:themeColor="text1"/>
          <w:sz w:val="28"/>
          <w:szCs w:val="28"/>
          <w:highlight w:val="none"/>
          <w:lang w:val="en-US" w:eastAsia="zh-CN"/>
          <w14:textFill>
            <w14:solidFill>
              <w14:schemeClr w14:val="tx1"/>
            </w14:solidFill>
          </w14:textFill>
        </w:rPr>
      </w:pPr>
    </w:p>
    <w:p>
      <w:pPr>
        <w:keepNext w:val="0"/>
        <w:keepLines w:val="0"/>
        <w:pageBreakBefore w:val="0"/>
        <w:widowControl/>
        <w:kinsoku/>
        <w:wordWrap/>
        <w:overflowPunct/>
        <w:topLinePunct w:val="0"/>
        <w:bidi w:val="0"/>
        <w:adjustRightInd/>
        <w:spacing w:line="320" w:lineRule="exact"/>
        <w:jc w:val="center"/>
        <w:rPr>
          <w:rFonts w:hint="eastAsia" w:ascii="Tahoma" w:hAnsi="Tahoma" w:eastAsia="黑体" w:cs="Tahoma"/>
          <w:b/>
          <w:color w:val="000000" w:themeColor="text1"/>
          <w:sz w:val="28"/>
          <w:szCs w:val="28"/>
          <w:highlight w:val="none"/>
          <w:lang w:val="en-US" w:eastAsia="zh-CN"/>
          <w14:textFill>
            <w14:solidFill>
              <w14:schemeClr w14:val="tx1"/>
            </w14:solidFill>
          </w14:textFill>
        </w:rPr>
      </w:pPr>
    </w:p>
    <w:p>
      <w:pPr>
        <w:keepNext w:val="0"/>
        <w:keepLines w:val="0"/>
        <w:pageBreakBefore w:val="0"/>
        <w:widowControl/>
        <w:kinsoku/>
        <w:wordWrap/>
        <w:overflowPunct/>
        <w:topLinePunct w:val="0"/>
        <w:bidi w:val="0"/>
        <w:adjustRightInd/>
        <w:spacing w:line="320" w:lineRule="exact"/>
        <w:jc w:val="center"/>
        <w:rPr>
          <w:rFonts w:hint="eastAsia" w:ascii="Tahoma" w:hAnsi="Tahoma" w:eastAsia="黑体" w:cs="Tahoma"/>
          <w:b/>
          <w:color w:val="000000" w:themeColor="text1"/>
          <w:sz w:val="28"/>
          <w:szCs w:val="28"/>
          <w:highlight w:val="none"/>
          <w:lang w:val="en-US" w:eastAsia="zh-CN"/>
          <w14:textFill>
            <w14:solidFill>
              <w14:schemeClr w14:val="tx1"/>
            </w14:solidFill>
          </w14:textFill>
        </w:rPr>
      </w:pPr>
    </w:p>
    <w:p>
      <w:pPr>
        <w:keepNext w:val="0"/>
        <w:keepLines w:val="0"/>
        <w:pageBreakBefore w:val="0"/>
        <w:widowControl/>
        <w:kinsoku/>
        <w:wordWrap/>
        <w:overflowPunct/>
        <w:topLinePunct w:val="0"/>
        <w:bidi w:val="0"/>
        <w:adjustRightInd/>
        <w:spacing w:line="320" w:lineRule="exact"/>
        <w:jc w:val="center"/>
        <w:rPr>
          <w:rFonts w:hint="eastAsia" w:ascii="Tahoma" w:hAnsi="Tahoma" w:eastAsia="黑体" w:cs="Tahoma"/>
          <w:b/>
          <w:color w:val="000000" w:themeColor="text1"/>
          <w:sz w:val="28"/>
          <w:szCs w:val="28"/>
          <w:highlight w:val="none"/>
          <w:lang w:val="en-US" w:eastAsia="zh-CN"/>
          <w14:textFill>
            <w14:solidFill>
              <w14:schemeClr w14:val="tx1"/>
            </w14:solidFill>
          </w14:textFill>
        </w:rPr>
      </w:pPr>
    </w:p>
    <w:p>
      <w:pPr>
        <w:keepNext w:val="0"/>
        <w:keepLines w:val="0"/>
        <w:pageBreakBefore w:val="0"/>
        <w:widowControl/>
        <w:kinsoku/>
        <w:wordWrap/>
        <w:overflowPunct/>
        <w:topLinePunct w:val="0"/>
        <w:bidi w:val="0"/>
        <w:adjustRightInd/>
        <w:spacing w:line="320" w:lineRule="exact"/>
        <w:jc w:val="center"/>
        <w:rPr>
          <w:rFonts w:hint="eastAsia" w:ascii="Tahoma" w:hAnsi="Tahoma" w:eastAsia="黑体" w:cs="Tahoma"/>
          <w:b/>
          <w:color w:val="000000" w:themeColor="text1"/>
          <w:sz w:val="28"/>
          <w:szCs w:val="28"/>
          <w:highlight w:val="none"/>
          <w:lang w:val="en-US" w:eastAsia="zh-CN"/>
          <w14:textFill>
            <w14:solidFill>
              <w14:schemeClr w14:val="tx1"/>
            </w14:solidFill>
          </w14:textFill>
        </w:rPr>
      </w:pPr>
    </w:p>
    <w:p>
      <w:pPr>
        <w:keepNext w:val="0"/>
        <w:keepLines w:val="0"/>
        <w:pageBreakBefore w:val="0"/>
        <w:widowControl/>
        <w:kinsoku/>
        <w:wordWrap/>
        <w:overflowPunct/>
        <w:topLinePunct w:val="0"/>
        <w:bidi w:val="0"/>
        <w:adjustRightInd/>
        <w:spacing w:line="320" w:lineRule="exact"/>
        <w:jc w:val="center"/>
        <w:rPr>
          <w:rFonts w:hint="eastAsia" w:ascii="Tahoma" w:hAnsi="Tahoma" w:eastAsia="黑体" w:cs="Tahoma"/>
          <w:b/>
          <w:color w:val="000000" w:themeColor="text1"/>
          <w:sz w:val="28"/>
          <w:szCs w:val="28"/>
          <w:highlight w:val="none"/>
          <w:lang w:val="en-US" w:eastAsia="zh-CN"/>
          <w14:textFill>
            <w14:solidFill>
              <w14:schemeClr w14:val="tx1"/>
            </w14:solidFill>
          </w14:textFill>
        </w:rPr>
      </w:pPr>
    </w:p>
    <w:p>
      <w:pPr>
        <w:keepNext w:val="0"/>
        <w:keepLines w:val="0"/>
        <w:pageBreakBefore w:val="0"/>
        <w:widowControl/>
        <w:kinsoku/>
        <w:wordWrap/>
        <w:overflowPunct/>
        <w:topLinePunct w:val="0"/>
        <w:bidi w:val="0"/>
        <w:adjustRightInd/>
        <w:spacing w:line="320" w:lineRule="exact"/>
        <w:jc w:val="center"/>
        <w:rPr>
          <w:rFonts w:hint="eastAsia" w:ascii="Tahoma" w:hAnsi="Tahoma" w:eastAsia="黑体" w:cs="Tahoma"/>
          <w:b/>
          <w:color w:val="000000" w:themeColor="text1"/>
          <w:sz w:val="28"/>
          <w:szCs w:val="28"/>
          <w:highlight w:val="none"/>
          <w:lang w:val="en-US" w:eastAsia="zh-CN"/>
          <w14:textFill>
            <w14:solidFill>
              <w14:schemeClr w14:val="tx1"/>
            </w14:solidFill>
          </w14:textFill>
        </w:rPr>
      </w:pPr>
    </w:p>
    <w:p>
      <w:pPr>
        <w:keepNext w:val="0"/>
        <w:keepLines w:val="0"/>
        <w:pageBreakBefore w:val="0"/>
        <w:widowControl/>
        <w:kinsoku/>
        <w:wordWrap/>
        <w:overflowPunct/>
        <w:topLinePunct w:val="0"/>
        <w:bidi w:val="0"/>
        <w:adjustRightInd/>
        <w:spacing w:line="320" w:lineRule="exact"/>
        <w:jc w:val="center"/>
        <w:rPr>
          <w:rFonts w:hint="eastAsia" w:ascii="Tahoma" w:hAnsi="Tahoma" w:eastAsia="黑体" w:cs="Tahoma"/>
          <w:b/>
          <w:color w:val="000000" w:themeColor="text1"/>
          <w:sz w:val="28"/>
          <w:szCs w:val="28"/>
          <w:highlight w:val="none"/>
          <w:lang w:val="en-US" w:eastAsia="zh-CN"/>
          <w14:textFill>
            <w14:solidFill>
              <w14:schemeClr w14:val="tx1"/>
            </w14:solidFill>
          </w14:textFill>
        </w:rPr>
      </w:pPr>
    </w:p>
    <w:p>
      <w:pPr>
        <w:pStyle w:val="2"/>
        <w:rPr>
          <w:rFonts w:hint="eastAsia" w:ascii="Tahoma" w:hAnsi="Tahoma" w:eastAsia="黑体" w:cs="Tahoma"/>
          <w:b/>
          <w:color w:val="000000" w:themeColor="text1"/>
          <w:sz w:val="28"/>
          <w:szCs w:val="28"/>
          <w:highlight w:val="none"/>
          <w:lang w:val="en-US" w:eastAsia="zh-CN"/>
          <w14:textFill>
            <w14:solidFill>
              <w14:schemeClr w14:val="tx1"/>
            </w14:solidFill>
          </w14:textFill>
        </w:rPr>
      </w:pPr>
    </w:p>
    <w:p>
      <w:pPr>
        <w:pStyle w:val="2"/>
        <w:rPr>
          <w:rFonts w:hint="eastAsia" w:ascii="Tahoma" w:hAnsi="Tahoma" w:eastAsia="黑体" w:cs="Tahoma"/>
          <w:b/>
          <w:color w:val="000000" w:themeColor="text1"/>
          <w:sz w:val="28"/>
          <w:szCs w:val="28"/>
          <w:highlight w:val="none"/>
          <w:lang w:val="en-US" w:eastAsia="zh-CN"/>
          <w14:textFill>
            <w14:solidFill>
              <w14:schemeClr w14:val="tx1"/>
            </w14:solidFill>
          </w14:textFill>
        </w:rPr>
      </w:pPr>
    </w:p>
    <w:p>
      <w:pPr>
        <w:keepNext w:val="0"/>
        <w:keepLines w:val="0"/>
        <w:pageBreakBefore w:val="0"/>
        <w:widowControl/>
        <w:kinsoku/>
        <w:wordWrap/>
        <w:overflowPunct/>
        <w:topLinePunct w:val="0"/>
        <w:bidi w:val="0"/>
        <w:adjustRightInd/>
        <w:spacing w:line="320" w:lineRule="exact"/>
        <w:jc w:val="center"/>
        <w:rPr>
          <w:rFonts w:hint="eastAsia" w:ascii="Tahoma" w:hAnsi="Tahoma" w:eastAsia="黑体" w:cs="Tahoma"/>
          <w:b/>
          <w:color w:val="000000" w:themeColor="text1"/>
          <w:sz w:val="28"/>
          <w:szCs w:val="28"/>
          <w:highlight w:val="none"/>
          <w:lang w:val="en-US" w:eastAsia="zh-CN"/>
          <w14:textFill>
            <w14:solidFill>
              <w14:schemeClr w14:val="tx1"/>
            </w14:solidFill>
          </w14:textFill>
        </w:rPr>
      </w:pPr>
    </w:p>
    <w:p>
      <w:pPr>
        <w:keepNext w:val="0"/>
        <w:keepLines w:val="0"/>
        <w:pageBreakBefore w:val="0"/>
        <w:widowControl/>
        <w:kinsoku/>
        <w:wordWrap/>
        <w:overflowPunct/>
        <w:topLinePunct w:val="0"/>
        <w:bidi w:val="0"/>
        <w:adjustRightInd/>
        <w:spacing w:line="320" w:lineRule="exact"/>
        <w:jc w:val="center"/>
        <w:rPr>
          <w:rFonts w:hint="eastAsia" w:ascii="Tahoma" w:hAnsi="Tahoma" w:eastAsia="黑体" w:cs="Tahoma"/>
          <w:b/>
          <w:color w:val="000000" w:themeColor="text1"/>
          <w:sz w:val="28"/>
          <w:szCs w:val="28"/>
          <w:highlight w:val="none"/>
          <w:lang w:val="en-US" w:eastAsia="zh-CN"/>
          <w14:textFill>
            <w14:solidFill>
              <w14:schemeClr w14:val="tx1"/>
            </w14:solidFill>
          </w14:textFill>
        </w:rPr>
      </w:pPr>
    </w:p>
    <w:p>
      <w:pPr>
        <w:keepNext w:val="0"/>
        <w:keepLines w:val="0"/>
        <w:pageBreakBefore w:val="0"/>
        <w:widowControl/>
        <w:kinsoku/>
        <w:wordWrap/>
        <w:overflowPunct/>
        <w:topLinePunct w:val="0"/>
        <w:bidi w:val="0"/>
        <w:adjustRightInd/>
        <w:spacing w:line="320" w:lineRule="exact"/>
        <w:jc w:val="center"/>
        <w:rPr>
          <w:rFonts w:hint="eastAsia" w:ascii="Tahoma" w:hAnsi="Tahoma" w:eastAsia="黑体" w:cs="Tahoma"/>
          <w:b/>
          <w:color w:val="000000" w:themeColor="text1"/>
          <w:sz w:val="28"/>
          <w:szCs w:val="28"/>
          <w:highlight w:val="none"/>
          <w:lang w:val="en-US" w:eastAsia="zh-CN"/>
          <w14:textFill>
            <w14:solidFill>
              <w14:schemeClr w14:val="tx1"/>
            </w14:solidFill>
          </w14:textFill>
        </w:rPr>
      </w:pPr>
    </w:p>
    <w:p>
      <w:pPr>
        <w:keepNext w:val="0"/>
        <w:keepLines w:val="0"/>
        <w:pageBreakBefore w:val="0"/>
        <w:widowControl/>
        <w:kinsoku/>
        <w:wordWrap/>
        <w:overflowPunct/>
        <w:topLinePunct w:val="0"/>
        <w:bidi w:val="0"/>
        <w:adjustRightInd/>
        <w:spacing w:line="320" w:lineRule="exact"/>
        <w:jc w:val="center"/>
        <w:rPr>
          <w:rFonts w:ascii="Tahoma" w:hAnsi="Tahoma" w:eastAsia="黑体" w:cs="Tahoma"/>
          <w:b/>
          <w:color w:val="000000" w:themeColor="text1"/>
          <w:sz w:val="28"/>
          <w:szCs w:val="28"/>
          <w:highlight w:val="none"/>
          <w14:textFill>
            <w14:solidFill>
              <w14:schemeClr w14:val="tx1"/>
            </w14:solidFill>
          </w14:textFill>
        </w:rPr>
      </w:pPr>
      <w:r>
        <w:rPr>
          <w:rFonts w:hint="eastAsia" w:ascii="Tahoma" w:hAnsi="Tahoma" w:eastAsia="黑体" w:cs="Tahoma"/>
          <w:b/>
          <w:color w:val="000000" w:themeColor="text1"/>
          <w:sz w:val="28"/>
          <w:szCs w:val="28"/>
          <w:highlight w:val="none"/>
          <w:lang w:val="en-US" w:eastAsia="zh-CN"/>
          <w14:textFill>
            <w14:solidFill>
              <w14:schemeClr w14:val="tx1"/>
            </w14:solidFill>
          </w14:textFill>
        </w:rPr>
        <w:t>1</w:t>
      </w:r>
      <w:r>
        <w:rPr>
          <w:rFonts w:ascii="Tahoma" w:hAnsi="Tahoma" w:eastAsia="黑体" w:cs="Tahoma"/>
          <w:b/>
          <w:color w:val="000000" w:themeColor="text1"/>
          <w:sz w:val="28"/>
          <w:szCs w:val="28"/>
          <w:highlight w:val="none"/>
          <w14:textFill>
            <w14:solidFill>
              <w14:schemeClr w14:val="tx1"/>
            </w14:solidFill>
          </w14:textFill>
        </w:rPr>
        <w:t>、一般规定</w:t>
      </w:r>
    </w:p>
    <w:p>
      <w:pPr>
        <w:keepNext w:val="0"/>
        <w:keepLines w:val="0"/>
        <w:pageBreakBefore w:val="0"/>
        <w:widowControl/>
        <w:tabs>
          <w:tab w:val="left" w:pos="502"/>
          <w:tab w:val="left" w:pos="753"/>
        </w:tabs>
        <w:kinsoku/>
        <w:wordWrap/>
        <w:overflowPunct/>
        <w:topLinePunct w:val="0"/>
        <w:autoSpaceDE w:val="0"/>
        <w:autoSpaceDN w:val="0"/>
        <w:bidi w:val="0"/>
        <w:adjustRightInd/>
        <w:spacing w:line="320" w:lineRule="exact"/>
        <w:textAlignment w:val="bottom"/>
        <w:rPr>
          <w:rFonts w:ascii="Tahoma" w:hAnsi="Tahoma" w:cs="Tahoma"/>
          <w:color w:val="000000" w:themeColor="text1"/>
          <w:szCs w:val="21"/>
          <w:highlight w:val="none"/>
          <w14:textFill>
            <w14:solidFill>
              <w14:schemeClr w14:val="tx1"/>
            </w14:solidFill>
          </w14:textFill>
        </w:rPr>
      </w:pPr>
      <w:r>
        <w:rPr>
          <w:rFonts w:ascii="Tahoma" w:hAnsi="Tahoma" w:cs="Tahoma"/>
          <w:b/>
          <w:bCs/>
          <w:color w:val="000000" w:themeColor="text1"/>
          <w:szCs w:val="21"/>
          <w:highlight w:val="none"/>
          <w14:textFill>
            <w14:solidFill>
              <w14:schemeClr w14:val="tx1"/>
            </w14:solidFill>
          </w14:textFill>
        </w:rPr>
        <w:t>1.1、供方责任</w:t>
      </w:r>
    </w:p>
    <w:p>
      <w:pPr>
        <w:keepNext w:val="0"/>
        <w:keepLines w:val="0"/>
        <w:pageBreakBefore w:val="0"/>
        <w:widowControl/>
        <w:tabs>
          <w:tab w:val="left" w:pos="502"/>
          <w:tab w:val="left" w:pos="753"/>
        </w:tabs>
        <w:kinsoku/>
        <w:wordWrap/>
        <w:overflowPunct/>
        <w:topLinePunct w:val="0"/>
        <w:autoSpaceDE w:val="0"/>
        <w:autoSpaceDN w:val="0"/>
        <w:bidi w:val="0"/>
        <w:adjustRightInd/>
        <w:spacing w:line="320" w:lineRule="exact"/>
        <w:ind w:firstLine="210" w:firstLineChars="100"/>
        <w:textAlignment w:val="bottom"/>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（1）供方负责所供设备制造、供应、质量的检测、检验、</w:t>
      </w:r>
      <w:r>
        <w:rPr>
          <w:rFonts w:hint="eastAsia" w:ascii="Tahoma" w:hAnsi="Tahoma" w:cs="Tahoma"/>
          <w:color w:val="000000" w:themeColor="text1"/>
          <w:szCs w:val="21"/>
          <w:highlight w:val="none"/>
          <w14:textFill>
            <w14:solidFill>
              <w14:schemeClr w14:val="tx1"/>
            </w14:solidFill>
          </w14:textFill>
        </w:rPr>
        <w:t>运输配送、售后服务</w:t>
      </w:r>
      <w:r>
        <w:rPr>
          <w:rFonts w:ascii="Tahoma" w:hAnsi="Tahoma" w:cs="Tahoma"/>
          <w:color w:val="000000" w:themeColor="text1"/>
          <w:szCs w:val="21"/>
          <w:highlight w:val="none"/>
          <w14:textFill>
            <w14:solidFill>
              <w14:schemeClr w14:val="tx1"/>
            </w14:solidFill>
          </w14:textFill>
        </w:rPr>
        <w:t>等工作，以及提供为完成上述所需的全部人工、材料、专用工具、交通运输、和一切辅助作业及辅助设施等。</w:t>
      </w:r>
    </w:p>
    <w:p>
      <w:pPr>
        <w:keepNext w:val="0"/>
        <w:keepLines w:val="0"/>
        <w:pageBreakBefore w:val="0"/>
        <w:widowControl/>
        <w:tabs>
          <w:tab w:val="left" w:pos="502"/>
          <w:tab w:val="left" w:pos="753"/>
        </w:tabs>
        <w:kinsoku/>
        <w:wordWrap/>
        <w:overflowPunct/>
        <w:topLinePunct w:val="0"/>
        <w:autoSpaceDE w:val="0"/>
        <w:autoSpaceDN w:val="0"/>
        <w:bidi w:val="0"/>
        <w:adjustRightInd/>
        <w:spacing w:line="320" w:lineRule="exact"/>
        <w:ind w:firstLine="210" w:firstLineChars="100"/>
        <w:textAlignment w:val="bottom"/>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（2）供方应负责设备达到要求的各项功能、技术性能、指标和参数。</w:t>
      </w:r>
    </w:p>
    <w:p>
      <w:pPr>
        <w:pStyle w:val="10"/>
        <w:keepNext w:val="0"/>
        <w:keepLines w:val="0"/>
        <w:pageBreakBefore w:val="0"/>
        <w:widowControl/>
        <w:kinsoku/>
        <w:wordWrap/>
        <w:overflowPunct/>
        <w:topLinePunct w:val="0"/>
        <w:bidi w:val="0"/>
        <w:adjustRightInd/>
        <w:spacing w:line="320" w:lineRule="exact"/>
        <w:ind w:firstLine="210" w:firstLineChars="100"/>
        <w:rPr>
          <w:rFonts w:ascii="Tahoma" w:hAnsi="Tahoma" w:cs="Tahoma"/>
          <w:color w:val="000000" w:themeColor="text1"/>
          <w:sz w:val="21"/>
          <w:szCs w:val="21"/>
          <w:highlight w:val="none"/>
          <w14:textFill>
            <w14:solidFill>
              <w14:schemeClr w14:val="tx1"/>
            </w14:solidFill>
          </w14:textFill>
        </w:rPr>
      </w:pPr>
      <w:r>
        <w:rPr>
          <w:rFonts w:ascii="Tahoma" w:hAnsi="Tahoma" w:cs="Tahoma"/>
          <w:color w:val="000000" w:themeColor="text1"/>
          <w:sz w:val="21"/>
          <w:szCs w:val="21"/>
          <w:highlight w:val="none"/>
          <w14:textFill>
            <w14:solidFill>
              <w14:schemeClr w14:val="tx1"/>
            </w14:solidFill>
          </w14:textFill>
        </w:rPr>
        <w:t>（3）供方提供的设备、配套附属设备必须符合国家、或行业的相关的规范规定的技术要求、质量标准，并承担缺陷责任与保修责任。</w:t>
      </w:r>
    </w:p>
    <w:p>
      <w:pPr>
        <w:keepNext w:val="0"/>
        <w:keepLines w:val="0"/>
        <w:pageBreakBefore w:val="0"/>
        <w:widowControl/>
        <w:tabs>
          <w:tab w:val="left" w:pos="900"/>
        </w:tabs>
        <w:kinsoku/>
        <w:wordWrap/>
        <w:overflowPunct/>
        <w:topLinePunct w:val="0"/>
        <w:bidi w:val="0"/>
        <w:adjustRightInd/>
        <w:snapToGrid w:val="0"/>
        <w:spacing w:line="320" w:lineRule="exact"/>
        <w:ind w:firstLine="210" w:firstLineChars="1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（4）设备应取得国家有关的强制性认证、质量体系认证、具备有关部门批准的生产（经验、销售）许可证书、质量合格证书等。</w:t>
      </w:r>
    </w:p>
    <w:p>
      <w:pPr>
        <w:pStyle w:val="26"/>
        <w:keepNext w:val="0"/>
        <w:keepLines w:val="0"/>
        <w:pageBreakBefore w:val="0"/>
        <w:widowControl/>
        <w:kinsoku/>
        <w:wordWrap/>
        <w:overflowPunct/>
        <w:topLinePunct w:val="0"/>
        <w:bidi w:val="0"/>
        <w:adjustRightInd/>
        <w:spacing w:line="320" w:lineRule="exact"/>
        <w:ind w:firstLine="210" w:firstLineChars="100"/>
        <w:rPr>
          <w:rFonts w:ascii="Tahoma" w:hAnsi="Tahoma" w:cs="Tahoma"/>
          <w:color w:val="000000" w:themeColor="text1"/>
          <w:highlight w:val="none"/>
          <w14:textFill>
            <w14:solidFill>
              <w14:schemeClr w14:val="tx1"/>
            </w14:solidFill>
          </w14:textFill>
        </w:rPr>
      </w:pPr>
      <w:r>
        <w:rPr>
          <w:rFonts w:ascii="Tahoma" w:hAnsi="Tahoma" w:cs="Tahoma"/>
          <w:color w:val="000000" w:themeColor="text1"/>
          <w:highlight w:val="none"/>
          <w14:textFill>
            <w14:solidFill>
              <w14:schemeClr w14:val="tx1"/>
            </w14:solidFill>
          </w14:textFill>
        </w:rPr>
        <w:t>（5）所供产品的各项功能指标和参数应符合验收标准，需方有权委托中国境内有资格的单位或机构（权威专家）对设备的性能、指标进行检测或校核。以确定是否符合国家或行业的有关质量标准及要求，其检测费用由供应商承担。</w:t>
      </w:r>
    </w:p>
    <w:p>
      <w:pPr>
        <w:pStyle w:val="26"/>
        <w:keepNext w:val="0"/>
        <w:keepLines w:val="0"/>
        <w:pageBreakBefore w:val="0"/>
        <w:widowControl/>
        <w:kinsoku/>
        <w:wordWrap/>
        <w:overflowPunct/>
        <w:topLinePunct w:val="0"/>
        <w:bidi w:val="0"/>
        <w:adjustRightInd/>
        <w:spacing w:line="320" w:lineRule="exact"/>
        <w:ind w:firstLine="210" w:firstLineChars="100"/>
        <w:rPr>
          <w:rFonts w:ascii="Tahoma" w:hAnsi="Tahoma" w:cs="Tahoma"/>
          <w:color w:val="000000" w:themeColor="text1"/>
          <w:highlight w:val="none"/>
          <w14:textFill>
            <w14:solidFill>
              <w14:schemeClr w14:val="tx1"/>
            </w14:solidFill>
          </w14:textFill>
        </w:rPr>
      </w:pPr>
      <w:r>
        <w:rPr>
          <w:rFonts w:ascii="Tahoma" w:hAnsi="Tahoma" w:cs="Tahoma"/>
          <w:color w:val="000000" w:themeColor="text1"/>
          <w:highlight w:val="none"/>
          <w14:textFill>
            <w14:solidFill>
              <w14:schemeClr w14:val="tx1"/>
            </w14:solidFill>
          </w14:textFill>
        </w:rPr>
        <w:t>（6）设备如需要特殊工作条件（如：电源、特殊环境温度、湿度等），应在相关的技术文件中加以说明。</w:t>
      </w:r>
    </w:p>
    <w:p>
      <w:pPr>
        <w:pStyle w:val="26"/>
        <w:keepNext w:val="0"/>
        <w:keepLines w:val="0"/>
        <w:pageBreakBefore w:val="0"/>
        <w:widowControl/>
        <w:kinsoku/>
        <w:wordWrap/>
        <w:overflowPunct/>
        <w:topLinePunct w:val="0"/>
        <w:bidi w:val="0"/>
        <w:adjustRightInd/>
        <w:spacing w:line="320" w:lineRule="exact"/>
        <w:ind w:firstLine="210" w:firstLineChars="100"/>
        <w:rPr>
          <w:rFonts w:ascii="Tahoma" w:hAnsi="Tahoma" w:cs="Tahoma"/>
          <w:color w:val="000000" w:themeColor="text1"/>
          <w:highlight w:val="none"/>
          <w14:textFill>
            <w14:solidFill>
              <w14:schemeClr w14:val="tx1"/>
            </w14:solidFill>
          </w14:textFill>
        </w:rPr>
      </w:pPr>
      <w:r>
        <w:rPr>
          <w:rFonts w:ascii="Tahoma" w:hAnsi="Tahoma" w:cs="Tahoma"/>
          <w:color w:val="000000" w:themeColor="text1"/>
          <w:highlight w:val="none"/>
          <w14:textFill>
            <w14:solidFill>
              <w14:schemeClr w14:val="tx1"/>
            </w14:solidFill>
          </w14:textFill>
        </w:rPr>
        <w:t>（7）投标人提供的设备（包括各项配置）必须采用的是最成熟、最先进和可靠的技术，一旦发现采用的技术（或配置）已被淘汰或即将被淘汰，由此而引起的一切法律、经济责任将由供方承担。</w:t>
      </w:r>
    </w:p>
    <w:p>
      <w:pPr>
        <w:keepNext w:val="0"/>
        <w:keepLines w:val="0"/>
        <w:pageBreakBefore w:val="0"/>
        <w:widowControl/>
        <w:tabs>
          <w:tab w:val="left" w:pos="900"/>
        </w:tabs>
        <w:kinsoku/>
        <w:wordWrap/>
        <w:overflowPunct/>
        <w:topLinePunct w:val="0"/>
        <w:bidi w:val="0"/>
        <w:adjustRightInd/>
        <w:snapToGrid w:val="0"/>
        <w:spacing w:line="320" w:lineRule="exact"/>
        <w:rPr>
          <w:rFonts w:ascii="Tahoma" w:hAnsi="Tahoma" w:cs="Tahoma"/>
          <w:b/>
          <w:bCs/>
          <w:color w:val="000000" w:themeColor="text1"/>
          <w:szCs w:val="21"/>
          <w:highlight w:val="none"/>
          <w14:textFill>
            <w14:solidFill>
              <w14:schemeClr w14:val="tx1"/>
            </w14:solidFill>
          </w14:textFill>
        </w:rPr>
      </w:pPr>
      <w:r>
        <w:rPr>
          <w:rFonts w:ascii="Tahoma" w:hAnsi="Tahoma" w:cs="Tahoma"/>
          <w:b/>
          <w:bCs/>
          <w:color w:val="000000" w:themeColor="text1"/>
          <w:szCs w:val="21"/>
          <w:highlight w:val="none"/>
          <w14:textFill>
            <w14:solidFill>
              <w14:schemeClr w14:val="tx1"/>
            </w14:solidFill>
          </w14:textFill>
        </w:rPr>
        <w:t>1.2、交货（安装调试、验收、移交）期</w:t>
      </w:r>
    </w:p>
    <w:p>
      <w:pPr>
        <w:keepNext w:val="0"/>
        <w:keepLines w:val="0"/>
        <w:pageBreakBefore w:val="0"/>
        <w:widowControl/>
        <w:tabs>
          <w:tab w:val="left" w:pos="900"/>
        </w:tabs>
        <w:kinsoku/>
        <w:wordWrap/>
        <w:overflowPunct/>
        <w:topLinePunct w:val="0"/>
        <w:bidi w:val="0"/>
        <w:adjustRightInd/>
        <w:snapToGrid w:val="0"/>
        <w:spacing w:line="320" w:lineRule="exact"/>
        <w:ind w:firstLine="205" w:firstLineChars="98"/>
        <w:rPr>
          <w:rFonts w:ascii="Tahoma" w:hAnsi="Tahoma" w:cs="Tahoma"/>
          <w:color w:val="000000" w:themeColor="text1"/>
          <w:szCs w:val="21"/>
          <w:highlight w:val="none"/>
          <w14:textFill>
            <w14:solidFill>
              <w14:schemeClr w14:val="tx1"/>
            </w14:solidFill>
          </w14:textFill>
        </w:rPr>
      </w:pPr>
      <w:r>
        <w:rPr>
          <w:rFonts w:ascii="Tahoma" w:hAnsi="Tahoma" w:cs="Tahoma"/>
          <w:bCs/>
          <w:color w:val="000000" w:themeColor="text1"/>
          <w:szCs w:val="21"/>
          <w:highlight w:val="none"/>
          <w14:textFill>
            <w14:solidFill>
              <w14:schemeClr w14:val="tx1"/>
            </w14:solidFill>
          </w14:textFill>
        </w:rPr>
        <w:t>（1）</w:t>
      </w:r>
      <w:r>
        <w:rPr>
          <w:rFonts w:ascii="Tahoma" w:hAnsi="Tahoma" w:cs="Tahoma"/>
          <w:color w:val="000000" w:themeColor="text1"/>
          <w:szCs w:val="21"/>
          <w:highlight w:val="none"/>
          <w14:textFill>
            <w14:solidFill>
              <w14:schemeClr w14:val="tx1"/>
            </w14:solidFill>
          </w14:textFill>
        </w:rPr>
        <w:t>供应商必须于</w:t>
      </w:r>
      <w:r>
        <w:rPr>
          <w:rFonts w:hint="eastAsia" w:ascii="Tahoma" w:hAnsi="Tahoma" w:cs="Tahoma"/>
          <w:color w:val="000000" w:themeColor="text1"/>
          <w:szCs w:val="21"/>
          <w:highlight w:val="none"/>
          <w14:textFill>
            <w14:solidFill>
              <w14:schemeClr w14:val="tx1"/>
            </w14:solidFill>
          </w14:textFill>
        </w:rPr>
        <w:t>合同签订后</w:t>
      </w:r>
      <w:r>
        <w:rPr>
          <w:rFonts w:hint="eastAsia" w:ascii="Tahoma" w:hAnsi="Tahoma" w:cs="Tahoma"/>
          <w:color w:val="000000" w:themeColor="text1"/>
          <w:szCs w:val="21"/>
          <w:highlight w:val="none"/>
          <w:lang w:val="en-US" w:eastAsia="zh-CN"/>
          <w14:textFill>
            <w14:solidFill>
              <w14:schemeClr w14:val="tx1"/>
            </w14:solidFill>
          </w14:textFill>
        </w:rPr>
        <w:t>2个月内</w:t>
      </w:r>
      <w:r>
        <w:rPr>
          <w:rFonts w:ascii="Tahoma" w:hAnsi="Tahoma" w:cs="Tahoma"/>
          <w:color w:val="000000" w:themeColor="text1"/>
          <w:szCs w:val="21"/>
          <w:highlight w:val="none"/>
          <w14:textFill>
            <w14:solidFill>
              <w14:schemeClr w14:val="tx1"/>
            </w14:solidFill>
          </w14:textFill>
        </w:rPr>
        <w:t>完成全部采购设备或产品的到场，并完成设备或产品的安装、调试、试运行，验收、移交前维护、</w:t>
      </w:r>
      <w:r>
        <w:rPr>
          <w:rFonts w:hint="eastAsia" w:ascii="Tahoma" w:hAnsi="Tahoma" w:cs="Tahoma"/>
          <w:color w:val="000000" w:themeColor="text1"/>
          <w:szCs w:val="21"/>
          <w:highlight w:val="none"/>
          <w:lang w:val="en-US" w:eastAsia="zh-CN"/>
          <w14:textFill>
            <w14:solidFill>
              <w14:schemeClr w14:val="tx1"/>
            </w14:solidFill>
          </w14:textFill>
        </w:rPr>
        <w:t>培训、</w:t>
      </w:r>
      <w:r>
        <w:rPr>
          <w:rFonts w:ascii="Tahoma" w:hAnsi="Tahoma" w:cs="Tahoma"/>
          <w:color w:val="000000" w:themeColor="text1"/>
          <w:szCs w:val="21"/>
          <w:highlight w:val="none"/>
          <w14:textFill>
            <w14:solidFill>
              <w14:schemeClr w14:val="tx1"/>
            </w14:solidFill>
          </w14:textFill>
        </w:rPr>
        <w:t>移交使设备或产品按期投入运行</w:t>
      </w:r>
      <w:r>
        <w:rPr>
          <w:rFonts w:hint="eastAsia" w:ascii="Tahoma" w:hAnsi="Tahoma" w:cs="Tahoma"/>
          <w:color w:val="000000" w:themeColor="text1"/>
          <w:szCs w:val="21"/>
          <w:highlight w:val="none"/>
          <w14:textFill>
            <w14:solidFill>
              <w14:schemeClr w14:val="tx1"/>
            </w14:solidFill>
          </w14:textFill>
        </w:rPr>
        <w:t>，逾期未交付使用招标人有权取消其中标资格并扣取全部履约保证金。</w:t>
      </w:r>
    </w:p>
    <w:p>
      <w:pPr>
        <w:keepNext w:val="0"/>
        <w:keepLines w:val="0"/>
        <w:pageBreakBefore w:val="0"/>
        <w:widowControl/>
        <w:kinsoku/>
        <w:wordWrap/>
        <w:overflowPunct/>
        <w:topLinePunct w:val="0"/>
        <w:bidi w:val="0"/>
        <w:adjustRightInd/>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bCs/>
          <w:color w:val="000000" w:themeColor="text1"/>
          <w:szCs w:val="21"/>
          <w:highlight w:val="none"/>
          <w14:textFill>
            <w14:solidFill>
              <w14:schemeClr w14:val="tx1"/>
            </w14:solidFill>
          </w14:textFill>
        </w:rPr>
        <w:t>1.3、实施地点：</w:t>
      </w:r>
      <w:r>
        <w:rPr>
          <w:rFonts w:ascii="Tahoma" w:hAnsi="Tahoma" w:cs="Tahoma"/>
          <w:bCs/>
          <w:color w:val="000000" w:themeColor="text1"/>
          <w:szCs w:val="21"/>
          <w:highlight w:val="none"/>
          <w14:textFill>
            <w14:solidFill>
              <w14:schemeClr w14:val="tx1"/>
            </w14:solidFill>
          </w14:textFill>
        </w:rPr>
        <w:t>由</w:t>
      </w:r>
      <w:r>
        <w:rPr>
          <w:rFonts w:hint="eastAsia" w:ascii="Tahoma" w:hAnsi="Tahoma" w:cs="Tahoma"/>
          <w:color w:val="000000" w:themeColor="text1"/>
          <w:szCs w:val="21"/>
          <w:highlight w:val="none"/>
          <w14:textFill>
            <w14:solidFill>
              <w14:schemeClr w14:val="tx1"/>
            </w14:solidFill>
          </w14:textFill>
        </w:rPr>
        <w:t>和田县人民医院</w:t>
      </w:r>
      <w:r>
        <w:rPr>
          <w:rFonts w:ascii="Tahoma" w:hAnsi="Tahoma" w:cs="Tahoma"/>
          <w:color w:val="000000" w:themeColor="text1"/>
          <w:szCs w:val="21"/>
          <w:highlight w:val="none"/>
          <w14:textFill>
            <w14:solidFill>
              <w14:schemeClr w14:val="tx1"/>
            </w14:solidFill>
          </w14:textFill>
        </w:rPr>
        <w:t>指定（项目现场）。</w:t>
      </w:r>
    </w:p>
    <w:p>
      <w:pPr>
        <w:keepNext w:val="0"/>
        <w:keepLines w:val="0"/>
        <w:pageBreakBefore w:val="0"/>
        <w:widowControl/>
        <w:kinsoku/>
        <w:wordWrap/>
        <w:overflowPunct/>
        <w:topLinePunct w:val="0"/>
        <w:bidi w:val="0"/>
        <w:adjustRightInd/>
        <w:spacing w:line="320" w:lineRule="exact"/>
        <w:rPr>
          <w:rFonts w:ascii="Tahoma" w:hAnsi="Tahoma" w:cs="Tahoma"/>
          <w:b/>
          <w:color w:val="000000" w:themeColor="text1"/>
          <w:szCs w:val="21"/>
          <w:highlight w:val="none"/>
          <w14:textFill>
            <w14:solidFill>
              <w14:schemeClr w14:val="tx1"/>
            </w14:solidFill>
          </w14:textFill>
        </w:rPr>
      </w:pPr>
      <w:r>
        <w:rPr>
          <w:rFonts w:ascii="Tahoma" w:hAnsi="Tahoma" w:cs="Tahoma"/>
          <w:b/>
          <w:color w:val="000000" w:themeColor="text1"/>
          <w:highlight w:val="none"/>
          <w14:textFill>
            <w14:solidFill>
              <w14:schemeClr w14:val="tx1"/>
            </w14:solidFill>
          </w14:textFill>
        </w:rPr>
        <w:t>1.4采购标的的验收标准：</w:t>
      </w:r>
      <w:r>
        <w:rPr>
          <w:rFonts w:ascii="Tahoma" w:hAnsi="Tahoma" w:cs="Tahoma"/>
          <w:color w:val="000000" w:themeColor="text1"/>
          <w:highlight w:val="none"/>
          <w14:textFill>
            <w14:solidFill>
              <w14:schemeClr w14:val="tx1"/>
            </w14:solidFill>
          </w14:textFill>
        </w:rPr>
        <w:t>根据不同货物（设备或产品）按国家或行业颁布的最新有关标准及招标文件规定的技术参数、质量要求、性能指标等进行验收。</w:t>
      </w:r>
    </w:p>
    <w:p>
      <w:pPr>
        <w:keepNext w:val="0"/>
        <w:keepLines w:val="0"/>
        <w:pageBreakBefore w:val="0"/>
        <w:widowControl/>
        <w:tabs>
          <w:tab w:val="left" w:pos="900"/>
        </w:tabs>
        <w:kinsoku/>
        <w:wordWrap/>
        <w:overflowPunct/>
        <w:topLinePunct w:val="0"/>
        <w:bidi w:val="0"/>
        <w:adjustRightInd/>
        <w:snapToGrid w:val="0"/>
        <w:spacing w:line="320" w:lineRule="exact"/>
        <w:rPr>
          <w:rFonts w:ascii="Tahoma" w:hAnsi="Tahoma" w:eastAsia="黑体" w:cs="Tahoma"/>
          <w:b/>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1.5、</w:t>
      </w:r>
      <w:r>
        <w:rPr>
          <w:rFonts w:ascii="Tahoma" w:hAnsi="Tahoma" w:eastAsia="黑体" w:cs="Tahoma"/>
          <w:b/>
          <w:color w:val="000000" w:themeColor="text1"/>
          <w:szCs w:val="21"/>
          <w:highlight w:val="none"/>
          <w14:textFill>
            <w14:solidFill>
              <w14:schemeClr w14:val="tx1"/>
            </w14:solidFill>
          </w14:textFill>
        </w:rPr>
        <w:t>设备的安装、调试</w:t>
      </w:r>
    </w:p>
    <w:p>
      <w:pPr>
        <w:keepNext w:val="0"/>
        <w:keepLines w:val="0"/>
        <w:pageBreakBefore w:val="0"/>
        <w:widowControl/>
        <w:tabs>
          <w:tab w:val="left" w:pos="900"/>
        </w:tabs>
        <w:kinsoku/>
        <w:wordWrap/>
        <w:overflowPunct/>
        <w:topLinePunct w:val="0"/>
        <w:bidi w:val="0"/>
        <w:adjustRightInd/>
        <w:snapToGrid w:val="0"/>
        <w:spacing w:line="320" w:lineRule="exact"/>
        <w:ind w:firstLine="207" w:firstLineChars="99"/>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（1）供应商负责供应设备的安装、调试、试运行执行《通用合同条款》、《专用合同条款》的第6条的有关规定，并按有关规定完成检测、验收并交付使用。</w:t>
      </w:r>
    </w:p>
    <w:p>
      <w:pPr>
        <w:keepNext w:val="0"/>
        <w:keepLines w:val="0"/>
        <w:pageBreakBefore w:val="0"/>
        <w:widowControl/>
        <w:tabs>
          <w:tab w:val="left" w:pos="900"/>
        </w:tabs>
        <w:kinsoku/>
        <w:wordWrap/>
        <w:overflowPunct/>
        <w:topLinePunct w:val="0"/>
        <w:bidi w:val="0"/>
        <w:adjustRightInd/>
        <w:snapToGrid w:val="0"/>
        <w:spacing w:line="320" w:lineRule="exact"/>
        <w:ind w:firstLine="207" w:firstLineChars="99"/>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2）采购人有权免费获取有关采购设备的详细技术资料，供应商所供设备必须严格按厂家提供的安装详图进行安装、调试等，并最终符合验收合格要求。供应商应自行至项目现场进行踏勘和对设备或产品的安装环境进行测定，因所供设备的安装尺寸不相匹配或与所安装地的尺寸不相匹配的，由此造成的需要对安装环境或设备改造（或更换设备等）等一切费用由供应商自行承担，采购人不再另行支付。</w:t>
      </w:r>
    </w:p>
    <w:p>
      <w:pPr>
        <w:keepNext w:val="0"/>
        <w:keepLines w:val="0"/>
        <w:pageBreakBefore w:val="0"/>
        <w:widowControl/>
        <w:tabs>
          <w:tab w:val="left" w:pos="900"/>
        </w:tabs>
        <w:kinsoku/>
        <w:wordWrap/>
        <w:overflowPunct/>
        <w:topLinePunct w:val="0"/>
        <w:bidi w:val="0"/>
        <w:adjustRightInd/>
        <w:snapToGrid w:val="0"/>
        <w:spacing w:line="320" w:lineRule="exact"/>
        <w:rPr>
          <w:rFonts w:ascii="Tahoma" w:hAnsi="Tahoma" w:cs="Tahoma"/>
          <w:b/>
          <w:bCs/>
          <w:color w:val="000000" w:themeColor="text1"/>
          <w:szCs w:val="21"/>
          <w:highlight w:val="none"/>
          <w14:textFill>
            <w14:solidFill>
              <w14:schemeClr w14:val="tx1"/>
            </w14:solidFill>
          </w14:textFill>
        </w:rPr>
      </w:pPr>
      <w:r>
        <w:rPr>
          <w:rFonts w:ascii="Tahoma" w:hAnsi="Tahoma" w:cs="Tahoma"/>
          <w:b/>
          <w:bCs/>
          <w:color w:val="000000" w:themeColor="text1"/>
          <w:szCs w:val="21"/>
          <w:highlight w:val="none"/>
          <w14:textFill>
            <w14:solidFill>
              <w14:schemeClr w14:val="tx1"/>
            </w14:solidFill>
          </w14:textFill>
        </w:rPr>
        <w:t>1.6、报价</w:t>
      </w:r>
    </w:p>
    <w:p>
      <w:pPr>
        <w:keepNext w:val="0"/>
        <w:keepLines w:val="0"/>
        <w:pageBreakBefore w:val="0"/>
        <w:widowControl/>
        <w:tabs>
          <w:tab w:val="left" w:pos="900"/>
        </w:tabs>
        <w:kinsoku/>
        <w:wordWrap/>
        <w:overflowPunct/>
        <w:topLinePunct w:val="0"/>
        <w:bidi w:val="0"/>
        <w:adjustRightInd/>
        <w:snapToGrid w:val="0"/>
        <w:spacing w:line="320" w:lineRule="exact"/>
        <w:ind w:firstLine="210" w:firstLineChars="100"/>
        <w:rPr>
          <w:rFonts w:ascii="Tahoma" w:hAnsi="Tahoma" w:cs="Tahoma"/>
          <w:bCs/>
          <w:color w:val="000000" w:themeColor="text1"/>
          <w:szCs w:val="21"/>
          <w:highlight w:val="none"/>
          <w14:textFill>
            <w14:solidFill>
              <w14:schemeClr w14:val="tx1"/>
            </w14:solidFill>
          </w14:textFill>
        </w:rPr>
      </w:pPr>
      <w:r>
        <w:rPr>
          <w:rFonts w:ascii="Tahoma" w:hAnsi="Tahoma" w:cs="Tahoma"/>
          <w:bCs/>
          <w:color w:val="000000" w:themeColor="text1"/>
          <w:szCs w:val="21"/>
          <w:highlight w:val="none"/>
          <w14:textFill>
            <w14:solidFill>
              <w14:schemeClr w14:val="tx1"/>
            </w14:solidFill>
          </w14:textFill>
        </w:rPr>
        <w:t>（1）在技术要求不低于招标文件中要求的条件下，按</w:t>
      </w:r>
      <w:r>
        <w:rPr>
          <w:rFonts w:ascii="Tahoma" w:hAnsi="Tahoma" w:cs="Tahoma"/>
          <w:color w:val="000000" w:themeColor="text1"/>
          <w:szCs w:val="21"/>
          <w:highlight w:val="none"/>
          <w14:textFill>
            <w14:solidFill>
              <w14:schemeClr w14:val="tx1"/>
            </w14:solidFill>
          </w14:textFill>
        </w:rPr>
        <w:t>《设备（产品）采购清单》</w:t>
      </w:r>
      <w:r>
        <w:rPr>
          <w:rFonts w:ascii="Tahoma" w:hAnsi="Tahoma" w:cs="Tahoma"/>
          <w:bCs/>
          <w:color w:val="000000" w:themeColor="text1"/>
          <w:szCs w:val="21"/>
          <w:highlight w:val="none"/>
          <w14:textFill>
            <w14:solidFill>
              <w14:schemeClr w14:val="tx1"/>
            </w14:solidFill>
          </w14:textFill>
        </w:rPr>
        <w:t>中提供的设备（产品）清单进行报价，报价均采用：人民币报价。</w:t>
      </w:r>
    </w:p>
    <w:p>
      <w:pPr>
        <w:keepNext w:val="0"/>
        <w:keepLines w:val="0"/>
        <w:pageBreakBefore w:val="0"/>
        <w:widowControl/>
        <w:tabs>
          <w:tab w:val="left" w:pos="900"/>
        </w:tabs>
        <w:kinsoku/>
        <w:wordWrap/>
        <w:overflowPunct/>
        <w:topLinePunct w:val="0"/>
        <w:bidi w:val="0"/>
        <w:adjustRightInd/>
        <w:snapToGrid w:val="0"/>
        <w:spacing w:line="320" w:lineRule="exact"/>
        <w:ind w:firstLine="210" w:firstLineChars="100"/>
        <w:rPr>
          <w:rFonts w:ascii="Tahoma" w:hAnsi="Tahoma" w:cs="Tahoma"/>
          <w:bCs/>
          <w:color w:val="000000" w:themeColor="text1"/>
          <w:szCs w:val="21"/>
          <w:highlight w:val="none"/>
          <w14:textFill>
            <w14:solidFill>
              <w14:schemeClr w14:val="tx1"/>
            </w14:solidFill>
          </w14:textFill>
        </w:rPr>
      </w:pPr>
      <w:r>
        <w:rPr>
          <w:rFonts w:ascii="Tahoma" w:hAnsi="Tahoma" w:cs="Tahoma"/>
          <w:bCs/>
          <w:color w:val="000000" w:themeColor="text1"/>
          <w:szCs w:val="21"/>
          <w:highlight w:val="none"/>
          <w14:textFill>
            <w14:solidFill>
              <w14:schemeClr w14:val="tx1"/>
            </w14:solidFill>
          </w14:textFill>
        </w:rPr>
        <w:t>（2）其他费用的处理：招标文件中未列明而供应商认为必须列入的费用（如：安装费、配套附件等）由供应商列入报价中。</w:t>
      </w:r>
    </w:p>
    <w:p>
      <w:pPr>
        <w:keepNext w:val="0"/>
        <w:keepLines w:val="0"/>
        <w:pageBreakBefore w:val="0"/>
        <w:widowControl/>
        <w:tabs>
          <w:tab w:val="left" w:pos="900"/>
        </w:tabs>
        <w:kinsoku/>
        <w:wordWrap/>
        <w:overflowPunct/>
        <w:topLinePunct w:val="0"/>
        <w:bidi w:val="0"/>
        <w:adjustRightInd/>
        <w:snapToGrid w:val="0"/>
        <w:spacing w:line="320" w:lineRule="exact"/>
        <w:ind w:firstLine="210" w:firstLineChars="100"/>
        <w:rPr>
          <w:rFonts w:ascii="Tahoma" w:hAnsi="Tahoma" w:cs="Tahoma"/>
          <w:bCs/>
          <w:color w:val="000000" w:themeColor="text1"/>
          <w:szCs w:val="21"/>
          <w:highlight w:val="none"/>
          <w14:textFill>
            <w14:solidFill>
              <w14:schemeClr w14:val="tx1"/>
            </w14:solidFill>
          </w14:textFill>
        </w:rPr>
      </w:pPr>
      <w:r>
        <w:rPr>
          <w:rFonts w:ascii="Tahoma" w:hAnsi="Tahoma" w:cs="Tahoma"/>
          <w:bCs/>
          <w:color w:val="000000" w:themeColor="text1"/>
          <w:szCs w:val="21"/>
          <w:highlight w:val="none"/>
          <w14:textFill>
            <w14:solidFill>
              <w14:schemeClr w14:val="tx1"/>
            </w14:solidFill>
          </w14:textFill>
        </w:rPr>
        <w:t>（3）报价范围应包括《通用合同条款》、《专用合同条款》第15条</w:t>
      </w:r>
      <w:r>
        <w:rPr>
          <w:rFonts w:ascii="Tahoma" w:hAnsi="Tahoma" w:cs="Tahoma"/>
          <w:color w:val="000000" w:themeColor="text1"/>
          <w:szCs w:val="21"/>
          <w:highlight w:val="none"/>
          <w14:textFill>
            <w14:solidFill>
              <w14:schemeClr w14:val="tx1"/>
            </w14:solidFill>
          </w14:textFill>
        </w:rPr>
        <w:t>的规定。</w:t>
      </w:r>
    </w:p>
    <w:p>
      <w:pPr>
        <w:keepNext w:val="0"/>
        <w:keepLines w:val="0"/>
        <w:pageBreakBefore w:val="0"/>
        <w:widowControl/>
        <w:tabs>
          <w:tab w:val="left" w:pos="900"/>
        </w:tabs>
        <w:kinsoku/>
        <w:wordWrap/>
        <w:overflowPunct/>
        <w:topLinePunct w:val="0"/>
        <w:bidi w:val="0"/>
        <w:adjustRightInd/>
        <w:snapToGrid w:val="0"/>
        <w:spacing w:line="320" w:lineRule="exact"/>
        <w:ind w:firstLine="210" w:firstLineChars="100"/>
        <w:rPr>
          <w:rFonts w:ascii="Tahoma" w:hAnsi="Tahoma" w:cs="Tahoma"/>
          <w:b/>
          <w:color w:val="000000" w:themeColor="text1"/>
          <w:szCs w:val="21"/>
          <w:highlight w:val="none"/>
          <w14:textFill>
            <w14:solidFill>
              <w14:schemeClr w14:val="tx1"/>
            </w14:solidFill>
          </w14:textFill>
        </w:rPr>
      </w:pPr>
      <w:r>
        <w:rPr>
          <w:rFonts w:ascii="Tahoma" w:hAnsi="Tahoma" w:cs="Tahoma"/>
          <w:bCs/>
          <w:color w:val="000000" w:themeColor="text1"/>
          <w:szCs w:val="21"/>
          <w:highlight w:val="none"/>
          <w14:textFill>
            <w14:solidFill>
              <w14:schemeClr w14:val="tx1"/>
            </w14:solidFill>
          </w14:textFill>
        </w:rPr>
        <w:t>（4）报价方式：分项报价。</w:t>
      </w:r>
    </w:p>
    <w:p>
      <w:pPr>
        <w:keepNext w:val="0"/>
        <w:keepLines w:val="0"/>
        <w:pageBreakBefore w:val="0"/>
        <w:widowControl/>
        <w:tabs>
          <w:tab w:val="left" w:pos="900"/>
        </w:tabs>
        <w:kinsoku/>
        <w:wordWrap/>
        <w:overflowPunct/>
        <w:topLinePunct w:val="0"/>
        <w:bidi w:val="0"/>
        <w:adjustRightInd/>
        <w:snapToGrid w:val="0"/>
        <w:spacing w:line="320" w:lineRule="exact"/>
        <w:rPr>
          <w:rFonts w:ascii="Tahoma" w:hAnsi="Tahoma" w:cs="Tahoma"/>
          <w:b/>
          <w:bCs/>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1.7、</w:t>
      </w:r>
      <w:r>
        <w:rPr>
          <w:rFonts w:ascii="Tahoma" w:hAnsi="Tahoma" w:cs="Tahoma"/>
          <w:b/>
          <w:bCs/>
          <w:color w:val="000000" w:themeColor="text1"/>
          <w:szCs w:val="21"/>
          <w:highlight w:val="none"/>
          <w14:textFill>
            <w14:solidFill>
              <w14:schemeClr w14:val="tx1"/>
            </w14:solidFill>
          </w14:textFill>
        </w:rPr>
        <w:t>付款方式及比例</w:t>
      </w:r>
    </w:p>
    <w:p>
      <w:pPr>
        <w:keepNext w:val="0"/>
        <w:keepLines w:val="0"/>
        <w:pageBreakBefore w:val="0"/>
        <w:widowControl/>
        <w:tabs>
          <w:tab w:val="left" w:pos="900"/>
        </w:tabs>
        <w:kinsoku/>
        <w:wordWrap/>
        <w:overflowPunct/>
        <w:topLinePunct w:val="0"/>
        <w:bidi w:val="0"/>
        <w:adjustRightInd/>
        <w:snapToGrid w:val="0"/>
        <w:spacing w:line="320" w:lineRule="exact"/>
        <w:ind w:firstLine="420" w:firstLineChars="2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本采购项目合同价款的支付方式为：</w:t>
      </w:r>
      <w:r>
        <w:rPr>
          <w:rFonts w:ascii="Tahoma" w:hAnsi="Tahoma" w:cs="Tahoma"/>
          <w:bCs/>
          <w:color w:val="000000" w:themeColor="text1"/>
          <w:szCs w:val="21"/>
          <w:highlight w:val="none"/>
          <w14:textFill>
            <w14:solidFill>
              <w14:schemeClr w14:val="tx1"/>
            </w14:solidFill>
          </w14:textFill>
        </w:rPr>
        <w:t>供方</w:t>
      </w:r>
      <w:r>
        <w:rPr>
          <w:rFonts w:ascii="Tahoma" w:hAnsi="Tahoma" w:cs="Tahoma"/>
          <w:color w:val="000000" w:themeColor="text1"/>
          <w:szCs w:val="21"/>
          <w:highlight w:val="none"/>
          <w14:textFill>
            <w14:solidFill>
              <w14:schemeClr w14:val="tx1"/>
            </w14:solidFill>
          </w14:textFill>
        </w:rPr>
        <w:t>与中标单位签订合同，经批准合同生效后，</w:t>
      </w:r>
      <w:r>
        <w:rPr>
          <w:rFonts w:hint="eastAsia" w:ascii="Tahoma" w:hAnsi="Tahoma" w:cs="Tahoma"/>
          <w:color w:val="000000" w:themeColor="text1"/>
          <w:szCs w:val="21"/>
          <w:highlight w:val="none"/>
          <w14:textFill>
            <w14:solidFill>
              <w14:schemeClr w14:val="tx1"/>
            </w14:solidFill>
          </w14:textFill>
        </w:rPr>
        <w:t>按合同约定的支付方式进行支付，可能存在延期支付，供方需承担延期支付的风险，敬请各供应商注意！</w:t>
      </w:r>
    </w:p>
    <w:p>
      <w:pPr>
        <w:keepNext w:val="0"/>
        <w:keepLines w:val="0"/>
        <w:pageBreakBefore w:val="0"/>
        <w:widowControl/>
        <w:kinsoku/>
        <w:wordWrap/>
        <w:overflowPunct/>
        <w:topLinePunct w:val="0"/>
        <w:bidi w:val="0"/>
        <w:adjustRightInd/>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w:t>
      </w:r>
      <w:r>
        <w:rPr>
          <w:rFonts w:hint="eastAsia" w:ascii="Tahoma" w:hAnsi="Tahoma" w:cs="Tahoma"/>
          <w:color w:val="000000" w:themeColor="text1"/>
          <w:szCs w:val="21"/>
          <w:highlight w:val="none"/>
          <w14:textFill>
            <w14:solidFill>
              <w14:schemeClr w14:val="tx1"/>
            </w14:solidFill>
          </w14:textFill>
        </w:rPr>
        <w:t>如合同另有约定的，则从其约定。</w:t>
      </w:r>
    </w:p>
    <w:p>
      <w:pPr>
        <w:keepNext w:val="0"/>
        <w:keepLines w:val="0"/>
        <w:pageBreakBefore w:val="0"/>
        <w:widowControl/>
        <w:tabs>
          <w:tab w:val="left" w:pos="900"/>
        </w:tabs>
        <w:kinsoku/>
        <w:wordWrap/>
        <w:overflowPunct/>
        <w:topLinePunct w:val="0"/>
        <w:bidi w:val="0"/>
        <w:adjustRightInd/>
        <w:snapToGrid w:val="0"/>
        <w:spacing w:line="320" w:lineRule="exact"/>
        <w:rPr>
          <w:rFonts w:ascii="Tahoma" w:hAnsi="Tahoma" w:cs="Tahoma"/>
          <w:b/>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1.8、技术文件</w:t>
      </w:r>
    </w:p>
    <w:p>
      <w:pPr>
        <w:keepNext w:val="0"/>
        <w:keepLines w:val="0"/>
        <w:pageBreakBefore w:val="0"/>
        <w:widowControl/>
        <w:tabs>
          <w:tab w:val="left" w:pos="900"/>
        </w:tabs>
        <w:kinsoku/>
        <w:wordWrap/>
        <w:overflowPunct/>
        <w:topLinePunct w:val="0"/>
        <w:bidi w:val="0"/>
        <w:adjustRightInd/>
        <w:snapToGrid w:val="0"/>
        <w:spacing w:line="320" w:lineRule="exact"/>
        <w:ind w:firstLine="210" w:firstLineChars="1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为确保供货设备的验收、安装、运行及维护，供应商按《通用合同条款》、《专用合同条款》的有关规定，向用户提供完整的使用说明手册、维护保养（各类图纸、光盘，如有密码，则密码开放）等技术文件，并对所提供的全部技术资料的准确性和适用性负责。</w:t>
      </w:r>
    </w:p>
    <w:p>
      <w:pPr>
        <w:keepNext w:val="0"/>
        <w:keepLines w:val="0"/>
        <w:pageBreakBefore w:val="0"/>
        <w:widowControl/>
        <w:kinsoku/>
        <w:wordWrap/>
        <w:overflowPunct/>
        <w:topLinePunct w:val="0"/>
        <w:bidi w:val="0"/>
        <w:adjustRightInd/>
        <w:spacing w:line="320" w:lineRule="exact"/>
        <w:ind w:firstLine="210" w:firstLineChars="1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（2）供方提供的文件和资料能保证满足购方进行设备操作、维护的需要。在合同签订后我方将按购方要求提供所有技术文件和有关技术资料。</w:t>
      </w:r>
    </w:p>
    <w:p>
      <w:pPr>
        <w:keepNext w:val="0"/>
        <w:keepLines w:val="0"/>
        <w:pageBreakBefore w:val="0"/>
        <w:widowControl/>
        <w:kinsoku/>
        <w:wordWrap/>
        <w:overflowPunct/>
        <w:topLinePunct w:val="0"/>
        <w:bidi w:val="0"/>
        <w:adjustRightInd/>
        <w:spacing w:line="320" w:lineRule="exact"/>
        <w:rPr>
          <w:rFonts w:ascii="Tahoma" w:hAnsi="Tahoma" w:cs="Tahoma"/>
          <w:b/>
          <w:color w:val="000000" w:themeColor="text1"/>
          <w:szCs w:val="21"/>
          <w:highlight w:val="none"/>
          <w14:textFill>
            <w14:solidFill>
              <w14:schemeClr w14:val="tx1"/>
            </w14:solidFill>
          </w14:textFill>
        </w:rPr>
      </w:pPr>
      <w:bookmarkStart w:id="31" w:name="_Toc71087055"/>
      <w:r>
        <w:rPr>
          <w:rFonts w:ascii="Tahoma" w:hAnsi="Tahoma" w:cs="Tahoma"/>
          <w:b/>
          <w:color w:val="000000" w:themeColor="text1"/>
          <w:szCs w:val="21"/>
          <w:highlight w:val="none"/>
          <w14:textFill>
            <w14:solidFill>
              <w14:schemeClr w14:val="tx1"/>
            </w14:solidFill>
          </w14:textFill>
        </w:rPr>
        <w:t>1.</w:t>
      </w:r>
      <w:r>
        <w:rPr>
          <w:rFonts w:hint="eastAsia" w:ascii="Tahoma" w:hAnsi="Tahoma" w:cs="Tahoma"/>
          <w:b/>
          <w:color w:val="000000" w:themeColor="text1"/>
          <w:szCs w:val="21"/>
          <w:highlight w:val="none"/>
          <w14:textFill>
            <w14:solidFill>
              <w14:schemeClr w14:val="tx1"/>
            </w14:solidFill>
          </w14:textFill>
        </w:rPr>
        <w:t>9</w:t>
      </w:r>
      <w:r>
        <w:rPr>
          <w:rFonts w:ascii="Tahoma" w:hAnsi="Tahoma" w:cs="Tahoma"/>
          <w:b/>
          <w:color w:val="000000" w:themeColor="text1"/>
          <w:szCs w:val="21"/>
          <w:highlight w:val="none"/>
          <w14:textFill>
            <w14:solidFill>
              <w14:schemeClr w14:val="tx1"/>
            </w14:solidFill>
          </w14:textFill>
        </w:rPr>
        <w:t>、售后服务</w:t>
      </w:r>
      <w:bookmarkEnd w:id="31"/>
    </w:p>
    <w:p>
      <w:pPr>
        <w:keepNext w:val="0"/>
        <w:keepLines w:val="0"/>
        <w:pageBreakBefore w:val="0"/>
        <w:widowControl/>
        <w:tabs>
          <w:tab w:val="left" w:pos="900"/>
        </w:tabs>
        <w:kinsoku/>
        <w:wordWrap/>
        <w:overflowPunct/>
        <w:topLinePunct w:val="0"/>
        <w:bidi w:val="0"/>
        <w:adjustRightInd/>
        <w:snapToGrid w:val="0"/>
        <w:spacing w:line="320" w:lineRule="exact"/>
        <w:ind w:firstLine="411" w:firstLineChars="196"/>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供方必须严格遵守《通用合同条款》、《专用合同条款》和投标文件中的承诺的有关规定为用户提供售后服务及其他类似服务，包括：</w:t>
      </w:r>
    </w:p>
    <w:p>
      <w:pPr>
        <w:keepNext w:val="0"/>
        <w:keepLines w:val="0"/>
        <w:pageBreakBefore w:val="0"/>
        <w:widowControl/>
        <w:kinsoku/>
        <w:wordWrap/>
        <w:overflowPunct/>
        <w:topLinePunct w:val="0"/>
        <w:bidi w:val="0"/>
        <w:adjustRightInd/>
        <w:spacing w:line="320" w:lineRule="exact"/>
        <w:ind w:firstLine="210" w:firstLineChars="1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（1）保证为购方提供优质、快捷的技术服务。</w:t>
      </w:r>
    </w:p>
    <w:p>
      <w:pPr>
        <w:keepNext w:val="0"/>
        <w:keepLines w:val="0"/>
        <w:pageBreakBefore w:val="0"/>
        <w:widowControl/>
        <w:kinsoku/>
        <w:wordWrap/>
        <w:overflowPunct/>
        <w:topLinePunct w:val="0"/>
        <w:bidi w:val="0"/>
        <w:adjustRightInd/>
        <w:spacing w:line="320" w:lineRule="exact"/>
        <w:ind w:firstLine="210" w:firstLineChars="1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（2）为了确保系统的正常使用及时解答采购方提出的疑问，帮助解决问题，负责对系统的使用提供技术咨询服务。</w:t>
      </w:r>
    </w:p>
    <w:p>
      <w:pPr>
        <w:keepNext w:val="0"/>
        <w:keepLines w:val="0"/>
        <w:pageBreakBefore w:val="0"/>
        <w:widowControl/>
        <w:kinsoku/>
        <w:wordWrap/>
        <w:overflowPunct/>
        <w:topLinePunct w:val="0"/>
        <w:bidi w:val="0"/>
        <w:adjustRightInd/>
        <w:spacing w:line="320" w:lineRule="exact"/>
        <w:ind w:firstLine="210" w:firstLineChars="1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（3）供应商应有专业的售后服务机构及技术人员，在满足紧急服务要求范围内，。</w:t>
      </w:r>
    </w:p>
    <w:p>
      <w:pPr>
        <w:keepNext w:val="0"/>
        <w:keepLines w:val="0"/>
        <w:pageBreakBefore w:val="0"/>
        <w:widowControl/>
        <w:kinsoku/>
        <w:wordWrap/>
        <w:overflowPunct/>
        <w:topLinePunct w:val="0"/>
        <w:bidi w:val="0"/>
        <w:adjustRightInd/>
        <w:spacing w:line="320" w:lineRule="exact"/>
        <w:ind w:firstLine="210" w:firstLineChars="1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（4）保证在接到请求技术服务</w:t>
      </w:r>
      <w:r>
        <w:rPr>
          <w:rFonts w:ascii="Tahoma" w:hAnsi="Tahoma" w:cs="Tahoma"/>
          <w:color w:val="000000" w:themeColor="text1"/>
          <w:szCs w:val="21"/>
          <w:highlight w:val="none"/>
          <w:u w:val="single"/>
          <w14:textFill>
            <w14:solidFill>
              <w14:schemeClr w14:val="tx1"/>
            </w14:solidFill>
          </w14:textFill>
        </w:rPr>
        <w:t xml:space="preserve"> </w:t>
      </w:r>
      <w:r>
        <w:rPr>
          <w:rFonts w:hint="eastAsia" w:ascii="Tahoma" w:hAnsi="Tahoma" w:cs="Tahoma"/>
          <w:color w:val="000000" w:themeColor="text1"/>
          <w:szCs w:val="21"/>
          <w:highlight w:val="none"/>
          <w:u w:val="single"/>
          <w:lang w:val="en-US" w:eastAsia="zh-CN"/>
          <w14:textFill>
            <w14:solidFill>
              <w14:schemeClr w14:val="tx1"/>
            </w14:solidFill>
          </w14:textFill>
        </w:rPr>
        <w:t>2</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小时内予以响应，在</w:t>
      </w:r>
      <w:r>
        <w:rPr>
          <w:rFonts w:ascii="Tahoma" w:hAnsi="Tahoma" w:cs="Tahoma"/>
          <w:color w:val="000000" w:themeColor="text1"/>
          <w:szCs w:val="21"/>
          <w:highlight w:val="none"/>
          <w:u w:val="single"/>
          <w14:textFill>
            <w14:solidFill>
              <w14:schemeClr w14:val="tx1"/>
            </w14:solidFill>
          </w14:textFill>
        </w:rPr>
        <w:t xml:space="preserve"> </w:t>
      </w:r>
      <w:r>
        <w:rPr>
          <w:rFonts w:hint="eastAsia" w:ascii="Tahoma" w:hAnsi="Tahoma" w:cs="Tahoma"/>
          <w:color w:val="000000" w:themeColor="text1"/>
          <w:szCs w:val="21"/>
          <w:highlight w:val="none"/>
          <w:u w:val="single"/>
          <w:lang w:val="en-US" w:eastAsia="zh-CN"/>
          <w14:textFill>
            <w14:solidFill>
              <w14:schemeClr w14:val="tx1"/>
            </w14:solidFill>
          </w14:textFill>
        </w:rPr>
        <w:t>4</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小时内（如遇不可抗力因素除外）派出技术人员赶赴现场解决问题。</w:t>
      </w:r>
    </w:p>
    <w:p>
      <w:pPr>
        <w:keepNext w:val="0"/>
        <w:keepLines w:val="0"/>
        <w:pageBreakBefore w:val="0"/>
        <w:widowControl/>
        <w:tabs>
          <w:tab w:val="left" w:pos="900"/>
        </w:tabs>
        <w:kinsoku/>
        <w:wordWrap/>
        <w:overflowPunct/>
        <w:topLinePunct w:val="0"/>
        <w:bidi w:val="0"/>
        <w:adjustRightInd/>
        <w:snapToGrid w:val="0"/>
        <w:spacing w:line="320" w:lineRule="exact"/>
        <w:ind w:firstLine="210" w:firstLineChars="1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（5）设备维修所需常规零备件在三个工作日内到达最终用户，非常规零备件在最长不超过七个工作日内到达最终用户。</w:t>
      </w:r>
    </w:p>
    <w:p>
      <w:pPr>
        <w:keepNext w:val="0"/>
        <w:keepLines w:val="0"/>
        <w:pageBreakBefore w:val="0"/>
        <w:widowControl/>
        <w:tabs>
          <w:tab w:val="left" w:pos="900"/>
        </w:tabs>
        <w:kinsoku/>
        <w:wordWrap/>
        <w:overflowPunct/>
        <w:topLinePunct w:val="0"/>
        <w:bidi w:val="0"/>
        <w:adjustRightInd/>
        <w:snapToGrid w:val="0"/>
        <w:spacing w:line="320" w:lineRule="exact"/>
        <w:ind w:firstLine="210" w:firstLineChars="1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（6）保证维修中所更换的备件为原厂生产或原装进口（如原件为原装进口）。</w:t>
      </w:r>
    </w:p>
    <w:p>
      <w:pPr>
        <w:keepNext w:val="0"/>
        <w:keepLines w:val="0"/>
        <w:pageBreakBefore w:val="0"/>
        <w:widowControl/>
        <w:kinsoku/>
        <w:wordWrap/>
        <w:overflowPunct/>
        <w:topLinePunct w:val="0"/>
        <w:bidi w:val="0"/>
        <w:adjustRightInd/>
        <w:spacing w:line="320" w:lineRule="exact"/>
        <w:ind w:firstLine="210" w:firstLineChars="1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w:t>
      </w:r>
      <w:r>
        <w:rPr>
          <w:rFonts w:hint="eastAsia" w:ascii="Tahoma" w:hAnsi="Tahoma" w:cs="Tahoma"/>
          <w:color w:val="000000" w:themeColor="text1"/>
          <w:szCs w:val="21"/>
          <w:highlight w:val="none"/>
          <w14:textFill>
            <w14:solidFill>
              <w14:schemeClr w14:val="tx1"/>
            </w14:solidFill>
          </w14:textFill>
        </w:rPr>
        <w:t>7</w:t>
      </w:r>
      <w:r>
        <w:rPr>
          <w:rFonts w:ascii="Tahoma" w:hAnsi="Tahoma" w:cs="Tahoma"/>
          <w:color w:val="000000" w:themeColor="text1"/>
          <w:szCs w:val="21"/>
          <w:highlight w:val="none"/>
          <w14:textFill>
            <w14:solidFill>
              <w14:schemeClr w14:val="tx1"/>
            </w14:solidFill>
          </w14:textFill>
        </w:rPr>
        <w:t>）及时准确地予以满足采购人对设备进行长期维护（维修）的需要，在保修期内对出现任何质量问题，随时由我公司免费进行处理，包括配件的维修、更换等。</w:t>
      </w:r>
    </w:p>
    <w:p>
      <w:pPr>
        <w:keepNext w:val="0"/>
        <w:keepLines w:val="0"/>
        <w:pageBreakBefore w:val="0"/>
        <w:widowControl/>
        <w:kinsoku/>
        <w:wordWrap/>
        <w:overflowPunct/>
        <w:topLinePunct w:val="0"/>
        <w:bidi w:val="0"/>
        <w:adjustRightInd/>
        <w:spacing w:line="320" w:lineRule="exact"/>
        <w:rPr>
          <w:rFonts w:ascii="Tahoma" w:hAnsi="Tahoma" w:cs="Tahoma"/>
          <w:b/>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1.</w:t>
      </w:r>
      <w:r>
        <w:rPr>
          <w:rFonts w:hint="eastAsia" w:ascii="Tahoma" w:hAnsi="Tahoma" w:cs="Tahoma"/>
          <w:b/>
          <w:color w:val="000000" w:themeColor="text1"/>
          <w:szCs w:val="21"/>
          <w:highlight w:val="none"/>
          <w14:textFill>
            <w14:solidFill>
              <w14:schemeClr w14:val="tx1"/>
            </w14:solidFill>
          </w14:textFill>
        </w:rPr>
        <w:t>10</w:t>
      </w:r>
      <w:r>
        <w:rPr>
          <w:rFonts w:ascii="Tahoma" w:hAnsi="Tahoma" w:cs="Tahoma"/>
          <w:b/>
          <w:color w:val="000000" w:themeColor="text1"/>
          <w:szCs w:val="21"/>
          <w:highlight w:val="none"/>
          <w14:textFill>
            <w14:solidFill>
              <w14:schemeClr w14:val="tx1"/>
            </w14:solidFill>
          </w14:textFill>
        </w:rPr>
        <w:t>、产品质量保证</w:t>
      </w:r>
    </w:p>
    <w:p>
      <w:pPr>
        <w:keepNext w:val="0"/>
        <w:keepLines w:val="0"/>
        <w:pageBreakBefore w:val="0"/>
        <w:widowControl/>
        <w:kinsoku/>
        <w:wordWrap/>
        <w:overflowPunct/>
        <w:topLinePunct w:val="0"/>
        <w:bidi w:val="0"/>
        <w:adjustRightInd/>
        <w:spacing w:line="320" w:lineRule="exact"/>
        <w:ind w:firstLine="210" w:firstLineChars="1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（1）供方应严格控制采购、检验、生产、包装、运输、移交和售后服务的质量过程，严格遵循企业标准和相关的行业和国家标准的要求。</w:t>
      </w:r>
    </w:p>
    <w:p>
      <w:pPr>
        <w:keepNext w:val="0"/>
        <w:keepLines w:val="0"/>
        <w:pageBreakBefore w:val="0"/>
        <w:widowControl/>
        <w:kinsoku/>
        <w:wordWrap/>
        <w:overflowPunct/>
        <w:topLinePunct w:val="0"/>
        <w:bidi w:val="0"/>
        <w:adjustRightInd/>
        <w:spacing w:line="320" w:lineRule="exact"/>
        <w:ind w:firstLine="210" w:firstLineChars="1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（2）严格按ISO9001：2008质量保证体系标准和国家、行业的有关规范提供制造产品。</w:t>
      </w:r>
    </w:p>
    <w:p>
      <w:pPr>
        <w:keepNext w:val="0"/>
        <w:keepLines w:val="0"/>
        <w:pageBreakBefore w:val="0"/>
        <w:widowControl/>
        <w:kinsoku/>
        <w:wordWrap/>
        <w:overflowPunct/>
        <w:topLinePunct w:val="0"/>
        <w:bidi w:val="0"/>
        <w:adjustRightInd/>
        <w:spacing w:line="320" w:lineRule="exact"/>
        <w:ind w:firstLine="210" w:firstLineChars="1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（3）严格按照合同要求，确保产品符合需方要求。</w:t>
      </w:r>
    </w:p>
    <w:p>
      <w:pPr>
        <w:keepNext w:val="0"/>
        <w:keepLines w:val="0"/>
        <w:pageBreakBefore w:val="0"/>
        <w:widowControl/>
        <w:kinsoku/>
        <w:wordWrap/>
        <w:overflowPunct/>
        <w:topLinePunct w:val="0"/>
        <w:bidi w:val="0"/>
        <w:adjustRightInd/>
        <w:spacing w:line="320" w:lineRule="exact"/>
        <w:ind w:firstLine="210" w:firstLineChars="1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（4）严格控制原材料的进厂质量，保证材料加工工艺完善，检测手段完备，产品绝不带缺陷出厂。</w:t>
      </w:r>
    </w:p>
    <w:p>
      <w:pPr>
        <w:keepNext w:val="0"/>
        <w:keepLines w:val="0"/>
        <w:pageBreakBefore w:val="0"/>
        <w:widowControl/>
        <w:kinsoku/>
        <w:wordWrap/>
        <w:overflowPunct/>
        <w:topLinePunct w:val="0"/>
        <w:bidi w:val="0"/>
        <w:adjustRightInd/>
        <w:spacing w:line="320" w:lineRule="exact"/>
        <w:ind w:firstLine="210" w:firstLineChars="1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（5）为所供的材料制造、运输、装卸等进行投保，一旦发生意外，我方将按需方要求对所供进行免费更换、补偿等直到满意为止。</w:t>
      </w:r>
    </w:p>
    <w:p>
      <w:pPr>
        <w:keepNext w:val="0"/>
        <w:keepLines w:val="0"/>
        <w:pageBreakBefore w:val="0"/>
        <w:widowControl/>
        <w:kinsoku/>
        <w:wordWrap/>
        <w:overflowPunct/>
        <w:topLinePunct w:val="0"/>
        <w:autoSpaceDE/>
        <w:autoSpaceDN/>
        <w:bidi w:val="0"/>
        <w:adjustRightInd w:val="0"/>
        <w:snapToGrid w:val="0"/>
        <w:spacing w:line="360" w:lineRule="auto"/>
        <w:ind w:firstLine="210" w:firstLineChars="100"/>
        <w:textAlignment w:val="auto"/>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（7）在交验过程中如发现缺件及其他原因引起的丢失，我方负责尽快免费补齐。在产品的使用过程中发现的质量问题，如属供方原因，由供方承担责任。</w:t>
      </w:r>
    </w:p>
    <w:p>
      <w:pPr>
        <w:keepNext w:val="0"/>
        <w:keepLines w:val="0"/>
        <w:pageBreakBefore w:val="0"/>
        <w:widowControl/>
        <w:kinsoku/>
        <w:wordWrap/>
        <w:overflowPunct/>
        <w:topLinePunct w:val="0"/>
        <w:autoSpaceDE/>
        <w:autoSpaceDN/>
        <w:bidi w:val="0"/>
        <w:adjustRightInd w:val="0"/>
        <w:snapToGrid w:val="0"/>
        <w:spacing w:line="360" w:lineRule="auto"/>
        <w:ind w:firstLine="211" w:firstLineChars="100"/>
        <w:textAlignment w:val="auto"/>
        <w:rPr>
          <w:rFonts w:ascii="Tahoma" w:hAnsi="Tahoma" w:cs="Tahoma"/>
          <w:b/>
          <w:bCs/>
          <w:color w:val="000000" w:themeColor="text1"/>
          <w:szCs w:val="21"/>
          <w:highlight w:val="none"/>
          <w14:textFill>
            <w14:solidFill>
              <w14:schemeClr w14:val="tx1"/>
            </w14:solidFill>
          </w14:textFill>
        </w:rPr>
      </w:pPr>
      <w:r>
        <w:rPr>
          <w:rFonts w:ascii="Tahoma" w:hAnsi="Tahoma" w:cs="Tahoma"/>
          <w:b/>
          <w:bCs/>
          <w:color w:val="000000" w:themeColor="text1"/>
          <w:szCs w:val="21"/>
          <w:highlight w:val="none"/>
          <w14:textFill>
            <w14:solidFill>
              <w14:schemeClr w14:val="tx1"/>
            </w14:solidFill>
          </w14:textFill>
        </w:rPr>
        <w:t>（8）质量保证期为</w:t>
      </w:r>
      <w:r>
        <w:rPr>
          <w:rFonts w:hint="eastAsia" w:ascii="Tahoma" w:hAnsi="Tahoma" w:cs="Tahoma"/>
          <w:b/>
          <w:bCs/>
          <w:color w:val="000000" w:themeColor="text1"/>
          <w:szCs w:val="21"/>
          <w:highlight w:val="none"/>
          <w:lang w:val="en-US" w:eastAsia="zh-CN"/>
          <w14:textFill>
            <w14:solidFill>
              <w14:schemeClr w14:val="tx1"/>
            </w14:solidFill>
          </w14:textFill>
        </w:rPr>
        <w:t>3</w:t>
      </w:r>
      <w:r>
        <w:rPr>
          <w:rFonts w:ascii="Tahoma" w:hAnsi="Tahoma" w:cs="Tahoma"/>
          <w:b/>
          <w:bCs/>
          <w:color w:val="000000" w:themeColor="text1"/>
          <w:szCs w:val="21"/>
          <w:highlight w:val="none"/>
          <w14:textFill>
            <w14:solidFill>
              <w14:schemeClr w14:val="tx1"/>
            </w14:solidFill>
          </w14:textFill>
        </w:rPr>
        <w:t>年</w:t>
      </w:r>
      <w:r>
        <w:rPr>
          <w:rFonts w:hint="eastAsia" w:ascii="Tahoma" w:hAnsi="Tahoma" w:cs="Tahoma"/>
          <w:b/>
          <w:bCs/>
          <w:color w:val="000000" w:themeColor="text1"/>
          <w:szCs w:val="21"/>
          <w:highlight w:val="none"/>
          <w:lang w:eastAsia="zh-CN"/>
          <w14:textFill>
            <w14:solidFill>
              <w14:schemeClr w14:val="tx1"/>
            </w14:solidFill>
          </w14:textFill>
        </w:rPr>
        <w:t>，</w:t>
      </w:r>
      <w:r>
        <w:rPr>
          <w:rFonts w:hint="eastAsia" w:ascii="Tahoma" w:hAnsi="Tahoma" w:cs="Tahoma"/>
          <w:b/>
          <w:bCs/>
          <w:color w:val="000000" w:themeColor="text1"/>
          <w:szCs w:val="21"/>
          <w:highlight w:val="none"/>
          <w:lang w:val="en-US" w:eastAsia="zh-CN"/>
          <w14:textFill>
            <w14:solidFill>
              <w14:schemeClr w14:val="tx1"/>
            </w14:solidFill>
          </w14:textFill>
        </w:rPr>
        <w:t>质保期内软件同版本免费升级等相关服务并提供专业技术工程师驻场。质保期后服务费不得高于中标金额的5%</w:t>
      </w:r>
      <w:r>
        <w:rPr>
          <w:rFonts w:ascii="Tahoma" w:hAnsi="Tahoma" w:cs="Tahoma"/>
          <w:b/>
          <w:bCs/>
          <w:color w:val="000000" w:themeColor="text1"/>
          <w:szCs w:val="21"/>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360" w:lineRule="auto"/>
        <w:ind w:firstLine="210" w:firstLineChars="100"/>
        <w:textAlignment w:val="auto"/>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（9）上述规定是合同不可分割的部分，与合同具有同等法律效力。在本合同实施过程中，按有关规范、规程、标准严格质量控制，确保提供合格产品及服务。</w:t>
      </w:r>
    </w:p>
    <w:p>
      <w:pPr>
        <w:pStyle w:val="8"/>
        <w:pageBreakBefore w:val="0"/>
        <w:widowControl/>
        <w:kinsoku/>
        <w:wordWrap/>
        <w:overflowPunct/>
        <w:topLinePunct w:val="0"/>
        <w:autoSpaceDE/>
        <w:autoSpaceDN/>
        <w:bidi w:val="0"/>
        <w:adjustRightInd w:val="0"/>
        <w:snapToGrid w:val="0"/>
        <w:spacing w:line="360" w:lineRule="auto"/>
        <w:textAlignment w:val="auto"/>
        <w:rPr>
          <w:rFonts w:hint="eastAsia" w:ascii="Tahoma" w:hAnsi="Tahoma" w:eastAsia="宋体" w:cs="Tahoma"/>
          <w:b/>
          <w:color w:val="000000" w:themeColor="text1"/>
          <w:kern w:val="2"/>
          <w:sz w:val="21"/>
          <w:szCs w:val="21"/>
          <w:highlight w:val="none"/>
          <w:lang w:val="en-US" w:eastAsia="zh-CN" w:bidi="ar-SA"/>
          <w14:textFill>
            <w14:solidFill>
              <w14:schemeClr w14:val="tx1"/>
            </w14:solidFill>
          </w14:textFill>
        </w:rPr>
      </w:pPr>
      <w:r>
        <w:rPr>
          <w:rFonts w:hint="eastAsia" w:ascii="Tahoma" w:hAnsi="Tahoma" w:eastAsia="宋体" w:cs="Tahoma"/>
          <w:b/>
          <w:color w:val="000000" w:themeColor="text1"/>
          <w:kern w:val="2"/>
          <w:sz w:val="21"/>
          <w:szCs w:val="21"/>
          <w:highlight w:val="none"/>
          <w:lang w:val="en-US" w:eastAsia="zh-CN" w:bidi="ar-SA"/>
          <w14:textFill>
            <w14:solidFill>
              <w14:schemeClr w14:val="tx1"/>
            </w14:solidFill>
          </w14:textFill>
        </w:rPr>
        <w:t>1.11、验收标准</w:t>
      </w:r>
    </w:p>
    <w:p>
      <w:pPr>
        <w:pageBreakBefore w:val="0"/>
        <w:widowControl/>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1.11.1 供应商交付的货物（产品）（以招标文件</w:t>
      </w:r>
      <w:r>
        <w:rPr>
          <w:rFonts w:hint="eastAsia" w:ascii="Times New Roman" w:hAnsi="Times New Roman" w:eastAsia="宋体" w:cs="Times New Roman"/>
          <w:b/>
          <w:bCs/>
          <w:color w:val="000000" w:themeColor="text1"/>
          <w:highlight w:val="none"/>
          <w:lang w:val="en-US" w:eastAsia="zh-CN"/>
          <w14:textFill>
            <w14:solidFill>
              <w14:schemeClr w14:val="tx1"/>
            </w14:solidFill>
          </w14:textFill>
        </w:rPr>
        <w:t>第五章货物（产品）采购清单</w:t>
      </w:r>
      <w:r>
        <w:rPr>
          <w:rFonts w:hint="eastAsia" w:ascii="Times New Roman" w:hAnsi="Times New Roman" w:eastAsia="宋体" w:cs="Times New Roman"/>
          <w:color w:val="000000" w:themeColor="text1"/>
          <w:highlight w:val="none"/>
          <w:lang w:val="en-US" w:eastAsia="zh-CN"/>
          <w14:textFill>
            <w14:solidFill>
              <w14:schemeClr w14:val="tx1"/>
            </w14:solidFill>
          </w14:textFill>
        </w:rPr>
        <w:t>为准）应符合本项目招标文件</w:t>
      </w:r>
      <w:r>
        <w:rPr>
          <w:rFonts w:hint="eastAsia" w:ascii="Times New Roman" w:hAnsi="Times New Roman" w:eastAsia="宋体" w:cs="Times New Roman"/>
          <w:b/>
          <w:bCs/>
          <w:color w:val="000000" w:themeColor="text1"/>
          <w:highlight w:val="none"/>
          <w:lang w:val="en-US" w:eastAsia="zh-CN"/>
          <w14:textFill>
            <w14:solidFill>
              <w14:schemeClr w14:val="tx1"/>
            </w14:solidFill>
          </w14:textFill>
        </w:rPr>
        <w:t>第六章技术标准及要求</w:t>
      </w:r>
      <w:r>
        <w:rPr>
          <w:rFonts w:hint="eastAsia" w:ascii="Times New Roman" w:hAnsi="Times New Roman" w:eastAsia="宋体" w:cs="Times New Roman"/>
          <w:color w:val="000000" w:themeColor="text1"/>
          <w:highlight w:val="none"/>
          <w:lang w:val="en-US" w:eastAsia="zh-CN"/>
          <w14:textFill>
            <w14:solidFill>
              <w14:schemeClr w14:val="tx1"/>
            </w14:solidFill>
          </w14:textFill>
        </w:rPr>
        <w:t>规定的技术标准及国家标准相应技术规范的要求，且应达到下列技术标准水平（包括但不限于）</w:t>
      </w:r>
      <w:r>
        <w:rPr>
          <w:rFonts w:hint="eastAsia" w:cs="Times New Roman"/>
          <w:color w:val="000000" w:themeColor="text1"/>
          <w:highlight w:val="none"/>
          <w:lang w:val="en-US" w:eastAsia="zh-CN"/>
          <w14:textFill>
            <w14:solidFill>
              <w14:schemeClr w14:val="tx1"/>
            </w14:solidFill>
          </w14:textFill>
        </w:rPr>
        <w:t>，未达标部分由中标人负责补齐完成达标验收，招标人不承担任何费用</w:t>
      </w:r>
      <w:r>
        <w:rPr>
          <w:rFonts w:hint="eastAsia" w:ascii="Times New Roman" w:hAnsi="Times New Roman" w:eastAsia="宋体" w:cs="Times New Roman"/>
          <w:color w:val="000000" w:themeColor="text1"/>
          <w:highlight w:val="none"/>
          <w:lang w:val="en-US" w:eastAsia="zh-CN"/>
          <w14:textFill>
            <w14:solidFill>
              <w14:schemeClr w14:val="tx1"/>
            </w14:solidFill>
          </w14:textFill>
        </w:rPr>
        <w:t>：</w:t>
      </w:r>
    </w:p>
    <w:p>
      <w:pPr>
        <w:pageBreakBefore w:val="0"/>
        <w:widowControl/>
        <w:kinsoku/>
        <w:wordWrap/>
        <w:overflowPunct/>
        <w:topLinePunct w:val="0"/>
        <w:autoSpaceDE/>
        <w:autoSpaceDN/>
        <w:bidi w:val="0"/>
        <w:adjustRightInd w:val="0"/>
        <w:snapToGrid w:val="0"/>
        <w:spacing w:line="360" w:lineRule="auto"/>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r>
        <w:rPr>
          <w:rFonts w:hint="default"/>
          <w:color w:val="000000" w:themeColor="text1"/>
          <w:highlight w:val="none"/>
          <w:lang w:val="en-US" w:eastAsia="zh-CN"/>
          <w14:textFill>
            <w14:solidFill>
              <w14:schemeClr w14:val="tx1"/>
            </w14:solidFill>
          </w14:textFill>
        </w:rPr>
        <w:t>《电子病历系统功能应用水平分级评价方法及标准（试行）》四级</w:t>
      </w:r>
    </w:p>
    <w:p>
      <w:pPr>
        <w:pageBreakBefore w:val="0"/>
        <w:widowControl/>
        <w:kinsoku/>
        <w:wordWrap/>
        <w:overflowPunct/>
        <w:topLinePunct w:val="0"/>
        <w:autoSpaceDE/>
        <w:autoSpaceDN/>
        <w:bidi w:val="0"/>
        <w:adjustRightInd w:val="0"/>
        <w:snapToGrid w:val="0"/>
        <w:spacing w:line="360" w:lineRule="auto"/>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r>
        <w:rPr>
          <w:rFonts w:hint="default"/>
          <w:color w:val="000000" w:themeColor="text1"/>
          <w:highlight w:val="none"/>
          <w:lang w:val="en-US" w:eastAsia="zh-CN"/>
          <w14:textFill>
            <w14:solidFill>
              <w14:schemeClr w14:val="tx1"/>
            </w14:solidFill>
          </w14:textFill>
        </w:rPr>
        <w:t>《医院信息互联互通标准化成熟度测评》四级</w:t>
      </w:r>
    </w:p>
    <w:p>
      <w:pPr>
        <w:pageBreakBefore w:val="0"/>
        <w:widowControl/>
        <w:kinsoku/>
        <w:wordWrap/>
        <w:overflowPunct/>
        <w:topLinePunct w:val="0"/>
        <w:autoSpaceDE/>
        <w:autoSpaceDN/>
        <w:bidi w:val="0"/>
        <w:adjustRightInd w:val="0"/>
        <w:snapToGrid w:val="0"/>
        <w:spacing w:line="360" w:lineRule="auto"/>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r>
        <w:rPr>
          <w:rFonts w:hint="default"/>
          <w:color w:val="000000" w:themeColor="text1"/>
          <w:highlight w:val="none"/>
          <w:lang w:val="en-US" w:eastAsia="zh-CN"/>
          <w14:textFill>
            <w14:solidFill>
              <w14:schemeClr w14:val="tx1"/>
            </w14:solidFill>
          </w14:textFill>
        </w:rPr>
        <w:t>《三级医院评审标准（2020年版）》三级</w:t>
      </w:r>
    </w:p>
    <w:p>
      <w:pPr>
        <w:pageBreakBefore w:val="0"/>
        <w:widowControl/>
        <w:kinsoku/>
        <w:wordWrap/>
        <w:overflowPunct/>
        <w:topLinePunct w:val="0"/>
        <w:autoSpaceDE/>
        <w:autoSpaceDN/>
        <w:bidi w:val="0"/>
        <w:adjustRightInd w:val="0"/>
        <w:snapToGrid w:val="0"/>
        <w:spacing w:line="360" w:lineRule="auto"/>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1.11.2 </w:t>
      </w:r>
      <w:r>
        <w:rPr>
          <w:rFonts w:hint="eastAsia" w:ascii="Times New Roman" w:hAnsi="Times New Roman" w:eastAsia="宋体" w:cs="Times New Roman"/>
          <w:color w:val="000000" w:themeColor="text1"/>
          <w:highlight w:val="none"/>
          <w:lang w:val="en-US" w:eastAsia="zh-CN"/>
          <w14:textFill>
            <w14:solidFill>
              <w14:schemeClr w14:val="tx1"/>
            </w14:solidFill>
          </w14:textFill>
        </w:rPr>
        <w:t>供应商应配合甲方完成获取</w:t>
      </w:r>
      <w:r>
        <w:rPr>
          <w:rFonts w:hint="default"/>
          <w:color w:val="000000" w:themeColor="text1"/>
          <w:highlight w:val="none"/>
          <w:lang w:val="en-US" w:eastAsia="zh-CN"/>
          <w14:textFill>
            <w14:solidFill>
              <w14:schemeClr w14:val="tx1"/>
            </w14:solidFill>
          </w14:textFill>
        </w:rPr>
        <w:t>互联网医院牌照</w:t>
      </w:r>
      <w:r>
        <w:rPr>
          <w:rFonts w:hint="eastAsia"/>
          <w:color w:val="000000" w:themeColor="text1"/>
          <w:highlight w:val="none"/>
          <w:lang w:val="en-US" w:eastAsia="zh-CN"/>
          <w14:textFill>
            <w14:solidFill>
              <w14:schemeClr w14:val="tx1"/>
            </w14:solidFill>
          </w14:textFill>
        </w:rPr>
        <w:t>的审批工作；</w:t>
      </w:r>
      <w:r>
        <w:rPr>
          <w:rFonts w:hint="default"/>
          <w:color w:val="000000" w:themeColor="text1"/>
          <w:highlight w:val="none"/>
          <w:lang w:val="en-US" w:eastAsia="zh-CN"/>
          <w14:textFill>
            <w14:solidFill>
              <w14:schemeClr w14:val="tx1"/>
            </w14:solidFill>
          </w14:textFill>
        </w:rPr>
        <w:t>互联网医院</w:t>
      </w:r>
      <w:r>
        <w:rPr>
          <w:rFonts w:hint="eastAsia"/>
          <w:color w:val="000000" w:themeColor="text1"/>
          <w:highlight w:val="none"/>
          <w:lang w:val="en-US" w:eastAsia="zh-CN"/>
          <w14:textFill>
            <w14:solidFill>
              <w14:schemeClr w14:val="tx1"/>
            </w14:solidFill>
          </w14:textFill>
        </w:rPr>
        <w:t>：系统</w:t>
      </w:r>
      <w:r>
        <w:rPr>
          <w:rFonts w:hint="default"/>
          <w:color w:val="000000" w:themeColor="text1"/>
          <w:highlight w:val="none"/>
          <w:lang w:val="en-US" w:eastAsia="zh-CN"/>
          <w14:textFill>
            <w14:solidFill>
              <w14:schemeClr w14:val="tx1"/>
            </w14:solidFill>
          </w14:textFill>
        </w:rPr>
        <w:t>通过自治区三级等保评测，由地州卫健委审核材料并与自治区卫健委监管平台进行相关工作对接，由自治区卫健委审批验收通过后，发放互联网医院牌照。</w:t>
      </w:r>
    </w:p>
    <w:p>
      <w:pPr>
        <w:keepNext w:val="0"/>
        <w:keepLines w:val="0"/>
        <w:pageBreakBefore w:val="0"/>
        <w:widowControl/>
        <w:kinsoku/>
        <w:wordWrap/>
        <w:overflowPunct/>
        <w:topLinePunct w:val="0"/>
        <w:autoSpaceDE/>
        <w:autoSpaceDN/>
        <w:bidi w:val="0"/>
        <w:adjustRightInd w:val="0"/>
        <w:snapToGrid w:val="0"/>
        <w:spacing w:line="360" w:lineRule="auto"/>
        <w:ind w:firstLine="211" w:firstLineChars="100"/>
        <w:textAlignment w:val="auto"/>
        <w:rPr>
          <w:rFonts w:ascii="Tahoma" w:hAnsi="Tahoma" w:eastAsia="黑体" w:cs="Tahoma"/>
          <w:b/>
          <w:color w:val="000000" w:themeColor="text1"/>
          <w:highlight w:val="none"/>
          <w14:textFill>
            <w14:solidFill>
              <w14:schemeClr w14:val="tx1"/>
            </w14:solidFill>
          </w14:textFill>
        </w:rPr>
      </w:pPr>
      <w:r>
        <w:rPr>
          <w:rFonts w:ascii="Tahoma" w:hAnsi="Tahoma" w:eastAsia="黑体" w:cs="Tahoma"/>
          <w:b/>
          <w:color w:val="000000" w:themeColor="text1"/>
          <w:highlight w:val="none"/>
          <w14:textFill>
            <w14:solidFill>
              <w14:schemeClr w14:val="tx1"/>
            </w14:solidFill>
          </w14:textFill>
        </w:rPr>
        <w:t>说明：属于供应商承诺部分的内容由各供应商可根据实际需要可以减少或不予采纳（但由此给供应商造成的不利，甚至其投标被拒绝由供应商自行承担），也可以提出更有利于竞争的承诺。</w:t>
      </w:r>
      <w:bookmarkEnd w:id="29"/>
      <w:bookmarkEnd w:id="30"/>
    </w:p>
    <w:p>
      <w:pPr>
        <w:pStyle w:val="19"/>
        <w:ind w:left="0" w:leftChars="0" w:firstLine="0" w:firstLineChars="0"/>
        <w:rPr>
          <w:rFonts w:ascii="Tahoma" w:hAnsi="Tahoma" w:eastAsia="黑体" w:cs="Tahoma"/>
          <w:b/>
          <w:color w:val="000000" w:themeColor="text1"/>
          <w:highlight w:val="none"/>
          <w14:textFill>
            <w14:solidFill>
              <w14:schemeClr w14:val="tx1"/>
            </w14:solidFill>
          </w14:textFill>
        </w:rPr>
      </w:pPr>
    </w:p>
    <w:p>
      <w:pPr>
        <w:keepNext w:val="0"/>
        <w:keepLines w:val="0"/>
        <w:pageBreakBefore w:val="0"/>
        <w:widowControl/>
        <w:kinsoku/>
        <w:wordWrap/>
        <w:overflowPunct/>
        <w:topLinePunct w:val="0"/>
        <w:bidi w:val="0"/>
        <w:adjustRightInd/>
        <w:spacing w:line="320" w:lineRule="exact"/>
        <w:jc w:val="center"/>
        <w:rPr>
          <w:rFonts w:hint="eastAsia" w:ascii="Tahoma" w:hAnsi="Tahoma" w:eastAsia="黑体" w:cs="Tahoma"/>
          <w:b/>
          <w:color w:val="000000" w:themeColor="text1"/>
          <w:sz w:val="28"/>
          <w:szCs w:val="28"/>
          <w:highlight w:val="none"/>
          <w:lang w:val="en-US" w:eastAsia="zh-CN"/>
          <w14:textFill>
            <w14:solidFill>
              <w14:schemeClr w14:val="tx1"/>
            </w14:solidFill>
          </w14:textFill>
        </w:rPr>
      </w:pPr>
    </w:p>
    <w:p>
      <w:pPr>
        <w:rPr>
          <w:rFonts w:hint="eastAsia" w:ascii="Tahoma" w:hAnsi="Tahoma" w:eastAsia="黑体" w:cs="Tahoma"/>
          <w:b/>
          <w:color w:val="000000" w:themeColor="text1"/>
          <w:sz w:val="28"/>
          <w:szCs w:val="28"/>
          <w:highlight w:val="none"/>
          <w:lang w:val="en-US" w:eastAsia="zh-CN"/>
          <w14:textFill>
            <w14:solidFill>
              <w14:schemeClr w14:val="tx1"/>
            </w14:solidFill>
          </w14:textFill>
        </w:rPr>
      </w:pPr>
      <w:r>
        <w:rPr>
          <w:rFonts w:hint="eastAsia" w:ascii="Tahoma" w:hAnsi="Tahoma" w:eastAsia="黑体" w:cs="Tahoma"/>
          <w:b/>
          <w:color w:val="000000" w:themeColor="text1"/>
          <w:sz w:val="28"/>
          <w:szCs w:val="28"/>
          <w:highlight w:val="none"/>
          <w:lang w:val="en-US" w:eastAsia="zh-CN"/>
          <w14:textFill>
            <w14:solidFill>
              <w14:schemeClr w14:val="tx1"/>
            </w14:solidFill>
          </w14:textFill>
        </w:rPr>
        <w:br w:type="page"/>
      </w:r>
    </w:p>
    <w:p>
      <w:pPr>
        <w:keepNext w:val="0"/>
        <w:keepLines w:val="0"/>
        <w:pageBreakBefore w:val="0"/>
        <w:widowControl/>
        <w:kinsoku/>
        <w:wordWrap/>
        <w:overflowPunct/>
        <w:topLinePunct w:val="0"/>
        <w:bidi w:val="0"/>
        <w:adjustRightInd/>
        <w:spacing w:line="320" w:lineRule="exact"/>
        <w:jc w:val="center"/>
        <w:rPr>
          <w:rFonts w:hint="eastAsia" w:ascii="Tahoma" w:hAnsi="Tahoma" w:eastAsia="黑体" w:cs="Tahoma"/>
          <w:b/>
          <w:color w:val="000000" w:themeColor="text1"/>
          <w:sz w:val="28"/>
          <w:szCs w:val="28"/>
          <w:highlight w:val="none"/>
          <w:lang w:val="en-US" w:eastAsia="zh-CN"/>
          <w14:textFill>
            <w14:solidFill>
              <w14:schemeClr w14:val="tx1"/>
            </w14:solidFill>
          </w14:textFill>
        </w:rPr>
      </w:pPr>
      <w:r>
        <w:rPr>
          <w:rFonts w:hint="eastAsia" w:ascii="Tahoma" w:hAnsi="Tahoma" w:eastAsia="黑体" w:cs="Tahoma"/>
          <w:b/>
          <w:color w:val="000000" w:themeColor="text1"/>
          <w:sz w:val="28"/>
          <w:szCs w:val="28"/>
          <w:highlight w:val="none"/>
          <w:lang w:val="en-US" w:eastAsia="zh-CN"/>
          <w14:textFill>
            <w14:solidFill>
              <w14:schemeClr w14:val="tx1"/>
            </w14:solidFill>
          </w14:textFill>
        </w:rPr>
        <w:t>2、技术规格要求</w:t>
      </w:r>
    </w:p>
    <w:p>
      <w:pPr>
        <w:widowControl/>
        <w:numPr>
          <w:ilvl w:val="0"/>
          <w:numId w:val="0"/>
        </w:numPr>
        <w:spacing w:line="340" w:lineRule="exact"/>
        <w:ind w:leftChars="0"/>
        <w:rPr>
          <w:rFonts w:ascii="Tahoma" w:hAnsi="Tahoma" w:eastAsia="黑体" w:cs="Tahoma"/>
          <w:b/>
          <w:color w:val="000000" w:themeColor="text1"/>
          <w:sz w:val="24"/>
          <w:highlight w:val="none"/>
          <w14:textFill>
            <w14:solidFill>
              <w14:schemeClr w14:val="tx1"/>
            </w14:solidFill>
          </w14:textFill>
        </w:rPr>
      </w:pPr>
      <w:r>
        <w:rPr>
          <w:rFonts w:ascii="Tahoma" w:hAnsi="Tahoma" w:eastAsia="黑体" w:cs="Tahoma"/>
          <w:b/>
          <w:color w:val="000000" w:themeColor="text1"/>
          <w:sz w:val="24"/>
          <w:highlight w:val="none"/>
          <w14:textFill>
            <w14:solidFill>
              <w14:schemeClr w14:val="tx1"/>
            </w14:solidFill>
          </w14:textFill>
        </w:rPr>
        <w:t>2.1、设备（产品）的功能技术要求（参数）</w:t>
      </w:r>
    </w:p>
    <w:p>
      <w:pPr>
        <w:pStyle w:val="9"/>
        <w:snapToGrid w:val="0"/>
        <w:spacing w:line="340" w:lineRule="exact"/>
        <w:ind w:firstLine="411" w:firstLineChars="196"/>
        <w:rPr>
          <w:rFonts w:ascii="Tahoma" w:hAnsi="Tahoma" w:cs="Tahoma"/>
          <w:bCs/>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凡招标文件采购需求清单或技术参数或要求等中涉及到</w:t>
      </w:r>
      <w:r>
        <w:rPr>
          <w:rFonts w:ascii="Tahoma" w:hAnsi="Tahoma" w:cs="Tahoma"/>
          <w:bCs/>
          <w:color w:val="000000" w:themeColor="text1"/>
          <w:szCs w:val="21"/>
          <w:highlight w:val="none"/>
          <w14:textFill>
            <w14:solidFill>
              <w14:schemeClr w14:val="tx1"/>
            </w14:solidFill>
          </w14:textFill>
        </w:rPr>
        <w:t>品牌</w:t>
      </w:r>
      <w:r>
        <w:rPr>
          <w:rFonts w:ascii="Tahoma" w:hAnsi="Tahoma" w:cs="Tahoma"/>
          <w:color w:val="000000" w:themeColor="text1"/>
          <w:szCs w:val="21"/>
          <w:highlight w:val="none"/>
          <w14:textFill>
            <w14:solidFill>
              <w14:schemeClr w14:val="tx1"/>
            </w14:solidFill>
          </w14:textFill>
        </w:rPr>
        <w:t>或</w:t>
      </w:r>
      <w:r>
        <w:rPr>
          <w:rFonts w:ascii="Tahoma" w:hAnsi="Tahoma" w:cs="Tahoma"/>
          <w:bCs/>
          <w:color w:val="000000" w:themeColor="text1"/>
          <w:szCs w:val="21"/>
          <w:highlight w:val="none"/>
          <w14:textFill>
            <w14:solidFill>
              <w14:schemeClr w14:val="tx1"/>
            </w14:solidFill>
          </w14:textFill>
        </w:rPr>
        <w:t>型号的，或</w:t>
      </w:r>
      <w:r>
        <w:rPr>
          <w:rFonts w:ascii="Tahoma" w:hAnsi="Tahoma" w:cs="Tahoma"/>
          <w:color w:val="000000" w:themeColor="text1"/>
          <w:szCs w:val="21"/>
          <w:highlight w:val="none"/>
          <w14:textFill>
            <w14:solidFill>
              <w14:schemeClr w14:val="tx1"/>
            </w14:solidFill>
          </w14:textFill>
        </w:rPr>
        <w:t>采购需求清单或技术参数或要求等中</w:t>
      </w:r>
      <w:r>
        <w:rPr>
          <w:rFonts w:ascii="Tahoma" w:hAnsi="Tahoma" w:cs="Tahoma"/>
          <w:bCs/>
          <w:color w:val="000000" w:themeColor="text1"/>
          <w:szCs w:val="21"/>
          <w:highlight w:val="none"/>
          <w14:textFill>
            <w14:solidFill>
              <w14:schemeClr w14:val="tx1"/>
            </w14:solidFill>
          </w14:textFill>
        </w:rPr>
        <w:t>恰巧与某一品牌的型号发生雷同的均</w:t>
      </w:r>
      <w:r>
        <w:rPr>
          <w:rFonts w:ascii="Tahoma" w:hAnsi="Tahoma" w:cs="Tahoma"/>
          <w:color w:val="000000" w:themeColor="text1"/>
          <w:szCs w:val="21"/>
          <w:highlight w:val="none"/>
          <w14:textFill>
            <w14:solidFill>
              <w14:schemeClr w14:val="tx1"/>
            </w14:solidFill>
          </w14:textFill>
        </w:rPr>
        <w:t>不具有指定或唯一意思的表示，也可以是类似品牌或型号，但技术参数或指标等要求必须满足或优于对采购设备或产品技术参数或指标等要求的规定</w:t>
      </w:r>
      <w:r>
        <w:rPr>
          <w:rFonts w:ascii="Tahoma" w:hAnsi="Tahoma" w:cs="Tahoma"/>
          <w:bCs/>
          <w:color w:val="000000" w:themeColor="text1"/>
          <w:szCs w:val="21"/>
          <w:highlight w:val="none"/>
          <w14:textFill>
            <w14:solidFill>
              <w14:schemeClr w14:val="tx1"/>
            </w14:solidFill>
          </w14:textFill>
        </w:rPr>
        <w:t>，</w:t>
      </w:r>
      <w:r>
        <w:rPr>
          <w:rFonts w:ascii="Tahoma" w:hAnsi="Tahoma" w:eastAsia="黑体" w:cs="Tahoma"/>
          <w:b/>
          <w:bCs/>
          <w:color w:val="000000" w:themeColor="text1"/>
          <w:szCs w:val="21"/>
          <w:highlight w:val="none"/>
          <w14:textFill>
            <w14:solidFill>
              <w14:schemeClr w14:val="tx1"/>
            </w14:solidFill>
          </w14:textFill>
        </w:rPr>
        <w:t>对招标文件中</w:t>
      </w:r>
      <w:r>
        <w:rPr>
          <w:rFonts w:hint="eastAsia" w:ascii="Tahoma" w:hAnsi="Tahoma" w:eastAsia="黑体" w:cs="Tahoma"/>
          <w:b/>
          <w:bCs/>
          <w:color w:val="000000" w:themeColor="text1"/>
          <w:szCs w:val="21"/>
          <w:highlight w:val="none"/>
          <w14:textFill>
            <w14:solidFill>
              <w14:schemeClr w14:val="tx1"/>
            </w14:solidFill>
          </w14:textFill>
        </w:rPr>
        <w:t>技术规格书中标注“</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Tahoma" w:hAnsi="Tahoma" w:eastAsia="黑体" w:cs="Tahoma"/>
          <w:b/>
          <w:bCs/>
          <w:color w:val="000000" w:themeColor="text1"/>
          <w:szCs w:val="21"/>
          <w:highlight w:val="none"/>
          <w14:textFill>
            <w14:solidFill>
              <w14:schemeClr w14:val="tx1"/>
            </w14:solidFill>
          </w14:textFill>
        </w:rPr>
        <w:t>”号的为关键参数，关键参数每项负偏离扣</w:t>
      </w:r>
      <w:r>
        <w:rPr>
          <w:rFonts w:hint="eastAsia" w:ascii="Tahoma" w:hAnsi="Tahoma" w:eastAsia="黑体" w:cs="Tahoma"/>
          <w:b/>
          <w:bCs/>
          <w:color w:val="000000" w:themeColor="text1"/>
          <w:szCs w:val="21"/>
          <w:highlight w:val="none"/>
          <w:lang w:val="en-US" w:eastAsia="zh-CN"/>
          <w14:textFill>
            <w14:solidFill>
              <w14:schemeClr w14:val="tx1"/>
            </w14:solidFill>
          </w14:textFill>
        </w:rPr>
        <w:t>2</w:t>
      </w:r>
      <w:r>
        <w:rPr>
          <w:rFonts w:hint="eastAsia" w:ascii="Tahoma" w:hAnsi="Tahoma" w:eastAsia="黑体" w:cs="Tahoma"/>
          <w:b/>
          <w:bCs/>
          <w:color w:val="000000" w:themeColor="text1"/>
          <w:szCs w:val="21"/>
          <w:highlight w:val="none"/>
          <w14:textFill>
            <w14:solidFill>
              <w14:schemeClr w14:val="tx1"/>
            </w14:solidFill>
          </w14:textFill>
        </w:rPr>
        <w:t>分，其它参数为一般性参数，一般性参数每项负偏离扣</w:t>
      </w:r>
      <w:r>
        <w:rPr>
          <w:rFonts w:hint="eastAsia" w:ascii="Tahoma" w:hAnsi="Tahoma" w:eastAsia="黑体" w:cs="Tahoma"/>
          <w:b/>
          <w:bCs/>
          <w:color w:val="000000" w:themeColor="text1"/>
          <w:szCs w:val="21"/>
          <w:highlight w:val="none"/>
          <w:lang w:val="en-US" w:eastAsia="zh-CN"/>
          <w14:textFill>
            <w14:solidFill>
              <w14:schemeClr w14:val="tx1"/>
            </w14:solidFill>
          </w14:textFill>
        </w:rPr>
        <w:t>1</w:t>
      </w:r>
      <w:r>
        <w:rPr>
          <w:rFonts w:hint="eastAsia" w:ascii="Tahoma" w:hAnsi="Tahoma" w:eastAsia="黑体" w:cs="Tahoma"/>
          <w:b/>
          <w:bCs/>
          <w:color w:val="000000" w:themeColor="text1"/>
          <w:szCs w:val="21"/>
          <w:highlight w:val="none"/>
          <w14:textFill>
            <w14:solidFill>
              <w14:schemeClr w14:val="tx1"/>
            </w14:solidFill>
          </w14:textFill>
        </w:rPr>
        <w:t>分，扣完为止</w:t>
      </w:r>
      <w:r>
        <w:rPr>
          <w:rFonts w:hint="eastAsia" w:ascii="Tahoma" w:hAnsi="Tahoma" w:eastAsia="黑体" w:cs="Tahoma"/>
          <w:b/>
          <w:bCs/>
          <w:color w:val="000000" w:themeColor="text1"/>
          <w:szCs w:val="21"/>
          <w:highlight w:val="none"/>
          <w:lang w:eastAsia="zh-CN"/>
          <w14:textFill>
            <w14:solidFill>
              <w14:schemeClr w14:val="tx1"/>
            </w14:solidFill>
          </w14:textFill>
        </w:rPr>
        <w:t>。</w:t>
      </w:r>
      <w:r>
        <w:rPr>
          <w:rFonts w:ascii="Tahoma" w:hAnsi="Tahoma" w:cs="Tahoma"/>
          <w:bCs/>
          <w:color w:val="000000" w:themeColor="text1"/>
          <w:szCs w:val="21"/>
          <w:highlight w:val="none"/>
          <w14:textFill>
            <w14:solidFill>
              <w14:schemeClr w14:val="tx1"/>
            </w14:solidFill>
          </w14:textFill>
        </w:rPr>
        <w:t>供应商提供设备或产品及其他配套设备应部分或全部满足以下技术要求或标准（但不限于），在使用下列标准时，使用各方应探讨下列标准及文件最新版本的可能性，一旦已颁布了最新标准或文件应使用最新标准或文件（或替代标准）：</w:t>
      </w:r>
    </w:p>
    <w:p>
      <w:pPr>
        <w:spacing w:line="340" w:lineRule="exact"/>
        <w:rPr>
          <w:rFonts w:ascii="Tahoma" w:hAnsi="Tahoma" w:eastAsia="黑体" w:cs="Tahoma"/>
          <w:b/>
          <w:color w:val="000000" w:themeColor="text1"/>
          <w:sz w:val="24"/>
          <w:highlight w:val="none"/>
          <w:shd w:val="clear" w:color="auto" w:fill="FFFFFF"/>
          <w14:textFill>
            <w14:solidFill>
              <w14:schemeClr w14:val="tx1"/>
            </w14:solidFill>
          </w14:textFill>
        </w:rPr>
      </w:pPr>
      <w:r>
        <w:rPr>
          <w:rFonts w:ascii="Tahoma" w:hAnsi="Tahoma" w:eastAsia="黑体" w:cs="Tahoma"/>
          <w:b/>
          <w:color w:val="000000" w:themeColor="text1"/>
          <w:sz w:val="24"/>
          <w:highlight w:val="none"/>
          <w14:textFill>
            <w14:solidFill>
              <w14:schemeClr w14:val="tx1"/>
            </w14:solidFill>
          </w14:textFill>
        </w:rPr>
        <w:t>2.2</w:t>
      </w:r>
      <w:r>
        <w:rPr>
          <w:rFonts w:ascii="Tahoma" w:hAnsi="Tahoma" w:eastAsia="黑体" w:cs="Tahoma"/>
          <w:b/>
          <w:color w:val="000000" w:themeColor="text1"/>
          <w:sz w:val="24"/>
          <w:highlight w:val="none"/>
          <w:shd w:val="clear" w:color="auto" w:fill="FFFFFF"/>
          <w14:textFill>
            <w14:solidFill>
              <w14:schemeClr w14:val="tx1"/>
            </w14:solidFill>
          </w14:textFill>
        </w:rPr>
        <w:t>技术参数及标准的一般要求</w:t>
      </w:r>
    </w:p>
    <w:p>
      <w:pPr>
        <w:spacing w:line="340" w:lineRule="exact"/>
        <w:rPr>
          <w:rFonts w:ascii="Tahoma" w:hAnsi="Tahoma" w:eastAsia="黑体" w:cs="Tahoma"/>
          <w:b/>
          <w:color w:val="000000" w:themeColor="text1"/>
          <w:szCs w:val="21"/>
          <w:highlight w:val="none"/>
          <w:shd w:val="clear" w:color="auto" w:fill="FFFFFF"/>
          <w14:textFill>
            <w14:solidFill>
              <w14:schemeClr w14:val="tx1"/>
            </w14:solidFill>
          </w14:textFill>
        </w:rPr>
      </w:pPr>
      <w:r>
        <w:rPr>
          <w:rFonts w:ascii="Tahoma" w:hAnsi="Tahoma" w:eastAsia="黑体" w:cs="Tahoma"/>
          <w:b/>
          <w:color w:val="000000" w:themeColor="text1"/>
          <w:szCs w:val="21"/>
          <w:highlight w:val="none"/>
          <w:shd w:val="clear" w:color="auto" w:fill="FFFFFF"/>
          <w14:textFill>
            <w14:solidFill>
              <w14:schemeClr w14:val="tx1"/>
            </w14:solidFill>
          </w14:textFill>
        </w:rPr>
        <w:t>2.2.1采购设备</w:t>
      </w:r>
      <w:r>
        <w:rPr>
          <w:rFonts w:hint="eastAsia" w:ascii="Tahoma" w:hAnsi="Tahoma" w:eastAsia="黑体" w:cs="Tahoma"/>
          <w:b/>
          <w:color w:val="000000" w:themeColor="text1"/>
          <w:szCs w:val="21"/>
          <w:highlight w:val="none"/>
          <w:shd w:val="clear" w:color="auto" w:fill="FFFFFF"/>
          <w14:textFill>
            <w14:solidFill>
              <w14:schemeClr w14:val="tx1"/>
            </w14:solidFill>
          </w14:textFill>
        </w:rPr>
        <w:t>或产品（货物）</w:t>
      </w:r>
      <w:r>
        <w:rPr>
          <w:rFonts w:ascii="Tahoma" w:hAnsi="Tahoma" w:eastAsia="黑体" w:cs="Tahoma"/>
          <w:b/>
          <w:color w:val="000000" w:themeColor="text1"/>
          <w:szCs w:val="21"/>
          <w:highlight w:val="none"/>
          <w:shd w:val="clear" w:color="auto" w:fill="FFFFFF"/>
          <w14:textFill>
            <w14:solidFill>
              <w14:schemeClr w14:val="tx1"/>
            </w14:solidFill>
          </w14:textFill>
        </w:rPr>
        <w:t>总的技术参数及要求</w:t>
      </w:r>
    </w:p>
    <w:p>
      <w:pPr>
        <w:numPr>
          <w:ilvl w:val="0"/>
          <w:numId w:val="0"/>
        </w:numPr>
        <w:tabs>
          <w:tab w:val="left" w:pos="900"/>
        </w:tabs>
        <w:snapToGrid w:val="0"/>
        <w:spacing w:line="264" w:lineRule="auto"/>
        <w:jc w:val="left"/>
        <w:rPr>
          <w:rFonts w:hint="eastAsia" w:ascii="Tahoma" w:hAnsi="黑体" w:eastAsia="黑体" w:cs="Tahoma"/>
          <w:b/>
          <w:bCs/>
          <w:color w:val="000000" w:themeColor="text1"/>
          <w:sz w:val="21"/>
          <w:szCs w:val="21"/>
          <w:highlight w:val="none"/>
          <w:lang w:eastAsia="zh-CN"/>
          <w14:textFill>
            <w14:solidFill>
              <w14:schemeClr w14:val="tx1"/>
            </w14:solidFill>
          </w14:textFill>
        </w:rPr>
      </w:pPr>
      <w:r>
        <w:rPr>
          <w:rFonts w:hint="eastAsia" w:ascii="Tahoma" w:hAnsi="黑体" w:eastAsia="黑体" w:cs="Tahoma"/>
          <w:b/>
          <w:color w:val="000000" w:themeColor="text1"/>
          <w:sz w:val="21"/>
          <w:szCs w:val="21"/>
          <w:highlight w:val="none"/>
          <w:lang w:val="en-US" w:eastAsia="zh-CN"/>
          <w14:textFill>
            <w14:solidFill>
              <w14:schemeClr w14:val="tx1"/>
            </w14:solidFill>
          </w14:textFill>
        </w:rPr>
        <w:t>一、硬件</w:t>
      </w:r>
      <w:r>
        <w:rPr>
          <w:rFonts w:hint="eastAsia" w:ascii="Tahoma" w:hAnsi="黑体" w:eastAsia="黑体" w:cs="Tahoma"/>
          <w:b/>
          <w:color w:val="000000" w:themeColor="text1"/>
          <w:sz w:val="21"/>
          <w:szCs w:val="21"/>
          <w:highlight w:val="none"/>
          <w14:textFill>
            <w14:solidFill>
              <w14:schemeClr w14:val="tx1"/>
            </w14:solidFill>
          </w14:textFill>
        </w:rPr>
        <w:t>采购</w:t>
      </w:r>
      <w:r>
        <w:rPr>
          <w:rFonts w:ascii="Tahoma" w:hAnsi="黑体" w:eastAsia="黑体" w:cs="Tahoma"/>
          <w:b/>
          <w:bCs/>
          <w:color w:val="000000" w:themeColor="text1"/>
          <w:sz w:val="21"/>
          <w:szCs w:val="21"/>
          <w:highlight w:val="none"/>
          <w14:textFill>
            <w14:solidFill>
              <w14:schemeClr w14:val="tx1"/>
            </w14:solidFill>
          </w14:textFill>
        </w:rPr>
        <w:t>需求</w:t>
      </w:r>
      <w:r>
        <w:rPr>
          <w:rFonts w:hint="eastAsia" w:ascii="Tahoma" w:hAnsi="黑体" w:eastAsia="黑体" w:cs="Tahoma"/>
          <w:b/>
          <w:bCs/>
          <w:color w:val="000000" w:themeColor="text1"/>
          <w:sz w:val="21"/>
          <w:szCs w:val="21"/>
          <w:highlight w:val="none"/>
          <w:lang w:val="en-US" w:eastAsia="zh-CN"/>
          <w14:textFill>
            <w14:solidFill>
              <w14:schemeClr w14:val="tx1"/>
            </w14:solidFill>
          </w14:textFill>
        </w:rPr>
        <w:t>参数</w:t>
      </w:r>
    </w:p>
    <w:p>
      <w:pPr>
        <w:keepNext/>
        <w:keepLines/>
        <w:spacing w:after="200"/>
        <w:outlineLvl w:val="2"/>
        <w:rPr>
          <w:rFonts w:ascii="Tahoma" w:hAnsi="黑体" w:eastAsia="黑体" w:cs="Tahoma"/>
          <w:b/>
          <w:color w:val="000000" w:themeColor="text1"/>
          <w:szCs w:val="21"/>
          <w:highlight w:val="none"/>
          <w14:textFill>
            <w14:solidFill>
              <w14:schemeClr w14:val="tx1"/>
            </w14:solidFill>
          </w14:textFill>
        </w:rPr>
      </w:pPr>
      <w:r>
        <w:rPr>
          <w:rFonts w:hint="eastAsia" w:ascii="Tahoma" w:hAnsi="黑体" w:eastAsia="黑体" w:cs="Tahoma"/>
          <w:b/>
          <w:color w:val="000000" w:themeColor="text1"/>
          <w:szCs w:val="21"/>
          <w:highlight w:val="none"/>
          <w14:textFill>
            <w14:solidFill>
              <w14:schemeClr w14:val="tx1"/>
            </w14:solidFill>
          </w14:textFill>
        </w:rPr>
        <w:t>1、医院桌面云系统</w:t>
      </w:r>
    </w:p>
    <w:tbl>
      <w:tblPr>
        <w:tblStyle w:val="20"/>
        <w:tblW w:w="9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7"/>
        <w:gridCol w:w="2184"/>
        <w:gridCol w:w="6433"/>
        <w:gridCol w:w="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37" w:type="dxa"/>
            <w:shd w:val="clear" w:color="auto" w:fill="auto"/>
            <w:tcMar>
              <w:top w:w="12" w:type="dxa"/>
              <w:left w:w="12" w:type="dxa"/>
              <w:right w:w="12" w:type="dxa"/>
            </w:tcMar>
            <w:vAlign w:val="center"/>
          </w:tcPr>
          <w:p>
            <w:pPr>
              <w:snapToGrid w:val="0"/>
              <w:ind w:left="425" w:hanging="425"/>
              <w:jc w:val="center"/>
              <w:rPr>
                <w:rFonts w:ascii="微软雅黑" w:hAnsi="微软雅黑"/>
                <w:b/>
                <w:bCs/>
                <w:color w:val="000000" w:themeColor="text1"/>
                <w:szCs w:val="21"/>
                <w:highlight w:val="none"/>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序号</w:t>
            </w:r>
          </w:p>
        </w:tc>
        <w:tc>
          <w:tcPr>
            <w:tcW w:w="2184" w:type="dxa"/>
            <w:shd w:val="clear" w:color="auto" w:fill="auto"/>
            <w:tcMar>
              <w:top w:w="12" w:type="dxa"/>
              <w:left w:w="12" w:type="dxa"/>
              <w:right w:w="12" w:type="dxa"/>
            </w:tcMar>
            <w:vAlign w:val="center"/>
          </w:tcPr>
          <w:p>
            <w:pPr>
              <w:snapToGrid w:val="0"/>
              <w:ind w:left="425" w:hanging="425"/>
              <w:jc w:val="center"/>
              <w:rPr>
                <w:rFonts w:ascii="微软雅黑" w:hAnsi="微软雅黑"/>
                <w:b/>
                <w:bCs/>
                <w:color w:val="000000" w:themeColor="text1"/>
                <w:szCs w:val="21"/>
                <w:highlight w:val="none"/>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商品名称</w:t>
            </w:r>
          </w:p>
        </w:tc>
        <w:tc>
          <w:tcPr>
            <w:tcW w:w="6433" w:type="dxa"/>
            <w:shd w:val="clear" w:color="auto" w:fill="auto"/>
            <w:tcMar>
              <w:top w:w="12" w:type="dxa"/>
              <w:left w:w="12" w:type="dxa"/>
              <w:right w:w="12" w:type="dxa"/>
            </w:tcMar>
            <w:vAlign w:val="center"/>
          </w:tcPr>
          <w:p>
            <w:pPr>
              <w:snapToGrid w:val="0"/>
              <w:jc w:val="center"/>
              <w:rPr>
                <w:rFonts w:ascii="微软雅黑" w:hAnsi="微软雅黑"/>
                <w:b/>
                <w:bCs/>
                <w:color w:val="000000" w:themeColor="text1"/>
                <w:szCs w:val="21"/>
                <w:highlight w:val="none"/>
                <w14:textFill>
                  <w14:solidFill>
                    <w14:schemeClr w14:val="tx1"/>
                  </w14:solidFill>
                </w14:textFill>
              </w:rPr>
            </w:pPr>
            <w:r>
              <w:rPr>
                <w:rFonts w:ascii="微软雅黑" w:hAnsi="微软雅黑"/>
                <w:b/>
                <w:bCs/>
                <w:color w:val="000000" w:themeColor="text1"/>
                <w:szCs w:val="21"/>
                <w:highlight w:val="none"/>
                <w14:textFill>
                  <w14:solidFill>
                    <w14:schemeClr w14:val="tx1"/>
                  </w14:solidFill>
                </w14:textFill>
              </w:rPr>
              <w:t>技术规格</w:t>
            </w:r>
          </w:p>
        </w:tc>
        <w:tc>
          <w:tcPr>
            <w:tcW w:w="604" w:type="dxa"/>
            <w:shd w:val="clear" w:color="auto" w:fill="auto"/>
            <w:tcMar>
              <w:top w:w="12" w:type="dxa"/>
              <w:left w:w="12" w:type="dxa"/>
              <w:right w:w="12" w:type="dxa"/>
            </w:tcMar>
            <w:vAlign w:val="center"/>
          </w:tcPr>
          <w:p>
            <w:pPr>
              <w:snapToGrid w:val="0"/>
              <w:jc w:val="center"/>
              <w:rPr>
                <w:rFonts w:ascii="微软雅黑" w:hAnsi="微软雅黑"/>
                <w:b/>
                <w:bCs/>
                <w:color w:val="000000" w:themeColor="text1"/>
                <w:szCs w:val="21"/>
                <w:highlight w:val="none"/>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3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w:t>
            </w:r>
          </w:p>
        </w:tc>
        <w:tc>
          <w:tcPr>
            <w:tcW w:w="218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桌面云资源池一体机</w:t>
            </w:r>
          </w:p>
        </w:tc>
        <w:tc>
          <w:tcPr>
            <w:tcW w:w="6433" w:type="dxa"/>
            <w:shd w:val="clear" w:color="auto" w:fill="auto"/>
            <w:tcMar>
              <w:top w:w="12" w:type="dxa"/>
              <w:left w:w="12" w:type="dxa"/>
              <w:right w:w="12" w:type="dxa"/>
            </w:tcMar>
            <w:vAlign w:val="center"/>
          </w:tcPr>
          <w:p>
            <w:pPr>
              <w:snapToGrid w:val="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本项目要求服务器与终端、桌面云软件同一品牌，出厂时必须预装各类桌面云软件（含服务器虚拟化、存储虚拟化等），不允许提供祼机设备。</w:t>
            </w:r>
          </w:p>
          <w:p>
            <w:pPr>
              <w:snapToGrid w:val="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要求服务器必须配备存储虚拟化软件模块，提供低成本、高可靠的存储方案。</w:t>
            </w:r>
          </w:p>
          <w:p>
            <w:pPr>
              <w:snapToGrid w:val="0"/>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微软雅黑" w:hAnsi="微软雅黑"/>
                <w:color w:val="000000" w:themeColor="text1"/>
                <w:szCs w:val="21"/>
                <w:highlight w:val="none"/>
                <w14:textFill>
                  <w14:solidFill>
                    <w14:schemeClr w14:val="tx1"/>
                  </w14:solidFill>
                </w14:textFill>
              </w:rPr>
              <w:t>双CPU核数≥24（主频不低于3.0Ghz）（测算峰值）、内存≥448G、千兆网口≥4个，万兆光口≥4个、冗余双电源。</w:t>
            </w:r>
          </w:p>
          <w:p>
            <w:pPr>
              <w:snapToGrid w:val="0"/>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微软雅黑" w:hAnsi="微软雅黑"/>
                <w:color w:val="000000" w:themeColor="text1"/>
                <w:szCs w:val="21"/>
                <w:highlight w:val="none"/>
                <w14:textFill>
                  <w14:solidFill>
                    <w14:schemeClr w14:val="tx1"/>
                  </w14:solidFill>
                </w14:textFill>
              </w:rPr>
              <w:t>本项目要求至少配备2块128G SSD硬盘做系统盘、2块1.92T SSD硬盘和6块8T的SATA硬盘。</w:t>
            </w:r>
          </w:p>
          <w:p>
            <w:pPr>
              <w:snapToGrid w:val="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提供服务器虚拟化和存储虚拟化授权，服务器虚拟化授权要求满足本项目性能需求，存储虚拟化授权要求无容量限制，便于后续存储扩容。</w:t>
            </w:r>
          </w:p>
          <w:p>
            <w:pPr>
              <w:snapToGrid w:val="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为了保证能够快速平滑扩容，本项目要求集群中服务器的添加支持热添加，在添加过程中不影响运行中的虚拟机。</w:t>
            </w:r>
          </w:p>
          <w:p>
            <w:pPr>
              <w:snapToGrid w:val="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支持集群冗余技术，集群中各主机互为监控，一旦发现某个主机故障，HA机制就会自动触发虚机迁移动作，在另一正常服务器快速拉起、确保VM继续可用。</w:t>
            </w:r>
          </w:p>
          <w:p>
            <w:pPr>
              <w:snapToGrid w:val="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单集群管理时无需部署集中管理平台，通过Web方式接入集群主服务器，实现对服务器、虚拟机、网络、存储虚拟化等进行统一管理。</w:t>
            </w:r>
          </w:p>
          <w:p>
            <w:pPr>
              <w:snapToGrid w:val="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虚拟机损坏无法启动时，支持将虚拟机磁盘挂载到新虚拟机上，用户可登录新虚拟机将磁盘内容备份出来。</w:t>
            </w:r>
          </w:p>
          <w:p>
            <w:pPr>
              <w:snapToGrid w:val="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支持数据冗余副本技术，每份数据同时写入多台服务器，每次数据变化时自动实时同步，确保磁盘或服务器故障，数据不丢失。</w:t>
            </w:r>
          </w:p>
          <w:p>
            <w:pPr>
              <w:snapToGrid w:val="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支持SSD缓存加速，采用SSD+HDD混合模式，SSD用于缓存热点数据，HDD用于存储个人数据，SSD缓存命中率不低于60%，确保最优用户体验。</w:t>
            </w:r>
          </w:p>
          <w:p>
            <w:pPr>
              <w:snapToGrid w:val="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支持故障自动切换，硬盘故障，存储则会被重新指向另外一台服务器上可用的数据副本，实现毫秒级切换，对用户来讲基本是无感知的；主机或者网络故障，虚拟桌面可以快速切换到另一台服务器拉起。</w:t>
            </w:r>
          </w:p>
          <w:p>
            <w:pPr>
              <w:snapToGrid w:val="0"/>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微软雅黑" w:hAnsi="微软雅黑"/>
                <w:color w:val="000000" w:themeColor="text1"/>
                <w:szCs w:val="21"/>
                <w:highlight w:val="none"/>
                <w14:textFill>
                  <w14:solidFill>
                    <w14:schemeClr w14:val="tx1"/>
                  </w14:solidFill>
                </w14:textFill>
              </w:rPr>
              <w:t>要求具备ISO9001质量管理体系认证证书，以确保整套桌面云方案的成熟稳定，投标时需提供资质复印件。</w:t>
            </w:r>
          </w:p>
          <w:p>
            <w:pPr>
              <w:snapToGrid w:val="0"/>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微软雅黑" w:hAnsi="微软雅黑"/>
                <w:color w:val="000000" w:themeColor="text1"/>
                <w:szCs w:val="21"/>
                <w:highlight w:val="none"/>
                <w14:textFill>
                  <w14:solidFill>
                    <w14:schemeClr w14:val="tx1"/>
                  </w14:solidFill>
                </w14:textFill>
              </w:rPr>
              <w:t>通过CCC产品质量管理认证。</w:t>
            </w:r>
          </w:p>
        </w:tc>
        <w:tc>
          <w:tcPr>
            <w:tcW w:w="60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3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w:t>
            </w:r>
          </w:p>
        </w:tc>
        <w:tc>
          <w:tcPr>
            <w:tcW w:w="218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时钟系统</w:t>
            </w:r>
          </w:p>
        </w:tc>
        <w:tc>
          <w:tcPr>
            <w:tcW w:w="6433" w:type="dxa"/>
            <w:shd w:val="clear" w:color="auto" w:fill="auto"/>
            <w:tcMar>
              <w:top w:w="12" w:type="dxa"/>
              <w:left w:w="12" w:type="dxa"/>
              <w:right w:w="12" w:type="dxa"/>
            </w:tcMar>
            <w:vAlign w:val="center"/>
          </w:tcPr>
          <w:p>
            <w:pPr>
              <w:snapToGrid w:val="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高稳晶振+北斗+GPS+NTP+1*1路IPPS+RS422/485×5+光口×4+1GbE×8）/1U通用款，该板卡配置推荐前端接入规模40000路以内（板卡接口可见SPS或规格书后视图）</w:t>
            </w:r>
          </w:p>
          <w:p>
            <w:pPr>
              <w:snapToGrid w:val="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【晶振款】</w:t>
            </w:r>
          </w:p>
          <w:p>
            <w:pPr>
              <w:snapToGrid w:val="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产品特点：</w:t>
            </w:r>
          </w:p>
          <w:p>
            <w:pPr>
              <w:snapToGrid w:val="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精密的校时精度；超高守时能力；支持GPS、北斗、上级NTP、CDMA校时（默认北斗）；支持多网域校时</w:t>
            </w:r>
          </w:p>
          <w:p>
            <w:pPr>
              <w:snapToGrid w:val="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高稳定性、可靠性设计</w:t>
            </w:r>
          </w:p>
          <w:p>
            <w:pPr>
              <w:snapToGrid w:val="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支持双机热备、级联方案</w:t>
            </w:r>
          </w:p>
          <w:p>
            <w:pPr>
              <w:snapToGrid w:val="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1U标准机架式产品</w:t>
            </w:r>
          </w:p>
          <w:p>
            <w:pPr>
              <w:snapToGrid w:val="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处理器：ARM处理器</w:t>
            </w:r>
          </w:p>
          <w:p>
            <w:pPr>
              <w:snapToGrid w:val="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同步精度：卫星同步精度纳秒级；NTP同步精度毫秒级；</w:t>
            </w:r>
          </w:p>
          <w:p>
            <w:pPr>
              <w:snapToGrid w:val="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存储：256M</w:t>
            </w:r>
          </w:p>
          <w:p>
            <w:pPr>
              <w:snapToGrid w:val="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守时精度：≤28us</w:t>
            </w:r>
          </w:p>
          <w:p>
            <w:pPr>
              <w:snapToGrid w:val="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 xml:space="preserve">跟踪通道数：32；捕获通道数：128；授时容量： 10000次/每秒（单端口）；授时精度：≤5us；授时频段：GPS: 1575.42±1.023MHz ，北斗: 1561.098±2.046MHz </w:t>
            </w:r>
          </w:p>
          <w:p>
            <w:pPr>
              <w:snapToGrid w:val="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接口：</w:t>
            </w:r>
          </w:p>
          <w:p>
            <w:pPr>
              <w:snapToGrid w:val="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网络管理端口（RJ45）：管理口；NTP输入端口（RJ45）:NTP INP;；PPS授时端口（SMA）：1PPS   ；10M授时端口（SMA）：10MHZ；串行管理端口（RS232）：串口</w:t>
            </w:r>
          </w:p>
          <w:p>
            <w:pPr>
              <w:snapToGrid w:val="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1路GPS/BD天线接口 （支持选配2路）</w:t>
            </w:r>
          </w:p>
          <w:p>
            <w:pPr>
              <w:snapToGrid w:val="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4槽位输出位：</w:t>
            </w:r>
          </w:p>
          <w:p>
            <w:pPr>
              <w:snapToGrid w:val="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NTP输出卡（RJ45）：NTP1~NTP4，支持端口、双卡绑定;</w:t>
            </w:r>
          </w:p>
          <w:p>
            <w:pPr>
              <w:snapToGrid w:val="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光输出卡（ST）：1-4路</w:t>
            </w:r>
          </w:p>
          <w:p>
            <w:pPr>
              <w:snapToGrid w:val="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RS422输出卡（凤凰端子）：1-5路，支持子钟管理</w:t>
            </w:r>
          </w:p>
          <w:p>
            <w:pPr>
              <w:snapToGrid w:val="0"/>
              <w:rPr>
                <w:rFonts w:ascii="微软雅黑" w:hAnsi="微软雅黑"/>
                <w:color w:val="000000" w:themeColor="text1"/>
                <w:szCs w:val="21"/>
                <w:highlight w:val="none"/>
                <w14:textFill>
                  <w14:solidFill>
                    <w14:schemeClr w14:val="tx1"/>
                  </w14:solidFill>
                </w14:textFill>
              </w:rPr>
            </w:pPr>
          </w:p>
          <w:p>
            <w:pPr>
              <w:snapToGrid w:val="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软件功能：</w:t>
            </w:r>
          </w:p>
          <w:p>
            <w:pPr>
              <w:snapToGrid w:val="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设备上电或重启后，系统自启校时服务</w:t>
            </w:r>
          </w:p>
          <w:p>
            <w:pPr>
              <w:snapToGrid w:val="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可通过NTP模式或BD/GPS模式对待授时设备进行授时；可通过固定时间间隔方式对待授时设备进行授时</w:t>
            </w:r>
          </w:p>
          <w:p>
            <w:pPr>
              <w:snapToGrid w:val="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支持对监控设备（DVR、NVR、网络摄像机）、终端设备进行授时；支持对服务器进行授时</w:t>
            </w:r>
          </w:p>
          <w:p>
            <w:pPr>
              <w:snapToGrid w:val="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支持同时对多个网段的待授时设备进行授时，单端口授时容量≥10000次/秒；可通过WEB管理对NTP时钟进行配置管理</w:t>
            </w:r>
          </w:p>
        </w:tc>
        <w:tc>
          <w:tcPr>
            <w:tcW w:w="60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3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3</w:t>
            </w:r>
          </w:p>
        </w:tc>
        <w:tc>
          <w:tcPr>
            <w:tcW w:w="218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桌面云控制器及软件</w:t>
            </w:r>
          </w:p>
        </w:tc>
        <w:tc>
          <w:tcPr>
            <w:tcW w:w="6433" w:type="dxa"/>
            <w:shd w:val="clear" w:color="auto" w:fill="auto"/>
            <w:tcMar>
              <w:top w:w="12" w:type="dxa"/>
              <w:left w:w="12" w:type="dxa"/>
              <w:right w:w="12" w:type="dxa"/>
            </w:tcMar>
            <w:vAlign w:val="center"/>
          </w:tcPr>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为提升桌面云接入性能及稳定性，</w:t>
            </w:r>
            <w:r>
              <w:rPr>
                <w:rFonts w:ascii="微软雅黑" w:hAnsi="微软雅黑"/>
                <w:b/>
                <w:bCs/>
                <w:color w:val="000000" w:themeColor="text1"/>
                <w:szCs w:val="21"/>
                <w:highlight w:val="none"/>
                <w14:textFill>
                  <w14:solidFill>
                    <w14:schemeClr w14:val="tx1"/>
                  </w14:solidFill>
                </w14:textFill>
              </w:rPr>
              <w:t>本项目要求配备2台硬件控制器</w:t>
            </w:r>
            <w:r>
              <w:rPr>
                <w:rFonts w:ascii="微软雅黑" w:hAnsi="微软雅黑"/>
                <w:color w:val="000000" w:themeColor="text1"/>
                <w:szCs w:val="21"/>
                <w:highlight w:val="none"/>
                <w14:textFill>
                  <w14:solidFill>
                    <w14:schemeClr w14:val="tx1"/>
                  </w14:solidFill>
                </w14:textFill>
              </w:rPr>
              <w:t>。</w:t>
            </w:r>
          </w:p>
          <w:p>
            <w:pPr>
              <w:snapToGrid w:val="0"/>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微软雅黑" w:hAnsi="微软雅黑"/>
                <w:color w:val="000000" w:themeColor="text1"/>
                <w:szCs w:val="21"/>
                <w:highlight w:val="none"/>
                <w14:textFill>
                  <w14:solidFill>
                    <w14:schemeClr w14:val="tx1"/>
                  </w14:solidFill>
                </w14:textFill>
              </w:rPr>
              <w:t>本项目要求提供300个用户授权，支持发布专有桌面、还原桌面（包括池化桌面）、共享桌面、远程应用至少5种桌面资源，满足不同场景的应用需求。</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为了提高上线效率，本项目要求桌面云控制器所有组件完全集成化，即不需要过多的安装调试步骤，后台导入一个镜像就可以完成部署。</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在多分支场景的部署中，支持分布式部署、集中管理模式，即桌面云服务器部署在各个分支本地数据中心，总部通过一套集中管理平台实现对分支桌面云的统一管理，包括统一授权、统一监控等，本项目要求免费提供集中管理平台所需软件。</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为了简化维护，桌面控制器需支持DHCP功能，无需额外搭建DHCP服务器，可实现终端和虚拟机IP的动态分配。</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为了保证高可靠，桌面云控制器需支持集群模式，在不增加第三方负载均衡的情况下，可实现桌面云控制器宕机切换会话不中断。</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支持将桌面云控制器直接映射到互联网，要求自带SSL加密功能，不要借助第三方设备，并且能够用于固定IP线路和动态IP线路2种方式，其中动态IP不依赖第三方插件，降低部署复杂度。</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接入终端硬件类型：支持PC、笔记本（含Windows操作系统和MAC笔记本）、云终端（含ARM和X86）、iPad、iPhone、Android移动终端等设备接入访问虚拟桌面。</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接入终端操作系统类型：支持Windows XP/7/10、iOS、MAC OS、Android、Linux、鸿蒙OS等客户端操作系统。</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虚拟机操作系统类型：支持Windows XP/7/10、Windows Server，支持三种以上的Linux虚拟桌面操作系统，其中要包含国产Linux操作系统</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在多应用办公场景下，可针对当下使用频率较高的软件做进程加速，管理员也可自定义需做进程加速应用，以保障应用使用体验。</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为了快速满足用户对桌面资源的诉求，所投产品需支持用户可自助申请虚拟机配置变更，由管理员审核，管理员可以选择审批通过、修改申请配置后申请通过、驳回操作，审核通过资源自动加到用户虚拟机上。并且用户申请虚拟机配置变更可以直接指定给部门资产管理员审批，既符合规定又提高效率。</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为了提高资源利用率，需支持设置用户闲置超过一定期限、超过一段时间无会话或一定时间没有对虚拟机操作后桌面自动注销，同时释放资源。</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所投产品需支持桌面还原模式下重启、专有模式下模板更新都不会修丢失打印机配置，无需重复配置打印机，提高用户工作效率和满意度。</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在PC利用旧场景中，为了方便使用，需要支持PC本地硬盘可直接映射到虚拟桌面上使用，考虑到数据安全，需支持可根据策略进行文件读写权限设置和文件导出审计。</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考虑到用户的数据存储及数据共享需求，所投方案需自带云盘存储方案，通过分配个人盘保护用户个人数据存储需求及隐私保护需求，而共用盘允许所有人访问，实现数据共享需求。</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降低使用难度，所投产品使用方式需与PC使用习惯一致，需支持显示虚拟机开关机画面、需支持分辨率自适应和更改分辨率、需支持与本地操作系统、AD域等实现单点登录。</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为了保障带宽不会被某个用户抢占，所投产品需支持设置终端流量，可设置外设、磁盘映射及剪切板的上下行带宽，以避免带宽被抢占。</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为了提高维护效率，所投产品需支持在无需安装其他软件的情况下，管理员可以远程协助维护虚拟机，即管理员在桌面云控制端中可以直接向需要协助的用户发起远程协助。</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支持自助快照恢复，当用户自己误操作导致云桌面卡慢、蓝屏、死机或者中病毒的时候，用户通过导航条按钮，可以自助进行系统盘快照还原操作，支持安卓瘦终端、PC客户端。</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为了满足日常维护需求，需支持虚拟机热迁移技术，可在桌面业务不中断的情况将虚拟机运行位置更改至其他虚拟机节点。</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需支持模板链接克隆及完整复制虚拟机。链接克隆可以提高上线维护效率，完整复制虚拟机可以让虚拟机保持独立，不受模版单点故障影响。克隆时可指定虚拟机数量、运行位置、存储位置、网口信息、磁盘大小，并需支持链接克隆虚拟机转为完整复制虚拟机，本项目要求100个虚拟机派生时间不超过5分钟。</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需支持平滑扩容，支持在原磁盘上扩容或添加新的同规格磁盘，扩大磁盘容量。</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所投产品需支持模板升级，可以统一安装所需要升级的软件/补丁，一键更新到指定的虚拟机，满足标准化场景的软件和补丁更新需求，并不影响非c盘目录下个人数据。</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支持开机状态下编辑虚拟机配置，重启生效。</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支持设置虚拟机开关机计划，一方面可避免并发开机IO风暴问题，另一方面可释放服务器资源。</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支持短信和邮件告警，在管理平台可以设置邮件服务器和短信服务器。</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支持管理员给在线用户推送消息和通知，管理员可以根据需求发给指定用户或者发给所有用户。</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支持管理记录所有用户的登录记录，包括登录账号、终端IP地址、MAC地址、终端型号、登录登出时间等，并支持信息导出。</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支持桌面云控制器的分权分域，可创建不同管理员角色，并支持对管理员角色的操作权限进行自定义编辑。</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所投产品需支持桌面还原模式下重启、专有模式下模板更新都不会修丢失打印机配置，无需重复配置打印机，提高用户工作效率和满意度。</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为了提高打印机配置及维护效率，所投产品需支持通过打印机配置上传、复用等功能，解决打印机快速部署的问题，减少部署工作量。并且在打印机出现问题可以一键替换打印机配置、或清空配置快速添加，提高打印机故障恢复效率。</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支持客户端准入检测，可根据用户接入的终端类型、操作系统版本、接入IP和时间、软件安装情况等条件设置接入访问策略，如客户端不满足安全检测要求则不允许接入。</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支持USB黑白名单技术，能够精准识别每一款不同类型的外设（包括高拍仪、摄像头、USB光驱、认证key等），并设置放通或者限制策略，提高管控粒度和安全性。</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为了满足用户安全性的需求，所投产品需满足，在不使用第三方产品的情况下，在虚拟化管理平台可配置基于ip、虚拟机、用户的ACL策略访问控制，以解决网络隔离配置的复杂性以及实现虚拟机直接的隔离安全。</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支持在管理组件中内置应用管控技术，实现全方位云桌面管控，在禁止名单中可以通过配置规则禁止指定应用或进程在云桌面中运行；在允许名单中通过配置规则只允许规则中的应用或进程在云桌面中运行。</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支持多种认证方式随需组合，包括本地账号密码、usb-key认证、短信认证、硬件特征绑定、动态口令、ldap认证、raduis认证、AD域认证、瘦终端客户机认证、802.1x等多种方式，满足不同级别用户的安全接入需求。</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支持U盘、PC本地桌面到虚拟桌面这2种情况的双向拷贝管控，可控制U盘的只读和读写权限，可控制本地桌面和虚拟桌面双向拷贝、单向拷贝。</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支持录屏审计，提供用户的所有桌面操作行为审计（录像），帮助管理人员查看内部操作人员是否符合操作规范性，以及既定的规则要求，适用于对敏感岗位进行责任认定和授权管理。</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支持个人盘加密技术，对云桌面个人数据进行加密保存，保障个人隐私安全。</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支持虚拟机快照技术，当数据误删或系统故障时可实现回滚，快照只保存增量数据，节省存储空间</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支持虚拟机回收站功能，避免误操作导致虚拟机数据丢失，当虚拟机删除后，会自动进入回收站，支持恢复到原位置，可设置回收站自动清理时长。</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桌面云控制器内置防火墙，包括设置过滤规则、NAT设置、访问监控、防DOS攻击。</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兼容国内外多款轻代理防病毒软件，防止虚拟机中毒。</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支持PC防截屏，在PC利旧场景下，支持设置PC客户端桌面不能窗口化，且无法截屏，若通过快捷键切换窗口，不显示受保护的桌面画面，以保护桌面数据安全。</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支持满屏水印，水印内容颜色和边框颜色反色调设置，防止背景颜色与水印颜色一致，覆盖水印，支持水印内容、透明度、水印字体大小、倾斜度调整。</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支持文件导出内容审计，开启文件安全导出后，虚拟机通过剪切板、PC设备和USB设备外发文件的操作将被禁止，用户可以使用虚拟机内部的文件导出工具实现文件外发，所有外发的文件内容都可以加密备份到数据中心，以备后续审计使用，可疑的导出行为会产生告警。</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支持临时权限，管理员为部分用户临时在某个时间段内放通usb和pc剪切板等权限，并在到期后自动回收该权限，保证数据安全。</w:t>
            </w:r>
          </w:p>
        </w:tc>
        <w:tc>
          <w:tcPr>
            <w:tcW w:w="60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3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4</w:t>
            </w:r>
          </w:p>
        </w:tc>
        <w:tc>
          <w:tcPr>
            <w:tcW w:w="218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云终端</w:t>
            </w:r>
          </w:p>
        </w:tc>
        <w:tc>
          <w:tcPr>
            <w:tcW w:w="6433" w:type="dxa"/>
            <w:shd w:val="clear" w:color="auto" w:fill="auto"/>
            <w:tcMar>
              <w:top w:w="12" w:type="dxa"/>
              <w:left w:w="12" w:type="dxa"/>
              <w:right w:w="12" w:type="dxa"/>
            </w:tcMar>
            <w:vAlign w:val="center"/>
          </w:tcPr>
          <w:p>
            <w:pPr>
              <w:snapToGrid w:val="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本项目要求配备300台云终端。</w:t>
            </w:r>
          </w:p>
          <w:p>
            <w:pPr>
              <w:snapToGrid w:val="0"/>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微软雅黑" w:hAnsi="微软雅黑"/>
                <w:color w:val="000000" w:themeColor="text1"/>
                <w:szCs w:val="21"/>
                <w:highlight w:val="none"/>
                <w14:textFill>
                  <w14:solidFill>
                    <w14:schemeClr w14:val="tx1"/>
                  </w14:solidFill>
                </w14:textFill>
              </w:rPr>
              <w:t xml:space="preserve">ARM架构，CPU≥双核1.6Ghz、内存≥1G、存储≥4G、USB≥4个、1个VGA或HDMI、1个以太网口、1对音频口。 </w:t>
            </w:r>
          </w:p>
          <w:p>
            <w:pPr>
              <w:snapToGrid w:val="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采用嵌入式操作系统，若使用windows操作系统作为云终端底层操作系统，则需提供正版授权。</w:t>
            </w:r>
          </w:p>
          <w:p>
            <w:pPr>
              <w:snapToGrid w:val="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为了方便管理，管理方式为虚拟机和瘦终端统一管理，降低管理难度。</w:t>
            </w:r>
          </w:p>
          <w:p>
            <w:pPr>
              <w:snapToGrid w:val="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在瘦终端的管理方面，需支持分组管理、批量移动、删除、关闭瘦终端，支持配置定时开关机计划及加电自启动功能，支持自定义开机画面、配置自动登录和保存密码。</w:t>
            </w:r>
          </w:p>
          <w:p>
            <w:pPr>
              <w:snapToGrid w:val="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为了简化管理，要求瘦终端支持远程唤醒，管理员可以使用桌面云控制器或者第三方教学软件，例如极域等，远程开机瘦终端。</w:t>
            </w:r>
          </w:p>
          <w:p>
            <w:pPr>
              <w:snapToGrid w:val="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在PC利旧场景，支持配置是否允许显示本地桌面。</w:t>
            </w:r>
          </w:p>
          <w:p>
            <w:pPr>
              <w:snapToGrid w:val="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考虑到接入安全，需支持修改云终端配置和登录信息时需要密码，可限制未接入过环境的瘦终端的接入或者接入桌面环境需要输入密码。</w:t>
            </w:r>
          </w:p>
          <w:p>
            <w:pPr>
              <w:snapToGrid w:val="0"/>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微软雅黑" w:hAnsi="微软雅黑"/>
                <w:color w:val="000000" w:themeColor="text1"/>
                <w:szCs w:val="21"/>
                <w:highlight w:val="none"/>
                <w14:textFill>
                  <w14:solidFill>
                    <w14:schemeClr w14:val="tx1"/>
                  </w14:solidFill>
                </w14:textFill>
              </w:rPr>
              <w:t>通过CCC产品质量管理认证、节能环保认证。</w:t>
            </w:r>
          </w:p>
        </w:tc>
        <w:tc>
          <w:tcPr>
            <w:tcW w:w="60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3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5</w:t>
            </w:r>
          </w:p>
        </w:tc>
        <w:tc>
          <w:tcPr>
            <w:tcW w:w="218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业务存储交换机</w:t>
            </w:r>
          </w:p>
        </w:tc>
        <w:tc>
          <w:tcPr>
            <w:tcW w:w="6433" w:type="dxa"/>
            <w:shd w:val="clear" w:color="auto" w:fill="auto"/>
            <w:tcMar>
              <w:top w:w="12" w:type="dxa"/>
              <w:left w:w="12" w:type="dxa"/>
              <w:right w:w="12" w:type="dxa"/>
            </w:tcMar>
            <w:vAlign w:val="center"/>
          </w:tcPr>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端口配置不低于：12个万兆光口，12个千兆电口</w:t>
            </w:r>
          </w:p>
          <w:p>
            <w:pPr>
              <w:snapToGrid w:val="0"/>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微软雅黑" w:hAnsi="微软雅黑"/>
                <w:color w:val="000000" w:themeColor="text1"/>
                <w:szCs w:val="21"/>
                <w:highlight w:val="none"/>
                <w14:textFill>
                  <w14:solidFill>
                    <w14:schemeClr w14:val="tx1"/>
                  </w14:solidFill>
                </w14:textFill>
              </w:rPr>
              <w:t>交换性能不低于：1.28Tbps；</w:t>
            </w:r>
          </w:p>
          <w:p>
            <w:pPr>
              <w:snapToGrid w:val="0"/>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微软雅黑" w:hAnsi="微软雅黑"/>
                <w:color w:val="000000" w:themeColor="text1"/>
                <w:szCs w:val="21"/>
                <w:highlight w:val="none"/>
                <w14:textFill>
                  <w14:solidFill>
                    <w14:schemeClr w14:val="tx1"/>
                  </w14:solidFill>
                </w14:textFill>
              </w:rPr>
              <w:t>包转发率不低于：480Mpps。</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提供3年硬件质保；</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为实现智能化管理，要求交换机可根据需要支持智能交换机和普通交换机两种工作模式，两种模式可在控制器平台灵活的进行切换。</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支持基于交换机单端口、聚合口的ACL策略；</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支持通过控制器平台查看交换机端口负载情况；</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流量整形：支持基于换机端口出方向和入方向进行报文转发速率设置；</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支持流量端口镜像及重定向功能；</w:t>
            </w:r>
          </w:p>
        </w:tc>
        <w:tc>
          <w:tcPr>
            <w:tcW w:w="60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3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6</w:t>
            </w:r>
          </w:p>
        </w:tc>
        <w:tc>
          <w:tcPr>
            <w:tcW w:w="218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显示器、键鼠套装</w:t>
            </w:r>
          </w:p>
        </w:tc>
        <w:tc>
          <w:tcPr>
            <w:tcW w:w="6433" w:type="dxa"/>
            <w:shd w:val="clear" w:color="auto" w:fill="auto"/>
            <w:tcMar>
              <w:top w:w="12" w:type="dxa"/>
              <w:left w:w="12" w:type="dxa"/>
              <w:right w:w="12" w:type="dxa"/>
            </w:tcMar>
            <w:vAlign w:val="center"/>
          </w:tcPr>
          <w:p>
            <w:pPr>
              <w:snapToGrid w:val="0"/>
              <w:ind w:left="567" w:hanging="567"/>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27寸液晶显示屏，有线键盘</w:t>
            </w:r>
            <w:r>
              <w:rPr>
                <w:rFonts w:hint="eastAsia" w:ascii="微软雅黑" w:hAnsi="微软雅黑"/>
                <w:color w:val="000000" w:themeColor="text1"/>
                <w:szCs w:val="21"/>
                <w:highlight w:val="none"/>
                <w14:textFill>
                  <w14:solidFill>
                    <w14:schemeClr w14:val="tx1"/>
                  </w14:solidFill>
                </w14:textFill>
              </w:rPr>
              <w:t>鼠标</w:t>
            </w:r>
            <w:r>
              <w:rPr>
                <w:rFonts w:ascii="微软雅黑" w:hAnsi="微软雅黑"/>
                <w:color w:val="000000" w:themeColor="text1"/>
                <w:szCs w:val="21"/>
                <w:highlight w:val="none"/>
                <w14:textFill>
                  <w14:solidFill>
                    <w14:schemeClr w14:val="tx1"/>
                  </w14:solidFill>
                </w14:textFill>
              </w:rPr>
              <w:t>套。</w:t>
            </w:r>
          </w:p>
        </w:tc>
        <w:tc>
          <w:tcPr>
            <w:tcW w:w="60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bl>
    <w:p>
      <w:pPr>
        <w:keepNext/>
        <w:keepLines/>
        <w:spacing w:after="200"/>
        <w:outlineLvl w:val="2"/>
        <w:rPr>
          <w:b/>
          <w:bCs/>
          <w:color w:val="000000" w:themeColor="text1"/>
          <w:sz w:val="32"/>
          <w:szCs w:val="32"/>
          <w:highlight w:val="none"/>
          <w14:textFill>
            <w14:solidFill>
              <w14:schemeClr w14:val="tx1"/>
            </w14:solidFill>
          </w14:textFill>
        </w:rPr>
      </w:pPr>
      <w:r>
        <w:rPr>
          <w:rFonts w:hint="eastAsia" w:ascii="Tahoma" w:hAnsi="黑体" w:eastAsia="黑体" w:cs="Tahoma"/>
          <w:b/>
          <w:color w:val="000000" w:themeColor="text1"/>
          <w:szCs w:val="21"/>
          <w:highlight w:val="none"/>
          <w14:textFill>
            <w14:solidFill>
              <w14:schemeClr w14:val="tx1"/>
            </w14:solidFill>
          </w14:textFill>
        </w:rPr>
        <w:t>2、无线网络覆盖</w:t>
      </w:r>
    </w:p>
    <w:tbl>
      <w:tblPr>
        <w:tblStyle w:val="20"/>
        <w:tblW w:w="9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7"/>
        <w:gridCol w:w="2150"/>
        <w:gridCol w:w="6467"/>
        <w:gridCol w:w="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57" w:type="dxa"/>
            <w:shd w:val="clear" w:color="auto" w:fill="auto"/>
            <w:tcMar>
              <w:top w:w="12" w:type="dxa"/>
              <w:left w:w="12" w:type="dxa"/>
              <w:right w:w="12" w:type="dxa"/>
            </w:tcMar>
            <w:vAlign w:val="center"/>
          </w:tcPr>
          <w:p>
            <w:pPr>
              <w:snapToGrid w:val="0"/>
              <w:ind w:left="425" w:hanging="425"/>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序号</w:t>
            </w:r>
          </w:p>
        </w:tc>
        <w:tc>
          <w:tcPr>
            <w:tcW w:w="2150" w:type="dxa"/>
            <w:shd w:val="clear" w:color="auto" w:fill="auto"/>
            <w:tcMar>
              <w:top w:w="12" w:type="dxa"/>
              <w:left w:w="12" w:type="dxa"/>
              <w:right w:w="12" w:type="dxa"/>
            </w:tcMar>
            <w:vAlign w:val="center"/>
          </w:tcPr>
          <w:p>
            <w:pPr>
              <w:snapToGrid w:val="0"/>
              <w:ind w:left="425" w:hanging="425"/>
              <w:jc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商品名称</w:t>
            </w:r>
          </w:p>
        </w:tc>
        <w:tc>
          <w:tcPr>
            <w:tcW w:w="646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ascii="微软雅黑" w:hAnsi="微软雅黑"/>
                <w:b/>
                <w:bCs/>
                <w:color w:val="000000" w:themeColor="text1"/>
                <w:szCs w:val="21"/>
                <w:highlight w:val="none"/>
                <w14:textFill>
                  <w14:solidFill>
                    <w14:schemeClr w14:val="tx1"/>
                  </w14:solidFill>
                </w14:textFill>
              </w:rPr>
              <w:t>技术规格</w:t>
            </w:r>
          </w:p>
        </w:tc>
        <w:tc>
          <w:tcPr>
            <w:tcW w:w="623" w:type="dxa"/>
            <w:shd w:val="clear" w:color="auto" w:fill="auto"/>
            <w:tcMar>
              <w:top w:w="12" w:type="dxa"/>
              <w:left w:w="12" w:type="dxa"/>
              <w:right w:w="12" w:type="dxa"/>
            </w:tcMar>
            <w:vAlign w:val="center"/>
          </w:tcPr>
          <w:p>
            <w:pPr>
              <w:snapToGrid w:val="0"/>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5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w:t>
            </w:r>
          </w:p>
        </w:tc>
        <w:tc>
          <w:tcPr>
            <w:tcW w:w="2150"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移动护理专用中心单元</w:t>
            </w:r>
          </w:p>
        </w:tc>
        <w:tc>
          <w:tcPr>
            <w:tcW w:w="6467" w:type="dxa"/>
            <w:shd w:val="clear" w:color="auto" w:fill="auto"/>
            <w:tcMar>
              <w:top w:w="12" w:type="dxa"/>
              <w:left w:w="12" w:type="dxa"/>
              <w:right w:w="12" w:type="dxa"/>
            </w:tcMar>
            <w:vAlign w:val="center"/>
          </w:tcPr>
          <w:p>
            <w:pPr>
              <w:snapToGrid w:val="0"/>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微软雅黑" w:hAnsi="微软雅黑"/>
                <w:color w:val="000000" w:themeColor="text1"/>
                <w:szCs w:val="21"/>
                <w:highlight w:val="none"/>
                <w14:textFill>
                  <w14:solidFill>
                    <w14:schemeClr w14:val="tx1"/>
                  </w14:solidFill>
                </w14:textFill>
              </w:rPr>
              <w:t>1、固定端口：千兆POE电口≥24个，10G SFP+万兆光口≥4个；</w:t>
            </w:r>
          </w:p>
          <w:p>
            <w:pPr>
              <w:snapToGrid w:val="0"/>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微软雅黑" w:hAnsi="微软雅黑"/>
                <w:color w:val="000000" w:themeColor="text1"/>
                <w:szCs w:val="21"/>
                <w:highlight w:val="none"/>
                <w14:textFill>
                  <w14:solidFill>
                    <w14:schemeClr w14:val="tx1"/>
                  </w14:solidFill>
                </w14:textFill>
              </w:rPr>
              <w:t>2、POE功能：支持IEEE 802.3af/at供电标准，单端口最大输出功率30W，整机最大输出功率≥370W</w:t>
            </w:r>
          </w:p>
          <w:p>
            <w:pPr>
              <w:snapToGrid w:val="0"/>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微软雅黑" w:hAnsi="微软雅黑"/>
                <w:color w:val="000000" w:themeColor="text1"/>
                <w:szCs w:val="21"/>
                <w:highlight w:val="none"/>
                <w14:textFill>
                  <w14:solidFill>
                    <w14:schemeClr w14:val="tx1"/>
                  </w14:solidFill>
                </w14:textFill>
              </w:rPr>
              <w:t>3、交换性能：交换性能≥336Gbps/3.36Tbps；包转发率≥108Mpps/126Mpps</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4、零配置上线方式：二层广播自动发现控制器平台、配置静态IP地址三层发现控制器平台、DHCP Option43方式发现控制器平台、DNS域名发现控制器平台；</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5.可视化管理：支持通过在控制器平台的Web页面对中心单元进行可视化管理查看，包括中心单元的端口状态及配置、vlan信息，提供功能截图证明；</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6.部署与运维：支持在控制器平台上自动生成网络拓扑图，显示网络拓扑和中心单元下联AP状态，可以显示为在线、离线、待激活、待修复等状态，方便网络运维，提供功能截图证明；</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7、为保证产品软件成熟度，设备生产厂商需具备CMMI</w:t>
            </w:r>
            <w:r>
              <w:rPr>
                <w:rFonts w:hint="eastAsia" w:ascii="微软雅黑" w:hAnsi="微软雅黑"/>
                <w:color w:val="000000" w:themeColor="text1"/>
                <w:szCs w:val="21"/>
                <w:highlight w:val="none"/>
                <w14:textFill>
                  <w14:solidFill>
                    <w14:schemeClr w14:val="tx1"/>
                  </w14:solidFill>
                </w14:textFill>
              </w:rPr>
              <w:t>4</w:t>
            </w:r>
            <w:r>
              <w:rPr>
                <w:rFonts w:ascii="微软雅黑" w:hAnsi="微软雅黑"/>
                <w:color w:val="000000" w:themeColor="text1"/>
                <w:szCs w:val="21"/>
                <w:highlight w:val="none"/>
                <w14:textFill>
                  <w14:solidFill>
                    <w14:schemeClr w14:val="tx1"/>
                  </w14:solidFill>
                </w14:textFill>
              </w:rPr>
              <w:t>级</w:t>
            </w:r>
            <w:r>
              <w:rPr>
                <w:rFonts w:hint="eastAsia" w:ascii="微软雅黑" w:hAnsi="微软雅黑"/>
                <w:color w:val="000000" w:themeColor="text1"/>
                <w:szCs w:val="21"/>
                <w:highlight w:val="none"/>
                <w14:textFill>
                  <w14:solidFill>
                    <w14:schemeClr w14:val="tx1"/>
                  </w14:solidFill>
                </w14:textFill>
              </w:rPr>
              <w:t>以上</w:t>
            </w:r>
            <w:r>
              <w:rPr>
                <w:rFonts w:ascii="微软雅黑" w:hAnsi="微软雅黑"/>
                <w:color w:val="000000" w:themeColor="text1"/>
                <w:szCs w:val="21"/>
                <w:highlight w:val="none"/>
                <w14:textFill>
                  <w14:solidFill>
                    <w14:schemeClr w14:val="tx1"/>
                  </w14:solidFill>
                </w14:textFill>
              </w:rPr>
              <w:t>证书，提供证书复印件证明；</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8、提供原厂三年质保。</w:t>
            </w:r>
          </w:p>
        </w:tc>
        <w:tc>
          <w:tcPr>
            <w:tcW w:w="623"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5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w:t>
            </w:r>
          </w:p>
        </w:tc>
        <w:tc>
          <w:tcPr>
            <w:tcW w:w="2150"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医院专用吸顶AP</w:t>
            </w:r>
          </w:p>
        </w:tc>
        <w:tc>
          <w:tcPr>
            <w:tcW w:w="6467" w:type="dxa"/>
            <w:shd w:val="clear" w:color="auto" w:fill="auto"/>
            <w:tcMar>
              <w:top w:w="12" w:type="dxa"/>
              <w:left w:w="12" w:type="dxa"/>
              <w:right w:w="12" w:type="dxa"/>
            </w:tcMar>
            <w:vAlign w:val="center"/>
          </w:tcPr>
          <w:p>
            <w:pPr>
              <w:snapToGrid w:val="0"/>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微软雅黑" w:hAnsi="微软雅黑"/>
                <w:color w:val="000000" w:themeColor="text1"/>
                <w:szCs w:val="21"/>
                <w:highlight w:val="none"/>
                <w14:textFill>
                  <w14:solidFill>
                    <w14:schemeClr w14:val="tx1"/>
                  </w14:solidFill>
                </w14:textFill>
              </w:rPr>
              <w:t>1、802.11ax 协议，兼容802.11a/b/g/n/ac协议，支持2.4G和5G同时工作，为保障无线网络体验，要求2.4G和5G射频最高支持802.11ax协议；</w:t>
            </w:r>
          </w:p>
          <w:p>
            <w:pPr>
              <w:snapToGrid w:val="0"/>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微软雅黑" w:hAnsi="微软雅黑"/>
                <w:color w:val="000000" w:themeColor="text1"/>
                <w:szCs w:val="21"/>
                <w:highlight w:val="none"/>
                <w14:textFill>
                  <w14:solidFill>
                    <w14:schemeClr w14:val="tx1"/>
                  </w14:solidFill>
                </w14:textFill>
              </w:rPr>
              <w:t>2、USB接口≥1个，可拓展物联网模块使用，可外接U盘；</w:t>
            </w:r>
          </w:p>
          <w:p>
            <w:pPr>
              <w:snapToGrid w:val="0"/>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微软雅黑" w:hAnsi="微软雅黑"/>
                <w:color w:val="000000" w:themeColor="text1"/>
                <w:szCs w:val="21"/>
                <w:highlight w:val="none"/>
                <w14:textFill>
                  <w14:solidFill>
                    <w14:schemeClr w14:val="tx1"/>
                  </w14:solidFill>
                </w14:textFill>
              </w:rPr>
              <w:t>3、整机采用三射频设计，2.4G最大传输速率≥500Mbps，5G最大传输速率≥2000Mbps，整机最大传输速率≥2.5Gbps；</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4、支持零配置，所有配置绑定在中心单元端口上，不受下联的设备影响，实现即插即用</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5、支持对无线网络提供的服务进行检测，包括网络接入、DHCP、网关、DNS、网络地址等阶段的时延和质量检测，并以时光轴的方式进行展示具体时间点的检测情况；</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6、支持对无线网络环境指标进行检测，包括信道总利用率、Wi-Fi信道利用率、非Wi-Fi信道利用率、同频射频单元数量等，以方便对网络质量进行排查；</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7、射频单元支持联动安全策略，通过安全策略可以实现对疑似感染病毒或已感染病毒的无线客户端进行识别、监控与隔离等多种方式的处理；</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8、支持无线带宽平均分配，让不同协商速率的终端占用相等的无线信道时间，防止低速终端拉低网络整体速；</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9、提供原厂三年质保。</w:t>
            </w:r>
          </w:p>
        </w:tc>
        <w:tc>
          <w:tcPr>
            <w:tcW w:w="623"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5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4</w:t>
            </w:r>
          </w:p>
        </w:tc>
        <w:tc>
          <w:tcPr>
            <w:tcW w:w="2150"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48口接入交换机</w:t>
            </w:r>
          </w:p>
        </w:tc>
        <w:tc>
          <w:tcPr>
            <w:tcW w:w="6467" w:type="dxa"/>
            <w:shd w:val="clear" w:color="auto" w:fill="auto"/>
            <w:tcMar>
              <w:top w:w="12" w:type="dxa"/>
              <w:left w:w="12" w:type="dxa"/>
              <w:right w:w="12" w:type="dxa"/>
            </w:tcMar>
            <w:vAlign w:val="center"/>
          </w:tcPr>
          <w:p>
            <w:pPr>
              <w:snapToGrid w:val="0"/>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微软雅黑" w:hAnsi="微软雅黑"/>
                <w:color w:val="000000" w:themeColor="text1"/>
                <w:szCs w:val="21"/>
                <w:highlight w:val="none"/>
                <w14:textFill>
                  <w14:solidFill>
                    <w14:schemeClr w14:val="tx1"/>
                  </w14:solidFill>
                </w14:textFill>
              </w:rPr>
              <w:t>1、端口状态：千兆电口≥48个，千兆 SFP光口≥4个；Console口≥1个，Manage口≥1个；</w:t>
            </w:r>
          </w:p>
          <w:p>
            <w:pPr>
              <w:snapToGrid w:val="0"/>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微软雅黑" w:hAnsi="微软雅黑"/>
                <w:color w:val="000000" w:themeColor="text1"/>
                <w:szCs w:val="21"/>
                <w:highlight w:val="none"/>
                <w14:textFill>
                  <w14:solidFill>
                    <w14:schemeClr w14:val="tx1"/>
                  </w14:solidFill>
                </w14:textFill>
              </w:rPr>
              <w:t>2、性能：交换容量≥336Gbps/3.36Tbps；转发率≥96Mpps/126Mpps；；</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3、支持4K个VLAN，支持MAC地址≥16K；</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4、虚拟化：支持M-LAG技术，跨设备链路聚合（非堆叠技术实现），要求配对的设备有独立的控制平面；</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5、工作模式：支持胖瘦一体化，支持智能交换机和普通交换机两种工作模式，可以根据不同的组网需要，随时在控制器平台灵活的进行切换；</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6、配置模式：支持零配置上线，支持二层广播自动发现控制器平台；支持配置静态IP地址三层发现控制器平台；支持DHCP Option43方式发现控制器平台；支持DNS域名发现控制器平台；</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7、安全特性：支持终端类型库，基于指纹自动识别PC、路由器、摄像头设备等；</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8、兼容性：需支持联动第三方安全设备或平台，通过联动实现从系统及接入层交换机对风险终端MAC地址进行封堵；</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9、提供原厂三年质保。</w:t>
            </w:r>
          </w:p>
        </w:tc>
        <w:tc>
          <w:tcPr>
            <w:tcW w:w="623"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5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5</w:t>
            </w:r>
          </w:p>
        </w:tc>
        <w:tc>
          <w:tcPr>
            <w:tcW w:w="2150"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楼宇汇聚交换机</w:t>
            </w:r>
          </w:p>
        </w:tc>
        <w:tc>
          <w:tcPr>
            <w:tcW w:w="6467" w:type="dxa"/>
            <w:shd w:val="clear" w:color="auto" w:fill="auto"/>
            <w:tcMar>
              <w:top w:w="12" w:type="dxa"/>
              <w:left w:w="12" w:type="dxa"/>
              <w:right w:w="12" w:type="dxa"/>
            </w:tcMar>
            <w:vAlign w:val="center"/>
          </w:tcPr>
          <w:p>
            <w:pPr>
              <w:snapToGrid w:val="0"/>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微软雅黑" w:hAnsi="微软雅黑"/>
                <w:color w:val="000000" w:themeColor="text1"/>
                <w:szCs w:val="21"/>
                <w:highlight w:val="none"/>
                <w14:textFill>
                  <w14:solidFill>
                    <w14:schemeClr w14:val="tx1"/>
                  </w14:solidFill>
                </w14:textFill>
              </w:rPr>
              <w:t xml:space="preserve">1、千兆光口≥24个，千兆combo电口≥4个，万兆SFP+光口≥4个，Console口≥1个、Manage口≥1个；                                                             </w:t>
            </w:r>
          </w:p>
          <w:p>
            <w:pPr>
              <w:snapToGrid w:val="0"/>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微软雅黑" w:hAnsi="微软雅黑"/>
                <w:color w:val="000000" w:themeColor="text1"/>
                <w:szCs w:val="21"/>
                <w:highlight w:val="none"/>
                <w14:textFill>
                  <w14:solidFill>
                    <w14:schemeClr w14:val="tx1"/>
                  </w14:solidFill>
                </w14:textFill>
              </w:rPr>
              <w:t>2、交换容量≥432Gbps/4.32Tbps，包转发≥156Mpps/168Mpps；</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 xml:space="preserve">3、支持M-LAG技术，跨设备链路聚合（非堆叠技术实现），要求配对的设备有独立的控制平面，                                       </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 xml:space="preserve">4、支持零配置上线，支持二层广播自动发现交换机；支持配置静态IP地址三层发现控交换机；支持通过控制器平台一键替换“按钮”即可完成故障设备替换； </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 xml:space="preserve">5、支持在交换机上创建东西向安全策略，实现全网安全风险拦截；                                                                 </w:t>
            </w:r>
          </w:p>
          <w:p>
            <w:pPr>
              <w:snapToGrid w:val="0"/>
              <w:rPr>
                <w:rFonts w:ascii="微软雅黑" w:hAnsi="微软雅黑"/>
                <w:b/>
                <w:bCs/>
                <w:color w:val="000000" w:themeColor="text1"/>
                <w:szCs w:val="21"/>
                <w:highlight w:val="none"/>
                <w14:textFill>
                  <w14:solidFill>
                    <w14:schemeClr w14:val="tx1"/>
                  </w14:solidFill>
                </w14:textFill>
              </w:rPr>
            </w:pPr>
            <w:r>
              <w:rPr>
                <w:rFonts w:ascii="微软雅黑" w:hAnsi="微软雅黑"/>
                <w:b/>
                <w:bCs/>
                <w:color w:val="000000" w:themeColor="text1"/>
                <w:szCs w:val="21"/>
                <w:highlight w:val="none"/>
                <w14:textFill>
                  <w14:solidFill>
                    <w14:schemeClr w14:val="tx1"/>
                  </w14:solidFill>
                </w14:textFill>
              </w:rPr>
              <w:t>6、为满足网络安全建设需求，交换机需满足《信息安全技术 交换机安全技术要求 GA/T 684-2007》,符合安全交换机标准</w:t>
            </w:r>
            <w:r>
              <w:rPr>
                <w:rFonts w:hint="eastAsia" w:ascii="微软雅黑" w:hAnsi="微软雅黑"/>
                <w:b/>
                <w:bCs/>
                <w:color w:val="000000" w:themeColor="text1"/>
                <w:szCs w:val="21"/>
                <w:highlight w:val="none"/>
                <w14:textFill>
                  <w14:solidFill>
                    <w14:schemeClr w14:val="tx1"/>
                  </w14:solidFill>
                </w14:textFill>
              </w:rPr>
              <w:t>；</w:t>
            </w:r>
            <w:r>
              <w:rPr>
                <w:rFonts w:ascii="微软雅黑" w:hAnsi="微软雅黑"/>
                <w:b/>
                <w:bCs/>
                <w:color w:val="000000" w:themeColor="text1"/>
                <w:szCs w:val="21"/>
                <w:highlight w:val="none"/>
                <w14:textFill>
                  <w14:solidFill>
                    <w14:schemeClr w14:val="tx1"/>
                  </w14:solidFill>
                </w14:textFill>
              </w:rPr>
              <w:t xml:space="preserve">                                                                                            </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 xml:space="preserve">7、为保障产品后期服务质量，设备生产制造商需具备GB/T27922-2011售后服务认证证书，且达到“五星级”。                                                     </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8.</w:t>
            </w:r>
            <w:r>
              <w:rPr>
                <w:rFonts w:hint="eastAsia" w:ascii="微软雅黑" w:hAnsi="微软雅黑"/>
                <w:color w:val="000000" w:themeColor="text1"/>
                <w:szCs w:val="21"/>
                <w:highlight w:val="none"/>
                <w14:textFill>
                  <w14:solidFill>
                    <w14:schemeClr w14:val="tx1"/>
                  </w14:solidFill>
                </w14:textFill>
              </w:rPr>
              <w:t>提供</w:t>
            </w:r>
            <w:r>
              <w:rPr>
                <w:rFonts w:ascii="微软雅黑" w:hAnsi="微软雅黑"/>
                <w:color w:val="000000" w:themeColor="text1"/>
                <w:szCs w:val="21"/>
                <w:highlight w:val="none"/>
                <w14:textFill>
                  <w14:solidFill>
                    <w14:schemeClr w14:val="tx1"/>
                  </w14:solidFill>
                </w14:textFill>
              </w:rPr>
              <w:t>三年原厂质保。</w:t>
            </w:r>
          </w:p>
        </w:tc>
        <w:tc>
          <w:tcPr>
            <w:tcW w:w="623"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5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6</w:t>
            </w:r>
          </w:p>
        </w:tc>
        <w:tc>
          <w:tcPr>
            <w:tcW w:w="2150"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全院核心交换机</w:t>
            </w:r>
          </w:p>
        </w:tc>
        <w:tc>
          <w:tcPr>
            <w:tcW w:w="6467" w:type="dxa"/>
            <w:shd w:val="clear" w:color="auto" w:fill="auto"/>
            <w:tcMar>
              <w:top w:w="12" w:type="dxa"/>
              <w:left w:w="12" w:type="dxa"/>
              <w:right w:w="12" w:type="dxa"/>
            </w:tcMar>
            <w:vAlign w:val="center"/>
          </w:tcPr>
          <w:p>
            <w:pPr>
              <w:snapToGrid w:val="0"/>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微软雅黑" w:hAnsi="微软雅黑"/>
                <w:color w:val="000000" w:themeColor="text1"/>
                <w:szCs w:val="21"/>
                <w:highlight w:val="none"/>
                <w14:textFill>
                  <w14:solidFill>
                    <w14:schemeClr w14:val="tx1"/>
                  </w14:solidFill>
                </w14:textFill>
              </w:rPr>
              <w:t>1、交换容量≥133.6Tbps/502.5Tbps、包转发率≥18210Mpps/155550Mpps；</w:t>
            </w:r>
          </w:p>
          <w:p>
            <w:pPr>
              <w:snapToGrid w:val="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2、支持横向N:1虚拟化（N≥2）；支持静态路由、RIP v1/v2、OSPF、BGP、策略路由4、支持IPv6静态路由、RIPng、OSPFv3、BGP4+  ；</w:t>
            </w:r>
          </w:p>
          <w:p>
            <w:pPr>
              <w:snapToGrid w:val="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3、支持EAPS环网保护技术、VRRP冗余技术 ；</w:t>
            </w:r>
          </w:p>
          <w:p>
            <w:pPr>
              <w:snapToGrid w:val="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4、电源槽位≥3，支持电源M+N备份；</w:t>
            </w:r>
          </w:p>
          <w:p>
            <w:pPr>
              <w:snapToGrid w:val="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5、支持横向N:1虚拟化（N≥2），可以将多台物理设备虚拟化为逻辑上的一台设备，支持业务卡堆叠，可灵活配置堆叠方式；支持将虚拟集群系统的距离延伸至80KM，灵活方便，打破了传统集群技术的地域限制性；</w:t>
            </w:r>
          </w:p>
          <w:p>
            <w:pPr>
              <w:snapToGrid w:val="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6、支持ICMPv6、DHCPv6、ACLv6、IPv6 Telnet,支持IPv6邻居发现、支持MLD 、MLD Snooping、支持IPv6静态路由、RIPng、OSPFv3、BGP4+；</w:t>
            </w:r>
          </w:p>
          <w:p>
            <w:pPr>
              <w:snapToGrid w:val="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7、以下为单套最低配置：主控板2块，交流电源模块2块，满配风扇框；万兆光口16个，千兆光口24个，千兆电口24个；实配IPv6授权；双链路VLAN。核心交换负载均衡。</w:t>
            </w:r>
          </w:p>
          <w:p>
            <w:pPr>
              <w:snapToGrid w:val="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8、提供原厂三年质保。</w:t>
            </w:r>
          </w:p>
        </w:tc>
        <w:tc>
          <w:tcPr>
            <w:tcW w:w="623"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bl>
    <w:p>
      <w:pPr>
        <w:keepNext/>
        <w:keepLines/>
        <w:spacing w:after="200"/>
        <w:outlineLvl w:val="2"/>
        <w:rPr>
          <w:b/>
          <w:bCs/>
          <w:color w:val="000000" w:themeColor="text1"/>
          <w:sz w:val="32"/>
          <w:szCs w:val="32"/>
          <w:highlight w:val="none"/>
          <w14:textFill>
            <w14:solidFill>
              <w14:schemeClr w14:val="tx1"/>
            </w14:solidFill>
          </w14:textFill>
        </w:rPr>
      </w:pPr>
      <w:r>
        <w:rPr>
          <w:rFonts w:hint="eastAsia" w:ascii="Tahoma" w:hAnsi="黑体" w:eastAsia="黑体" w:cs="Tahoma"/>
          <w:b/>
          <w:color w:val="000000" w:themeColor="text1"/>
          <w:szCs w:val="21"/>
          <w:highlight w:val="none"/>
          <w14:textFill>
            <w14:solidFill>
              <w14:schemeClr w14:val="tx1"/>
            </w14:solidFill>
          </w14:textFill>
        </w:rPr>
        <w:t>3、无线网络控制器</w:t>
      </w:r>
    </w:p>
    <w:tbl>
      <w:tblPr>
        <w:tblStyle w:val="20"/>
        <w:tblW w:w="9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7"/>
        <w:gridCol w:w="2134"/>
        <w:gridCol w:w="6450"/>
        <w:gridCol w:w="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57" w:type="dxa"/>
            <w:shd w:val="clear" w:color="auto" w:fill="auto"/>
            <w:tcMar>
              <w:top w:w="12" w:type="dxa"/>
              <w:left w:w="12" w:type="dxa"/>
              <w:right w:w="12" w:type="dxa"/>
            </w:tcMar>
            <w:vAlign w:val="center"/>
          </w:tcPr>
          <w:p>
            <w:pPr>
              <w:snapToGrid w:val="0"/>
              <w:ind w:left="425" w:hanging="425"/>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序号</w:t>
            </w:r>
          </w:p>
        </w:tc>
        <w:tc>
          <w:tcPr>
            <w:tcW w:w="2134" w:type="dxa"/>
            <w:shd w:val="clear" w:color="auto" w:fill="auto"/>
            <w:tcMar>
              <w:top w:w="12" w:type="dxa"/>
              <w:left w:w="12" w:type="dxa"/>
              <w:right w:w="12" w:type="dxa"/>
            </w:tcMar>
            <w:vAlign w:val="center"/>
          </w:tcPr>
          <w:p>
            <w:pPr>
              <w:snapToGrid w:val="0"/>
              <w:ind w:left="425" w:hanging="425"/>
              <w:jc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商品名称</w:t>
            </w:r>
          </w:p>
        </w:tc>
        <w:tc>
          <w:tcPr>
            <w:tcW w:w="6450" w:type="dxa"/>
            <w:shd w:val="clear" w:color="auto" w:fill="auto"/>
            <w:tcMar>
              <w:top w:w="12" w:type="dxa"/>
              <w:left w:w="12" w:type="dxa"/>
              <w:right w:w="12" w:type="dxa"/>
            </w:tcMar>
            <w:vAlign w:val="center"/>
          </w:tcPr>
          <w:p>
            <w:pPr>
              <w:snapToGrid w:val="0"/>
              <w:jc w:val="center"/>
              <w:rPr>
                <w:rFonts w:ascii="宋体" w:hAnsi="宋体" w:cs="宋体"/>
                <w:color w:val="000000" w:themeColor="text1"/>
                <w:kern w:val="0"/>
                <w:sz w:val="22"/>
                <w:szCs w:val="22"/>
                <w:highlight w:val="none"/>
                <w:lang w:bidi="ar"/>
                <w14:textFill>
                  <w14:solidFill>
                    <w14:schemeClr w14:val="tx1"/>
                  </w14:solidFill>
                </w14:textFill>
              </w:rPr>
            </w:pPr>
            <w:r>
              <w:rPr>
                <w:rFonts w:ascii="微软雅黑" w:hAnsi="微软雅黑"/>
                <w:b/>
                <w:bCs/>
                <w:color w:val="000000" w:themeColor="text1"/>
                <w:szCs w:val="21"/>
                <w:highlight w:val="none"/>
                <w14:textFill>
                  <w14:solidFill>
                    <w14:schemeClr w14:val="tx1"/>
                  </w14:solidFill>
                </w14:textFill>
              </w:rPr>
              <w:t>技术规格</w:t>
            </w:r>
          </w:p>
        </w:tc>
        <w:tc>
          <w:tcPr>
            <w:tcW w:w="656" w:type="dxa"/>
            <w:shd w:val="clear" w:color="auto" w:fill="auto"/>
            <w:tcMar>
              <w:top w:w="12" w:type="dxa"/>
              <w:left w:w="12" w:type="dxa"/>
              <w:right w:w="12" w:type="dxa"/>
            </w:tcMar>
            <w:vAlign w:val="center"/>
          </w:tcPr>
          <w:p>
            <w:pPr>
              <w:snapToGrid w:val="0"/>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5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w:t>
            </w:r>
          </w:p>
        </w:tc>
        <w:tc>
          <w:tcPr>
            <w:tcW w:w="213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医院网络管理平台</w:t>
            </w:r>
          </w:p>
        </w:tc>
        <w:tc>
          <w:tcPr>
            <w:tcW w:w="6450" w:type="dxa"/>
            <w:shd w:val="clear" w:color="auto" w:fill="auto"/>
            <w:tcMar>
              <w:top w:w="12" w:type="dxa"/>
              <w:left w:w="12" w:type="dxa"/>
              <w:right w:w="12" w:type="dxa"/>
            </w:tcMar>
            <w:vAlign w:val="center"/>
          </w:tcPr>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1.端口状态：千兆电口数≥6个，千兆SFP光口数≥4个；拓展插槽≥1个；并需提供1个RJ45 Console管理口，最大支持管理AP≥1500；</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2.设备授权数：此次配备AP数量授权≥1100，交换机管理授权≥400；</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3.系统支持自动发现交换机和AP，并实现拓扑自动生成，用户可以通过浏览拓扑视图了解交换机和AP的层次结构和运行状态；</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4.支持基于地址池进行用户终端IP地址画像管理，并可查看相关信息，如发生冲突的IP地址、获取IP地址失败的终端、地址池利用率、IP分配次数分布等；</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5.支持以下企业级身份认证功能：802.1x认证、Portal认证、二维码审核认证、MAC地址认证等认证方式；</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6.支持基于用户/用户组进行授权，可实现用户通过有线、无线接入具有相同的认证账号和上网权限；</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7.为提高系统兼容性对接，需支持联动第三方安全设备或平台，通过联动实现从系统及接入层交换机对风险终端MAC地址进行封堵；</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8.支持通过自定义交换机设备及端口告警，实现交换机离线、MAC地址表利用率超阀值、单网口防环、接口状态变化、接口协商速率下降、接口泛洪报文超阀值等多种告警事件；并支持手机APP（可自定义推送内容）、短信等告警方式；</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9.所投设备需具备公安部颁发的访问控制（网络-增强级）产品销售许可证</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10.为提高网络稳定性和兼容性，网络管理平台与本次所有无线AP为同一品牌。</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11. 提供原厂三年质保。</w:t>
            </w:r>
          </w:p>
        </w:tc>
        <w:tc>
          <w:tcPr>
            <w:tcW w:w="656"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bl>
    <w:p>
      <w:pPr>
        <w:rPr>
          <w:rFonts w:ascii="Tahoma" w:hAnsi="黑体" w:eastAsia="黑体" w:cs="Tahoma"/>
          <w:b/>
          <w:color w:val="000000" w:themeColor="text1"/>
          <w:szCs w:val="21"/>
          <w:highlight w:val="none"/>
          <w14:textFill>
            <w14:solidFill>
              <w14:schemeClr w14:val="tx1"/>
            </w14:solidFill>
          </w14:textFill>
        </w:rPr>
      </w:pPr>
      <w:r>
        <w:rPr>
          <w:rFonts w:hint="eastAsia" w:ascii="Tahoma" w:hAnsi="黑体" w:eastAsia="黑体" w:cs="Tahoma"/>
          <w:b/>
          <w:color w:val="000000" w:themeColor="text1"/>
          <w:szCs w:val="21"/>
          <w:highlight w:val="none"/>
          <w14:textFill>
            <w14:solidFill>
              <w14:schemeClr w14:val="tx1"/>
            </w14:solidFill>
          </w14:textFill>
        </w:rPr>
        <w:t>4、超融合</w:t>
      </w:r>
    </w:p>
    <w:p>
      <w:pPr>
        <w:spacing w:line="340" w:lineRule="exact"/>
        <w:rPr>
          <w:rFonts w:ascii="Tahoma" w:hAnsi="黑体" w:eastAsia="黑体" w:cs="Tahoma"/>
          <w:b/>
          <w:color w:val="000000" w:themeColor="text1"/>
          <w:szCs w:val="21"/>
          <w:highlight w:val="none"/>
          <w14:textFill>
            <w14:solidFill>
              <w14:schemeClr w14:val="tx1"/>
            </w14:solidFill>
          </w14:textFill>
        </w:rPr>
      </w:pPr>
      <w:r>
        <w:rPr>
          <w:rFonts w:hint="eastAsia" w:ascii="Tahoma" w:hAnsi="黑体" w:eastAsia="黑体" w:cs="Tahoma"/>
          <w:b/>
          <w:color w:val="000000" w:themeColor="text1"/>
          <w:szCs w:val="21"/>
          <w:highlight w:val="none"/>
          <w14:textFill>
            <w14:solidFill>
              <w14:schemeClr w14:val="tx1"/>
            </w14:solidFill>
          </w14:textFill>
        </w:rPr>
        <w:t>4.1、业务承载超融合</w:t>
      </w:r>
    </w:p>
    <w:tbl>
      <w:tblPr>
        <w:tblStyle w:val="20"/>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1"/>
        <w:gridCol w:w="2116"/>
        <w:gridCol w:w="6400"/>
        <w:gridCol w:w="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1" w:type="dxa"/>
            <w:shd w:val="clear" w:color="auto" w:fill="auto"/>
            <w:tcMar>
              <w:top w:w="12" w:type="dxa"/>
              <w:left w:w="12" w:type="dxa"/>
              <w:right w:w="12" w:type="dxa"/>
            </w:tcMar>
            <w:vAlign w:val="center"/>
          </w:tcPr>
          <w:p>
            <w:pPr>
              <w:snapToGrid w:val="0"/>
              <w:ind w:left="425" w:hanging="425"/>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序号</w:t>
            </w:r>
          </w:p>
        </w:tc>
        <w:tc>
          <w:tcPr>
            <w:tcW w:w="2116" w:type="dxa"/>
            <w:shd w:val="clear" w:color="auto" w:fill="auto"/>
            <w:tcMar>
              <w:top w:w="12" w:type="dxa"/>
              <w:left w:w="12" w:type="dxa"/>
              <w:right w:w="12" w:type="dxa"/>
            </w:tcMar>
            <w:vAlign w:val="center"/>
          </w:tcPr>
          <w:p>
            <w:pPr>
              <w:snapToGrid w:val="0"/>
              <w:ind w:left="425" w:hanging="425"/>
              <w:jc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商品名称</w:t>
            </w:r>
          </w:p>
        </w:tc>
        <w:tc>
          <w:tcPr>
            <w:tcW w:w="6400"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技术规格</w:t>
            </w:r>
          </w:p>
        </w:tc>
        <w:tc>
          <w:tcPr>
            <w:tcW w:w="681" w:type="dxa"/>
            <w:shd w:val="clear" w:color="auto" w:fill="auto"/>
            <w:tcMar>
              <w:top w:w="12" w:type="dxa"/>
              <w:left w:w="12" w:type="dxa"/>
              <w:right w:w="12" w:type="dxa"/>
            </w:tcMar>
            <w:vAlign w:val="center"/>
          </w:tcPr>
          <w:p>
            <w:pPr>
              <w:snapToGrid w:val="0"/>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w:t>
            </w:r>
          </w:p>
        </w:tc>
        <w:tc>
          <w:tcPr>
            <w:tcW w:w="2116"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 xml:space="preserve"> 超融合资源池平台服务器</w:t>
            </w:r>
          </w:p>
        </w:tc>
        <w:tc>
          <w:tcPr>
            <w:tcW w:w="6400" w:type="dxa"/>
            <w:shd w:val="clear" w:color="auto" w:fill="auto"/>
            <w:tcMar>
              <w:top w:w="12" w:type="dxa"/>
              <w:left w:w="12" w:type="dxa"/>
              <w:right w:w="12" w:type="dxa"/>
            </w:tcMar>
            <w:vAlign w:val="center"/>
          </w:tcPr>
          <w:p>
            <w:pP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处理器：不低于2颗16核CPU，主频不低于2.9 GHz；</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内存：不低于256GB DDR4 2666 内存，≥24条扩展插槽；</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硬盘：2块后置热插拔2.5寸系统盘位，12个3.5寸热插拔盘位扩展，可定制支持PCIe SSD硬盘；本次单台配置≥2*240G SSD系统盘，≥2*1.92T SSD缓存盘，≥6*6T SATA数据盘（7200转）</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RAID功能：RAID卡(LSI-3008-8I）,支持0,1,10,等RAID级别；</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接口: 千兆以太网电口≥4个,万兆光口≥4个，VGA口1个，USB2.0接口≥2个， USB3.0接口≥2个，PCI-E插槽总数≥5个；</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电源：电源输出功率800W电源，支持交直流兼容(AC 100-240V /DC 240V）；</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冷却系统：支持1+1冗余热插拔系统风扇；</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故障定位：标配BMC诊断模块，可实现对CPU/内存/硬盘/网卡/风扇/温度/电源等关键部件的故障诊断</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为保障售后服务的及时性，所投设备的稳定性、可靠性，必须提供设备生产厂家售后服务承诺保证文件以及投标授权书。</w:t>
            </w:r>
          </w:p>
        </w:tc>
        <w:tc>
          <w:tcPr>
            <w:tcW w:w="6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w:t>
            </w:r>
          </w:p>
        </w:tc>
        <w:tc>
          <w:tcPr>
            <w:tcW w:w="2116" w:type="dxa"/>
            <w:shd w:val="clear" w:color="auto" w:fill="auto"/>
            <w:tcMar>
              <w:top w:w="12" w:type="dxa"/>
              <w:left w:w="12" w:type="dxa"/>
              <w:right w:w="12" w:type="dxa"/>
            </w:tcMar>
            <w:vAlign w:val="center"/>
          </w:tcPr>
          <w:p>
            <w:pP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超融合虚拟化软件</w:t>
            </w:r>
          </w:p>
        </w:tc>
        <w:tc>
          <w:tcPr>
            <w:tcW w:w="6400" w:type="dxa"/>
            <w:shd w:val="clear" w:color="auto" w:fill="auto"/>
            <w:tcMar>
              <w:top w:w="12" w:type="dxa"/>
              <w:left w:w="12" w:type="dxa"/>
              <w:right w:w="12" w:type="dxa"/>
            </w:tcMar>
            <w:vAlign w:val="center"/>
          </w:tcPr>
          <w:p>
            <w:pP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虚拟化平台至少满足18颗物理CPU的虚拟化授权，包含服务器虚拟化、存储虚拟化，数据持续保护系统，为方便统一管理和后期扩容方便，授权可通过虚拟化平台统一管理和授权。</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所有虚拟化平台软件，提供不低于3年的软件升级服务；</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提供云管平台，能够同时管理新建超融合集群和原有超融合业务集群，实现虚拟化业务的统一管理，便于管理人员运维。</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 xml:space="preserve">支持大屏展示便于客户直观查看虚拟化资源池的使用情况和健康状态，包括集群资源情况，各主机资源使用情况，存储资源池的IO次数、IO速率、IO时延、存储命中率、主机命中率，以及集群故障与告警，支持Top 5主机CPU和内存利用率、Top 5虚拟机CPU和内存利用率信息大屏展示等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虚拟化的管理平台、可以支持扩展同一品牌的存储虚拟化、网络功能虚拟化、虚拟应用防火墙、虚拟应用交付、SSL VPN软件、数据库审计软件等功能组件的，并支持统一管理，以保障平台的扩展性和兼容性；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计算虚拟化要求：</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虚拟化软件非OEM或贴牌产品，禁止借用第三方软件的整合，以保证功能的可靠性和安全性</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虚拟机可以实现物理机的全部功能，如具有自己的资源（内存、CPU、网卡、存储），可以指定单独的MAC地址等。</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支持虚拟机的HA功能。当物理服务器发生故障时，该物理服务器上的所有虚拟机，可以在集群之内的其它物理服务器上重新启动，保障业务连续性。</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虚拟机之间可以做到隔离保护，其中每一个虚拟机发生故障都不会影响同一个物理机上的其它虚拟机运行，以保障系统平台的安全性</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支持配置动态资源扩展功能，系统支持自动评估虚拟机的性能，当虚拟机性能不足时自动为虚拟机添加CPU和内存资源，确保业务持续高效运行。</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提供虚拟机回收站功能，防止因虚拟机误删除导致数据丢失，超期的文件将被自动删除。</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为保证云平台具备良好的虚拟安全拓展能力，虚拟化的管理平台，可以支持扩展虚拟安全组件的拓展能力，支持虚拟应用防火墙、虚拟应用负载均衡、虚拟SSLVPN、虚拟数据库审计、虚拟上网行为管理等功能组件的，并支持统一管理，以保障平台安全能力的扩展性和兼容性</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持无代理跨物理主机的虚拟机USB映射，单位部分系统需要使用USB KEY时，无需在虚拟机上安装客户端插件，且虚拟机迁移到其它物理主机后，仍能正常使用迁移前所在物理主机上的USB资源，对于业务的自适应能力、使用便捷性更佳；</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支持平台中的集群资源环境一键检测，对硬件健康、平台底层的虚拟化的运行状态和配置，进行多个维度进行检查，提供快速定位问题功能，确保系统最佳状态；</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支持设置告警类型、告警内容，针对告警信息平台可自动给出告警处理建议，同时支持将告警信息以短信和邮件方式发送给管理员；</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网络虚拟化要求：</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通过License激活的方式，实现网络虚拟化功能（分布式虚拟交换机、虚拟路由器、虚拟应用防火墙、虚拟应用负载均衡），支持Vxlan网络和现有的Vlan网络对接，实现虚拟化平台与原有网络的兼容性；</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在管理平台上可以通过拖拽虚拟设备图标和连线就能完成网络拓扑的构建，快速的实现整个业务逻辑，并且可以连接、开启、关闭虚拟网络设备，支持对整个平台虚拟设备实现统一的管理，提升运维管理的工作效率；</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在管理平台上可以通过拖拽虚拟设备图标和连线就能完成网络拓扑的构建，快速的实现整个业务逻辑，并且可以连接、开启、关闭虚拟网络设备，支持对整个平台虚拟设备实现统一的管理，提升运维管理的工作效率；</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支持ACL功能，通过ACL来控制虚拟机之间的网络访问能力，进而保障部署在虚拟机上的业务资源的安全性；支持根据报文的源和目的IP地址信息、源和目的IP地址及源和目的端口制定匹配规则；</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存储虚拟化要求：</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支持存储虚拟化功能，无需安装额外的软件，在一个统一的管理平台上使用License激活的方式即可开通使用，存储虚拟化与计算虚拟化为紧耦合架构，减少底层开销，提升性能。</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采用分布式的软件定义存储架构，在通用x86服务器部署，把所有服务器硬盘组织成一个虚拟存储资源池，提供分布式存储服务，无需独立的元数据及控制器节点。通过新增物理服务器可以实现存储容量和性能的横向扩展（Scale-Out架构），扩容过程保证业务零中断。</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支持条带化功能，实现分布式raid0的性能提升效果，并且支持以虚拟磁盘为单位设置不同的条带数。</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支持数据重建智能保护业务性能，可以对数据重建速度进行智能限速，避免数据重建过程中IO性能占用导致对业务的性能造成影响。</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支持数据重建优先级调整，在故障数据重新恢复时，可由用户指定优先重建的虚拟机，保证重要的业务优先恢复数据的安全性。</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支持存储分卷功能，支持以磁盘为单位，根据业务需求划分为不同的存储卷，如高性能卷，大容量卷，全闪存卷等，可使对存储性能和容量要求不同的业务运行在不同的存储卷上。</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为了便于部署oracle等关键业务系统，虚拟存储可支持Oracle RAC，支持共享盘，及共享块设备，支持向导式安装，降低部署复杂度。</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提供数据持续保护模块，为保证数据持续保护与超融合平台的统一管理和兼容性（如果所投超融合平台没有以上数据持续保护模块可使用第三软件来完成如下功能，</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要求数据持续保护系统满足以下技术要求：</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1、支持在CDP数据正式恢复之前，可快速查看灾备的文件目录信息，确定恢复时间点后，再正式进行CDP数据恢复。</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2、持续数据保护CDP软件模块，能够动态的开启和关闭，比如能够提供对正在运行的虚拟机，在不需要重启或中断业务的情况下，就可以开启CDP。</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3、CDP提供与虚拟机故障隔离能力，支持CDP模块故障时，虚拟机仍然能够正常实现数据读写。</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4、本项目提供不少于20个虚拟机的持续数据保护CDP授权。</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超融合软件厂商软件开发必须通过CMMI5级认证，要求提供证书；</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云平台厂商需连续两年入围Gartner《超融合基础设施软件魔力象限》</w:t>
            </w:r>
          </w:p>
        </w:tc>
        <w:tc>
          <w:tcPr>
            <w:tcW w:w="6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3</w:t>
            </w:r>
          </w:p>
        </w:tc>
        <w:tc>
          <w:tcPr>
            <w:tcW w:w="2116" w:type="dxa"/>
            <w:shd w:val="clear" w:color="auto" w:fill="auto"/>
            <w:tcMar>
              <w:top w:w="12" w:type="dxa"/>
              <w:left w:w="12" w:type="dxa"/>
              <w:right w:w="12" w:type="dxa"/>
            </w:tcMar>
            <w:vAlign w:val="center"/>
          </w:tcPr>
          <w:p>
            <w:pP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数据库管理平台</w:t>
            </w:r>
          </w:p>
        </w:tc>
        <w:tc>
          <w:tcPr>
            <w:tcW w:w="6400" w:type="dxa"/>
            <w:shd w:val="clear" w:color="auto" w:fill="auto"/>
            <w:tcMar>
              <w:top w:w="12" w:type="dxa"/>
              <w:left w:w="12" w:type="dxa"/>
              <w:right w:w="12" w:type="dxa"/>
            </w:tcMar>
            <w:vAlign w:val="center"/>
          </w:tcPr>
          <w:p>
            <w:pP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部署模式：支持在超融合系统中部署，不需要额外硬件设备，提供不少于6个数据库实例授权</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MySQL：支持开源数据库MySQL的自动化部署，实现开箱即用的RDS能力</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支持MySQL 5.7 版本，单机架构和一主一从架构</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支持数据库的参数配置变更，提供默认的最佳实践配置模板（需提供产品功能截图）</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提供数据库资源的生命周期管理，包括启用、停用、重启的基本操作</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支持数据库的账号管理，可以创建、编辑数据库的账号，并进行库、表、列细粒度的权限控制</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支持开启维护模式，暂停故障自愈，对数据库进行特定维护管理</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支持对数据库进行资源回收，在开发测试场景可以有效回收资源，作为管理的手段，实现资源使用率的最大化</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支持对数据库实例进行CPU、内存、磁盘的弹性热扩容，适应业务发展诉求</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支持MySQL数据库负载组件的创建、统一管理</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支持自定义编辑MySQL访问IP和端口</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支持DMC数据库控制台，提供可视化方式登录MySQL数据库，执行SQL操作</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支持MySQL超融合场景（经典网络）、私有云/托管云场景（VPC网络）</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支持MySQL主从模式，实现集群化的高可用模式，避免单点故障</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主从架构下，数据库集群的运行位置支持互斥，默认分布在不同的物理主机上，以避免单主机故障导致的数据库集群故障</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主从架构下，主数据库故障可以自动进行主从切换和故障自愈，实现自动化运维能力</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单机和主从故障情况下，提供数据库故障自愈能力，将故障节点拉起；主从架构还可自动修复故障节点并加回集群中实现节点冗余度不变</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支持对数据库进行备份保护，包括自动备份和手动备份</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提供统一的界面对全部数据库和备份文件进行管理，降低运维难度</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支持自定义自动备份策略，可指定时段按天、周设定备份时间，支持按双周、月设定全量备份频率</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主从集群备份优先对从库进行备份以降低对性能影响</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支持从备份文件恢复某个时间点的数据，支持备份文件直接恢复为数据库。恢复完成验证可用性验证后可以替换原有业务作为生产业务</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支持做备份演练，通过备份文件拉起新数据库，验证备份文件的有效性</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支持数据库的拓扑监控，实时可视化查看数据库集群各个节点的健康情况</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支持对数据库实例进行监控，并根据监控展示趋势图，提供30+监控指标</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支持查看数据库的历史监控数据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支持提供数据库监控大屏功能</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支持手动巡检与自动巡检，并生成巡检报告，巡检报告可提供健康评分</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Oracle：支持Oracle 11g的Oracle和RAC架构</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支持Oracle单机和RAC的自动化部署，实现开箱即用的RDS能力</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提供数据库资源的生命周期管理，包括启用、停用、重启的基本操作</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支持Oracle数据库的账号管理，为账号配置角色权限，支持添加细粒度对象权限控制（包括表、视图、存储过程）</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支持开启维护模式，暂停故障自愈，对数据库进行特定维护管理</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支持对数据库进行资源回收，在开发测试场景可以有效回收资源，作为管理的手段，实现资源使用率的最大化</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支持对数据库实例进行CPU、内存、磁盘数量的弹性扩容，适应业务发展诉求</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支持自定义编辑Oracle访问IP，包括RAC的SCAN IP，单机的VIP、Public IP</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支持DMC数据库控制台，提供可视化方式登录Oracle数据库，执行SQL操作</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支持Oracle超融合场景（经典网络）、私有云/托管云场景（VPC网络）</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支持Oracle RAC模式，实现数据库集群化的高可用模式</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RAC的节点分布在不同的主机上，避免单点故障</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单机和RAC集群故障情况下，提供数据库故障自愈能力，将故障节点拉起；RAC可自动修复故障节点并加回集群中实现节点冗余度不变</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DMP经典网络模式下，支持针对Oracle单机、RAC向导式自动化创建DG备库来搭建数据库主备容灾系统</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DG支持配置最大性能模式、最大保护模式、最大可用模式，主备库同架构（单机-&gt;单机，RAC-&gt;RAC），支持跨资源池创建DG备库</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支持页面一键进行主备切换，适用于容灾演练场景；支持一键式故障转移，应对真实的故障场景</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支持对主备库的网络链路、数据同步状态进行监控，方便进行统一管理</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支持对Oracle 11g数据库纳管做备份、监控、巡检的管理（包括VMware、物理机等场景的Oracle数据库）</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支持Oracle CDP功能，备份粒度做到分钟级，可以任意一秒恢复，提高数据保护能力</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支持Oracle数据库备份细化到15分钟的RPO粒度，提高数据保护能力</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支持Oracle单机的快照能力，可创建快照，并基于快照进行克隆和CDP恢复</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支持网络存储NFS作为存储介质，扩大备份存储的选择性和适用性</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支持对数据库进行备份保护，包括自动备份和手动备份</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提供统一的界面对全部数据库和备份文件进行管理，降低运维难度</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支持自定义自动备份策略，可指定时段按天、周设定备份时间，支持按双周、月设定全量备份频率</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支持从备份文件恢复某个时间点的数据，支持备份文件直接恢复为数据库。恢复完成验证可用性验证后可以替换原有业务作为生产业务</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支持做备份演练，通过备份文件拉起新数据库，验证备份文件的有效性</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支持数据库的拓扑监控，实时可视化查看数据库集群各个节点的健康情况</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支持对数据库实例进行监控，并根据监控展示趋势图，提供10+监控指标</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支持查看数据库的历史监控数据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支持提供数据库监控大屏功能</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支持数据库一键诊断，可覆盖资源、会话、锁、性能分析，方便一键掌握数据库基本状况，发现异常问题</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支持数据库会话分析，可以针对会话进行统计分析，包括终止会话，对会话SQL进行分析等</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支持针对进行数据库锁分析，可以直观查看锁阻塞情况，并进行会话处置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支持通过DB time进行数据库性能分析，包含对SQL执行计划查询，可以进行慢SQL优化</w:t>
            </w:r>
          </w:p>
        </w:tc>
        <w:tc>
          <w:tcPr>
            <w:tcW w:w="6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4</w:t>
            </w:r>
          </w:p>
        </w:tc>
        <w:tc>
          <w:tcPr>
            <w:tcW w:w="2116"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业务存储交换机</w:t>
            </w:r>
          </w:p>
        </w:tc>
        <w:tc>
          <w:tcPr>
            <w:tcW w:w="6400" w:type="dxa"/>
            <w:shd w:val="clear" w:color="auto" w:fill="auto"/>
            <w:tcMar>
              <w:top w:w="12" w:type="dxa"/>
              <w:left w:w="12" w:type="dxa"/>
              <w:right w:w="12" w:type="dxa"/>
            </w:tcMar>
            <w:vAlign w:val="center"/>
          </w:tcPr>
          <w:p>
            <w:pP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端口配置不低于：24个万兆光口，2个40GEQSFP+</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交换性能不低于：2.56Tbps；</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包转发率不低于：720Mpps。</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提供3年硬件质保；</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为实现智能化管理，要求交换机可根据需要支持智能交换机和普通交换机两种工作模式，两种模式可在控制器平台灵活的进行切换。</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支持基于交换机单端口、聚合口的ACL策略；</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流量整形：支持基于换机端口出方向和入方向进行报文转发速率设置；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支持流量端口镜像及重定向功能；</w:t>
            </w:r>
          </w:p>
        </w:tc>
        <w:tc>
          <w:tcPr>
            <w:tcW w:w="6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5</w:t>
            </w:r>
          </w:p>
        </w:tc>
        <w:tc>
          <w:tcPr>
            <w:tcW w:w="2116"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前置机</w:t>
            </w:r>
          </w:p>
        </w:tc>
        <w:tc>
          <w:tcPr>
            <w:tcW w:w="6400" w:type="dxa"/>
            <w:shd w:val="clear" w:color="auto" w:fill="auto"/>
            <w:tcMar>
              <w:top w:w="12" w:type="dxa"/>
              <w:left w:w="12" w:type="dxa"/>
              <w:right w:w="12" w:type="dxa"/>
            </w:tcMar>
            <w:vAlign w:val="center"/>
          </w:tcPr>
          <w:p>
            <w:pP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信息交换系统和影像交换系统前置服务器，配置 10核20线程   16G内存 2*2T企业级 H330 495W,全国联保。; 可选内置光驱(通过光驱扩展笼，24 SFF 时不可选）; 2U 高度;3 年7*24,4 小时响应提供原厂商3 年7*24 质保与服务，提供原厂现场安装服务，质保期内含所有硬件配件免费维修、更换。</w:t>
            </w:r>
          </w:p>
        </w:tc>
        <w:tc>
          <w:tcPr>
            <w:tcW w:w="6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bl>
    <w:p>
      <w:pPr>
        <w:spacing w:line="340" w:lineRule="exact"/>
        <w:rPr>
          <w:rFonts w:ascii="Tahoma" w:hAnsi="黑体" w:eastAsia="黑体" w:cs="Tahoma"/>
          <w:b/>
          <w:color w:val="000000" w:themeColor="text1"/>
          <w:szCs w:val="21"/>
          <w:highlight w:val="none"/>
          <w14:textFill>
            <w14:solidFill>
              <w14:schemeClr w14:val="tx1"/>
            </w14:solidFill>
          </w14:textFill>
        </w:rPr>
      </w:pPr>
      <w:r>
        <w:rPr>
          <w:rFonts w:hint="eastAsia" w:ascii="Tahoma" w:hAnsi="黑体" w:eastAsia="黑体" w:cs="Tahoma"/>
          <w:b/>
          <w:color w:val="000000" w:themeColor="text1"/>
          <w:szCs w:val="21"/>
          <w:highlight w:val="none"/>
          <w14:textFill>
            <w14:solidFill>
              <w14:schemeClr w14:val="tx1"/>
            </w14:solidFill>
          </w14:textFill>
        </w:rPr>
        <w:t>4.2、等保三级</w:t>
      </w:r>
    </w:p>
    <w:tbl>
      <w:tblPr>
        <w:tblStyle w:val="20"/>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1"/>
        <w:gridCol w:w="2083"/>
        <w:gridCol w:w="6450"/>
        <w:gridCol w:w="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1" w:type="dxa"/>
            <w:shd w:val="clear" w:color="auto" w:fill="auto"/>
            <w:tcMar>
              <w:top w:w="12" w:type="dxa"/>
              <w:left w:w="12" w:type="dxa"/>
              <w:right w:w="12" w:type="dxa"/>
            </w:tcMar>
            <w:vAlign w:val="center"/>
          </w:tcPr>
          <w:p>
            <w:pPr>
              <w:snapToGrid w:val="0"/>
              <w:ind w:left="425" w:hanging="425"/>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序号</w:t>
            </w:r>
          </w:p>
        </w:tc>
        <w:tc>
          <w:tcPr>
            <w:tcW w:w="2083" w:type="dxa"/>
            <w:shd w:val="clear" w:color="auto" w:fill="auto"/>
            <w:tcMar>
              <w:top w:w="12" w:type="dxa"/>
              <w:left w:w="12" w:type="dxa"/>
              <w:right w:w="12" w:type="dxa"/>
            </w:tcMar>
            <w:vAlign w:val="center"/>
          </w:tcPr>
          <w:p>
            <w:pPr>
              <w:snapToGrid w:val="0"/>
              <w:ind w:left="425" w:hanging="425"/>
              <w:jc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商品名称</w:t>
            </w:r>
          </w:p>
        </w:tc>
        <w:tc>
          <w:tcPr>
            <w:tcW w:w="6450"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技术规格</w:t>
            </w:r>
          </w:p>
        </w:tc>
        <w:tc>
          <w:tcPr>
            <w:tcW w:w="664" w:type="dxa"/>
            <w:shd w:val="clear" w:color="auto" w:fill="auto"/>
            <w:tcMar>
              <w:top w:w="12" w:type="dxa"/>
              <w:left w:w="12" w:type="dxa"/>
              <w:right w:w="12" w:type="dxa"/>
            </w:tcMar>
            <w:vAlign w:val="center"/>
          </w:tcPr>
          <w:p>
            <w:pPr>
              <w:snapToGrid w:val="0"/>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w:t>
            </w:r>
          </w:p>
        </w:tc>
        <w:tc>
          <w:tcPr>
            <w:tcW w:w="2083" w:type="dxa"/>
            <w:shd w:val="clear" w:color="auto" w:fill="auto"/>
            <w:tcMar>
              <w:top w:w="12" w:type="dxa"/>
              <w:left w:w="12" w:type="dxa"/>
              <w:right w:w="12" w:type="dxa"/>
            </w:tcMar>
            <w:vAlign w:val="center"/>
          </w:tcPr>
          <w:p>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互联网出口区下一代防火墙</w:t>
            </w:r>
          </w:p>
        </w:tc>
        <w:tc>
          <w:tcPr>
            <w:tcW w:w="6450"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bCs/>
                <w:color w:val="000000" w:themeColor="text1"/>
                <w:kern w:val="0"/>
                <w:szCs w:val="21"/>
                <w:highlight w:val="none"/>
                <w:lang w:bidi="ar"/>
                <w14:textFill>
                  <w14:solidFill>
                    <w14:schemeClr w14:val="tx1"/>
                  </w14:solidFill>
                </w14:textFill>
              </w:rPr>
              <w:t>配置要求</w:t>
            </w:r>
            <w:r>
              <w:rPr>
                <w:rFonts w:hint="eastAsia" w:ascii="宋体" w:hAnsi="宋体" w:cs="宋体"/>
                <w:color w:val="000000" w:themeColor="text1"/>
                <w:kern w:val="0"/>
                <w:szCs w:val="21"/>
                <w:highlight w:val="none"/>
                <w:lang w:bidi="ar"/>
                <w14:textFill>
                  <w14:solidFill>
                    <w14:schemeClr w14:val="tx1"/>
                  </w14:solidFill>
                </w14:textFill>
              </w:rPr>
              <w:t xml:space="preserve"> ：三层吞吐量≥4Gbps，并发连接数≥100W，新建连接数≥2W；硬件指标：1U；单电源；不少于6个千兆电口+2个千兆光口1，1个串口（RJ45），2个USB 2.0；</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部署方式 ：</w:t>
            </w:r>
            <w:r>
              <w:rPr>
                <w:rFonts w:hint="eastAsia" w:ascii="宋体" w:hAnsi="宋体" w:cs="宋体"/>
                <w:color w:val="000000" w:themeColor="text1"/>
                <w:kern w:val="0"/>
                <w:szCs w:val="21"/>
                <w:highlight w:val="none"/>
                <w:lang w:bidi="ar"/>
                <w14:textFill>
                  <w14:solidFill>
                    <w14:schemeClr w14:val="tx1"/>
                  </w14:solidFill>
                </w14:textFill>
              </w:rPr>
              <w:t>产品支持路由模式、透明模式、虚拟网线模式、旁路镜像模式等多种部署方式。</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路由支持：</w:t>
            </w:r>
            <w:r>
              <w:rPr>
                <w:rFonts w:hint="eastAsia" w:ascii="宋体" w:hAnsi="宋体" w:cs="宋体"/>
                <w:color w:val="000000" w:themeColor="text1"/>
                <w:kern w:val="0"/>
                <w:szCs w:val="21"/>
                <w:highlight w:val="none"/>
                <w:lang w:bidi="ar"/>
                <w14:textFill>
                  <w14:solidFill>
                    <w14:schemeClr w14:val="tx1"/>
                  </w14:solidFill>
                </w14:textFill>
              </w:rPr>
              <w:t xml:space="preserve"> 产品支持静态路由、策略路由和多播路由协议，并支持BGP、RIP、OSPF等动态路由协议。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产品支持策略路由负载，支持基于服务、ISP地址、应用、地域等维度进行智能选路，保证关键业务流量通过优质链路转发，支持加权流量、带宽比例、线路优先等负载均衡调度算法。</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基础功能：</w:t>
            </w:r>
            <w:r>
              <w:rPr>
                <w:rFonts w:hint="eastAsia" w:ascii="宋体" w:hAnsi="宋体" w:cs="宋体"/>
                <w:color w:val="000000" w:themeColor="text1"/>
                <w:kern w:val="0"/>
                <w:szCs w:val="21"/>
                <w:highlight w:val="none"/>
                <w:lang w:bidi="ar"/>
                <w14:textFill>
                  <w14:solidFill>
                    <w14:schemeClr w14:val="tx1"/>
                  </w14:solidFill>
                </w14:textFill>
              </w:rPr>
              <w:t xml:space="preserve"> 产品支持支持源地址转换SNAT，目的地址转换DNAT和双向NAT等功能， 支持一对一、一对多、多对一等形式的NAT。</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产品支持NAT64和NAT46 地址转换方式，产品支持IPv4/IPv6双栈工作模式，以适应IPv6发展趋势。</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产品支持对不少于9000种应用的识别和控制，并且支持应用划分类型进行检测与控制。</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DoS/DDoS攻击防护：</w:t>
            </w:r>
            <w:r>
              <w:rPr>
                <w:rFonts w:hint="eastAsia" w:ascii="宋体" w:hAnsi="宋体" w:cs="宋体"/>
                <w:color w:val="000000" w:themeColor="text1"/>
                <w:kern w:val="0"/>
                <w:szCs w:val="21"/>
                <w:highlight w:val="none"/>
                <w:lang w:bidi="ar"/>
                <w14:textFill>
                  <w14:solidFill>
                    <w14:schemeClr w14:val="tx1"/>
                  </w14:solidFill>
                </w14:textFill>
              </w:rPr>
              <w:t xml:space="preserve"> 产品支持对ICMP、UDP、DNS、SYN等协议进行DDOS防护。</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产品支持异常包攻击防御，异常包攻击类型至少包括Ping of Death、Teardrop、Smurf、Land、WinNuke等攻击类型。</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入侵防护：</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产品预定义漏洞特征数量超过7800种，支持在产品漏洞特征库中以漏洞名称、漏洞ID、漏洞CVE标识、危险等级和漏洞描述等条件快速查询特定漏洞特征信息，支持用户自定义IPS规则。</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产品支持基于IMAP、FTP、RDP、VNC、SSH、TELNET、ORACLE、MYSQL、MSSQL等应用协议进行深度检测与防护。</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产品支持僵尸主机检测功能，产品预定义特征库超过110万种，可识别主机的异常外联行为。</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支持基于勒索病毒的攻击链提供勒索病毒防护配置向导，包含防护对象、勒索病毒常用端口、漏洞、弱口令的自定义定时识别及自动生成包含WEB应用防护、漏洞防护、内容安全、僵尸网络检测、慢速爆破防御等勒索病毒防护策略；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账号安全：</w:t>
            </w:r>
            <w:r>
              <w:rPr>
                <w:rFonts w:hint="eastAsia" w:ascii="宋体" w:hAnsi="宋体" w:cs="宋体"/>
                <w:color w:val="000000" w:themeColor="text1"/>
                <w:kern w:val="0"/>
                <w:szCs w:val="21"/>
                <w:highlight w:val="none"/>
                <w:lang w:bidi="ar"/>
                <w14:textFill>
                  <w14:solidFill>
                    <w14:schemeClr w14:val="tx1"/>
                  </w14:solidFill>
                </w14:textFill>
              </w:rPr>
              <w:t xml:space="preserve"> 产品支持用户账号全生命周期保护功能，包括用户账号多余入口检测、弱口令检测、暴力破解检测、失陷账号检测，防止因账号被暴力破解导致的非法提权情况发生。</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产品支持文件目录防护功能，通过对用户账号进行认证，对网站内容的修改行为进行合法性控制。</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联动响应：</w:t>
            </w:r>
            <w:r>
              <w:rPr>
                <w:rFonts w:hint="eastAsia" w:ascii="宋体" w:hAnsi="宋体" w:cs="宋体"/>
                <w:color w:val="000000" w:themeColor="text1"/>
                <w:kern w:val="0"/>
                <w:szCs w:val="21"/>
                <w:highlight w:val="none"/>
                <w:lang w:bidi="ar"/>
                <w14:textFill>
                  <w14:solidFill>
                    <w14:schemeClr w14:val="tx1"/>
                  </w14:solidFill>
                </w14:textFill>
              </w:rPr>
              <w:t>产品支持与终端安全软件联动管理，在防火墙产品完成终端安全策略设置和内网终端安全软件的统一管理。</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产品支持主动诱捕功能，通过伪装业务诱捕内外网的攻击行为，并联合云蜜罐获取黑客指纹信息，并自动封锁高危IP。</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安全策略管理</w:t>
            </w:r>
            <w:r>
              <w:rPr>
                <w:rFonts w:hint="eastAsia" w:ascii="宋体" w:hAnsi="宋体" w:cs="宋体"/>
                <w:color w:val="000000" w:themeColor="text1"/>
                <w:kern w:val="0"/>
                <w:szCs w:val="21"/>
                <w:highlight w:val="none"/>
                <w:lang w:bidi="ar"/>
                <w14:textFill>
                  <w14:solidFill>
                    <w14:schemeClr w14:val="tx1"/>
                  </w14:solidFill>
                </w14:textFill>
              </w:rPr>
              <w:t xml:space="preserve"> ：产品支持安全策略有效性分析功能，分析内容至少包括策略冗余分析、策略匹配分析、风险端口风险等内容，提供安全策略优化建议。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产品支持策略生命周期管理功能，支持对安全策略修改的时间、原因、变更类型进行统一管理，便于策略的运维与管理。</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厂商资质：</w:t>
            </w:r>
            <w:r>
              <w:rPr>
                <w:rFonts w:hint="eastAsia" w:ascii="宋体" w:hAnsi="宋体" w:cs="宋体"/>
                <w:color w:val="000000" w:themeColor="text1"/>
                <w:kern w:val="0"/>
                <w:szCs w:val="21"/>
                <w:highlight w:val="none"/>
                <w:lang w:bidi="ar"/>
                <w14:textFill>
                  <w14:solidFill>
                    <w14:schemeClr w14:val="tx1"/>
                  </w14:solidFill>
                </w14:textFill>
              </w:rPr>
              <w:t xml:space="preserve"> 厂商软件研发实力需通过CMMI L5认证</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所投产品的生产厂商应是国家互联网应急响应中心网络安全应急服务国家级支撑单位。</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产品资质：</w:t>
            </w:r>
            <w:r>
              <w:rPr>
                <w:rFonts w:hint="eastAsia" w:ascii="宋体" w:hAnsi="宋体" w:cs="宋体"/>
                <w:color w:val="000000" w:themeColor="text1"/>
                <w:kern w:val="0"/>
                <w:szCs w:val="21"/>
                <w:highlight w:val="none"/>
                <w:lang w:bidi="ar"/>
                <w14:textFill>
                  <w14:solidFill>
                    <w14:schemeClr w14:val="tx1"/>
                  </w14:solidFill>
                </w14:textFill>
              </w:rPr>
              <w:t xml:space="preserve"> 具备公安部颁发的销售许可证</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产品具有IPv6 Ready Phase-2认证证书</w:t>
            </w:r>
          </w:p>
        </w:tc>
        <w:tc>
          <w:tcPr>
            <w:tcW w:w="66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w:t>
            </w:r>
          </w:p>
        </w:tc>
        <w:tc>
          <w:tcPr>
            <w:tcW w:w="2083" w:type="dxa"/>
            <w:shd w:val="clear" w:color="auto" w:fill="auto"/>
            <w:tcMar>
              <w:top w:w="12" w:type="dxa"/>
              <w:left w:w="12" w:type="dxa"/>
              <w:right w:w="12" w:type="dxa"/>
            </w:tcMar>
            <w:vAlign w:val="center"/>
          </w:tcPr>
          <w:p>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互联网出口上网行为管理</w:t>
            </w:r>
          </w:p>
        </w:tc>
        <w:tc>
          <w:tcPr>
            <w:tcW w:w="6450"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bCs/>
                <w:color w:val="000000" w:themeColor="text1"/>
                <w:kern w:val="0"/>
                <w:szCs w:val="21"/>
                <w:highlight w:val="none"/>
                <w:lang w:bidi="ar"/>
                <w14:textFill>
                  <w14:solidFill>
                    <w14:schemeClr w14:val="tx1"/>
                  </w14:solidFill>
                </w14:textFill>
              </w:rPr>
              <w:t>性能配置</w:t>
            </w:r>
            <w:r>
              <w:rPr>
                <w:rFonts w:hint="eastAsia" w:ascii="宋体" w:hAnsi="宋体" w:cs="宋体"/>
                <w:color w:val="000000" w:themeColor="text1"/>
                <w:kern w:val="0"/>
                <w:szCs w:val="21"/>
                <w:highlight w:val="none"/>
                <w:lang w:bidi="ar"/>
                <w14:textFill>
                  <w14:solidFill>
                    <w14:schemeClr w14:val="tx1"/>
                  </w14:solidFill>
                </w14:textFill>
              </w:rPr>
              <w:t xml:space="preserve"> ：吞吐量≥3Gb；并发会话数≥120,000；支持用户数≥1000人；设备接口≥6个千兆电口,2个千兆光口；</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部署方式：</w:t>
            </w:r>
            <w:r>
              <w:rPr>
                <w:rFonts w:hint="eastAsia" w:ascii="宋体" w:hAnsi="宋体" w:cs="宋体"/>
                <w:color w:val="000000" w:themeColor="text1"/>
                <w:kern w:val="0"/>
                <w:szCs w:val="21"/>
                <w:highlight w:val="none"/>
                <w:lang w:bidi="ar"/>
                <w14:textFill>
                  <w14:solidFill>
                    <w14:schemeClr w14:val="tx1"/>
                  </w14:solidFill>
                </w14:textFill>
              </w:rPr>
              <w:t xml:space="preserve"> 必须支持两台及两台以上设备同时做主机的部署模式；旁路支持主主、主备模式部署。</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支持部署在IPv6环境中，设备接口及部署模式均支持ipv6配置；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所有核心功能（上网认证、应用控制、流量控制、内容审计、日志报表等）都支持IPv6；</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 xml:space="preserve">网关管理： </w:t>
            </w:r>
            <w:r>
              <w:rPr>
                <w:rFonts w:hint="eastAsia" w:ascii="宋体" w:hAnsi="宋体" w:cs="宋体"/>
                <w:color w:val="000000" w:themeColor="text1"/>
                <w:kern w:val="0"/>
                <w:szCs w:val="21"/>
                <w:highlight w:val="none"/>
                <w:lang w:bidi="ar"/>
                <w14:textFill>
                  <w14:solidFill>
                    <w14:schemeClr w14:val="tx1"/>
                  </w14:solidFill>
                </w14:textFill>
              </w:rPr>
              <w:t>必须具有IPSec VPN远程加密访问和连接的模块，并能提供IPSec VPN客户端授权远程接入访问。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提供图形化排障工具，便于管理员排查策略错误等故障;</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Web访问质量检测：</w:t>
            </w:r>
            <w:r>
              <w:rPr>
                <w:rFonts w:hint="eastAsia" w:ascii="宋体" w:hAnsi="宋体" w:cs="宋体"/>
                <w:color w:val="000000" w:themeColor="text1"/>
                <w:kern w:val="0"/>
                <w:szCs w:val="21"/>
                <w:highlight w:val="none"/>
                <w:lang w:bidi="ar"/>
                <w14:textFill>
                  <w14:solidFill>
                    <w14:schemeClr w14:val="tx1"/>
                  </w14:solidFill>
                </w14:textFill>
              </w:rPr>
              <w:t xml:space="preserve"> 针对内网用户的web访问质量进行检测，对整体网络提供清晰的整体网络质量评级；支持对单用户进行定向web访问质量检测</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支持PPS异常、丢包异常、ARP异常、内网DOS攻击等异常情况实时监测，显示每日异常事件个数及情况；</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支持针对用户认证的故障进行分析，给出错误详情以及处置建议；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用户认证：</w:t>
            </w:r>
            <w:r>
              <w:rPr>
                <w:rFonts w:hint="eastAsia" w:ascii="宋体" w:hAnsi="宋体" w:cs="宋体"/>
                <w:color w:val="000000" w:themeColor="text1"/>
                <w:kern w:val="0"/>
                <w:szCs w:val="21"/>
                <w:highlight w:val="none"/>
                <w:lang w:bidi="ar"/>
                <w14:textFill>
                  <w14:solidFill>
                    <w14:schemeClr w14:val="tx1"/>
                  </w14:solidFill>
                </w14:textFill>
              </w:rPr>
              <w:t xml:space="preserve"> 支持多种认证方式，包括本地用户名密码、第三方服务器等</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支持在终端用户的账号存在微信绑定关系的情况下，PC端的终端用户可以直接使用微信扫码二维码完成密码认证过程，移动端的终端用户，可以直接打开微信扫码完成密码认证过程;</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支持绑定IP认证、绑定MAC认证，及IP/MAC绑定认证等，支持通过SNMP服务器跨三层获取MAC地址；</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支持通过OAuth认证协议对接，支持阿里钉钉，口袋助理，企业微信第三方账号授权认证，支持二维码认证，担保人扫描访客的二维码后对其网络访问授权；</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支持802.1x认证，支持对接本地和AD域用户源，支持在旁路模式部署下准入生效；</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设备能够发现私接路由（或者共享软件等）共享网络的行为：支持自定义配置终端数量和冻结时间，和添加信任列表。</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应用管理 支持根据标签选择应用，标签分类至少包含安全风险、高带宽消耗、发送电子邮件、降低工作效率、外发文件泄密风险、主流论坛和微博发帖等。</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设备内置应用识别规则库，支持超过10000条应用规则数，支持超过6500种以上的应用，1000种以上移动应用，并保持每两个星期更新一次，保证应用识别的准确率。</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针对SSL加密的网站、论坛发帖、web邮箱的内容进行关键字过滤和内容审计。审计SSL网页时，支持加密证书自动分发功能，用户点击网页上的工具即可一次性安装完成。解决管理员给每台PC单独安装证书的问题</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能够对新浪微博、腾讯微博、网易微博等进行细分控制，如：登录、浏览、发微博、上传附件等。能够对teamview、QQ远程桌面等远程控制应用做细分控制，如：接受对方远程控制；能够对Github、百度网盘、百度文库等网络应用的上传动作进行细分控制；</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支持telnet协议，可对登陆的账号、执行的命令进行审计;支持SSH/RDP协议，可对连接开始时间，连接结束时间，传输的流量大小进行审计;支持运维类应用的外发附件审计，包括Xshell，Pshell，MobaXterm，SecureCRT；</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流量管理 必须支持流量父子；通道技术，且至少支持三级父子通道。</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能够实时看到各级流控通道的状态：包括所属线路、瞬时速率、通道占用比例、用户数、保证带宽、最大带宽、优先级，启用状态等。</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支持在设置流量策略后，根据整体线路或者某流量通道内的空闲情况，自动启用和停止使用流量控制策略，以提升带宽的高使用率。</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支持通过抑制P2P的上行流量，来减缓P2P的下行流量，从而解决网络出口在做流控后仍然压力较大的问题。</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日志分析 支持日志高性能模式处理，精简冗余日志。</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管理员登录数据中心只能审计指定用户组的上网行为日志。</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联动响应 能够与同品牌终端检测响应产品实现联动，当检测到终端未安装终端检测响应产品产品时，禁止上网并提示需要安装终端检测响应产品软件；</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厂商资质 厂商软件研发实力需通过CMMI L5认证</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厂商应是国家互联网应急响应中心网络安全应急服务国家级支撑单位产品具有IPv6 Ready Phase-2认证证书</w:t>
            </w:r>
          </w:p>
        </w:tc>
        <w:tc>
          <w:tcPr>
            <w:tcW w:w="66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3</w:t>
            </w:r>
          </w:p>
        </w:tc>
        <w:tc>
          <w:tcPr>
            <w:tcW w:w="2083" w:type="dxa"/>
            <w:shd w:val="clear" w:color="auto" w:fill="auto"/>
            <w:tcMar>
              <w:top w:w="12" w:type="dxa"/>
              <w:left w:w="12" w:type="dxa"/>
              <w:right w:w="12" w:type="dxa"/>
            </w:tcMar>
            <w:vAlign w:val="center"/>
          </w:tcPr>
          <w:p>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外联区下一代防火墙</w:t>
            </w:r>
          </w:p>
        </w:tc>
        <w:tc>
          <w:tcPr>
            <w:tcW w:w="6450"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bCs/>
                <w:color w:val="000000" w:themeColor="text1"/>
                <w:kern w:val="0"/>
                <w:szCs w:val="21"/>
                <w:highlight w:val="none"/>
                <w:lang w:bidi="ar"/>
                <w14:textFill>
                  <w14:solidFill>
                    <w14:schemeClr w14:val="tx1"/>
                  </w14:solidFill>
                </w14:textFill>
              </w:rPr>
              <w:t xml:space="preserve">配置要求: </w:t>
            </w:r>
            <w:r>
              <w:rPr>
                <w:rFonts w:hint="eastAsia" w:ascii="宋体" w:hAnsi="宋体" w:cs="宋体"/>
                <w:color w:val="000000" w:themeColor="text1"/>
                <w:kern w:val="0"/>
                <w:szCs w:val="21"/>
                <w:highlight w:val="none"/>
                <w:lang w:bidi="ar"/>
                <w14:textFill>
                  <w14:solidFill>
                    <w14:schemeClr w14:val="tx1"/>
                  </w14:solidFill>
                </w14:textFill>
              </w:rPr>
              <w:t>三层吞吐量≥20Gbps，并发连接数≥220W，新建连接数≥15W；硬件指标：1U；单电源；不少于10个千兆电口+6个千兆光口1，1个串口（RJ45），2个USB 2.0；</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部署方式:</w:t>
            </w:r>
            <w:r>
              <w:rPr>
                <w:rFonts w:hint="eastAsia" w:ascii="宋体" w:hAnsi="宋体" w:cs="宋体"/>
                <w:color w:val="000000" w:themeColor="text1"/>
                <w:kern w:val="0"/>
                <w:szCs w:val="21"/>
                <w:highlight w:val="none"/>
                <w:lang w:bidi="ar"/>
                <w14:textFill>
                  <w14:solidFill>
                    <w14:schemeClr w14:val="tx1"/>
                  </w14:solidFill>
                </w14:textFill>
              </w:rPr>
              <w:t xml:space="preserve"> 产品支持路由模式、透明模式、虚拟网线模式、旁路镜像模式等多种部署方式。</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路由支持</w:t>
            </w:r>
            <w:r>
              <w:rPr>
                <w:rFonts w:hint="eastAsia" w:ascii="宋体" w:hAnsi="宋体" w:cs="宋体"/>
                <w:color w:val="000000" w:themeColor="text1"/>
                <w:kern w:val="0"/>
                <w:szCs w:val="21"/>
                <w:highlight w:val="none"/>
                <w:lang w:bidi="ar"/>
                <w14:textFill>
                  <w14:solidFill>
                    <w14:schemeClr w14:val="tx1"/>
                  </w14:solidFill>
                </w14:textFill>
              </w:rPr>
              <w:t>:产品支持静态路由、策略路由和多播路由协议，并支持BGP、RIP、OSPF等动态路由协议。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产品支持策略路由负载，支持基于服务、ISP地址、应用、地域等维度进行智能选路，保证关键业务流量通过优质链路转发，支持加权流量、带宽比例、线路优先等负载均衡调度算法。</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基础功能:</w:t>
            </w:r>
            <w:r>
              <w:rPr>
                <w:rFonts w:hint="eastAsia" w:ascii="宋体" w:hAnsi="宋体" w:cs="宋体"/>
                <w:color w:val="000000" w:themeColor="text1"/>
                <w:kern w:val="0"/>
                <w:szCs w:val="21"/>
                <w:highlight w:val="none"/>
                <w:lang w:bidi="ar"/>
                <w14:textFill>
                  <w14:solidFill>
                    <w14:schemeClr w14:val="tx1"/>
                  </w14:solidFill>
                </w14:textFill>
              </w:rPr>
              <w:t xml:space="preserve"> 产品支持支持源地址转换SNAT，目的地址转换DNAT和双向NAT等功能， 支持一对一、一对多、多对一等形式的NAT。</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产品支持NAT64和NAT46 地址转换方式，产品支持IPv4/IPv6双栈工作模式，以适应IPv6发展趋势。</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产品支持对不少于9000种应用的识别和控制，并且支持应用划分类型进行检测与控制。</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DoS/DDoS攻击防护:</w:t>
            </w:r>
            <w:r>
              <w:rPr>
                <w:rFonts w:hint="eastAsia" w:ascii="宋体" w:hAnsi="宋体" w:cs="宋体"/>
                <w:color w:val="000000" w:themeColor="text1"/>
                <w:kern w:val="0"/>
                <w:szCs w:val="21"/>
                <w:highlight w:val="none"/>
                <w:lang w:bidi="ar"/>
                <w14:textFill>
                  <w14:solidFill>
                    <w14:schemeClr w14:val="tx1"/>
                  </w14:solidFill>
                </w14:textFill>
              </w:rPr>
              <w:t xml:space="preserve"> 产品支持对ICMP、UDP、DNS、SYN等协议进行DDOS防护。</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产品支持异常包攻击防御，异常包攻击类型至少包括Ping of Death、Teardrop、Smurf、Land、WinNuke等攻击类型。</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入侵防护:</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产品预定义漏洞特征数量超过7800种，支持在产品漏洞特征库中以漏洞名称、漏洞ID、漏洞CVE标识、危险等级和漏洞描述等条件快速查询特定漏洞特征信息，支持用户自定义IPS规则。</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产品支持基于IMAP、FTP、RDP、VNC、SSH、TELNET、ORACLE、MYSQL、MSSQL等应用协议进行深度检测与防护。</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产品支持僵尸主机检测功能，产品预定义特征库超过110万种，可识别主机的异常外联行为。</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基于勒索病毒的攻击链提供勒索病毒防护配置向导，包含防护对象、勒索病毒常用端口、漏洞、弱口令的自定义定时识别及自动生成包含WEB应用防护、漏洞防护、内容安全、僵尸网络检测、慢速爆破防御等勒索病毒防护策略；</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账号安全:</w:t>
            </w:r>
            <w:r>
              <w:rPr>
                <w:rFonts w:hint="eastAsia" w:ascii="宋体" w:hAnsi="宋体" w:cs="宋体"/>
                <w:color w:val="000000" w:themeColor="text1"/>
                <w:kern w:val="0"/>
                <w:szCs w:val="21"/>
                <w:highlight w:val="none"/>
                <w:lang w:bidi="ar"/>
                <w14:textFill>
                  <w14:solidFill>
                    <w14:schemeClr w14:val="tx1"/>
                  </w14:solidFill>
                </w14:textFill>
              </w:rPr>
              <w:t xml:space="preserve"> 产品支持用户账号全生命周期保护功能，包括用户账号多余入口检测、弱口令检测、暴力破解检测、失陷账号检测，防止因账号被暴力破解导致的非法提权情况发生。</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产品支持文件目录防护功能，通过对用户账号进行认证，对网站内容的修改行为进行合法性控制。</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联动响应:</w:t>
            </w:r>
            <w:r>
              <w:rPr>
                <w:rFonts w:hint="eastAsia" w:ascii="宋体" w:hAnsi="宋体" w:cs="宋体"/>
                <w:color w:val="000000" w:themeColor="text1"/>
                <w:kern w:val="0"/>
                <w:szCs w:val="21"/>
                <w:highlight w:val="none"/>
                <w:lang w:bidi="ar"/>
                <w14:textFill>
                  <w14:solidFill>
                    <w14:schemeClr w14:val="tx1"/>
                  </w14:solidFill>
                </w14:textFill>
              </w:rPr>
              <w:t xml:space="preserve"> 产品支持与终端安全软件联动管理，在防火墙产品完成终端安全策略设置和内网终端安全软件的统一管理。</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产品支持主动诱捕功能，通过伪装业务诱捕内外网的攻击行为，并联合云蜜罐获取黑客指纹信息，并自动封锁高危IP。</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安全策略管理</w:t>
            </w:r>
            <w:r>
              <w:rPr>
                <w:rFonts w:hint="eastAsia" w:ascii="宋体" w:hAnsi="宋体" w:cs="宋体"/>
                <w:color w:val="000000" w:themeColor="text1"/>
                <w:kern w:val="0"/>
                <w:szCs w:val="21"/>
                <w:highlight w:val="none"/>
                <w:lang w:bidi="ar"/>
                <w14:textFill>
                  <w14:solidFill>
                    <w14:schemeClr w14:val="tx1"/>
                  </w14:solidFill>
                </w14:textFill>
              </w:rPr>
              <w:t xml:space="preserve"> 产品支持安全策略有效性分析功能，分析内容至少包括策略冗余分析、策略匹配分析、风险端口风险等内容，提供安全策略优化建议。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产品支持策略生命周期管理功能，支持对安全策略修改的时间、原因、变更类型进行统一管理，便于策略的运维与管理。</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厂商资质</w:t>
            </w:r>
            <w:r>
              <w:rPr>
                <w:rFonts w:hint="eastAsia" w:ascii="宋体" w:hAnsi="宋体" w:cs="宋体"/>
                <w:color w:val="000000" w:themeColor="text1"/>
                <w:kern w:val="0"/>
                <w:szCs w:val="21"/>
                <w:highlight w:val="none"/>
                <w:lang w:bidi="ar"/>
                <w14:textFill>
                  <w14:solidFill>
                    <w14:schemeClr w14:val="tx1"/>
                  </w14:solidFill>
                </w14:textFill>
              </w:rPr>
              <w:t xml:space="preserve"> 厂商软件研发实力需通过CMMI L5认证</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所投产品的生产厂商应是国家互联网应急响应中心网络安全应急服务国家级支撑单位。</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产品资质</w:t>
            </w:r>
            <w:r>
              <w:rPr>
                <w:rFonts w:hint="eastAsia" w:ascii="宋体" w:hAnsi="宋体" w:cs="宋体"/>
                <w:color w:val="000000" w:themeColor="text1"/>
                <w:kern w:val="0"/>
                <w:szCs w:val="21"/>
                <w:highlight w:val="none"/>
                <w:lang w:bidi="ar"/>
                <w14:textFill>
                  <w14:solidFill>
                    <w14:schemeClr w14:val="tx1"/>
                  </w14:solidFill>
                </w14:textFill>
              </w:rPr>
              <w:t xml:space="preserve"> 具备公安部颁发的销售许可证</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产品具有IPv6 Ready Phase-2认证证书</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要求所投产品具备国家信息安全漏洞库兼容性资质证书。</w:t>
            </w:r>
          </w:p>
        </w:tc>
        <w:tc>
          <w:tcPr>
            <w:tcW w:w="66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4</w:t>
            </w:r>
          </w:p>
        </w:tc>
        <w:tc>
          <w:tcPr>
            <w:tcW w:w="2083" w:type="dxa"/>
            <w:shd w:val="clear" w:color="auto" w:fill="auto"/>
            <w:tcMar>
              <w:top w:w="12" w:type="dxa"/>
              <w:left w:w="12" w:type="dxa"/>
              <w:right w:w="12" w:type="dxa"/>
            </w:tcMar>
            <w:vAlign w:val="center"/>
          </w:tcPr>
          <w:p>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统一远程访问平台VPN</w:t>
            </w:r>
          </w:p>
        </w:tc>
        <w:tc>
          <w:tcPr>
            <w:tcW w:w="6450"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bCs/>
                <w:color w:val="000000" w:themeColor="text1"/>
                <w:kern w:val="0"/>
                <w:szCs w:val="21"/>
                <w:highlight w:val="none"/>
                <w:lang w:bidi="ar"/>
                <w14:textFill>
                  <w14:solidFill>
                    <w14:schemeClr w14:val="tx1"/>
                  </w14:solidFill>
                </w14:textFill>
              </w:rPr>
              <w:t>硬件性能</w:t>
            </w:r>
            <w:r>
              <w:rPr>
                <w:rFonts w:hint="eastAsia" w:ascii="宋体" w:hAnsi="宋体" w:cs="宋体"/>
                <w:color w:val="000000" w:themeColor="text1"/>
                <w:kern w:val="0"/>
                <w:szCs w:val="21"/>
                <w:highlight w:val="none"/>
                <w:lang w:bidi="ar"/>
                <w14:textFill>
                  <w14:solidFill>
                    <w14:schemeClr w14:val="tx1"/>
                  </w14:solidFill>
                </w14:textFill>
              </w:rPr>
              <w:t xml:space="preserve"> :设备吞吐量≥500M；SSL加密流量不少于150Mbps;IPSec最大加密流量不少于255Mbps;接口不少于4个千兆电口;提供300个并发接入授权。</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部署方式</w:t>
            </w:r>
            <w:r>
              <w:rPr>
                <w:rFonts w:hint="eastAsia" w:ascii="宋体" w:hAnsi="宋体" w:cs="宋体"/>
                <w:color w:val="000000" w:themeColor="text1"/>
                <w:kern w:val="0"/>
                <w:szCs w:val="21"/>
                <w:highlight w:val="none"/>
                <w:lang w:bidi="ar"/>
                <w14:textFill>
                  <w14:solidFill>
                    <w14:schemeClr w14:val="tx1"/>
                  </w14:solidFill>
                </w14:textFill>
              </w:rPr>
              <w:t xml:space="preserve"> :支持IPv6/IPv4协议下的网关模式、单臂模式、主备模式、集群模式、分布式集群模式的部署</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基本特性:</w:t>
            </w:r>
            <w:r>
              <w:rPr>
                <w:rFonts w:hint="eastAsia" w:ascii="宋体" w:hAnsi="宋体" w:cs="宋体"/>
                <w:color w:val="000000" w:themeColor="text1"/>
                <w:kern w:val="0"/>
                <w:szCs w:val="21"/>
                <w:highlight w:val="none"/>
                <w:lang w:bidi="ar"/>
                <w14:textFill>
                  <w14:solidFill>
                    <w14:schemeClr w14:val="tx1"/>
                  </w14:solidFill>
                </w14:textFill>
              </w:rPr>
              <w:t xml:space="preserve"> 专业VPN设备，采用标准SSL、TLS 协议，同时支持IPSec VPN、SSLVPN、PPTP VPN、L2TP VPN，非插卡或防火墙带VPN模块设备。</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支持PC终端使用包括Windows10、Windows8、Windows7、Windows Vista、Windows xp、Mac OS、Linux等主流操作系统来登录SSLVPN系统，并完整支持该操作系统下的各种IP层以上的B/S和C/S应用；</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支持Windows、IOS、Android、塞班等操作系统的智能手机、PDA、平板电脑（PAD）等移动终端的SSL VPN接入；</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移动端（Android、IOS）支持通过PPTP、L2TP VPN方式接入；</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支持国产化终端使用，包括中标麒麟、银河麒麟、深度OS等操作系统来登录SSLVPN系统，并完整支持该操作系统下的各种IP层以上的B/S和C/S应用</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产品应支持的密码算法包括：AES、AES192、AES256、DES、3DES、MD5、SHA1、SHA2-256、SHA2-384、SHA2-512、DH、RSA；支持国家商用密码算法。</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易用性:</w:t>
            </w:r>
            <w:r>
              <w:rPr>
                <w:rFonts w:hint="eastAsia" w:ascii="宋体" w:hAnsi="宋体" w:cs="宋体"/>
                <w:color w:val="000000" w:themeColor="text1"/>
                <w:kern w:val="0"/>
                <w:szCs w:val="21"/>
                <w:highlight w:val="none"/>
                <w:lang w:bidi="ar"/>
                <w14:textFill>
                  <w14:solidFill>
                    <w14:schemeClr w14:val="tx1"/>
                  </w14:solidFill>
                </w14:textFill>
              </w:rPr>
              <w:t xml:space="preserve"> 可支持个性化登录策略，在一台设备上配置不同的访问域名、IP地址，以及不同的使用界面，实现一台设备为多个不同用户群体服务的的使用效果；</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支持单点登录功能（SSO）,持针对B/S单点登录用户名密码加密传输，保证安全；支持针对不同的访问资源设定不同的SSO用户名和密码，支持用户自行修改SSO账号。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支持断线重连自动技术，防止用户误操作关闭浏览器导致VPN隧道断开；防止用户在无线网络环境下网络正常切换时VPN隧道断开。</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产品应提供环境检测、自动修复工具，支持对Windows的环境兼容性一键检测能力，以及对检测结果进行一键修复的能力，避免由于用户操作系统环境存在问题影响SSL VPN的使用，减轻运维工作。</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终端安全:</w:t>
            </w:r>
            <w:r>
              <w:rPr>
                <w:rFonts w:hint="eastAsia" w:ascii="宋体" w:hAnsi="宋体" w:cs="宋体"/>
                <w:color w:val="000000" w:themeColor="text1"/>
                <w:kern w:val="0"/>
                <w:szCs w:val="21"/>
                <w:highlight w:val="none"/>
                <w:lang w:bidi="ar"/>
                <w14:textFill>
                  <w14:solidFill>
                    <w14:schemeClr w14:val="tx1"/>
                  </w14:solidFill>
                </w14:textFill>
              </w:rPr>
              <w:t xml:space="preserve"> 产品必须支持防中间人攻击，产品可在用户登录SSLVPN时智能判断存在中间人攻击行为，断开被攻击的连接，并可提示异常现象。</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支持用户终端登录前、登陆后的安全性检测，检测范围包括：用户接入IP、接入时间、接入线路IP、进程、文件、注册表、操作系统、使用终端，可以检测出客户端是否安装指定的防火墙或杀毒软件。</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支持客户端注销后自动清除所有缓存、Cookies、浏览器历史记录、保存的表单信息，实现零痕迹访问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支持VPN专线功能，可配置用户在接入SSL VPN的同时，断开与Internet其他连接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产品应提供HTTPS驱动病毒查杀工具，支持对Windows环境下的针对HTTPS拦截监听的驱动病毒进行扫描查杀，避免因为HTTPS驱动病毒导致无法正常接入和使用SSL VPN。</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设备自身安全</w:t>
            </w:r>
            <w:r>
              <w:rPr>
                <w:rFonts w:hint="eastAsia" w:ascii="宋体" w:hAnsi="宋体" w:cs="宋体"/>
                <w:color w:val="000000" w:themeColor="text1"/>
                <w:kern w:val="0"/>
                <w:szCs w:val="21"/>
                <w:highlight w:val="none"/>
                <w:lang w:bidi="ar"/>
                <w14:textFill>
                  <w14:solidFill>
                    <w14:schemeClr w14:val="tx1"/>
                  </w14:solidFill>
                </w14:textFill>
              </w:rPr>
              <w:t xml:space="preserve"> :支持设备自身的抗攻击防护，支持防Host头部攻击设置，用于防止Host头部攻击, 设备只允许通过符合设置规则的地址进行访问；支持防SWEET32攻击设置，用于防止SWEET32攻击。</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身份认证</w:t>
            </w:r>
            <w:r>
              <w:rPr>
                <w:rFonts w:hint="eastAsia" w:ascii="宋体" w:hAnsi="宋体" w:cs="宋体"/>
                <w:color w:val="000000" w:themeColor="text1"/>
                <w:kern w:val="0"/>
                <w:szCs w:val="21"/>
                <w:highlight w:val="none"/>
                <w:lang w:bidi="ar"/>
                <w14:textFill>
                  <w14:solidFill>
                    <w14:schemeClr w14:val="tx1"/>
                  </w14:solidFill>
                </w14:textFill>
              </w:rPr>
              <w:t>:产品必须支持Local DB 、USB KEY、短信认证、硬件特征码、动态令牌、数字证书认证、LDAP、RADIUS、等认证方式。</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设备内部必须支持自建CA中心，便于数字证书认证平台搭建；</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支持与基于PKI体系的第三方CA进行结合认证 ，可根据CA某字段将通过CA认证的用户自动映射到指定用户组，方便进行权限授权配置；支持CRL证书撤销列表。</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支持与阿里钉钉、企业微信APP认证对接，移动端访问企业自建应用时可自动拉起VPN，实现其内置应用的安全接入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厂商资质</w:t>
            </w:r>
            <w:r>
              <w:rPr>
                <w:rFonts w:hint="eastAsia" w:ascii="宋体" w:hAnsi="宋体" w:cs="宋体"/>
                <w:color w:val="000000" w:themeColor="text1"/>
                <w:kern w:val="0"/>
                <w:szCs w:val="21"/>
                <w:highlight w:val="none"/>
                <w:lang w:bidi="ar"/>
                <w14:textFill>
                  <w14:solidFill>
                    <w14:schemeClr w14:val="tx1"/>
                  </w14:solidFill>
                </w14:textFill>
              </w:rPr>
              <w:t xml:space="preserve"> :厂商软件研发实力需通过CMMI L5认证</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厂商应是国家互联网应急响应中心网络安全应急服务国家级支撑单位</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产品资质</w:t>
            </w:r>
            <w:r>
              <w:rPr>
                <w:rFonts w:hint="eastAsia" w:ascii="宋体" w:hAnsi="宋体" w:cs="宋体"/>
                <w:color w:val="000000" w:themeColor="text1"/>
                <w:kern w:val="0"/>
                <w:szCs w:val="21"/>
                <w:highlight w:val="none"/>
                <w:lang w:bidi="ar"/>
                <w14:textFill>
                  <w14:solidFill>
                    <w14:schemeClr w14:val="tx1"/>
                  </w14:solidFill>
                </w14:textFill>
              </w:rPr>
              <w:t xml:space="preserve"> :产品具有IPv6 Ready Phase-2认证证书</w:t>
            </w:r>
          </w:p>
        </w:tc>
        <w:tc>
          <w:tcPr>
            <w:tcW w:w="66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5</w:t>
            </w:r>
          </w:p>
        </w:tc>
        <w:tc>
          <w:tcPr>
            <w:tcW w:w="2083" w:type="dxa"/>
            <w:shd w:val="clear" w:color="auto" w:fill="auto"/>
            <w:tcMar>
              <w:top w:w="12" w:type="dxa"/>
              <w:left w:w="12" w:type="dxa"/>
              <w:right w:w="12" w:type="dxa"/>
            </w:tcMar>
            <w:vAlign w:val="center"/>
          </w:tcPr>
          <w:p>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安全感知平台</w:t>
            </w:r>
          </w:p>
        </w:tc>
        <w:tc>
          <w:tcPr>
            <w:tcW w:w="6450" w:type="dxa"/>
            <w:shd w:val="clear" w:color="auto" w:fill="auto"/>
            <w:tcMar>
              <w:top w:w="12" w:type="dxa"/>
              <w:left w:w="12" w:type="dxa"/>
              <w:right w:w="12" w:type="dxa"/>
            </w:tcMar>
            <w:vAlign w:val="center"/>
          </w:tcPr>
          <w:p>
            <w:pPr>
              <w:spacing w:after="180"/>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bCs/>
                <w:color w:val="000000" w:themeColor="text1"/>
                <w:kern w:val="0"/>
                <w:szCs w:val="21"/>
                <w:highlight w:val="none"/>
                <w:lang w:bidi="ar"/>
                <w14:textFill>
                  <w14:solidFill>
                    <w14:schemeClr w14:val="tx1"/>
                  </w14:solidFill>
                </w14:textFill>
              </w:rPr>
              <w:t>性能指标:</w:t>
            </w:r>
            <w:r>
              <w:rPr>
                <w:rFonts w:hint="eastAsia" w:ascii="宋体" w:hAnsi="宋体" w:cs="宋体"/>
                <w:color w:val="000000" w:themeColor="text1"/>
                <w:kern w:val="0"/>
                <w:szCs w:val="21"/>
                <w:highlight w:val="none"/>
                <w:lang w:bidi="ar"/>
                <w14:textFill>
                  <w14:solidFill>
                    <w14:schemeClr w14:val="tx1"/>
                  </w14:solidFill>
                </w14:textFill>
              </w:rPr>
              <w:t xml:space="preserve"> 2U架构。21TB存储空间。96G内存。4个千兆电口、1个串口、4个USB口。</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全网安全态势大屏可视:</w:t>
            </w:r>
            <w:r>
              <w:rPr>
                <w:rFonts w:hint="eastAsia" w:ascii="宋体" w:hAnsi="宋体" w:cs="宋体"/>
                <w:color w:val="000000" w:themeColor="text1"/>
                <w:kern w:val="0"/>
                <w:szCs w:val="21"/>
                <w:highlight w:val="none"/>
                <w:lang w:bidi="ar"/>
                <w14:textFill>
                  <w14:solidFill>
                    <w14:schemeClr w14:val="tx1"/>
                  </w14:solidFill>
                </w14:textFill>
              </w:rPr>
              <w:t xml:space="preserve"> 支持不同安全视角展示不少于12个独立的大屏展示功能，包括全网安全态势感知大屏、分支安全态势、安全事件态势、通报预警态势、资产态势大屏等，同时能满足多种场景的监控，比如日常运维、护网场景。</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支持大屏轮播，所有大屏可自定义播放顺序。</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资产管理:</w:t>
            </w:r>
            <w:r>
              <w:rPr>
                <w:rFonts w:hint="eastAsia" w:ascii="宋体" w:hAnsi="宋体" w:cs="宋体"/>
                <w:color w:val="000000" w:themeColor="text1"/>
                <w:kern w:val="0"/>
                <w:szCs w:val="21"/>
                <w:highlight w:val="none"/>
                <w:lang w:bidi="ar"/>
                <w14:textFill>
                  <w14:solidFill>
                    <w14:schemeClr w14:val="tx1"/>
                  </w14:solidFill>
                </w14:textFill>
              </w:rPr>
              <w:t xml:space="preserve"> 基于资产视角实现分支分权管理，支持总部管理员查看全局的安全信息，支持页面跳转到每个分支机构单独的管理页面。</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支持资产多级分支管理，支持资产全生命周期自动管理，包括资产自动发现、多级资产、资产入库审核、资产离线风险识别、资产退库、资产数据更新，责任人管理机制等。</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支持通过主动发送微量包的扫描方式探测潜在的服务器（影子资产）以及学习服务器的基础信息，资产指纹信息包括资产类型、端口、操作系统、MAC地址、主机名等。</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支持资产属性重新识别，当发现资产数据不准确时，可清空该资产属性，重新发起识别后，平台会自动补齐资产属性，可批量操作。</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支持跨三层取MAC地址，识别资产MAC地址，并能够解决不同资产IP冲突问题，以及DHCP场景IP变更的问题。</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通报预警</w:t>
            </w:r>
            <w:r>
              <w:rPr>
                <w:rFonts w:hint="eastAsia" w:ascii="宋体" w:hAnsi="宋体" w:cs="宋体"/>
                <w:color w:val="000000" w:themeColor="text1"/>
                <w:kern w:val="0"/>
                <w:szCs w:val="21"/>
                <w:highlight w:val="none"/>
                <w:lang w:bidi="ar"/>
                <w14:textFill>
                  <w14:solidFill>
                    <w14:schemeClr w14:val="tx1"/>
                  </w14:solidFill>
                </w14:textFill>
              </w:rPr>
              <w:t xml:space="preserve"> :支持通报预警，支持新增加签功能（短信或邮件通知），可邀请指定管理员研判评论，双方评论回复均可视。</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脆弱性管理 :</w:t>
            </w:r>
            <w:r>
              <w:rPr>
                <w:rFonts w:hint="eastAsia" w:ascii="宋体" w:hAnsi="宋体" w:cs="宋体"/>
                <w:color w:val="000000" w:themeColor="text1"/>
                <w:kern w:val="0"/>
                <w:szCs w:val="21"/>
                <w:highlight w:val="none"/>
                <w:lang w:bidi="ar"/>
                <w14:textFill>
                  <w14:solidFill>
                    <w14:schemeClr w14:val="tx1"/>
                  </w14:solidFill>
                </w14:textFill>
              </w:rPr>
              <w:t>弱密码检测技术基于UEBA学习技术（无监督自我学习）提取登陆成功的特征，通过UEBA技术对响应体内容和登录跳转路径进行持续学习训练登录成功特征，包括响应体内容Json、响应体关键字Keyword、响应体MD5值、响应体长度Length、登录跳转路径Location，可实时自动生成学习到的登陆成功规则。</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弱密码识别支持主动扫描，支持加密协议的弱口令登录检测，支持SMB、MySQL、Oracle、RDP、SSH、Redis、MongoDB、ElasticSearch、MSSQL等协议。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流量实时识别漏洞分析，漏洞分析类型包含配置错误漏洞、OpenSSH漏洞、OpenLDAP等操作系统、数据库、Web应用等，页面上支持展示业务脆弱性风险分布、漏洞类型分析、漏洞态势与危害和处置建议，并支持导出脆弱性感知报告。</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威胁检测:</w:t>
            </w:r>
            <w:r>
              <w:rPr>
                <w:rFonts w:hint="eastAsia" w:ascii="宋体" w:hAnsi="宋体" w:cs="宋体"/>
                <w:color w:val="000000" w:themeColor="text1"/>
                <w:kern w:val="0"/>
                <w:szCs w:val="21"/>
                <w:highlight w:val="none"/>
                <w:lang w:bidi="ar"/>
                <w14:textFill>
                  <w14:solidFill>
                    <w14:schemeClr w14:val="tx1"/>
                  </w14:solidFill>
                </w14:textFill>
              </w:rPr>
              <w:t xml:space="preserve"> 具备基于AI的webshell通信流量检测，可检出加密（如冰蝎）的通信流量。，具备650+webshell规则检测，且覆盖webshell整个攻击阶段检测，包括webshell上传点探测、webshell上传下载、webshell通信。</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具备元数据行为分析引擎：httpflow、dnsflow、adflow、icmpflow、maillflow等, 通过异常行为分析，结合各类机器学习算法完成未知威胁检测。包括：内网穿透、代理、远控、隧道、反弹shell等事后检测场景。</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支持挖矿专项检测页面，具备挖矿攻击事前、事中和事后全链路的检测分析能力，对挖矿早期的准备动作即告警。</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文件威胁分析支持平台内置的静态文件检测引擎、AI智能引擎、webshellkiller引擎，利用LSA, AutoEncoder, LogicRegression, SVM, 随机森林，XGBoost等多种机器学习算法组合进行综合研判。支持采用AI技术针对无文件落地的恶意脚本进行检测。</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支持针对政企邮件混淆宏病毒威胁检测。支持对smtp、imap、pop3、webmail等邮件协议审计，识别出钓鱼邮件、病毒邮件、垃圾邮件、鱼叉式钓鱼等恶意邮件。</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SIEM日志关联分析结果的可视化展示。包括数据分布、安全事件趋势图、关联规则告警趋势图、接入设备概况等，可提供每一台设备专项分析的页面。如防火墙外部攻击场景分析、VPN账号异常场景分析、Windows服务器主机异常场景分析等，通过设备专项页面对每一台设备安全情况深度专业化分析；</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安全检测日志、审计日志、第三方日志存储；日志类型包括漏洞利用攻击、网站攻击、僵尸网络、业务弱点、DOS攻击、邮件安全、文件安全、网络流量、DNS、HTTP、用户、数据库、文件审计、POP3、SMTP、IMAP、LDAP、FTP、Telnet等。</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处置中心</w:t>
            </w:r>
            <w:r>
              <w:rPr>
                <w:rFonts w:hint="eastAsia" w:ascii="宋体" w:hAnsi="宋体" w:cs="宋体"/>
                <w:color w:val="000000" w:themeColor="text1"/>
                <w:kern w:val="0"/>
                <w:szCs w:val="21"/>
                <w:highlight w:val="none"/>
                <w:lang w:bidi="ar"/>
                <w14:textFill>
                  <w14:solidFill>
                    <w14:schemeClr w14:val="tx1"/>
                  </w14:solidFill>
                </w14:textFill>
              </w:rPr>
              <w:t xml:space="preserve"> :安全事件支持与同品牌防火墙、终端安全响应系统、超融合、负载均衡联动封锁、访问控制，安全事件支持与终端安全响应系统联动一键查杀、进程取证，支持关闭超融合上的中毒虚拟主机，支持对超融合上中毒的虚拟主机进行快照。</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报表中心:</w:t>
            </w:r>
            <w:r>
              <w:rPr>
                <w:rFonts w:hint="eastAsia" w:ascii="宋体" w:hAnsi="宋体" w:cs="宋体"/>
                <w:color w:val="000000" w:themeColor="text1"/>
                <w:kern w:val="0"/>
                <w:szCs w:val="21"/>
                <w:highlight w:val="none"/>
                <w:lang w:bidi="ar"/>
                <w14:textFill>
                  <w14:solidFill>
                    <w14:schemeClr w14:val="tx1"/>
                  </w14:solidFill>
                </w14:textFill>
              </w:rPr>
              <w:t xml:space="preserve"> 可快速生成月度、季度、年度PPT报表，包含网络安全整体解读、网络安全风险详情、告警及事件响应盘点等，帮助用户高效汇报，体现安全工作价值。</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告警方式支持邮件告警、短信、微信告警方式。</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应用中心</w:t>
            </w:r>
            <w:r>
              <w:rPr>
                <w:rFonts w:hint="eastAsia" w:ascii="宋体" w:hAnsi="宋体" w:cs="宋体"/>
                <w:color w:val="000000" w:themeColor="text1"/>
                <w:kern w:val="0"/>
                <w:szCs w:val="21"/>
                <w:highlight w:val="none"/>
                <w:lang w:bidi="ar"/>
                <w14:textFill>
                  <w14:solidFill>
                    <w14:schemeClr w14:val="tx1"/>
                  </w14:solidFill>
                </w14:textFill>
              </w:rPr>
              <w:t xml:space="preserve"> :支持同品牌防火墙、终端安全响应系统、上网行为管理等设备的配置核查并上报结果，提供自动化监测和配置引导。</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支持已合规基线管控业务安全，实时监测等保差距项和高风险项，避免策略变更导致不合规，有效应对网监不定期抽查和复测场景。</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产品资质</w:t>
            </w:r>
            <w:r>
              <w:rPr>
                <w:rFonts w:hint="eastAsia" w:ascii="宋体" w:hAnsi="宋体" w:cs="宋体"/>
                <w:color w:val="000000" w:themeColor="text1"/>
                <w:kern w:val="0"/>
                <w:szCs w:val="21"/>
                <w:highlight w:val="none"/>
                <w:lang w:bidi="ar"/>
                <w14:textFill>
                  <w14:solidFill>
                    <w14:schemeClr w14:val="tx1"/>
                  </w14:solidFill>
                </w14:textFill>
              </w:rPr>
              <w:t xml:space="preserve"> :要求具备公安颁发的安全管理平台销售许可证</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要求具备ISCCC  IT产品信息安全认证证书</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要求具备国家版权局颁发的软件著作权登记证书</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厂商资质:</w:t>
            </w:r>
            <w:r>
              <w:rPr>
                <w:rFonts w:hint="eastAsia" w:ascii="宋体" w:hAnsi="宋体" w:cs="宋体"/>
                <w:color w:val="000000" w:themeColor="text1"/>
                <w:kern w:val="0"/>
                <w:szCs w:val="21"/>
                <w:highlight w:val="none"/>
                <w:lang w:bidi="ar"/>
                <w14:textFill>
                  <w14:solidFill>
                    <w14:schemeClr w14:val="tx1"/>
                  </w14:solidFill>
                </w14:textFill>
              </w:rPr>
              <w:t xml:space="preserve"> 厂商应是国家互联网应急响应中心网络安全应急服务国家级支撑单位；</w:t>
            </w:r>
          </w:p>
        </w:tc>
        <w:tc>
          <w:tcPr>
            <w:tcW w:w="66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6</w:t>
            </w:r>
          </w:p>
        </w:tc>
        <w:tc>
          <w:tcPr>
            <w:tcW w:w="2083" w:type="dxa"/>
            <w:shd w:val="clear" w:color="auto" w:fill="auto"/>
            <w:tcMar>
              <w:top w:w="12" w:type="dxa"/>
              <w:left w:w="12" w:type="dxa"/>
              <w:right w:w="12" w:type="dxa"/>
            </w:tcMar>
            <w:vAlign w:val="center"/>
          </w:tcPr>
          <w:p>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 APT流量检测探针</w:t>
            </w:r>
          </w:p>
        </w:tc>
        <w:tc>
          <w:tcPr>
            <w:tcW w:w="6450"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b/>
                <w:bCs/>
                <w:color w:val="000000" w:themeColor="text1"/>
                <w:kern w:val="0"/>
                <w:szCs w:val="21"/>
                <w:highlight w:val="none"/>
                <w:lang w:bidi="ar"/>
                <w14:textFill>
                  <w14:solidFill>
                    <w14:schemeClr w14:val="tx1"/>
                  </w14:solidFill>
                </w14:textFill>
              </w:rPr>
              <w:t>性能配置</w:t>
            </w:r>
            <w:r>
              <w:rPr>
                <w:rFonts w:hint="eastAsia" w:ascii="宋体" w:hAnsi="宋体" w:cs="宋体"/>
                <w:color w:val="000000" w:themeColor="text1"/>
                <w:kern w:val="0"/>
                <w:szCs w:val="21"/>
                <w:highlight w:val="none"/>
                <w:lang w:bidi="ar"/>
                <w14:textFill>
                  <w14:solidFill>
                    <w14:schemeClr w14:val="tx1"/>
                  </w14:solidFill>
                </w14:textFill>
              </w:rPr>
              <w:t xml:space="preserve"> :不少于6个千兆电口、2个千兆光口。吞吐量不少于1.5Gbps</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部署模式:</w:t>
            </w:r>
            <w:r>
              <w:rPr>
                <w:rFonts w:hint="eastAsia" w:ascii="宋体" w:hAnsi="宋体" w:cs="宋体"/>
                <w:color w:val="000000" w:themeColor="text1"/>
                <w:kern w:val="0"/>
                <w:szCs w:val="21"/>
                <w:highlight w:val="none"/>
                <w:lang w:bidi="ar"/>
                <w14:textFill>
                  <w14:solidFill>
                    <w14:schemeClr w14:val="tx1"/>
                  </w14:solidFill>
                </w14:textFill>
              </w:rPr>
              <w:t xml:space="preserve"> 旁路部署，支持探针同时接入多个镜像口，每个口相互独立不影响</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资产发现:</w:t>
            </w:r>
            <w:r>
              <w:rPr>
                <w:rFonts w:hint="eastAsia" w:ascii="宋体" w:hAnsi="宋体" w:cs="宋体"/>
                <w:color w:val="000000" w:themeColor="text1"/>
                <w:kern w:val="0"/>
                <w:szCs w:val="21"/>
                <w:highlight w:val="none"/>
                <w:lang w:bidi="ar"/>
                <w14:textFill>
                  <w14:solidFill>
                    <w14:schemeClr w14:val="tx1"/>
                  </w14:solidFill>
                </w14:textFill>
              </w:rPr>
              <w:t xml:space="preserve"> 具备主动发送少量探测报文，发现潜在的服务器（影子资产）以及学习服务器的基础信息，如：操作系统、开放的端口号等</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基础检测功能</w:t>
            </w:r>
            <w:r>
              <w:rPr>
                <w:rFonts w:hint="eastAsia" w:ascii="宋体" w:hAnsi="宋体" w:cs="宋体"/>
                <w:color w:val="000000" w:themeColor="text1"/>
                <w:kern w:val="0"/>
                <w:szCs w:val="21"/>
                <w:highlight w:val="none"/>
                <w:lang w:bidi="ar"/>
                <w14:textFill>
                  <w14:solidFill>
                    <w14:schemeClr w14:val="tx1"/>
                  </w14:solidFill>
                </w14:textFill>
              </w:rPr>
              <w:t xml:space="preserve"> :具备报文检测引擎,可实现IP碎片重组、TCP流重组、应用层协议识别与解析等, 具备多种的入侵攻击模式或恶意URL监测模式,可完成模式匹配并生成事件,可提取URL记录和 域名记录,在特征事件触发时可以基于五元组和二元组(IP对）进行原始报文的录制。</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监测识别规则库:</w:t>
            </w:r>
            <w:r>
              <w:rPr>
                <w:rFonts w:hint="eastAsia" w:ascii="宋体" w:hAnsi="宋体" w:cs="宋体"/>
                <w:color w:val="000000" w:themeColor="text1"/>
                <w:kern w:val="0"/>
                <w:szCs w:val="21"/>
                <w:highlight w:val="none"/>
                <w:lang w:bidi="ar"/>
                <w14:textFill>
                  <w14:solidFill>
                    <w14:schemeClr w14:val="tx1"/>
                  </w14:solidFill>
                </w14:textFill>
              </w:rPr>
              <w:t xml:space="preserve"> 内置URL库、IPS漏洞特征识别库、应用识别库、WEB应用防护识别库、僵尸网络识别库、实时漏洞分析识别库、恶意链接库、白名单库。</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网站攻击检测:</w:t>
            </w:r>
            <w:r>
              <w:rPr>
                <w:rFonts w:hint="eastAsia" w:ascii="宋体" w:hAnsi="宋体" w:cs="宋体"/>
                <w:color w:val="000000" w:themeColor="text1"/>
                <w:kern w:val="0"/>
                <w:szCs w:val="21"/>
                <w:highlight w:val="none"/>
                <w:lang w:bidi="ar"/>
                <w14:textFill>
                  <w14:solidFill>
                    <w14:schemeClr w14:val="tx1"/>
                  </w14:solidFill>
                </w14:textFill>
              </w:rPr>
              <w:t xml:space="preserve"> 支持SQL注入、XSS攻击、网页木马、网站扫描、WEBSHELL、跨站请求伪造、系统命令注入、文件包含攻击、目录遍历攻击、信息泄露攻击、Web整站系统漏洞等网站攻击检测。</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敏感信息检测:</w:t>
            </w:r>
            <w:r>
              <w:rPr>
                <w:rFonts w:hint="eastAsia" w:ascii="宋体" w:hAnsi="宋体" w:cs="宋体"/>
                <w:color w:val="000000" w:themeColor="text1"/>
                <w:kern w:val="0"/>
                <w:szCs w:val="21"/>
                <w:highlight w:val="none"/>
                <w:lang w:bidi="ar"/>
                <w14:textFill>
                  <w14:solidFill>
                    <w14:schemeClr w14:val="tx1"/>
                  </w14:solidFill>
                </w14:textFill>
              </w:rPr>
              <w:t xml:space="preserve"> 支持敏感数据泄密功能检测能力，可自定义敏感信息，支持根据文件类型和敏感关键字进行信息过滤。</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漏洞利用攻击检测:</w:t>
            </w:r>
            <w:r>
              <w:rPr>
                <w:rFonts w:hint="eastAsia" w:ascii="宋体" w:hAnsi="宋体" w:cs="宋体"/>
                <w:color w:val="000000" w:themeColor="text1"/>
                <w:kern w:val="0"/>
                <w:szCs w:val="21"/>
                <w:highlight w:val="none"/>
                <w:lang w:bidi="ar"/>
                <w14:textFill>
                  <w14:solidFill>
                    <w14:schemeClr w14:val="tx1"/>
                  </w14:solidFill>
                </w14:textFill>
              </w:rPr>
              <w:t xml:space="preserve"> 支持Database漏洞攻击、DNS漏洞攻击、FTP漏洞攻击、Mail漏洞攻击、Network Device、Scan漏洞攻击、System漏洞攻击、Telnet漏洞攻击、Tftp漏洞攻击、Web漏洞攻击等服务漏洞攻击检测；</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支持Application漏洞攻击、File漏洞攻击、Scan漏洞攻击、Shellcode漏洞攻击、System漏洞利用攻击、Web Activex等客户端漏洞攻击检测。</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支持FTP、IMAP、MS Sql、Mysql、Oracle、POP3、RDP、SMTP、SSH、Telnet、VNC等协议暴力破解检测。</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异常流量检测:</w:t>
            </w:r>
            <w:r>
              <w:rPr>
                <w:rFonts w:hint="eastAsia" w:ascii="宋体" w:hAnsi="宋体" w:cs="宋体"/>
                <w:color w:val="000000" w:themeColor="text1"/>
                <w:kern w:val="0"/>
                <w:szCs w:val="21"/>
                <w:highlight w:val="none"/>
                <w:lang w:bidi="ar"/>
                <w14:textFill>
                  <w14:solidFill>
                    <w14:schemeClr w14:val="tx1"/>
                  </w14:solidFill>
                </w14:textFill>
              </w:rPr>
              <w:t xml:space="preserve"> 支持标准端口运行非标准协议，非标准端口运行标准协议的异常流量检测，端口类型包括3389、53、80/8080、21、69、443、25、110、143、22等。</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支持ICMP、UDP、SYN、DNS等协议外发异常流量检测，支持自定义阀值。</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 xml:space="preserve">僵尸网络行为检测: </w:t>
            </w:r>
            <w:r>
              <w:rPr>
                <w:rFonts w:hint="eastAsia" w:ascii="宋体" w:hAnsi="宋体" w:cs="宋体"/>
                <w:color w:val="000000" w:themeColor="text1"/>
                <w:kern w:val="0"/>
                <w:szCs w:val="21"/>
                <w:highlight w:val="none"/>
                <w:lang w:bidi="ar"/>
                <w14:textFill>
                  <w14:solidFill>
                    <w14:schemeClr w14:val="tx1"/>
                  </w14:solidFill>
                </w14:textFill>
              </w:rPr>
              <w:t>支持HTTP未知站点下载可执行文件、浏览最近30天注册域名、浏览恶意动态域名、访问随机算法生成域名、暴力破解攻击、反弹连接、IRC通信等僵尸网络行为检测。</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高级检测:</w:t>
            </w:r>
            <w:r>
              <w:rPr>
                <w:rFonts w:hint="eastAsia" w:ascii="宋体" w:hAnsi="宋体" w:cs="宋体"/>
                <w:color w:val="000000" w:themeColor="text1"/>
                <w:kern w:val="0"/>
                <w:szCs w:val="21"/>
                <w:highlight w:val="none"/>
                <w:lang w:bidi="ar"/>
                <w14:textFill>
                  <w14:solidFill>
                    <w14:schemeClr w14:val="tx1"/>
                  </w14:solidFill>
                </w14:textFill>
              </w:rPr>
              <w:t xml:space="preserve"> 支持5种类型日志传输模式,包含标准模式、精简模式、高级模式、局域网模式、自定义模式，适应不同应用场景需求。</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支持传输安全检测日志，包括网络攻击检测日志、漏洞利用攻击检测日志、僵尸网络检测日志、业务弱点发现日志。</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支持传输访问检测日志，包括正常访问、风险访问、违规访问。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传输协议审计日志，包括https协议日志、http协议审计日志、DNS协议审计日志、邮件协议审计日志、SMB协议审计日志、AD域协议审计日志、WEB登录审计日志、FTP协议审计日志、Telnet协议审计日志、ICMP协议审计日志、LLMNR协议审计日志。</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违规访问检测</w:t>
            </w:r>
            <w:r>
              <w:rPr>
                <w:rFonts w:hint="eastAsia" w:ascii="宋体" w:hAnsi="宋体" w:cs="宋体"/>
                <w:color w:val="000000" w:themeColor="text1"/>
                <w:kern w:val="0"/>
                <w:szCs w:val="21"/>
                <w:highlight w:val="none"/>
                <w:lang w:bidi="ar"/>
                <w14:textFill>
                  <w14:solidFill>
                    <w14:schemeClr w14:val="tx1"/>
                  </w14:solidFill>
                </w14:textFill>
              </w:rPr>
              <w:t xml:space="preserve"> :支持IP，IP组，服务，端口，访问时间等定义访问策略，主动建立针对性的业务和应用访问逻辑规则，包括白名单和黑名单方式。</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沙盒对接:</w:t>
            </w:r>
            <w:r>
              <w:rPr>
                <w:rFonts w:hint="eastAsia" w:ascii="宋体" w:hAnsi="宋体" w:cs="宋体"/>
                <w:color w:val="000000" w:themeColor="text1"/>
                <w:kern w:val="0"/>
                <w:szCs w:val="21"/>
                <w:highlight w:val="none"/>
                <w:lang w:bidi="ar"/>
                <w14:textFill>
                  <w14:solidFill>
                    <w14:schemeClr w14:val="tx1"/>
                  </w14:solidFill>
                </w14:textFill>
              </w:rPr>
              <w:t xml:space="preserve"> 支持将流量还原的文件发送至沙盒分析；可支持第三方沙盒对接。</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抓包分析:</w:t>
            </w:r>
            <w:r>
              <w:rPr>
                <w:rFonts w:hint="eastAsia" w:ascii="宋体" w:hAnsi="宋体" w:cs="宋体"/>
                <w:color w:val="000000" w:themeColor="text1"/>
                <w:kern w:val="0"/>
                <w:szCs w:val="21"/>
                <w:highlight w:val="none"/>
                <w:lang w:bidi="ar"/>
                <w14:textFill>
                  <w14:solidFill>
                    <w14:schemeClr w14:val="tx1"/>
                  </w14:solidFill>
                </w14:textFill>
              </w:rPr>
              <w:t xml:space="preserve"> 支持流量抓包分析，可定义抓包数量、接口、IP地址、端口或自定义过滤表达式。</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厂商资质</w:t>
            </w:r>
            <w:r>
              <w:rPr>
                <w:rFonts w:hint="eastAsia" w:ascii="宋体" w:hAnsi="宋体" w:cs="宋体"/>
                <w:color w:val="000000" w:themeColor="text1"/>
                <w:kern w:val="0"/>
                <w:szCs w:val="21"/>
                <w:highlight w:val="none"/>
                <w:lang w:bidi="ar"/>
                <w14:textFill>
                  <w14:solidFill>
                    <w14:schemeClr w14:val="tx1"/>
                  </w14:solidFill>
                </w14:textFill>
              </w:rPr>
              <w:t>:厂商软件研发实力需通过CMMI L5认证</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厂商应是国家互联网应急响应中心网络安全应急服务国家级支撑单位</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产品资质:</w:t>
            </w:r>
            <w:r>
              <w:rPr>
                <w:rFonts w:hint="eastAsia" w:ascii="宋体" w:hAnsi="宋体" w:cs="宋体"/>
                <w:color w:val="000000" w:themeColor="text1"/>
                <w:kern w:val="0"/>
                <w:szCs w:val="21"/>
                <w:highlight w:val="none"/>
                <w:lang w:bidi="ar"/>
                <w14:textFill>
                  <w14:solidFill>
                    <w14:schemeClr w14:val="tx1"/>
                  </w14:solidFill>
                </w14:textFill>
              </w:rPr>
              <w:t xml:space="preserve"> 具备公安部颁发的销售许可证</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具备版权局颁发的软件著作权证书</w:t>
            </w:r>
          </w:p>
        </w:tc>
        <w:tc>
          <w:tcPr>
            <w:tcW w:w="66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7</w:t>
            </w:r>
          </w:p>
        </w:tc>
        <w:tc>
          <w:tcPr>
            <w:tcW w:w="2083" w:type="dxa"/>
            <w:shd w:val="clear" w:color="auto" w:fill="auto"/>
            <w:tcMar>
              <w:top w:w="12" w:type="dxa"/>
              <w:left w:w="12" w:type="dxa"/>
              <w:right w:w="12" w:type="dxa"/>
            </w:tcMar>
            <w:vAlign w:val="center"/>
          </w:tcPr>
          <w:p>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 WEB应用防火墙</w:t>
            </w:r>
          </w:p>
        </w:tc>
        <w:tc>
          <w:tcPr>
            <w:tcW w:w="6450"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整机吞吐量≥50Gbps；应用层吞吐量≥2</w:t>
            </w:r>
            <w:r>
              <w:rPr>
                <w:rFonts w:ascii="宋体" w:hAnsi="宋体" w:cs="宋体"/>
                <w:color w:val="000000" w:themeColor="text1"/>
                <w:kern w:val="0"/>
                <w:szCs w:val="21"/>
                <w:highlight w:val="none"/>
                <w:lang w:bidi="ar"/>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5Gbps；http并发连结数不少于410W，http新建连接数不少于300000；标准2U机架设备,不少于6个千兆电口，2个万兆光口，并含2个高速USB2.0接口，1个RJ45串口；配置冗余电源；</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支持虚拟网线部署、透明部署、路由部署、旁路镜像等多种部署方式，适应复杂使用环境的接入要求。</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支持HTTP、HTTPS协议流量检测。</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支持XML、JSON格式解析，支持伪静态解析。</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支持通过X-Forwarded-For、Cdn-Src-Ip、Clientip三种方式识别访问的源IP、并用于日志记录和联动封锁。</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识别HTTP异常，包含HTTP方法过滤、HTTP头部字段Referer、User-Agent等注入检测、Host检测、URL溢出检测、POST实体溢出检测、HTTP头部溢出检测、range字段防护、multipart头部字段异常检测、Content-Type头部字段异常检测。</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支持超过6200种防护规则。其中Web应用防护规则超过4900种，Web应用漏洞攻击防护规则超过1300种。</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支持防护SQL注入、XSS攻击、网页木马、网站扫描、Webshell、跨站请求伪造（CSRF）、系统命令注入、文件包含攻击、目录遍历攻击、信息泄露攻击、Web漏洞攻击等。</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支持自定义Web应用防护规则，通过基于正则表达式自定义规则匹配方向、动作、字符串、危险等级、动作、攻击影响、描述等。</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支持语义引擎用于检测Web攻击，能针对不同类型的Web攻击如命令注入攻击防护等，单独选择开启或关闭语义引擎检测。</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支持业务模型学习监督功能，通过智能分析引擎对业务流量进行分析学习，建立用户业务特征模型，解决因WEB应用中因代码不规范和安全检测功能冲突导致的业务误判问题。</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支持HTTP应用隐藏，支持过滤如Server、X-powered-by类型的HTTP响应报文头，支持替换服务器出错页面（5XX）和替换服务器出错页面（4XX）。</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漏洞防扫描，包括404页面检测、WAF规则拦截频率检测、目录访问频率检测、使用不常见的HTTP请求方法、匹配强弱规则扫描、敏感文件扫描等扫描行为特征，支持自定义封锁扫描IP封锁时间、支持隐藏服务器信息。</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支持数据泄密防护；支持检测到敏感数据泄露时短信告警，支持自定义数据泄密规则库。</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支持WEB弱口令检测、WEB登录明文传输检测、WEB口令爆破防护。支持识别和拦截中低频、分布式等高级WEB口令爆破攻击方式。</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支持通过被动扫描功能，业务系统进行黑链检测、Webshell检测、漏洞风险检测、配置风险检测、弱口令账户检测。</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支持Web权限控制，支持自定义文件上传类型过滤，防止通过修改文件后缀名绕过检测。</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支持用户登录权限防护，支持Web登录和非Web登录方式防护，支持短信验证登入。</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支持针对业务风险汇总，支持展示业务安全状态分布，支持对业务详情进行展示，包括业务存在关键的风险，可以提供具体的攻击链过程并对攻击进行举证。</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支持与安全态势感知产品实现联动，Web应用防火墙支持以专属方式对接同品牌态势感知系统，供态势感知系统进行深度关联分析。</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要求所投产品具备“Web应用防护系统”计算机信息系统安全专用产品销售许可证。</w:t>
            </w:r>
          </w:p>
        </w:tc>
        <w:tc>
          <w:tcPr>
            <w:tcW w:w="66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8</w:t>
            </w:r>
          </w:p>
        </w:tc>
        <w:tc>
          <w:tcPr>
            <w:tcW w:w="2083" w:type="dxa"/>
            <w:shd w:val="clear" w:color="auto" w:fill="auto"/>
            <w:tcMar>
              <w:top w:w="12" w:type="dxa"/>
              <w:left w:w="12" w:type="dxa"/>
              <w:right w:w="12" w:type="dxa"/>
            </w:tcMar>
            <w:vAlign w:val="center"/>
          </w:tcPr>
          <w:p>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内网准入系统</w:t>
            </w:r>
          </w:p>
        </w:tc>
        <w:tc>
          <w:tcPr>
            <w:tcW w:w="6450" w:type="dxa"/>
            <w:shd w:val="clear" w:color="auto" w:fill="auto"/>
            <w:tcMar>
              <w:top w:w="12" w:type="dxa"/>
              <w:left w:w="12" w:type="dxa"/>
              <w:right w:w="12" w:type="dxa"/>
            </w:tcMar>
            <w:vAlign w:val="center"/>
          </w:tcPr>
          <w:p>
            <w:pPr>
              <w:spacing w:after="180"/>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bCs/>
                <w:color w:val="000000" w:themeColor="text1"/>
                <w:kern w:val="0"/>
                <w:szCs w:val="21"/>
                <w:highlight w:val="none"/>
                <w:lang w:bidi="ar"/>
                <w14:textFill>
                  <w14:solidFill>
                    <w14:schemeClr w14:val="tx1"/>
                  </w14:solidFill>
                </w14:textFill>
              </w:rPr>
              <w:t>性能配置：</w:t>
            </w:r>
            <w:r>
              <w:rPr>
                <w:rFonts w:hint="eastAsia" w:ascii="宋体" w:hAnsi="宋体" w:cs="宋体"/>
                <w:color w:val="000000" w:themeColor="text1"/>
                <w:kern w:val="0"/>
                <w:szCs w:val="21"/>
                <w:highlight w:val="none"/>
                <w:lang w:bidi="ar"/>
                <w14:textFill>
                  <w14:solidFill>
                    <w14:schemeClr w14:val="tx1"/>
                  </w14:solidFill>
                </w14:textFill>
              </w:rPr>
              <w:t xml:space="preserve"> 吞吐量≥5.8Gb；并发会话数≥500,000；支持用户数≥4000人；设备接口≥6个千兆电口,2个千兆光口；</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实时监控</w:t>
            </w:r>
            <w:r>
              <w:rPr>
                <w:rFonts w:hint="eastAsia" w:ascii="宋体" w:hAnsi="宋体" w:cs="宋体"/>
                <w:color w:val="000000" w:themeColor="text1"/>
                <w:kern w:val="0"/>
                <w:szCs w:val="21"/>
                <w:highlight w:val="none"/>
                <w:lang w:bidi="ar"/>
                <w14:textFill>
                  <w14:solidFill>
                    <w14:schemeClr w14:val="tx1"/>
                  </w14:solidFill>
                </w14:textFill>
              </w:rPr>
              <w:t xml:space="preserve"> ：提供设备实时CPU、内存、磁盘占有率、在线用户数、系统时间、网络接口等信息；</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首页分析显示接入用户人数、终端类型、认证方式；资产类型分布、新设备发现趋势、终端违规检查项排行、终端违规用户排行；带宽质量分析、实时流量排名；泄密风险、违规访问、共享上网等行为风险情况；</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支持多人使用同一帐号登录，且支持重复登陆检测机制，限制公共账号的使用人数；</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认证方式：</w:t>
            </w:r>
            <w:r>
              <w:rPr>
                <w:rFonts w:hint="eastAsia" w:ascii="宋体" w:hAnsi="宋体" w:cs="宋体"/>
                <w:color w:val="000000" w:themeColor="text1"/>
                <w:kern w:val="0"/>
                <w:szCs w:val="21"/>
                <w:highlight w:val="none"/>
                <w:lang w:bidi="ar"/>
                <w14:textFill>
                  <w14:solidFill>
                    <w14:schemeClr w14:val="tx1"/>
                  </w14:solidFill>
                </w14:textFill>
              </w:rPr>
              <w:t xml:space="preserve"> 支持radius、AD、POP3、Proxy、PPPOE、 H3C IMC/CAMS、锐捷 SAM、城市热点等系统进行认证单点登录，简化用户操作，可强制指定用户、指定IP段的用户必须使用单点登录；</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支持在终端用户的账号存在微信绑定关系的情况下，PC端的终端用户可以直接使用微信扫码二维码完成密码认证过程，移动端的终端用户，可以直接打开微信扫码完成密码认证过程;</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支持绑定IP认证、绑定MAC认证，及IP/MAC绑定认证等，支持通过SNMP服务器跨三层获取MAC地址；</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密码登录支持用户自注册，通过Web页面申请注册新账号，管理员审批后新账号可用，自注册同时支持portal认证和802.1x认证；</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支持通过OAuth认证协议对接，支持阿里钉钉，口袋助理，企业微信第三方账号授权认证；</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支持二维码认证，担保人扫描访客的二维码后对其网络访问授权；支持访客填写信息、担保人填写信息、免填写信息三种模式;</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终端资产管理：</w:t>
            </w:r>
            <w:r>
              <w:rPr>
                <w:rFonts w:hint="eastAsia" w:ascii="宋体" w:hAnsi="宋体" w:cs="宋体"/>
                <w:color w:val="000000" w:themeColor="text1"/>
                <w:kern w:val="0"/>
                <w:szCs w:val="21"/>
                <w:highlight w:val="none"/>
                <w:lang w:bidi="ar"/>
                <w14:textFill>
                  <w14:solidFill>
                    <w14:schemeClr w14:val="tx1"/>
                  </w14:solidFill>
                </w14:textFill>
              </w:rPr>
              <w:t xml:space="preserve"> 支持图形化查看当前内网IP使用情况，帮助管理员减少人工维护IP表的工作量；</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自动发现网络里面的终端，并获取IP、Mac、厂商、操作系统、开放服务、开放端口等信息，设备必须支持PC、移动设备、哑终端、专用设备的发现和型号识别，并且进行可视化展示</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设备必须支持能自动发现网络中通过无线上网的热点和移动终端的IP和终端类型，支持移动终端型号识别，至少识别不少于10种移动终端型号；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支持以图表方式显示移动终端接入趋势；</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共享接入管理</w:t>
            </w:r>
            <w:r>
              <w:rPr>
                <w:rFonts w:hint="eastAsia" w:ascii="宋体" w:hAnsi="宋体" w:cs="宋体"/>
                <w:color w:val="000000" w:themeColor="text1"/>
                <w:kern w:val="0"/>
                <w:szCs w:val="21"/>
                <w:highlight w:val="none"/>
                <w:lang w:bidi="ar"/>
                <w14:textFill>
                  <w14:solidFill>
                    <w14:schemeClr w14:val="tx1"/>
                  </w14:solidFill>
                </w14:textFill>
              </w:rPr>
              <w:t xml:space="preserve"> ：设备能够发现私接路由（或者共享软件等）共享网络的行为：支持自定义配置终端数量和冻结时间，和添加信任列表。</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终端安全检查</w:t>
            </w:r>
            <w:r>
              <w:rPr>
                <w:rFonts w:hint="eastAsia" w:ascii="宋体" w:hAnsi="宋体" w:cs="宋体"/>
                <w:color w:val="000000" w:themeColor="text1"/>
                <w:kern w:val="0"/>
                <w:szCs w:val="21"/>
                <w:highlight w:val="none"/>
                <w:lang w:bidi="ar"/>
                <w14:textFill>
                  <w14:solidFill>
                    <w14:schemeClr w14:val="tx1"/>
                  </w14:solidFill>
                </w14:textFill>
              </w:rPr>
              <w:t xml:space="preserve"> ：支持主流杀毒软件的运行情况、软件版本、病毒库更新时间检查，对不满足检查要求的终端可重定向页面修复、弹窗提示、限制权限、禁止上网；</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检查终端的Windows系统是否属于指定版本范围，检查终端是否运行指定进程，检查终端指定路径是否存在指定文件，检查终端注册表是否存在指定项，对不满足检查要求的终端可弹窗提示、禁止上网，可强制删除指定项；</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支持检查终端是否更新Windows重要补丁、指定补丁，对不满足检查要求的终端可弹窗提示；</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支持检查终端是否超级管理员账号上线，对不满足检查要求的终端禁止上网；</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外联检查：</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终端安全外联检查规则，终端行为包括但不限于拨号行为、双网卡行为、有4G网卡、有无线网卡行为、连接非法wifi行为、使用非法网关行为、连接外网行为、或自定义外联行为。检查到非法外联行为后，支持发送告警邮件、断网的违规处理配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支持”只能访问以下地址”和“不能访问以下地址”的配置；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外设管控</w:t>
            </w:r>
            <w:r>
              <w:rPr>
                <w:rFonts w:hint="eastAsia" w:ascii="宋体" w:hAnsi="宋体" w:cs="宋体"/>
                <w:color w:val="000000" w:themeColor="text1"/>
                <w:kern w:val="0"/>
                <w:szCs w:val="21"/>
                <w:highlight w:val="none"/>
                <w:lang w:bidi="ar"/>
                <w14:textFill>
                  <w14:solidFill>
                    <w14:schemeClr w14:val="tx1"/>
                  </w14:solidFill>
                </w14:textFill>
              </w:rPr>
              <w:t xml:space="preserve"> ：支持阻断终端用户使用外设，防止终端用户从内网拷贝信息，必须支持便携设别（手机、相机）、存储设备、网络设备、蓝牙设备、摄像头、打印机的使用管控;</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支持对终端上U盘和移动硬盘接入设置可读写、拒绝、可读、告警;</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支持允许特定的外设（包括U盘/存储设备）在终端上使用，并提供批量获取硬件ID的工具;</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终端审计</w:t>
            </w:r>
            <w:r>
              <w:rPr>
                <w:rFonts w:hint="eastAsia" w:ascii="宋体" w:hAnsi="宋体" w:cs="宋体"/>
                <w:color w:val="000000" w:themeColor="text1"/>
                <w:kern w:val="0"/>
                <w:szCs w:val="21"/>
                <w:highlight w:val="none"/>
                <w:lang w:bidi="ar"/>
                <w14:textFill>
                  <w14:solidFill>
                    <w14:schemeClr w14:val="tx1"/>
                  </w14:solidFill>
                </w14:textFill>
              </w:rPr>
              <w:t xml:space="preserve"> ：支持U盘和移动硬盘拷贝/修改/移动的文件内容以及插入和拔出行为的审计；</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厂商资质</w:t>
            </w:r>
            <w:r>
              <w:rPr>
                <w:rFonts w:hint="eastAsia" w:ascii="宋体" w:hAnsi="宋体" w:cs="宋体"/>
                <w:color w:val="000000" w:themeColor="text1"/>
                <w:kern w:val="0"/>
                <w:szCs w:val="21"/>
                <w:highlight w:val="none"/>
                <w:lang w:bidi="ar"/>
                <w14:textFill>
                  <w14:solidFill>
                    <w14:schemeClr w14:val="tx1"/>
                  </w14:solidFill>
                </w14:textFill>
              </w:rPr>
              <w:t xml:space="preserve"> ：厂商软件研发实力需通过CMMI L5认证</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厂商应是国家互联网应急响应中心网络安全应急服务国家级支撑单位</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产品资质 ：</w:t>
            </w:r>
            <w:r>
              <w:rPr>
                <w:rFonts w:hint="eastAsia" w:ascii="宋体" w:hAnsi="宋体" w:cs="宋体"/>
                <w:color w:val="000000" w:themeColor="text1"/>
                <w:kern w:val="0"/>
                <w:szCs w:val="21"/>
                <w:highlight w:val="none"/>
                <w:lang w:bidi="ar"/>
                <w14:textFill>
                  <w14:solidFill>
                    <w14:schemeClr w14:val="tx1"/>
                  </w14:solidFill>
                </w14:textFill>
              </w:rPr>
              <w:t>具备国家版权局颁发的《上网行为管理软件》软件著作权证书</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产品具有IPv6 Ready Phase-2认证证书</w:t>
            </w:r>
          </w:p>
        </w:tc>
        <w:tc>
          <w:tcPr>
            <w:tcW w:w="66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9</w:t>
            </w:r>
          </w:p>
        </w:tc>
        <w:tc>
          <w:tcPr>
            <w:tcW w:w="2083" w:type="dxa"/>
            <w:shd w:val="clear" w:color="auto" w:fill="auto"/>
            <w:tcMar>
              <w:top w:w="12" w:type="dxa"/>
              <w:left w:w="12" w:type="dxa"/>
              <w:right w:w="12" w:type="dxa"/>
            </w:tcMar>
            <w:vAlign w:val="center"/>
          </w:tcPr>
          <w:p>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数据库审计</w:t>
            </w:r>
          </w:p>
        </w:tc>
        <w:tc>
          <w:tcPr>
            <w:tcW w:w="6450"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bCs/>
                <w:color w:val="000000" w:themeColor="text1"/>
                <w:kern w:val="0"/>
                <w:szCs w:val="21"/>
                <w:highlight w:val="none"/>
                <w:lang w:bidi="ar"/>
                <w14:textFill>
                  <w14:solidFill>
                    <w14:schemeClr w14:val="tx1"/>
                  </w14:solidFill>
                </w14:textFill>
              </w:rPr>
              <w:t>性能要求：</w:t>
            </w:r>
            <w:r>
              <w:rPr>
                <w:rFonts w:hint="eastAsia" w:ascii="宋体" w:hAnsi="宋体" w:cs="宋体"/>
                <w:color w:val="000000" w:themeColor="text1"/>
                <w:kern w:val="0"/>
                <w:szCs w:val="21"/>
                <w:highlight w:val="none"/>
                <w:lang w:bidi="ar"/>
                <w14:textFill>
                  <w14:solidFill>
                    <w14:schemeClr w14:val="tx1"/>
                  </w14:solidFill>
                </w14:textFill>
              </w:rPr>
              <w:t xml:space="preserve"> 吞吐量不少于4Gbps，SQL处理性能不少于50000条SQL/s，日志检索性能不少于1000000条/秒。</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硬盘容量不少于2TB SATA，接口不少于6千兆电口+2万兆光口。</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部署模式：</w:t>
            </w:r>
            <w:r>
              <w:rPr>
                <w:rFonts w:hint="eastAsia" w:ascii="宋体" w:hAnsi="宋体" w:cs="宋体"/>
                <w:color w:val="000000" w:themeColor="text1"/>
                <w:kern w:val="0"/>
                <w:szCs w:val="21"/>
                <w:highlight w:val="none"/>
                <w:lang w:bidi="ar"/>
                <w14:textFill>
                  <w14:solidFill>
                    <w14:schemeClr w14:val="tx1"/>
                  </w14:solidFill>
                </w14:textFill>
              </w:rPr>
              <w:t xml:space="preserve"> 工作模式：数据库审计产品可以旁路镜像模式部署，不影响数据库性能和网络架构；支持多点联合部署；</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审计功能：</w:t>
            </w:r>
            <w:r>
              <w:rPr>
                <w:rFonts w:hint="eastAsia" w:ascii="宋体" w:hAnsi="宋体" w:cs="宋体"/>
                <w:color w:val="000000" w:themeColor="text1"/>
                <w:kern w:val="0"/>
                <w:szCs w:val="21"/>
                <w:highlight w:val="none"/>
                <w:lang w:bidi="ar"/>
                <w14:textFill>
                  <w14:solidFill>
                    <w14:schemeClr w14:val="tx1"/>
                  </w14:solidFill>
                </w14:textFill>
              </w:rPr>
              <w:t>支持主流数据库Oracle、SQL-Server、DB2、MySQL、Informix、Sybase、Postgresql、Cache、达梦、人大金仓、南大通用；</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支持同时审计多种数据库及跨多种数据库平台操作</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支持时间段、源IP、客户端程序、业务系统、数据库用户、数据库名、操作类型、表名、返回行数、影响行数、响应时长、响应码等对数据库日志进行精细检索；</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支持以时间、源IP、客户端程序、业务系统、数据库用户、数据库名、操作类型、表名、返回行数、影响行数、响应时长、响应码、策略、规则、风险级别、SQL模版为条件的数据库风险查询。</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数据库安全：</w:t>
            </w:r>
            <w:r>
              <w:rPr>
                <w:rFonts w:hint="eastAsia" w:ascii="宋体" w:hAnsi="宋体" w:cs="宋体"/>
                <w:color w:val="000000" w:themeColor="text1"/>
                <w:kern w:val="0"/>
                <w:szCs w:val="21"/>
                <w:highlight w:val="none"/>
                <w:lang w:bidi="ar"/>
                <w14:textFill>
                  <w14:solidFill>
                    <w14:schemeClr w14:val="tx1"/>
                  </w14:solidFill>
                </w14:textFill>
              </w:rPr>
              <w:t>内置大量SQL安全规则</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包括如下：导出方式窃取、备份方式窃取、导出可执行程序、备份方式写入恶意代码、系统命令执行、读注册表、写注册表、暴露系统信息、高权存储过程、执行本地代码、常见运维工具使用grant、业务系统使用grant、客户端sp_addrolemember提权、web端sp_addrolemember提权、查询内置敏感表、篡改内置敏感表等；</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支持自定义数据库安全策略，可根据业务需要自定义各种场景的安全规则，对于违规的数据库访问可进行实时警告和阻断；</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可以对SQL语句进行安全检测，并识别当前的SQL操作是否有暴库、撞库等严重性安全问题，如果命中了安全风险规则，那么可根据动作进行阻断、告警、记录等操作，可提示管理员作出相应的防御措施</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数据库威胁分析：</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可以通过自定义交互分析设置正常访问和异常访问视图、数据库泄密分析、图形化泄密轨迹分析、数据窃取、数据库风险、外发数据人员、受攻击业务系统、风险总次数这几个维度实时监控内网数据威胁态势并且提供交互式分析视图帮助企业快速溯源。</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支持基于SQL命令的webshell检测；支持安全感知平台联动实现数据外发泄密分析；数据库审计系统通过联动下一代防火墙可以准确阻断和防止受攻击的业务数据库泄密。</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风险分析：</w:t>
            </w:r>
            <w:r>
              <w:rPr>
                <w:rFonts w:hint="eastAsia" w:ascii="宋体" w:hAnsi="宋体" w:cs="宋体"/>
                <w:color w:val="000000" w:themeColor="text1"/>
                <w:kern w:val="0"/>
                <w:szCs w:val="21"/>
                <w:highlight w:val="none"/>
                <w:lang w:bidi="ar"/>
                <w14:textFill>
                  <w14:solidFill>
                    <w14:schemeClr w14:val="tx1"/>
                  </w14:solidFill>
                </w14:textFill>
              </w:rPr>
              <w:t xml:space="preserve"> 支持以时间、源IP、客户端程序、业务系统、数据库用户、数据库名、操作类型、表名、返回行数、影响行数、响应时长、响应码、策略、规则、风险级别、SQL模版为条件的数据库风险查询；</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系统管理：</w:t>
            </w:r>
            <w:r>
              <w:rPr>
                <w:rFonts w:hint="eastAsia" w:ascii="宋体" w:hAnsi="宋体" w:cs="宋体"/>
                <w:color w:val="000000" w:themeColor="text1"/>
                <w:kern w:val="0"/>
                <w:szCs w:val="21"/>
                <w:highlight w:val="none"/>
                <w:lang w:bidi="ar"/>
                <w14:textFill>
                  <w14:solidFill>
                    <w14:schemeClr w14:val="tx1"/>
                  </w14:solidFill>
                </w14:textFill>
              </w:rPr>
              <w:t xml:space="preserve"> 支持审计系统用户（组）管理（添加、修改、删除、停用、启用）；</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提供管理员权限设置和分权管理，提供三权分立功能，系统可以对使用人员的操作进行审计记录，可以由审计员进行查询，具有自身安全审计功能。</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支持日志备份和日志恢复；</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支持系统日志查看，系统升级，重启操作，磁盘空间自动删除系统必备功能；</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产品资质</w:t>
            </w:r>
            <w:r>
              <w:rPr>
                <w:rFonts w:hint="eastAsia" w:ascii="宋体" w:hAnsi="宋体" w:cs="宋体"/>
                <w:color w:val="000000" w:themeColor="text1"/>
                <w:kern w:val="0"/>
                <w:szCs w:val="21"/>
                <w:highlight w:val="none"/>
                <w:lang w:bidi="ar"/>
                <w14:textFill>
                  <w14:solidFill>
                    <w14:schemeClr w14:val="tx1"/>
                  </w14:solidFill>
                </w14:textFill>
              </w:rPr>
              <w:t xml:space="preserve"> ：公安部《计算机信息系统安全专用产品销售许可证》；</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国家版权局《计算机软件著作权登记证书》</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中国信息安全认证中心《中国国家信息安全产品认证证书》</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厂商资质：</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厂商具有国家计算机网络应急技术处理协调中心颁发的网络安全应急服务支撑单位证书</w:t>
            </w:r>
          </w:p>
        </w:tc>
        <w:tc>
          <w:tcPr>
            <w:tcW w:w="66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10</w:t>
            </w:r>
          </w:p>
        </w:tc>
        <w:tc>
          <w:tcPr>
            <w:tcW w:w="2083" w:type="dxa"/>
            <w:shd w:val="clear" w:color="auto" w:fill="auto"/>
            <w:tcMar>
              <w:top w:w="12" w:type="dxa"/>
              <w:left w:w="12" w:type="dxa"/>
              <w:right w:w="12" w:type="dxa"/>
            </w:tcMar>
            <w:vAlign w:val="center"/>
          </w:tcPr>
          <w:p>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等保一体机</w:t>
            </w:r>
          </w:p>
        </w:tc>
        <w:tc>
          <w:tcPr>
            <w:tcW w:w="6450"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bCs/>
                <w:color w:val="000000" w:themeColor="text1"/>
                <w:kern w:val="0"/>
                <w:szCs w:val="21"/>
                <w:highlight w:val="none"/>
                <w:lang w:bidi="ar"/>
                <w14:textFill>
                  <w14:solidFill>
                    <w14:schemeClr w14:val="tx1"/>
                  </w14:solidFill>
                </w14:textFill>
              </w:rPr>
              <w:t>硬件参数：</w:t>
            </w:r>
            <w:r>
              <w:rPr>
                <w:rFonts w:hint="eastAsia" w:ascii="宋体" w:hAnsi="宋体" w:cs="宋体"/>
                <w:color w:val="000000" w:themeColor="text1"/>
                <w:kern w:val="0"/>
                <w:szCs w:val="21"/>
                <w:highlight w:val="none"/>
                <w:lang w:bidi="ar"/>
                <w14:textFill>
                  <w14:solidFill>
                    <w14:schemeClr w14:val="tx1"/>
                  </w14:solidFill>
                </w14:textFill>
              </w:rPr>
              <w:t xml:space="preserve"> CPU≥2颗 12核 2.4Ghz 内存≥128GB 硬盘≥4TB SATA 网口≥千兆电口*6、≥万兆光口*2</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产品形态 产品支持软、硬件一体化与软硬件解耦两种部署方式</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部署模式 支持网桥、路由、旁路模式部署</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基本要求：</w:t>
            </w:r>
            <w:r>
              <w:rPr>
                <w:rFonts w:hint="eastAsia" w:ascii="宋体" w:hAnsi="宋体" w:cs="宋体"/>
                <w:color w:val="000000" w:themeColor="text1"/>
                <w:kern w:val="0"/>
                <w:szCs w:val="21"/>
                <w:highlight w:val="none"/>
                <w:lang w:bidi="ar"/>
                <w14:textFill>
                  <w14:solidFill>
                    <w14:schemeClr w14:val="tx1"/>
                  </w14:solidFill>
                </w14:textFill>
              </w:rPr>
              <w:t xml:space="preserve"> 平台包含下一代防火墙组件、SSL VPN组件、上网行为管理组件、数据库审计组件、运维审计组件、日志审计组件、主机杀毒等安全功能组件，本次提供堡垒机（100接入授权）、日志审计（50接入授权）漏洞扫描（50并发扫描授权）；</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平台可根据实际业务环境定义业务安全区域，简化运维管理；</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平台首页可以展示详细主机状态、磁盘状态及应用状态，以及业务遭受的入侵风险、僵尸主机风险及外发流量异常等相关安全信息；</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平台支持模板化的组件部署模式，至少支持出口边界安全模板、等保合规安全模板</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支持内置的安全市场，可根据业务需要灵活选择所需要的安全产品，且安全市场产品至少提供内置的3个月测试授权使用期限；</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支持故障迁移功能，当主机发生故障迁移后，可自动将组件迁移到其他主机上运行；</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为了提供更好的排障手段，支持在平台内节点抓包分析分析功能，能够设置抓包的网口、过滤条件、文件大小等参数</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业务、用户风险界面，支持针对业务、用户的风险事件进行分类，至少包含已经明确失陷的业务以及业务的威胁、脆弱性分析。同时能够针对已经实现、具备威胁与脆弱性不同阶段的安全事件进行等级描述、定位事件从何种安全组件上报，是否处理以及安全事件详情。</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堡垒机功能要求：</w:t>
            </w:r>
            <w:r>
              <w:rPr>
                <w:rFonts w:hint="eastAsia" w:ascii="宋体" w:hAnsi="宋体" w:cs="宋体"/>
                <w:color w:val="000000" w:themeColor="text1"/>
                <w:kern w:val="0"/>
                <w:szCs w:val="21"/>
                <w:highlight w:val="none"/>
                <w:lang w:bidi="ar"/>
                <w14:textFill>
                  <w14:solidFill>
                    <w14:schemeClr w14:val="tx1"/>
                  </w14:solidFill>
                </w14:textFill>
              </w:rPr>
              <w:t xml:space="preserve"> 字符协议：SSHv1、SSHv2、TELNET；图形协议：RDP、VNC；文件传输协议：FTP、SFTP、RDP磁盘映射、RDP剪切板；支持通过协议前置机进行协议扩展，至少支持扩展KVM、Vmware、数据库、http/https、CS应用等</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全面支持Windows、linux、国产麒麟系统、Android、IOS、Mac OS等客户端操作系统下的H5页面一站式运维，实现跨终端适应性BYOD（Bring Your Own Device）</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用户登陆认证方式支持静态口令认证、手机动态口令认证、Usbkey（数字证书）认证、AD域认证、Radius认证等认证方式；并支持各种认证方式和静态口令组合认证设定用户有效期。</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支持unix资源、windows资源、网络设备资源、数据库资源、C/S资源、B/S资源</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支持RDP安全模式（RDP、NLA、TLS、ANY）设置，以适应RDP-Tcp属性中的所有功能配置，包括加密级别为客户端兼容、低、高、符合FIPS标准等加密级别</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支持网络设备enable和unix主机su等身份切换的单点登录功能</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支持一对一、一对多、多对多授权，如将单个资产授权多个用户，一个用户授予多个资产，用户组向资产组授权</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定期变更目标设备真实口令，支持自定义口令变更周期和口令强度。口令变更方式至少支持手动指定固定口令、通过密码表生成口令、依照设备挂载的口令策略生成随机口令、依照密码策略生成同一口令等方式</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支持web页面直接发起运维，无需安装任何控件，并同时支持调用SecureCRT、Xshell、Putty、WinSCP、FileZilla、RDP等客户端工具实现单点登陆，不改变运维人员操作习惯</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日志审计功能要求：</w:t>
            </w:r>
            <w:r>
              <w:rPr>
                <w:rFonts w:hint="eastAsia" w:ascii="宋体" w:hAnsi="宋体" w:cs="宋体"/>
                <w:color w:val="000000" w:themeColor="text1"/>
                <w:kern w:val="0"/>
                <w:szCs w:val="21"/>
                <w:highlight w:val="none"/>
                <w:lang w:bidi="ar"/>
                <w14:textFill>
                  <w14:solidFill>
                    <w14:schemeClr w14:val="tx1"/>
                  </w14:solidFill>
                </w14:textFill>
              </w:rPr>
              <w:t xml:space="preserve"> 支持多种输入方式、搜索框模糊搜索、指定语段进行语法搜索；可根据时间、严重等级等进行组合查询；可根据具体设备、来源/目的所属（可具体到外网、内网资产等）、IP地址、特征ID、URL进行具体条件搜索；支持日志进行定时刷新</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以标准syslog等形式接收第三方设备的日志并存储；支持FTP、Webservice、JDBC的日志数据拉取接入方式；支持通过agent、wmi接口采集windows日志；支持对常见安全设备日志范式解析；支持通过SIEM日志解析引擎对第三方日志接入模块进行统一独立的升级维护</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在新增设备时，可指定字段设置过滤条件；支持指定字段进行过滤，且可指定多个字段，默认支持AND的关系</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可自定义设置日志存储天数，容量告警提示等；满足存储超过6个月以上的合规要求</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基于logstash的接入架构，可供多台设备同时接入同步数据，并实时分析展示</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通过接入序列号控制接入设备的个数，主要支持网络设备、安全设备、操作系统、中间件、数据库等设备的日志接入，可以获取到设备的传输日志量，设备同步数据状态等信息</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不少于40+条审计策略，包括操作系统、数据库；可启用/禁用策略，默认匹配上后都会产生页面告警，支持开启邮件告警</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不少于80+条关联规则，包括主机异常、账号异常、权限异常等；支持新增统计类规则，可启用/禁用规则</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支持不晒与750+第三方日志采集器</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内置主机安全报表（linux）、主机安全报表（windows）、数据库安全报表、网络设备安全报表、应用安全报表五种；支持导出日报、周报、月报</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漏洞扫描功能要求 主机类支持：windows、Unix、solaris、HP-Unix、AIX、 Linux等</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网络设备支持：华为、H3C、Cisco、Juniper、中兴等，防火墙：华为、天融信、H3C、Fortigate、Cisco、Juniper、迪普防火墙等，</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数据库支持：Mysql、DB2、Oracle、Sqlserver、Sybase等，中间件：Tomcat、IIS、Webservices、Apache、Weblogic、Resin、Nginx等，虚拟化平台：VMware ESXi、VMware Center、XenServer</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支持扫描器登录到目标系统中对特定应用进行深入扫描</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资质要求：</w:t>
            </w:r>
            <w:r>
              <w:rPr>
                <w:rFonts w:hint="eastAsia" w:ascii="宋体" w:hAnsi="宋体" w:cs="宋体"/>
                <w:color w:val="000000" w:themeColor="text1"/>
                <w:kern w:val="0"/>
                <w:szCs w:val="21"/>
                <w:highlight w:val="none"/>
                <w:lang w:bidi="ar"/>
                <w14:textFill>
                  <w14:solidFill>
                    <w14:schemeClr w14:val="tx1"/>
                  </w14:solidFill>
                </w14:textFill>
              </w:rPr>
              <w:t xml:space="preserve"> 提供《计算机软件著作权》；</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提供《计算机信息系统安全专用产品销售许可证》；</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所投产品厂商为国家互联网应急中心CNCERT国家级网络安全应急服务支撑单位；</w:t>
            </w:r>
          </w:p>
        </w:tc>
        <w:tc>
          <w:tcPr>
            <w:tcW w:w="66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11</w:t>
            </w:r>
          </w:p>
        </w:tc>
        <w:tc>
          <w:tcPr>
            <w:tcW w:w="2083" w:type="dxa"/>
            <w:shd w:val="clear" w:color="auto" w:fill="auto"/>
            <w:tcMar>
              <w:top w:w="12" w:type="dxa"/>
              <w:left w:w="12" w:type="dxa"/>
              <w:right w:w="12" w:type="dxa"/>
            </w:tcMar>
            <w:vAlign w:val="center"/>
          </w:tcPr>
          <w:p>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终端检测响应系统</w:t>
            </w:r>
          </w:p>
        </w:tc>
        <w:tc>
          <w:tcPr>
            <w:tcW w:w="6450"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b/>
                <w:bCs/>
                <w:color w:val="000000" w:themeColor="text1"/>
                <w:kern w:val="0"/>
                <w:szCs w:val="21"/>
                <w:highlight w:val="none"/>
                <w:lang w:bidi="ar"/>
                <w14:textFill>
                  <w14:solidFill>
                    <w14:schemeClr w14:val="tx1"/>
                  </w14:solidFill>
                </w14:textFill>
              </w:rPr>
              <w:t>产品形态:</w:t>
            </w:r>
            <w:r>
              <w:rPr>
                <w:rFonts w:hint="eastAsia" w:ascii="宋体" w:hAnsi="宋体" w:cs="宋体"/>
                <w:color w:val="000000" w:themeColor="text1"/>
                <w:kern w:val="0"/>
                <w:szCs w:val="21"/>
                <w:highlight w:val="none"/>
                <w:lang w:bidi="ar"/>
                <w14:textFill>
                  <w14:solidFill>
                    <w14:schemeClr w14:val="tx1"/>
                  </w14:solidFill>
                </w14:textFill>
              </w:rPr>
              <w:t xml:space="preserve"> 服务器授权40个；普通PC授权300个</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产品是软件形态，包含管理平台和终端Agent软件；</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Agent软件支持32位和64位的Windows系统、64位的Linux系统、MAC系统。</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部署方式:</w:t>
            </w:r>
            <w:r>
              <w:rPr>
                <w:rFonts w:hint="eastAsia" w:ascii="宋体" w:hAnsi="宋体" w:cs="宋体"/>
                <w:color w:val="000000" w:themeColor="text1"/>
                <w:kern w:val="0"/>
                <w:szCs w:val="21"/>
                <w:highlight w:val="none"/>
                <w:lang w:bidi="ar"/>
                <w14:textFill>
                  <w14:solidFill>
                    <w14:schemeClr w14:val="tx1"/>
                  </w14:solidFill>
                </w14:textFill>
              </w:rPr>
              <w:t xml:space="preserve"> 无需安装任何其他软件和专用设备硬件，采用基于X86服务器或虚拟服务器即可完成平台部署；终端Agent软件可以通过软件安装或虚拟机模板的方式进行安装。</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全网威胁展示:</w:t>
            </w:r>
            <w:r>
              <w:rPr>
                <w:rFonts w:hint="eastAsia" w:ascii="宋体" w:hAnsi="宋体" w:cs="宋体"/>
                <w:color w:val="000000" w:themeColor="text1"/>
                <w:kern w:val="0"/>
                <w:szCs w:val="21"/>
                <w:highlight w:val="none"/>
                <w:lang w:bidi="ar"/>
                <w14:textFill>
                  <w14:solidFill>
                    <w14:schemeClr w14:val="tx1"/>
                  </w14:solidFill>
                </w14:textFill>
              </w:rPr>
              <w:t xml:space="preserve"> 采用B/S架构的管理控制中心，具备终端安全可视，终端统一管理，统一威胁处置，统一漏洞修复，威胁响应处置，日志记录与查询等功能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支持全网风险展示，包括但不限于未处理的勒索病毒数量、暴力破解数量、WebShell后门数量、高危漏洞及其各自影响的终端数量</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支持按“最近7天”、“最近30天”、“最近三个月”不同时间维度展示病毒查杀事件爆发趋势和病毒TOP5排行榜，并展示对应的事件数及终端数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支持跳转链接至云端安全威胁响应系统，针对已发生的病毒的基本信息，影响分析（客户情况、影响行业、区域分布）、威胁分析和处理建议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 xml:space="preserve">终端配置管理: </w:t>
            </w:r>
            <w:r>
              <w:rPr>
                <w:rFonts w:hint="eastAsia" w:ascii="宋体" w:hAnsi="宋体" w:cs="宋体"/>
                <w:color w:val="000000" w:themeColor="text1"/>
                <w:kern w:val="0"/>
                <w:szCs w:val="21"/>
                <w:highlight w:val="none"/>
                <w:lang w:bidi="ar"/>
                <w14:textFill>
                  <w14:solidFill>
                    <w14:schemeClr w14:val="tx1"/>
                  </w14:solidFill>
                </w14:textFill>
              </w:rPr>
              <w:t>支持按照扫描网段、扫描方式、扫描协议、扫描端口对终端进行扫描，及时发现尚未纳入管控的终端</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支持安全策略一体化配置；资产统一清点，包括不限于操作系统、应用软件、端口哦、硬件信息（CPU、内存、硬盘等）；</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支持对系统高危端口执行一键封堵</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对系统账号信息进行梳理，了解账号权限分布概况以及风险账号分布情况，可按照隐藏账号、弱密码账号、可疑root权限账号、长期未使用账号、夜间登录、多IP登录进行账号分类查看，支持统计最近一年未修改密码的账户</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支持对在线终端下发实时通知消息</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威胁防御:</w:t>
            </w:r>
            <w:r>
              <w:rPr>
                <w:rFonts w:hint="eastAsia" w:ascii="宋体" w:hAnsi="宋体" w:cs="宋体"/>
                <w:color w:val="000000" w:themeColor="text1"/>
                <w:kern w:val="0"/>
                <w:szCs w:val="21"/>
                <w:highlight w:val="none"/>
                <w:lang w:bidi="ar"/>
                <w14:textFill>
                  <w14:solidFill>
                    <w14:schemeClr w14:val="tx1"/>
                  </w14:solidFill>
                </w14:textFill>
              </w:rPr>
              <w:t xml:space="preserve"> 具备基于人工智能的检测引擎，支持无特征检测技术，有效应对恶意代码及其变种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支持agent安装目录的文件保护，可以保护agent目录和文件实时监控驱动文件，可以保护agent的服务/进程/文件不被恶意删除，以免影响正常功能，导致用户的终端受到病毒入侵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支持对zip， rar， jar， cab， 7z等常见压缩文件的扫描检测，支持压缩文件层级进行策略配置，最大可配置检查10层压缩文件</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支持禁止黑客工具启动，包含：冰刃、xuetr、ProcessHacker、PCHunter、火绒剑、Mimikatz的自启动，可以防止黑客攻击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支持客户端防卸载，客户端卸载需要输入密码才能卸载，避免非管理员卸载终端，造成终端安全真空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支持对来自Internet、E-mail或是光盘、移动存储、网络等各种入口渠道病毒进行实时检测</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展示终端检测到的WebShell事件及事件详情，包括：恶意文件名称，威胁等级，受感染的文件，发现时间，检测引擎，文件类型，文件名，文件Hash值，文件大小，文件创建时间；可配置WebShell实时扫描，一旦发现WebShell文件，可自动隔离或仅上报不隔离</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支持对服务器重要目录进行权限控制，仅允许配置的可信进程操作该目录并提供配置指引</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支持windows服务器RDP远程登录保护，可开启RDP远程登录二次认证，以防止黑客对服务器的入侵。还可开启RDP文件加白功能，避免黑客入侵服务器后使用EDR对文件/目录加白，加密这些文档进行勒索</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补丁管理 支持对终端的漏洞情况进行扫描，并查看漏洞具体情况及KB号，并显示具体修复情况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支持流行Windows高危漏洞的轻补丁免疫防御，支持支持Windows补丁批量一键修复</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 xml:space="preserve">微隔离: </w:t>
            </w:r>
            <w:r>
              <w:rPr>
                <w:rFonts w:hint="eastAsia" w:ascii="宋体" w:hAnsi="宋体" w:cs="宋体"/>
                <w:color w:val="000000" w:themeColor="text1"/>
                <w:kern w:val="0"/>
                <w:szCs w:val="21"/>
                <w:highlight w:val="none"/>
                <w:lang w:bidi="ar"/>
                <w14:textFill>
                  <w14:solidFill>
                    <w14:schemeClr w14:val="tx1"/>
                  </w14:solidFill>
                </w14:textFill>
              </w:rPr>
              <w:t>支持基于IP（组）、服务和角色维度进行配置项设置，对终端网络访问进行控制</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联动响应:</w:t>
            </w:r>
            <w:r>
              <w:rPr>
                <w:rFonts w:hint="eastAsia" w:ascii="宋体" w:hAnsi="宋体" w:cs="宋体"/>
                <w:color w:val="000000" w:themeColor="text1"/>
                <w:kern w:val="0"/>
                <w:szCs w:val="21"/>
                <w:highlight w:val="none"/>
                <w:lang w:bidi="ar"/>
                <w14:textFill>
                  <w14:solidFill>
                    <w14:schemeClr w14:val="tx1"/>
                  </w14:solidFill>
                </w14:textFill>
              </w:rPr>
              <w:t xml:space="preserve"> 支持管理员在同厂商的安全感知平台管理界面下发一键隔离指令，对终端所有连接进行阻断，防止病毒进一步扩散 （需提供产品截图证明）支持与同厂商的网络防火墙进行安全联动，管理员可以在网络防火墙管理界面下发快速查杀任务，并查看任务状态、结果并进行处置，支持在管理平台查询和统计联动信息。支持管理员在同厂商的网络防火墙管理界面下发一键隔离指令，对终端恶意文件进行隔离，防止病毒进一步扩散</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厂商资质 厂商软件研发实力需通过CMMI L5认证</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厂商应是国家互联网应急响应中心网络安全应急服务国家级支撑单位</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产品资质 具备公安部颁发的销售许可证</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具备版权局颁发的软件著作权证书</w:t>
            </w:r>
          </w:p>
        </w:tc>
        <w:tc>
          <w:tcPr>
            <w:tcW w:w="66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12</w:t>
            </w:r>
          </w:p>
        </w:tc>
        <w:tc>
          <w:tcPr>
            <w:tcW w:w="2083" w:type="dxa"/>
            <w:shd w:val="clear" w:color="auto" w:fill="auto"/>
            <w:tcMar>
              <w:top w:w="12" w:type="dxa"/>
              <w:left w:w="12" w:type="dxa"/>
              <w:right w:w="12" w:type="dxa"/>
            </w:tcMar>
            <w:vAlign w:val="center"/>
          </w:tcPr>
          <w:p>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安全隔离与信息交换系统</w:t>
            </w:r>
          </w:p>
        </w:tc>
        <w:tc>
          <w:tcPr>
            <w:tcW w:w="6450"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bCs/>
                <w:color w:val="000000" w:themeColor="text1"/>
                <w:kern w:val="0"/>
                <w:szCs w:val="21"/>
                <w:highlight w:val="none"/>
                <w:lang w:bidi="ar"/>
                <w14:textFill>
                  <w14:solidFill>
                    <w14:schemeClr w14:val="tx1"/>
                  </w14:solidFill>
                </w14:textFill>
              </w:rPr>
              <w:t>硬件性能 性能参数</w:t>
            </w:r>
            <w:r>
              <w:rPr>
                <w:rFonts w:hint="eastAsia" w:ascii="宋体" w:hAnsi="宋体" w:cs="宋体"/>
                <w:color w:val="000000" w:themeColor="text1"/>
                <w:kern w:val="0"/>
                <w:szCs w:val="21"/>
                <w:highlight w:val="none"/>
                <w:lang w:bidi="ar"/>
                <w14:textFill>
                  <w14:solidFill>
                    <w14:schemeClr w14:val="tx1"/>
                  </w14:solidFill>
                </w14:textFill>
              </w:rPr>
              <w:t>：吞吐量 （网络层流量）不少于1Gbps，最大并发连接数不少于50万。标配提供文件交换、数据库访问和同步、视频交换、组播代理、访问交换等功能模块。2U设备，“双主机+隔离卡”架构，单主机硬件信息：不少于6电4光。</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管理接口:</w:t>
            </w:r>
            <w:r>
              <w:rPr>
                <w:rFonts w:hint="eastAsia" w:ascii="宋体" w:hAnsi="宋体" w:cs="宋体"/>
                <w:color w:val="000000" w:themeColor="text1"/>
                <w:kern w:val="0"/>
                <w:szCs w:val="21"/>
                <w:highlight w:val="none"/>
                <w:lang w:bidi="ar"/>
                <w14:textFill>
                  <w14:solidFill>
                    <w14:schemeClr w14:val="tx1"/>
                  </w14:solidFill>
                </w14:textFill>
              </w:rPr>
              <w:t xml:space="preserve"> 外网端不允许配置任何形式的管理接口，所有管理配置操作均通过专用的网闸内网可信端管理接口进行配置。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部署模式</w:t>
            </w:r>
            <w:r>
              <w:rPr>
                <w:rFonts w:hint="eastAsia" w:ascii="宋体" w:hAnsi="宋体" w:cs="宋体"/>
                <w:color w:val="000000" w:themeColor="text1"/>
                <w:kern w:val="0"/>
                <w:szCs w:val="21"/>
                <w:highlight w:val="none"/>
                <w:lang w:bidi="ar"/>
                <w14:textFill>
                  <w14:solidFill>
                    <w14:schemeClr w14:val="tx1"/>
                  </w14:solidFill>
                </w14:textFill>
              </w:rPr>
              <w:t xml:space="preserve"> :设备支持透明、代理及路由三种工作模式，管理员可依据实际网络状况进行相应的部署。</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IPV6、IPV4:</w:t>
            </w:r>
            <w:r>
              <w:rPr>
                <w:rFonts w:hint="eastAsia" w:ascii="宋体" w:hAnsi="宋体" w:cs="宋体"/>
                <w:color w:val="000000" w:themeColor="text1"/>
                <w:kern w:val="0"/>
                <w:szCs w:val="21"/>
                <w:highlight w:val="none"/>
                <w:lang w:bidi="ar"/>
                <w14:textFill>
                  <w14:solidFill>
                    <w14:schemeClr w14:val="tx1"/>
                  </w14:solidFill>
                </w14:textFill>
              </w:rPr>
              <w:t xml:space="preserve"> 支持IPV6、IPV4双协议栈接入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内置应用:</w:t>
            </w:r>
            <w:r>
              <w:rPr>
                <w:rFonts w:hint="eastAsia" w:ascii="宋体" w:hAnsi="宋体" w:cs="宋体"/>
                <w:color w:val="000000" w:themeColor="text1"/>
                <w:kern w:val="0"/>
                <w:szCs w:val="21"/>
                <w:highlight w:val="none"/>
                <w:lang w:bidi="ar"/>
                <w14:textFill>
                  <w14:solidFill>
                    <w14:schemeClr w14:val="tx1"/>
                  </w14:solidFill>
                </w14:textFill>
              </w:rPr>
              <w:t xml:space="preserve"> 产品内置各类应用支持模块，无须用户增加投资，功能模块至少包含：邮件模块、安全浏览模块、视频交换模块、数据库访问模块、数据库同步模块、文件交换模块、OPC模块、MODBUS模块、WINCC模块、组播代理模块、用户自定义应用模块等各类应用模块,并可控制相应应用协议的的动作、参数、内容。</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文件交换:</w:t>
            </w:r>
            <w:r>
              <w:rPr>
                <w:rFonts w:hint="eastAsia" w:ascii="宋体" w:hAnsi="宋体" w:cs="宋体"/>
                <w:color w:val="000000" w:themeColor="text1"/>
                <w:kern w:val="0"/>
                <w:szCs w:val="21"/>
                <w:highlight w:val="none"/>
                <w:lang w:bidi="ar"/>
                <w14:textFill>
                  <w14:solidFill>
                    <w14:schemeClr w14:val="tx1"/>
                  </w14:solidFill>
                </w14:textFill>
              </w:rPr>
              <w:t xml:space="preserve"> 支持Samba、FTP等多种文件协议，可以实现内网到外网、外网到内网、双向的文件传送。</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支持对文件类型的黑白名单控制，根据文件格式特征进行过滤，并且不依赖于文件扩展名；</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支持文件内容深度检测，对包含关键字内容的文件进行过滤</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支持增量传输、传输后删除等传输策略；</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支持目录内子目录同步，子目录级别不受限制；</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支持文件交换容错和告警功能，交换出错能够自动重传，出现异常能够告警提示并记录日志；</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可通过专用客户端或共享方式提供安全的文件同步功能</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支持平台级联和视频点播功能</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支持RTP/RTCP、H.323、H.264等协议。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符合GB/T 28181国家标准，支持相关厂商协议规范</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支持SIP信令控制，可控制云台</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支持海康、大华、华为、华三、公安一所、天地伟业、天视达、宇视、科达、数码视讯、藏愚、合众、汉邦等视频厂商。</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数据库同步:</w:t>
            </w:r>
            <w:r>
              <w:rPr>
                <w:rFonts w:hint="eastAsia" w:ascii="宋体" w:hAnsi="宋体" w:cs="宋体"/>
                <w:color w:val="000000" w:themeColor="text1"/>
                <w:kern w:val="0"/>
                <w:szCs w:val="21"/>
                <w:highlight w:val="none"/>
                <w:lang w:bidi="ar"/>
                <w14:textFill>
                  <w14:solidFill>
                    <w14:schemeClr w14:val="tx1"/>
                  </w14:solidFill>
                </w14:textFill>
              </w:rPr>
              <w:t xml:space="preserve"> 支持Oracle、SQLServer、Mysql、Sybase、DB2、Mariadb、Postgresql等多种主流国外数据库的同步和国产达梦、人大金仓、南大通用、神舟通用、优炫数据库的同步</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支持同构、异构数据库之间的同步，如Mysql同步至Oracle。</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支持字段级数据同步，仅同步表中某几个字段。</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支持BLOB、CLOB等大字段的同步。</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同步功能由网闸主动发起并完成，无需在数据库安装方软件，支持Windows、Linux、Unix 等多种数据库操作系统，且网闸无需开放端口以杜绝安全隐患；</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同时支持客户端方式，提供更高性能的数据库同步。</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支持数据库同步实时日志记录，提供日志审计、查询</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数据库访问</w:t>
            </w:r>
            <w:r>
              <w:rPr>
                <w:rFonts w:hint="eastAsia" w:ascii="宋体" w:hAnsi="宋体" w:cs="宋体"/>
                <w:color w:val="000000" w:themeColor="text1"/>
                <w:kern w:val="0"/>
                <w:szCs w:val="21"/>
                <w:highlight w:val="none"/>
                <w:lang w:bidi="ar"/>
                <w14:textFill>
                  <w14:solidFill>
                    <w14:schemeClr w14:val="tx1"/>
                  </w14:solidFill>
                </w14:textFill>
              </w:rPr>
              <w:t xml:space="preserve"> :支持Oracle、DB2、SyBase、SQL Server、MySql等主流数据库的安全访问，实现内外网之间数据库及表内容安全传输。</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支持任务单独启停管理，不影响数据库同步的其他任务运行。</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支持对访问源地址、目的地址、本机地址和端口的自定义访问控制。</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安全浏览</w:t>
            </w:r>
            <w:r>
              <w:rPr>
                <w:rFonts w:hint="eastAsia" w:ascii="宋体" w:hAnsi="宋体" w:cs="宋体"/>
                <w:color w:val="000000" w:themeColor="text1"/>
                <w:kern w:val="0"/>
                <w:szCs w:val="21"/>
                <w:highlight w:val="none"/>
                <w:lang w:bidi="ar"/>
                <w14:textFill>
                  <w14:solidFill>
                    <w14:schemeClr w14:val="tx1"/>
                  </w14:solidFill>
                </w14:textFill>
              </w:rPr>
              <w:t xml:space="preserve"> :支持应用层指令控制，如GET、POST、PUT、HEAD、CONNECT等。</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可限制用户行为，如只允许浏览不允许登陆等</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支持代理模式</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支持URL地址过滤，并可限制网页中的Script脚本、ActiveX脚本、java applet等</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支持关键字网页过滤；</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支持对下载文件的大小、类型过滤；</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邮件交换:</w:t>
            </w:r>
            <w:r>
              <w:rPr>
                <w:rFonts w:hint="eastAsia" w:ascii="宋体" w:hAnsi="宋体" w:cs="宋体"/>
                <w:color w:val="000000" w:themeColor="text1"/>
                <w:kern w:val="0"/>
                <w:szCs w:val="21"/>
                <w:highlight w:val="none"/>
                <w:lang w:bidi="ar"/>
                <w14:textFill>
                  <w14:solidFill>
                    <w14:schemeClr w14:val="tx1"/>
                  </w14:solidFill>
                </w14:textFill>
              </w:rPr>
              <w:t xml:space="preserve"> 支持SMTP、POP3协议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支持邮件地址、附件、主题、内容等进行过滤。</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支持附件大小、附件格式控制；支持发件人、收件人过滤。</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TCP应用传输:</w:t>
            </w:r>
            <w:r>
              <w:rPr>
                <w:rFonts w:hint="eastAsia" w:ascii="宋体" w:hAnsi="宋体" w:cs="宋体"/>
                <w:color w:val="000000" w:themeColor="text1"/>
                <w:kern w:val="0"/>
                <w:szCs w:val="21"/>
                <w:highlight w:val="none"/>
                <w:lang w:bidi="ar"/>
                <w14:textFill>
                  <w14:solidFill>
                    <w14:schemeClr w14:val="tx1"/>
                  </w14:solidFill>
                </w14:textFill>
              </w:rPr>
              <w:t xml:space="preserve"> 支持TCP应用层数据单向传输的控制，保证TCP应用数据的0反馈，以满足二次防护对数据传输的安全性需求。</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支持MODBUS协议，可按照用户需求控制具体功能代码，比如控制线圈、值域范围等</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产品资质</w:t>
            </w:r>
            <w:r>
              <w:rPr>
                <w:rFonts w:hint="eastAsia" w:ascii="宋体" w:hAnsi="宋体" w:cs="宋体"/>
                <w:color w:val="000000" w:themeColor="text1"/>
                <w:kern w:val="0"/>
                <w:szCs w:val="21"/>
                <w:highlight w:val="none"/>
                <w:lang w:bidi="ar"/>
                <w14:textFill>
                  <w14:solidFill>
                    <w14:schemeClr w14:val="tx1"/>
                  </w14:solidFill>
                </w14:textFill>
              </w:rPr>
              <w:t xml:space="preserve"> 公安部《计算机信息系统安全专用产品销售许可证》；</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网络关键设备和网络安全专用产品安全认证&amp;中国国家信息安全产品认证证书（ISCCC证书）</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厂商资质:</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要求 厂商软件研发实力需通过CMMI L5认证</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厂商应是国家互联网应急响应中心网络安全应急服务国家级支撑单位</w:t>
            </w:r>
          </w:p>
        </w:tc>
        <w:tc>
          <w:tcPr>
            <w:tcW w:w="66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bl>
    <w:p>
      <w:pPr>
        <w:rPr>
          <w:color w:val="000000" w:themeColor="text1"/>
          <w:highlight w:val="none"/>
          <w14:textFill>
            <w14:solidFill>
              <w14:schemeClr w14:val="tx1"/>
            </w14:solidFill>
          </w14:textFill>
        </w:rPr>
      </w:pPr>
      <w:r>
        <w:rPr>
          <w:rFonts w:hint="eastAsia" w:ascii="Tahoma" w:hAnsi="黑体" w:eastAsia="黑体" w:cs="Tahoma"/>
          <w:b/>
          <w:color w:val="000000" w:themeColor="text1"/>
          <w:szCs w:val="21"/>
          <w:highlight w:val="none"/>
          <w14:textFill>
            <w14:solidFill>
              <w14:schemeClr w14:val="tx1"/>
            </w14:solidFill>
          </w14:textFill>
        </w:rPr>
        <w:t>4.3、灾备业务承载平台资源池</w:t>
      </w:r>
    </w:p>
    <w:tbl>
      <w:tblPr>
        <w:tblStyle w:val="20"/>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7"/>
        <w:gridCol w:w="2084"/>
        <w:gridCol w:w="6433"/>
        <w:gridCol w:w="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7" w:type="dxa"/>
            <w:shd w:val="clear" w:color="auto" w:fill="auto"/>
            <w:tcMar>
              <w:top w:w="12" w:type="dxa"/>
              <w:left w:w="12" w:type="dxa"/>
              <w:right w:w="12" w:type="dxa"/>
            </w:tcMar>
            <w:vAlign w:val="center"/>
          </w:tcPr>
          <w:p>
            <w:pPr>
              <w:snapToGrid w:val="0"/>
              <w:ind w:left="425" w:hanging="425"/>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序号</w:t>
            </w:r>
          </w:p>
        </w:tc>
        <w:tc>
          <w:tcPr>
            <w:tcW w:w="2084" w:type="dxa"/>
            <w:shd w:val="clear" w:color="auto" w:fill="auto"/>
            <w:tcMar>
              <w:top w:w="12" w:type="dxa"/>
              <w:left w:w="12" w:type="dxa"/>
              <w:right w:w="12" w:type="dxa"/>
            </w:tcMar>
            <w:vAlign w:val="center"/>
          </w:tcPr>
          <w:p>
            <w:pPr>
              <w:snapToGrid w:val="0"/>
              <w:ind w:left="425" w:hanging="425"/>
              <w:jc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商品名称</w:t>
            </w:r>
          </w:p>
        </w:tc>
        <w:tc>
          <w:tcPr>
            <w:tcW w:w="6433"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技术规格</w:t>
            </w:r>
          </w:p>
        </w:tc>
        <w:tc>
          <w:tcPr>
            <w:tcW w:w="664" w:type="dxa"/>
            <w:shd w:val="clear" w:color="auto" w:fill="auto"/>
            <w:tcMar>
              <w:top w:w="12" w:type="dxa"/>
              <w:left w:w="12" w:type="dxa"/>
              <w:right w:w="12" w:type="dxa"/>
            </w:tcMar>
            <w:vAlign w:val="center"/>
          </w:tcPr>
          <w:p>
            <w:pPr>
              <w:snapToGrid w:val="0"/>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w:t>
            </w:r>
          </w:p>
        </w:tc>
        <w:tc>
          <w:tcPr>
            <w:tcW w:w="2084" w:type="dxa"/>
            <w:shd w:val="clear" w:color="auto" w:fill="auto"/>
            <w:tcMar>
              <w:top w:w="12" w:type="dxa"/>
              <w:left w:w="12" w:type="dxa"/>
              <w:right w:w="12" w:type="dxa"/>
            </w:tcMar>
            <w:vAlign w:val="center"/>
          </w:tcPr>
          <w:p>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超融合资源池平台服务器</w:t>
            </w:r>
          </w:p>
        </w:tc>
        <w:tc>
          <w:tcPr>
            <w:tcW w:w="6433"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处理器：不低于2颗16核CPU，主频不低于2.9 GHz；</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内存：不低于256GB DDR4 2666 内存，≥24条扩展插槽；</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硬盘：2块后置热插拔2.5寸系统盘位，12个3.5寸热插拔盘位扩展，可定制支持PCIe SSD硬盘；本次单台配置≥2*240G SSD系统盘，≥2*1.92T SSD缓存盘，≥6*6T SATA数据盘（7200转）</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RAID功能：RAID卡(LSI-3008-8I）,支持0,1,10,等RAID级别；</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接口: 千兆以太网电口≥4个,万兆光口≥4个，VGA口1个，USB2.0接口≥2个， USB3.0接口≥2个，PCI-E插槽总数≥5个；</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电源：电源输出功率800W电源，支持交直流兼容(AC 100-240V /DC 240V）；</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冷却系统：支持1+1冗余热插拔系统风扇；</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故障定位：标配BMC诊断模块，可实现对CPU/内存/硬盘/网卡/风扇/温度/电源等关键部件的故障诊断</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为保障售后服务的及时性，所投设备的稳定性、可靠性，必须提供设备生产厂家售后服务承诺保证文件以及投标授权书。</w:t>
            </w:r>
          </w:p>
        </w:tc>
        <w:tc>
          <w:tcPr>
            <w:tcW w:w="66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w:t>
            </w:r>
          </w:p>
        </w:tc>
        <w:tc>
          <w:tcPr>
            <w:tcW w:w="2084" w:type="dxa"/>
            <w:shd w:val="clear" w:color="auto" w:fill="auto"/>
            <w:tcMar>
              <w:top w:w="12" w:type="dxa"/>
              <w:left w:w="12" w:type="dxa"/>
              <w:right w:w="12" w:type="dxa"/>
            </w:tcMar>
            <w:vAlign w:val="center"/>
          </w:tcPr>
          <w:p>
            <w:pP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超融合虚拟化软件</w:t>
            </w:r>
          </w:p>
        </w:tc>
        <w:tc>
          <w:tcPr>
            <w:tcW w:w="6433"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虚拟化平台至少满足12颗物理CPU的虚拟化授权，包含服务器虚拟化、存储虚拟化，数据持续保护系统，为方便统一管理和后期扩容方便，授权可通过虚拟化平台统一管理和授权。所有虚拟化平台软件，提供不低于3年的软件升级服务；</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提供云管平台，能够同时管理新建超融合集群和原有超融合业务集群，实现虚拟化业务的统一管理，便于管理人员运维。</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支持大屏展示便于客户直观查看虚拟化资源池的使用情况和健康状态，包括集群资源情况，各主机资源使用情况，存储资源池的IO次数、IO速率、IO时延、存储命中率、主机命中率，以及集群故障与告警，支持Top 5主机CPU和内存利用率、Top 5虚拟机CPU和内存利用率信息大屏展示等</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虚拟化的管理平台、可以支持扩展同一品牌的存储虚拟化、网络功能虚拟化、虚拟应用防火墙、虚拟应用交付、SSL VPN软件、数据库审计软件等功能组件的，并支持统一管理，以保障平台的扩展性和兼容性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计算虚拟化要求：</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虚拟化软件非OEM或贴牌产品，禁止借用第三方软件的整合，以保证功能的可靠性和安全性</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虚拟机可以实现物理机的全部功能，如具有自己的资源（内存、CPU、网卡、存储），可以指定单独的MAC地址等。</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支持虚拟机的HA功能。当物理服务器发生故障时，该物理服务器上的所有虚拟机，可以在集群之内的其它物理服务器上重新启动，保障业务连续性。</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虚拟机之间可以做到隔离保护，其中每一个虚拟机发生故障都不会影响同一个物理机上的其它虚拟机运行，以保障系统平台的安全性</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支持配置动态资源扩展功能，系统支持自动评估虚拟机的性能，当虚拟机性能不足时自动为虚拟机添加CPU和内存资源，确保业务持续高效运行。</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提供虚拟机回收站功能，防止因虚拟机误删除导致数据丢失，超期的文件将被自动删除。</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为保证云平台具备良好的虚拟安全拓展能力，虚拟化的管理平台，可以支持扩展虚拟安全组件的拓展能力，支持虚拟应用防火墙、虚拟应用负载均衡、虚拟SSLVPN、虚拟数据库审计、虚拟上网行为管理等功能组件的，并支持统一管理，以保障平台安全能力的扩展性和兼容性</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持无代理跨物理主机的虚拟机USB映射，单位部分系统需要使用USB KEY时，无需在虚拟机上安装客户端插件，且虚拟机迁移到其它物理主机后，仍能正常使用迁移前所在物理主机上的USB资源，对于业务的自适应能力、使用便捷性更佳</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支持平台中的集群资源环境一键检测，对硬件健康、平台底层的虚拟化的运行状态和配置，进行多个维度进行检查，提供快速定位问题功能，确保系统最佳状态</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支持设置告警类型、告警内容，针对告警信息平台可自动给出告警处理建议，同时支持将告警信息以短信和邮件方式发送给管理员</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网络虚拟化要求：</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通过License激活的方式，实现网络虚拟化功能（分布式虚拟交换机、虚拟路由器、虚拟应用防火墙、虚拟应用负载均衡），支持Vxlan网络和现有的Vlan网络对接，实现虚拟化平台与原有网络的兼容性</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在管理平台上可以通过拖拽虚拟设备图标和连线就能完成网络拓扑的构建，快速的实现整个业务逻辑，并且可以连接、开启、关闭虚拟网络设备，支持对整个平台虚拟设备实现统一的管理，提升运维管理的工作效率</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支持ACL功能，通过ACL来控制虚拟机之间的网络访问能力，进而保障部署在虚拟机上的业务资源的安全性；支持根据报文的源和目的IP地址信息、源和目的IP地址及源和目的端口制定匹配规则；</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存储虚拟化要求：</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支持存储虚拟化功能，无需安装额外的软件，在一个统一的管理平台上使用License激活的方式即可开通使用，存储虚拟化与计算虚拟化为紧耦合架构，减少底层开销，提升性能。</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采用分布式的软件定义存储架构，在通用x86服务器部署，把所有服务器硬盘组织成一个虚拟存储资源池，提供分布式存储服务，无需独立的元数据及控制器节点。通过新增物理服务器可以实现存储容量和性能的横向扩展（Scale-Out架构），扩容过程保证业务零中断。</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支持条带化功能，实现分布式raid0的性能提升效果，并且支持以虚拟磁盘为单位设置不同的条带数。</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支持数据重建智能保护业务性能，可以对数据重建速度进行智能限速，避免数据重建过程中IO性能占用导致对业务的性能造成影响。</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支持数据重建优先级调整，在故障数据重新恢复时，可由用户指定优先重建的虚拟机，保证重要的业务优先恢复数据的安全性。</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支持坏道扫描功能，由用户设置扫描的时间段定期对集群的硬盘进行扫描，及时发现潜藏的坏道。</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支持存储分卷功能，支持以磁盘为单位，根据业务需求划分为不同的存储卷，如高性能卷，大容量卷，全闪存卷等，可使对存储性能和容量要求不同的业务运行在不同的存储卷上。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为了便于部署oracle等关键业务系统，虚拟存储可支持Oracle RAC，支持共享盘，及共享块设备，支持向导式安装，降低部署复杂度。</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提供数据持续保护模块，为保证数据持续保护与超融合平台的统一管理和兼容性（如果所投超融合平台没有以上数据持续保护模块可使用第三软件来完成，要求数据持续保护系统满足以下技术要求：</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1、支持在CDP数据正式恢复之前，可快速查看灾备的文件目录信息，确定恢复时间点后，再正式进行CDP数据恢复。</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2、持续数据保护CDP软件模块，能够动态的开启和关闭，比如能够提供对正在运行的虚拟机，在不需要重启或中断业务的情况下，就可以开启CDP。</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3、CDP提供与虚拟机故障隔离能力，支持CDP模块故障时，虚拟机仍然能够正常实现数据读写。</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4、本项目提供不少于20个虚拟机的持续数据保护CDP授权。</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厂商软件开发必须通过CMMI5级认证；</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云平台厂商需连续两年入围Gartner《超融合基础设施软件魔力象限》</w:t>
            </w:r>
          </w:p>
        </w:tc>
        <w:tc>
          <w:tcPr>
            <w:tcW w:w="66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3</w:t>
            </w:r>
          </w:p>
        </w:tc>
        <w:tc>
          <w:tcPr>
            <w:tcW w:w="2084" w:type="dxa"/>
            <w:shd w:val="clear" w:color="auto" w:fill="auto"/>
            <w:tcMar>
              <w:top w:w="12" w:type="dxa"/>
              <w:left w:w="12" w:type="dxa"/>
              <w:right w:w="12" w:type="dxa"/>
            </w:tcMar>
            <w:vAlign w:val="center"/>
          </w:tcPr>
          <w:p>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容灾备份软件</w:t>
            </w:r>
          </w:p>
        </w:tc>
        <w:tc>
          <w:tcPr>
            <w:tcW w:w="6433"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容灾模块 15台服务器实现9+6容灾，即9台服务器组建主平台，6台服务器组建灾备平台。开通容灾主模块后，默认送20台虚拟机的容灾授权。</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容灾软件模块需采用无代理的方案，以简化部署和运维，并避免虚拟机安装代理软件后对稳定性和性能产生影响</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支持提供RPO可配置的虚拟机级容灾，RPO值范围从1秒到2秒</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为提高数据传输效率、减少对带宽的消耗，灾备软件需要支持压缩传输功能，对同步到备站点的数据先压缩再进行传输</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当主站点恢复正常后，容灾软件支持一键回迁功能，并可根据业务需求回迁全量数据或增量数据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支持容灾状态可视化和状态监控，提供容灾大屏进行容灾计划的实时状态监控，并支持根据中断时长和重试次数设置链路告警策略，保障容灾计划的正常进行</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支持对异地容灾的备份文件设置自动清理策略，按照不同时间周期保留备份文件，满足容灾需求的同时最大化降低存储空间，当资源紧张情况下减少资源开销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种子文件功能，用户可以在主站点使用种子文件功能将需要容灾的云主机备份制作成种子文件存放到外置存储（U盘，移动硬盘）中，使用物理方式将存储介质运输到灾备数据中心，然后导入主站点云主机的种子文件，以此来提到容灾首次数据同步的速度，降低对带宽的要求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本次配置同品牌原生延伸集群存储双活软件，配置xx个虚拟机授权</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支持通过延伸集群的方式实现跨数据中心的数据双活，每个数据中心均保存完整的数据副本，数据同时写入到两个数据中心，任何一个数据中心故障，数据零丢失，业务分钟级别恢复，实现RPO=0、RTO分钟级</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支持对Oracle RAC实现跨数据中心的业务双活，RAC节点在数据中心互斥运行，其中一个数据中心故障后，数据零丢失，业务零中断或短暂中断，实现RPO=0，RTO接近于0</w:t>
            </w:r>
          </w:p>
        </w:tc>
        <w:tc>
          <w:tcPr>
            <w:tcW w:w="66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4</w:t>
            </w:r>
          </w:p>
        </w:tc>
        <w:tc>
          <w:tcPr>
            <w:tcW w:w="2084" w:type="dxa"/>
            <w:shd w:val="clear" w:color="auto" w:fill="auto"/>
            <w:tcMar>
              <w:top w:w="12" w:type="dxa"/>
              <w:left w:w="12" w:type="dxa"/>
              <w:right w:w="12" w:type="dxa"/>
            </w:tcMar>
            <w:vAlign w:val="center"/>
          </w:tcPr>
          <w:p>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 业务存储交换机</w:t>
            </w:r>
          </w:p>
        </w:tc>
        <w:tc>
          <w:tcPr>
            <w:tcW w:w="6433"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端口配置不低于：12个万兆光口，12个千兆电口</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交换性能不低于：1.28Tbps；</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包转发率不低于：480Mpps。</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提供3年硬件质保；</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为实现智能化管理，要求交换机可根据需要支持智能交换机和普通交换机两种工作模式，两种模式可在控制器平台灵活的进行切换。</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支持基于交换机单端口、聚合口的ACL策略；</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流量整形：支持基于换机端口出方向和入方向进行报文转发速率设置；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支持流量端口镜像及重定向功能；</w:t>
            </w:r>
          </w:p>
        </w:tc>
        <w:tc>
          <w:tcPr>
            <w:tcW w:w="66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bl>
    <w:p>
      <w:pPr>
        <w:rPr>
          <w:color w:val="000000" w:themeColor="text1"/>
          <w:highlight w:val="none"/>
          <w14:textFill>
            <w14:solidFill>
              <w14:schemeClr w14:val="tx1"/>
            </w14:solidFill>
          </w14:textFill>
        </w:rPr>
      </w:pPr>
      <w:r>
        <w:rPr>
          <w:rFonts w:hint="eastAsia" w:ascii="Tahoma" w:hAnsi="黑体" w:eastAsia="黑体" w:cs="Tahoma"/>
          <w:b/>
          <w:color w:val="000000" w:themeColor="text1"/>
          <w:szCs w:val="21"/>
          <w:highlight w:val="none"/>
          <w14:textFill>
            <w14:solidFill>
              <w14:schemeClr w14:val="tx1"/>
            </w14:solidFill>
          </w14:textFill>
        </w:rPr>
        <w:t>5、排队叫号系统</w:t>
      </w:r>
    </w:p>
    <w:tbl>
      <w:tblPr>
        <w:tblStyle w:val="20"/>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1"/>
        <w:gridCol w:w="2083"/>
        <w:gridCol w:w="6400"/>
        <w:gridCol w:w="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31" w:type="dxa"/>
            <w:shd w:val="clear" w:color="auto" w:fill="auto"/>
            <w:tcMar>
              <w:top w:w="12" w:type="dxa"/>
              <w:left w:w="12" w:type="dxa"/>
              <w:right w:w="12" w:type="dxa"/>
            </w:tcMar>
            <w:vAlign w:val="center"/>
          </w:tcPr>
          <w:p>
            <w:pPr>
              <w:snapToGrid w:val="0"/>
              <w:ind w:left="425" w:hanging="425"/>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序号</w:t>
            </w:r>
          </w:p>
        </w:tc>
        <w:tc>
          <w:tcPr>
            <w:tcW w:w="2083" w:type="dxa"/>
            <w:shd w:val="clear" w:color="auto" w:fill="auto"/>
            <w:tcMar>
              <w:top w:w="12" w:type="dxa"/>
              <w:left w:w="12" w:type="dxa"/>
              <w:right w:w="12" w:type="dxa"/>
            </w:tcMar>
            <w:vAlign w:val="center"/>
          </w:tcPr>
          <w:p>
            <w:pPr>
              <w:snapToGrid w:val="0"/>
              <w:ind w:left="425" w:hanging="425"/>
              <w:jc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商品名称</w:t>
            </w:r>
          </w:p>
        </w:tc>
        <w:tc>
          <w:tcPr>
            <w:tcW w:w="6400"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技术规格</w:t>
            </w:r>
          </w:p>
        </w:tc>
        <w:tc>
          <w:tcPr>
            <w:tcW w:w="664" w:type="dxa"/>
            <w:shd w:val="clear" w:color="auto" w:fill="auto"/>
            <w:tcMar>
              <w:top w:w="12" w:type="dxa"/>
              <w:left w:w="12" w:type="dxa"/>
              <w:right w:w="12" w:type="dxa"/>
            </w:tcMar>
            <w:vAlign w:val="center"/>
          </w:tcPr>
          <w:p>
            <w:pPr>
              <w:snapToGrid w:val="0"/>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w:t>
            </w:r>
          </w:p>
        </w:tc>
        <w:tc>
          <w:tcPr>
            <w:tcW w:w="2083"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门诊排队导诊软件</w:t>
            </w:r>
          </w:p>
        </w:tc>
        <w:tc>
          <w:tcPr>
            <w:tcW w:w="6400" w:type="dxa"/>
            <w:shd w:val="clear" w:color="auto" w:fill="auto"/>
            <w:tcMar>
              <w:top w:w="12" w:type="dxa"/>
              <w:left w:w="12" w:type="dxa"/>
              <w:right w:w="12" w:type="dxa"/>
            </w:tcMar>
            <w:vAlign w:val="center"/>
          </w:tcPr>
          <w:p>
            <w:pPr>
              <w:jc w:val="both"/>
              <w:textAlignment w:val="center"/>
              <w:rPr>
                <w:rFonts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◾软件安装电脑（电脑自备），含一个对讲器；</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◾用于管理本诊区的患者队列，可与诊室互通，可语音广播，签到排队，患者转诊等；</w:t>
            </w:r>
          </w:p>
        </w:tc>
        <w:tc>
          <w:tcPr>
            <w:tcW w:w="66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w:t>
            </w:r>
          </w:p>
        </w:tc>
        <w:tc>
          <w:tcPr>
            <w:tcW w:w="2083"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分诊台话筒</w:t>
            </w:r>
          </w:p>
        </w:tc>
        <w:tc>
          <w:tcPr>
            <w:tcW w:w="6400" w:type="dxa"/>
            <w:shd w:val="clear" w:color="auto" w:fill="auto"/>
            <w:tcMar>
              <w:top w:w="12" w:type="dxa"/>
              <w:left w:w="12" w:type="dxa"/>
              <w:right w:w="12" w:type="dxa"/>
            </w:tcMar>
            <w:vAlign w:val="center"/>
          </w:tcPr>
          <w:p>
            <w:pPr>
              <w:jc w:val="both"/>
              <w:textAlignment w:val="center"/>
              <w:rPr>
                <w:rFonts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◾配合门诊排队导诊软件V5.0.0使用；</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◾可与诊室叫号软件相互呼叫并通话；</w:t>
            </w:r>
          </w:p>
        </w:tc>
        <w:tc>
          <w:tcPr>
            <w:tcW w:w="66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3</w:t>
            </w:r>
          </w:p>
        </w:tc>
        <w:tc>
          <w:tcPr>
            <w:tcW w:w="2083"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医生叫号对讲软件</w:t>
            </w:r>
          </w:p>
        </w:tc>
        <w:tc>
          <w:tcPr>
            <w:tcW w:w="6400" w:type="dxa"/>
            <w:shd w:val="clear" w:color="auto" w:fill="auto"/>
            <w:tcMar>
              <w:top w:w="12" w:type="dxa"/>
              <w:left w:w="12" w:type="dxa"/>
              <w:right w:w="12" w:type="dxa"/>
            </w:tcMar>
            <w:vAlign w:val="center"/>
          </w:tcPr>
          <w:p>
            <w:pPr>
              <w:jc w:val="both"/>
              <w:textAlignment w:val="center"/>
              <w:rPr>
                <w:rFonts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◾由客户端软件和对讲器组成；</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◾可呼叫对讲，可按顺序呼叫和指定患者呼叫等；</w:t>
            </w:r>
          </w:p>
        </w:tc>
        <w:tc>
          <w:tcPr>
            <w:tcW w:w="66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4</w:t>
            </w:r>
          </w:p>
        </w:tc>
        <w:tc>
          <w:tcPr>
            <w:tcW w:w="2083"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诊室话筒</w:t>
            </w:r>
          </w:p>
        </w:tc>
        <w:tc>
          <w:tcPr>
            <w:tcW w:w="6400" w:type="dxa"/>
            <w:shd w:val="clear" w:color="auto" w:fill="auto"/>
            <w:tcMar>
              <w:top w:w="12" w:type="dxa"/>
              <w:left w:w="12" w:type="dxa"/>
              <w:right w:w="12" w:type="dxa"/>
            </w:tcMar>
            <w:vAlign w:val="center"/>
          </w:tcPr>
          <w:p>
            <w:pPr>
              <w:jc w:val="both"/>
              <w:textAlignment w:val="center"/>
              <w:rPr>
                <w:rFonts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◾配合医生叫号对讲软件V5.0.0使用，用于叫号；</w:t>
            </w:r>
          </w:p>
        </w:tc>
        <w:tc>
          <w:tcPr>
            <w:tcW w:w="66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5</w:t>
            </w:r>
          </w:p>
        </w:tc>
        <w:tc>
          <w:tcPr>
            <w:tcW w:w="2083"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语音播报软件</w:t>
            </w:r>
          </w:p>
        </w:tc>
        <w:tc>
          <w:tcPr>
            <w:tcW w:w="6400" w:type="dxa"/>
            <w:shd w:val="clear" w:color="auto" w:fill="auto"/>
            <w:tcMar>
              <w:top w:w="12" w:type="dxa"/>
              <w:left w:w="12" w:type="dxa"/>
              <w:right w:w="12" w:type="dxa"/>
            </w:tcMar>
            <w:vAlign w:val="center"/>
          </w:tcPr>
          <w:p>
            <w:pPr>
              <w:textAlignment w:val="center"/>
              <w:rPr>
                <w:rFonts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◾软件安装在信息交互服务器软件中中；</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◾可语音合成播报叫号信息；</w:t>
            </w:r>
          </w:p>
        </w:tc>
        <w:tc>
          <w:tcPr>
            <w:tcW w:w="66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6</w:t>
            </w:r>
          </w:p>
        </w:tc>
        <w:tc>
          <w:tcPr>
            <w:tcW w:w="2083"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信息交互服务器软件</w:t>
            </w:r>
          </w:p>
        </w:tc>
        <w:tc>
          <w:tcPr>
            <w:tcW w:w="6400" w:type="dxa"/>
            <w:shd w:val="clear" w:color="auto" w:fill="auto"/>
            <w:tcMar>
              <w:top w:w="12" w:type="dxa"/>
              <w:left w:w="12" w:type="dxa"/>
              <w:right w:w="12" w:type="dxa"/>
            </w:tcMar>
            <w:vAlign w:val="center"/>
          </w:tcPr>
          <w:p>
            <w:pPr>
              <w:textAlignment w:val="center"/>
              <w:rPr>
                <w:rFonts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◾设备管理、音视频代理、数据交互等。</w:t>
            </w:r>
          </w:p>
        </w:tc>
        <w:tc>
          <w:tcPr>
            <w:tcW w:w="66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7</w:t>
            </w:r>
          </w:p>
        </w:tc>
        <w:tc>
          <w:tcPr>
            <w:tcW w:w="2083"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机架式服务器</w:t>
            </w:r>
          </w:p>
        </w:tc>
        <w:tc>
          <w:tcPr>
            <w:tcW w:w="6400" w:type="dxa"/>
            <w:shd w:val="clear" w:color="auto" w:fill="auto"/>
            <w:tcMar>
              <w:top w:w="12" w:type="dxa"/>
              <w:left w:w="12" w:type="dxa"/>
              <w:right w:w="12" w:type="dxa"/>
            </w:tcMar>
            <w:vAlign w:val="center"/>
          </w:tcPr>
          <w:p>
            <w:pPr>
              <w:textAlignment w:val="center"/>
              <w:rPr>
                <w:rFonts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b/>
                <w:bCs/>
                <w:color w:val="000000" w:themeColor="text1"/>
                <w:kern w:val="0"/>
                <w:sz w:val="20"/>
                <w:szCs w:val="20"/>
                <w:highlight w:val="none"/>
                <w:lang w:bidi="ar"/>
                <w14:textFill>
                  <w14:solidFill>
                    <w14:schemeClr w14:val="tx1"/>
                  </w14:solidFill>
                </w14:textFill>
              </w:rPr>
              <w:t>总设备数：500台以内</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处理器：至强Xeon 单颗CPU 8核16线程或更高</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内存：16G 及以上</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硬盘：2*1TB以上SAS或SATA企业级硬盘、磁盘阵列</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操作系统：CentOS 7.0及以上 64位</w:t>
            </w:r>
          </w:p>
        </w:tc>
        <w:tc>
          <w:tcPr>
            <w:tcW w:w="66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8</w:t>
            </w:r>
          </w:p>
        </w:tc>
        <w:tc>
          <w:tcPr>
            <w:tcW w:w="2083"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门诊排队管理软件</w:t>
            </w:r>
          </w:p>
        </w:tc>
        <w:tc>
          <w:tcPr>
            <w:tcW w:w="6400" w:type="dxa"/>
            <w:shd w:val="clear" w:color="auto" w:fill="auto"/>
            <w:tcMar>
              <w:top w:w="12" w:type="dxa"/>
              <w:left w:w="12" w:type="dxa"/>
              <w:right w:w="12" w:type="dxa"/>
            </w:tcMar>
            <w:vAlign w:val="center"/>
          </w:tcPr>
          <w:p>
            <w:pPr>
              <w:textAlignment w:val="center"/>
              <w:rPr>
                <w:rFonts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◾安装在信息交互服务器软件中，统一管理各诊区的排队信息</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◾支持对科室及诊室分区管理，可实现一个诊区可管理多个科室和诊室</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◾支持对不同的诊区设置不同的排队规则，显示屏界面效果、叫号播报内容</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 xml:space="preserve">◾支持二级分诊叫号模式，候诊区可呼叫多名患者到诊室门口等候 </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◾支持过号与当日回诊患者签到后自动进入医生队列，实现与初诊患者交替叫号</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◾支持划屏显示或定时切换信息发布、健康宣教等内容</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 xml:space="preserve">◾支持对不同的诊区设置不同的叫号屏显显示内容，可隐藏患者全名 </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◾支持对系统内的显示屏设备设置多时段得定时开关机任务</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◾支持统计患者大约等待时间、就诊人数增长趋势、患者等候时长、科室患者占比、挂号类别占比、通话及报警次数等信息，可生成图表</w:t>
            </w:r>
          </w:p>
        </w:tc>
        <w:tc>
          <w:tcPr>
            <w:tcW w:w="66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9</w:t>
            </w:r>
          </w:p>
        </w:tc>
        <w:tc>
          <w:tcPr>
            <w:tcW w:w="2083"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医技排队管理软件</w:t>
            </w:r>
          </w:p>
        </w:tc>
        <w:tc>
          <w:tcPr>
            <w:tcW w:w="6400" w:type="dxa"/>
            <w:shd w:val="clear" w:color="auto" w:fill="auto"/>
            <w:tcMar>
              <w:top w:w="12" w:type="dxa"/>
              <w:left w:w="12" w:type="dxa"/>
              <w:right w:w="12" w:type="dxa"/>
            </w:tcMar>
            <w:vAlign w:val="center"/>
          </w:tcPr>
          <w:p>
            <w:pPr>
              <w:textAlignment w:val="center"/>
              <w:rPr>
                <w:rFonts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◾安装在信息交互服务器软件中，统一管理各检查区的排队信息</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◾支持对一级科室及检查室分区管理，可实现一个诊区可管理多个医技科室和检查室</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◾支持对不同的检查区设置不同的排队规则，显示屏界面效果、叫号播报内容</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◾支持划屏显示或定时切换信息发布、健康宣教等内容</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 xml:space="preserve">◾支持对不同的诊区设置不同的叫号屏显显示内容，可隐藏患者全名 </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◾支持对系统内的显示屏设备设置多时段得定时开关机任务</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◾支持统计患者大约等待时间、检查人数增长趋势、患者等候时长、通话及报警次数等信息，可生成图表</w:t>
            </w:r>
          </w:p>
        </w:tc>
        <w:tc>
          <w:tcPr>
            <w:tcW w:w="66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10</w:t>
            </w:r>
          </w:p>
        </w:tc>
        <w:tc>
          <w:tcPr>
            <w:tcW w:w="2083"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抽血排队管理软件</w:t>
            </w:r>
          </w:p>
        </w:tc>
        <w:tc>
          <w:tcPr>
            <w:tcW w:w="6400" w:type="dxa"/>
            <w:shd w:val="clear" w:color="auto" w:fill="auto"/>
            <w:tcMar>
              <w:top w:w="12" w:type="dxa"/>
              <w:left w:w="12" w:type="dxa"/>
              <w:right w:w="12" w:type="dxa"/>
            </w:tcMar>
            <w:vAlign w:val="center"/>
          </w:tcPr>
          <w:p>
            <w:pPr>
              <w:textAlignment w:val="center"/>
              <w:rPr>
                <w:rFonts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◾安装在信息交互服务器软件中，统一管理各采血区的排队信息</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◾支持对不同的抽血设置不同的排队规则，显示屏界面效果、叫号播报内容</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◾支持一个抽血区设置多个报到机，患者可在报到机上签到后进入抽血队列；</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◾支持划屏显示或定时切换信息发布、健康宣教等内容</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 xml:space="preserve">◾支持对不同的诊区设置不同的叫号屏显显示内容，可隐藏患者全名 </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◾支持对系统内的显示屏设备设置多时段得定时开关机任务</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◾支持统计患者大约等待时间、人数增长趋势、患者等候时长，可生成图表</w:t>
            </w:r>
          </w:p>
        </w:tc>
        <w:tc>
          <w:tcPr>
            <w:tcW w:w="66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11</w:t>
            </w:r>
          </w:p>
        </w:tc>
        <w:tc>
          <w:tcPr>
            <w:tcW w:w="2083"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取药排队管理软件</w:t>
            </w:r>
          </w:p>
        </w:tc>
        <w:tc>
          <w:tcPr>
            <w:tcW w:w="6400" w:type="dxa"/>
            <w:shd w:val="clear" w:color="auto" w:fill="auto"/>
            <w:tcMar>
              <w:top w:w="12" w:type="dxa"/>
              <w:left w:w="12" w:type="dxa"/>
              <w:right w:w="12" w:type="dxa"/>
            </w:tcMar>
            <w:vAlign w:val="center"/>
          </w:tcPr>
          <w:p>
            <w:pPr>
              <w:textAlignment w:val="center"/>
              <w:rPr>
                <w:rFonts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◾安装在信息交互服务器软件中，统一管理个药房的排队信息</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◾支持对不同的取药设置显示屏界面效果、叫号播报内容</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◾支持免签到取药，患者交费后自动进入队列；</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◾支持划屏显示或定时切换信息发布、健康宣教等内容</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 xml:space="preserve">◾支持对不同的诊区设置不同的叫号屏显显示内容，可隐藏患者全名 </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◾支持对系统内的显示屏设备设置多时段得定时开关机任务</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◾支持统计患者大约等待时间、检查人数增长趋势、患者等候时长，可生成图表</w:t>
            </w:r>
          </w:p>
        </w:tc>
        <w:tc>
          <w:tcPr>
            <w:tcW w:w="66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12</w:t>
            </w:r>
          </w:p>
        </w:tc>
        <w:tc>
          <w:tcPr>
            <w:tcW w:w="2083"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自助签到机</w:t>
            </w:r>
          </w:p>
        </w:tc>
        <w:tc>
          <w:tcPr>
            <w:tcW w:w="6400" w:type="dxa"/>
            <w:shd w:val="clear" w:color="auto" w:fill="auto"/>
            <w:tcMar>
              <w:top w:w="12" w:type="dxa"/>
              <w:left w:w="12" w:type="dxa"/>
              <w:right w:w="12" w:type="dxa"/>
            </w:tcMar>
            <w:vAlign w:val="center"/>
          </w:tcPr>
          <w:p>
            <w:pPr>
              <w:textAlignment w:val="center"/>
              <w:rPr>
                <w:rFonts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◾采用22英寸高清液晶显示屏，触摸式操作，金属烤漆机身；</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◾安装在候诊区，用于患者自助签到。可刷卡，扫码或手动录入签到；</w:t>
            </w:r>
          </w:p>
        </w:tc>
        <w:tc>
          <w:tcPr>
            <w:tcW w:w="66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13</w:t>
            </w:r>
          </w:p>
        </w:tc>
        <w:tc>
          <w:tcPr>
            <w:tcW w:w="2083"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液晶一体机（15.6英寸高清液晶显示屏）</w:t>
            </w:r>
          </w:p>
        </w:tc>
        <w:tc>
          <w:tcPr>
            <w:tcW w:w="6400" w:type="dxa"/>
            <w:shd w:val="clear" w:color="auto" w:fill="auto"/>
            <w:tcMar>
              <w:top w:w="12" w:type="dxa"/>
              <w:left w:w="12" w:type="dxa"/>
              <w:right w:w="12" w:type="dxa"/>
            </w:tcMar>
            <w:vAlign w:val="center"/>
          </w:tcPr>
          <w:p>
            <w:pPr>
              <w:textAlignment w:val="center"/>
              <w:rPr>
                <w:rFonts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◾嵌入式安装，采用15.6英寸液晶显示屏，可作为诊室显示屏使用；</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◾有信息显示，语音播报，远程控制等功能，可选购电源箱、POE模块、电源适配器供电；</w:t>
            </w:r>
          </w:p>
        </w:tc>
        <w:tc>
          <w:tcPr>
            <w:tcW w:w="66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14</w:t>
            </w:r>
          </w:p>
        </w:tc>
        <w:tc>
          <w:tcPr>
            <w:tcW w:w="2083"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多媒体控制盒</w:t>
            </w:r>
          </w:p>
        </w:tc>
        <w:tc>
          <w:tcPr>
            <w:tcW w:w="6400" w:type="dxa"/>
            <w:shd w:val="clear" w:color="auto" w:fill="auto"/>
            <w:tcMar>
              <w:top w:w="12" w:type="dxa"/>
              <w:left w:w="12" w:type="dxa"/>
              <w:right w:w="12" w:type="dxa"/>
            </w:tcMar>
            <w:vAlign w:val="center"/>
          </w:tcPr>
          <w:p>
            <w:pPr>
              <w:textAlignment w:val="center"/>
              <w:rPr>
                <w:rFonts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◾含HDMI*1、RJ45网口*1、音频输出口*1；</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◾支持数据交互；</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◾支持远程升级；</w:t>
            </w:r>
          </w:p>
        </w:tc>
        <w:tc>
          <w:tcPr>
            <w:tcW w:w="66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15</w:t>
            </w:r>
          </w:p>
        </w:tc>
        <w:tc>
          <w:tcPr>
            <w:tcW w:w="2083"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功放</w:t>
            </w:r>
          </w:p>
        </w:tc>
        <w:tc>
          <w:tcPr>
            <w:tcW w:w="6400" w:type="dxa"/>
            <w:shd w:val="clear" w:color="auto" w:fill="auto"/>
            <w:tcMar>
              <w:top w:w="12" w:type="dxa"/>
              <w:left w:w="12" w:type="dxa"/>
              <w:right w:w="12" w:type="dxa"/>
            </w:tcMar>
            <w:vAlign w:val="center"/>
          </w:tcPr>
          <w:p>
            <w:pPr>
              <w:textAlignment w:val="center"/>
              <w:rPr>
                <w:rFonts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◾推荐先科、索爱、赛扬等品牌；</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◾功放参数无特殊要求，功率70w左右即可</w:t>
            </w:r>
          </w:p>
        </w:tc>
        <w:tc>
          <w:tcPr>
            <w:tcW w:w="66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16</w:t>
            </w:r>
          </w:p>
        </w:tc>
        <w:tc>
          <w:tcPr>
            <w:tcW w:w="2083"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吸顶式喇叭</w:t>
            </w:r>
          </w:p>
        </w:tc>
        <w:tc>
          <w:tcPr>
            <w:tcW w:w="6400" w:type="dxa"/>
            <w:shd w:val="clear" w:color="auto" w:fill="auto"/>
            <w:tcMar>
              <w:top w:w="12" w:type="dxa"/>
              <w:left w:w="12" w:type="dxa"/>
              <w:right w:w="12" w:type="dxa"/>
            </w:tcMar>
            <w:vAlign w:val="center"/>
          </w:tcPr>
          <w:p>
            <w:pPr>
              <w:textAlignment w:val="center"/>
              <w:rPr>
                <w:rFonts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◾推荐先科、索爱、赛扬等品牌</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◾功率：3W/6W</w:t>
            </w:r>
          </w:p>
        </w:tc>
        <w:tc>
          <w:tcPr>
            <w:tcW w:w="66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17</w:t>
            </w:r>
          </w:p>
        </w:tc>
        <w:tc>
          <w:tcPr>
            <w:tcW w:w="2083"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CAT5E屏蔽线</w:t>
            </w:r>
          </w:p>
        </w:tc>
        <w:tc>
          <w:tcPr>
            <w:tcW w:w="6400" w:type="dxa"/>
            <w:shd w:val="clear" w:color="auto" w:fill="auto"/>
            <w:tcMar>
              <w:top w:w="12" w:type="dxa"/>
              <w:left w:w="12" w:type="dxa"/>
              <w:right w:w="12" w:type="dxa"/>
            </w:tcMar>
            <w:vAlign w:val="center"/>
          </w:tcPr>
          <w:p>
            <w:pPr>
              <w:textAlignment w:val="center"/>
              <w:rPr>
                <w:rFonts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主要用于水平工作区布线，需抵抗电子干扰、信息保密场所，端接模块与配线架，通常用于百兆网络传输。</w:t>
            </w:r>
          </w:p>
        </w:tc>
        <w:tc>
          <w:tcPr>
            <w:tcW w:w="66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18</w:t>
            </w:r>
          </w:p>
        </w:tc>
        <w:tc>
          <w:tcPr>
            <w:tcW w:w="2083"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交换机</w:t>
            </w:r>
          </w:p>
        </w:tc>
        <w:tc>
          <w:tcPr>
            <w:tcW w:w="6400" w:type="dxa"/>
            <w:shd w:val="clear" w:color="auto" w:fill="auto"/>
            <w:tcMar>
              <w:top w:w="12" w:type="dxa"/>
              <w:left w:w="12" w:type="dxa"/>
              <w:right w:w="12" w:type="dxa"/>
            </w:tcMar>
            <w:vAlign w:val="center"/>
          </w:tcPr>
          <w:p>
            <w:pPr>
              <w:textAlignment w:val="center"/>
              <w:rPr>
                <w:rFonts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三层交换机（24口全千兆）24个10/100/1000Base-T接口，4个千兆SFP</w:t>
            </w:r>
          </w:p>
        </w:tc>
        <w:tc>
          <w:tcPr>
            <w:tcW w:w="66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19</w:t>
            </w:r>
          </w:p>
        </w:tc>
        <w:tc>
          <w:tcPr>
            <w:tcW w:w="2083"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两芯音频线</w:t>
            </w:r>
          </w:p>
        </w:tc>
        <w:tc>
          <w:tcPr>
            <w:tcW w:w="6400" w:type="dxa"/>
            <w:shd w:val="clear" w:color="auto" w:fill="auto"/>
            <w:tcMar>
              <w:top w:w="12" w:type="dxa"/>
              <w:left w:w="12" w:type="dxa"/>
              <w:right w:w="12" w:type="dxa"/>
            </w:tcMar>
            <w:vAlign w:val="center"/>
          </w:tcPr>
          <w:p>
            <w:pPr>
              <w:textAlignment w:val="center"/>
              <w:rPr>
                <w:rFonts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RVV2X1.0,用于连接功放及喇叭</w:t>
            </w:r>
          </w:p>
        </w:tc>
        <w:tc>
          <w:tcPr>
            <w:tcW w:w="66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20</w:t>
            </w:r>
          </w:p>
        </w:tc>
        <w:tc>
          <w:tcPr>
            <w:tcW w:w="2083"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多媒体医疗导引系统平台软件(需要接口）</w:t>
            </w:r>
          </w:p>
        </w:tc>
        <w:tc>
          <w:tcPr>
            <w:tcW w:w="6400"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1）具有联网和远程控制功能，支持跨路由控制，对终端可以远程管理和维护。支持局域网，分管理端和播放端，系统采用B/S架构。</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2）操作在管理端进行，管理端可以是局域网上的任意多台计算机。</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3）支持手动维护医生信息，可上传医生照片、职称、业务擅长以及排班信息的自动同步和管理；</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4）系统应能够与HIS、PACS、LIS等信息系统进行数据交互，支持按照序号或签到顺序自动生成排队队列；</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5）系统可根据各个科室的就诊流程，灵活配置叫号机制，适应各种队列排序方式、各种呼叫模式、各种显示样式、各种语音效果。</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6）系统应支持候诊区一级分诊以及诊室门口二级分诊或特殊科室需要的多级分诊模式，候诊区叫号将多名患者呼叫到诊室门口等候，诊室门口叫号将患者逐一呼叫至诊室就诊；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7）要求候诊区域一级分诊屏、医生所在诊室门口的二级分诊屏显示各自对应的叫号信息，并实现对应的叫号语音同步播报；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8）要求呼叫信息可通过微信推送给患者，提醒患者做好就诊准备，推送信息应包括患者姓名、候诊科室、专家姓名、诊室位置等；同时患者可通过微信进行查询，查看所排队列进程，等候人数及预计等候时长等。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9）系统须支持支持全自动形成队列、人工报到形成队列（患者自助报到、护士操作报到）以及自动及人工混合报到三种模式；</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10）护士站电脑安装护士工作站管理软件，能够实现在其管控区域内对患者的就诊状态检索、排队队列管理以及预约等操作；</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11）医生电脑安装医生工作站管理软件，能够根据需求实现顺序叫号或选择叫号功能；</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12）投标人需提供投标产品导医系统平台软件的软件著作权证书复印件。</w:t>
            </w:r>
          </w:p>
        </w:tc>
        <w:tc>
          <w:tcPr>
            <w:tcW w:w="66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21</w:t>
            </w:r>
          </w:p>
        </w:tc>
        <w:tc>
          <w:tcPr>
            <w:tcW w:w="2083"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多媒体信息发布平台</w:t>
            </w:r>
          </w:p>
        </w:tc>
        <w:tc>
          <w:tcPr>
            <w:tcW w:w="6400" w:type="dxa"/>
            <w:shd w:val="clear" w:color="auto" w:fill="auto"/>
            <w:tcMar>
              <w:top w:w="12" w:type="dxa"/>
              <w:left w:w="12" w:type="dxa"/>
              <w:right w:w="12" w:type="dxa"/>
            </w:tcMar>
            <w:vAlign w:val="center"/>
          </w:tcPr>
          <w:p>
            <w:pPr>
              <w:spacing w:after="220"/>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2.1.系统总体技术需求</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1.系统应采用B/S架构，任意在线管理人员均可通过IE登录系统后台，对系统信息管理及维护；</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2.系统登录应具有安全设计，三次输入错误密码，该用户名锁定一段时间，不能进一步操作；登录后，一段时间内没有操作，即退出。</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3.能够在同一平台下实现信息发布、排队叫号各个功能模块和统一管理，也可以独立运行；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4.系统应能够与HIS、PACS、LIS等信息系统进行数据交互，支持各个系统的数据调用；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5.系统软件可将视/音频图片、文字等多媒体素材发送到各显示屏上，能够实现各种素材的同屏、混合播放；</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6.系统支持对有线电视节目、自办节目、网络流媒体等节目源的管理和发布功能；</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7.系统设计具备多重安全访问与数据备份机制，保证系统运行的安全与稳定；</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8.系统配套的显示设备须采用液晶显示器与网络播放设备应采用一体化设计，要求安装实施简单，维护方便；</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9.系统要求能将LED单、双基色屏、全彩屏等显示设备并入系统平台统一管理。</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10.系统软件及硬件属于同一厂家提供，确保系统的兼容性、稳定性。</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11.投标人需提供投标产品信息发布系统软件的软件著作权证书复印件。</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2.2.系统软件技术要求</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播放功能要求</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1）系统具备素材管理功能，可播放各种格式的视频、音频、图片、网页、RSS、天气、FLASH，并需要支持WORD、POWERPOINT等OFFICE软件的直接导入。支持同时叠加多个元素同时播放。</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2）系统要求可添加文本、时钟、天气预报、网络数据源、电视频道、直播频道、网页等素材进行发布。</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3）立体声、双道，支持MP3,AC3,PCM,WMA等格式，系统音频文件播放可以隐藏任务方式编排和播放，不影响可见窗口的媒体播放，即可播放背景音乐。</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4）图像明亮清晰，不受显示屏尺寸大小限制可满屏播放，视频播放连续，无动画和马赛克，画面流畅。</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5）每个液晶屏幕上可以播放不同的节目，每个液晶屏幕上可以自由分割出多画面同时播放，支持各种高清播放格式文件。</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发布和播放要求</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1）可以指定空闲时间发布，宽带占用率低，不会影响正常的网络办公。在网络断开或服务器瘫痪的条件下，不影响显示端的正常播放。</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2）可通过制定、编辑节目播放列表，网络管理播放顺序。</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3）播放列表设定多个媒体内容的播放时间次序。可定时播放、指定时间播放、随时插播，可以对发布时间（开始，持续，结束）、发布顺序等进行编制和定义管理。</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4）显示屏幕划分成多个区域，每个区域可根据我院需求播放不同的多媒体节目，可设置不同大小。我院可以利用系统中提供的固定模版，也可以通过系统的模版制作模块，自己任意拖拉制作新的分割画面模版。可预定所有区域的播放日期和时间，也可对每个区域设定一个独立的播放时间表。</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5）系统提供多种不同的屏幕划分显示模版供选择，同时还可以自己编辑新的布局模版，这些布局可以作为模板，在节目编排时使用。</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6）具有紧急信息和临时信息的插入播放功能，紧急信息或临时播放完毕能够自动切换到原播放节目。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7）可以在主控端控制和调节各个显示终端的声音大小。</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管理控制软件技术要求</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1）系统要求支持一机多用的设置，根据我院要求，随时改变其功能，点播、直播、信息发布功能随意切换，一屏多用，节省资源。</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2）支持各种多媒体档案格式，包含： MPEG-2, AVI, RMVB、WMV、DAT、 JPEG、 BMP、TXT、MP3等；支持网络上流行的各类格式，如RMVB、FLV；并能够很好的兼容后续的新的媒体格式；</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3）系统支持各类素材的分类管理，格式转换灵活，可对素材进行预览；</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4）支持提供常规节目模板库；管理员可自行设计制作模板，或在模板基础上进行定制修改形成新的模板，可以保存、复用；可以导入导出节目模板；</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5）备份管理：系统可手动、自动对数据库进行备份，手动还原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6）可以简单而轻松地编辑和自动生成播放列表；一个节目可以排在一个时段、或连续多个时段播出，或全天播出同一节目。节目表一次可设定31天的播放内容；</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7）将制作好的节目发送到指定的单个播放端或某个播放组，可设定节目下载时间，实现立即传输、定时传输或周期传输，支持大文件素材的断点续传功能；脱机发布方式：服务器端节目制作完成可导出至U盘，通过 U盘自动导入节目到媒体播放机里播放；</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8）支持多种播出方式：自动播出、定时播出、即时插播、多时段播出等。即时插播，将插播的内容设定完成，立即派送到指定的单个或多个客户端，系统将插播节目规划及多媒体内容下载到各个指定的客户端，并纪录传送结果；客户端成功接收后立即播放插播节目，插播节目结束后恢复执行原来的节目表。</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9）对所有显示终端设备进行有效的管理，需要支持终端名称管理、设备查询、设备分组、设备转组、设备类型管理、业务属性管理等；</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10）系统的操作员均有唯一的操作员ID、操作密码。用户安全策略由用户认证系统统一设置，每个操作员的操作等级及权限设置应至少包括允许操作的单台设备或者设备组、允许操作的功能，用户之间可以相互屏蔽各自的资源和频道等。用户认证系统具备操作员ID号的创建、删除、分配和修改功能；</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11）对系统的用户及用户组、发布点及发布组、多级管理等功能进行权限的设置，以方便系统的管理及维护。</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12）播出单审核功能：系统具备播出单审核与预览功能，操作员编辑后的播出单，需要通过对应的审核员进行审核，审核后的播出单才能进行发布，审核部通过的进行打回，通过站内消息通知操作员。</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13）媒体发布终端具备一定的存储能力，可支持本地离线的发布，保证遇紧急情况时，所有显示屏都可正常播出本地节目。在正常网络播放过程中，由于意外状况导致网络中断，媒体发布终端会自动切换至本地的默认应急节目程序，待网络恢复正常后，系统会自动切换到网络程序断点续播。对于离线播放终端：终端在工作时间一直处于播放状态，它采取边下载边播放的模式。只有新任务下载成功，才会执行新的播放任务。</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14）实时查看各终端的网络联机状态监控其运行情况，提供播放日志，管理人员可以直接浏览、查询和导出。日志文件的数据包括播放文件的时间信息、文件下载时间、开关机时间等等；</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15）支持远程设置终端的定时播放/音量/重启功能，当终端出现异常情况，系统可远程重启终端播放器，使之恢复正常。支持远程升级，可通过网络进行智能软件升级，无需到现场进行操作；可对所有终端实施分组管理模式，同一组的终端可以进行统一设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16）支持对用户登陆、系统变更、系统出错等重要信息和节目发布时间、接收时间等任务日志进行记录；支持日志信息导出，方便存档。</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LED大屏幕管理要求</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1）系统要求能将LED单、双基色屏、全彩屏等显示设备并入系统平台统一管理。</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2）系统软件要求具有单独的管理模块对LED大屏进行设备的管理、发布模板管理、播出单的管理、监控管理等。</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3）系统对设备的管理要求至少包括设备的添加、修改、删除，并可对设备的名称、IP、MAC、分辨率、显示字体、字号进行设置。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4）系统对发布模板的管理要求至少包括模板名称、模板分辨率、宽度、高度、边距等进行设置。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5）系统对播出单的管理要求至少包括播出单名称、播出单描述、屏幕的分类、任务分类、模板选择、播出开始日期、播出结束日期、播出开始时间、播出结束时间、播放规则等。</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6）系统对监控管理要求至少包括设备的亮度设置、设备开关机设置，要求可监控到设备IP、MAC、亮度值、终端状态等。</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终端设备管理系统软件技术要求</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1）要求各个尺寸一体机或其它规格终端设备上具有终端设备管理软件。</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2）要求系统具备设备安全能力，可防止病毒攻击、防止内容非法下载、防止网络盗链。</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3）要求支持设备自动安全检测，支持自动内核更新等功能。</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4）投标人需提供投标产品终端设备管理系统软件的软件著作权证书复印件。</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数据调用管理系统软件技术要求</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1）可根据实际项目具体需求，对医院HIS系统厂商开放供货方数据库，允许合作方对数据库直接操作。</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2）可提供同等规模同类项目系统接口范例；</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3）支持数据库视图、中间表、Web service、SOCKET、DLL调用、webapi等多方式实现与HIS系统及其他信息系统的数据交换；</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4）投标人需提供投标产品数据调用系统软件的软件著作权证书复印件。</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监控要求</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1）管理端实时监测各个播放端的系统运行情况和任务播放情况，可以对各个播放端进行接管控制，抓屏查看播放端播放内容；可以根据区域进行设备分组，通过分组进行查看组别内全部设备当时播放画面。</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2）远程指令和操作：管理端可通过网络控制播放端及显示设备进行定时和随时的远程开机、关机、重启、开关屏、查看下载情况、开关机时间设置、开关屏时间设置等操作。</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3）管理员可按周、按月、按年预设开关机时间规则，适应不同区域的多重规则的问、停诊时间。</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网络架构要求</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1）具有联网和远程控制功能，支持跨路由控制，对终端可以远程管理和维护。支持局域网，分管理端和播放端，系统采用B/S架构。</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2）信息发布操作在管理端进行，管理端可以是局域网上的任意多台计算机。</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健康宣教点播系统软件技术要求</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1）为弘扬卫生健康科学精神，普及健康科学知识，为营造我院“健康知识科普”氛围，本次招标拟在门诊区域建设健康知识宣教点播系统。</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2）要求患者及其家属使用移动设备（例如：手机、PAD）可通过本次招标中的任一终端设备进入健康宣教点播平台，选择收看健教节目。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3）投标人应充分利用集中候诊区候诊屏幕、诊室门口屏、信息发布屏幕等空间，架设视频点播入口，让患者及其配合人员在各个等候区域，均可开启健康宣教点播平台。</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4）健康宣教点播平台，须可设置我院名称、院标、形象宣传页等</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5）健康宣教点播平台，须按照细分科室进行划分，患者可根据科室进行筛选；须具备搜索功能，患者可通过病症名称进行检索。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6）健康宣教文件播放器应具备全屏/缩小，声音开启/静音，播放进度、播放时间/剩余时间，快进/快退等操控，操作直观易用。</w:t>
            </w:r>
          </w:p>
        </w:tc>
        <w:tc>
          <w:tcPr>
            <w:tcW w:w="66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22</w:t>
            </w:r>
          </w:p>
        </w:tc>
        <w:tc>
          <w:tcPr>
            <w:tcW w:w="2083"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门诊导医系统模块</w:t>
            </w:r>
          </w:p>
        </w:tc>
        <w:tc>
          <w:tcPr>
            <w:tcW w:w="6400"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1）系统可根据诊间环境大小及特点设定诊间外等候人数，要求可针对每一个诊位进行等候人数的个性化设定，满足每一个诊室的实际使用情况；</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系统须支持多种类型队列的优先级设定，以及不同类型患者间隔呼叫规则的设定，系统设计应至少满足初诊、优先、过号、回诊、复诊、预约、转诊、预约迟到等多种状态下患者的间隔呼叫的设定，同时也要求具备自定义添加患者类型，设定方式应灵活简便。</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3）系统须支持支持全自动形成队列、人工报到形成队列（患者自助报到、护士操作报到）以及自动及人工混合报到三种模式；</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4）支持一对多（单个医生看诊多个队列）和多对一（多个医生看诊同一个队列）叫号模式；</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5）支持一诊室一医生、一诊室多医生的排队叫号模式；</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6）支持患者刷卡/扫描签到排队模式；支持非签到自动排队模式；支持自助取号排队模式；</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7）支持当日挂号与预约患者混合排队模式，预约患者在预约时段内优先就诊。</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8）早间高峰期患者突增情况下，分诊台软件须支持自动报到和手动批量报到机制；</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9）中午午休时间，系统可自动切换到信息发布显示，叫号屏播放医院自己的宣教片。</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10）投标人需提供投标产品门诊导医系统软件的软件著作权证书复印件。</w:t>
            </w:r>
          </w:p>
        </w:tc>
        <w:tc>
          <w:tcPr>
            <w:tcW w:w="66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23</w:t>
            </w:r>
          </w:p>
        </w:tc>
        <w:tc>
          <w:tcPr>
            <w:tcW w:w="2083"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医技导医系统模块</w:t>
            </w:r>
          </w:p>
        </w:tc>
        <w:tc>
          <w:tcPr>
            <w:tcW w:w="6400"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1）系统可根据诊间环境大小及特点设定诊间外等候人数，要求可针对每一个诊位进行等候人数的个性化设定，满足每一个诊室的实际使用情况；</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系统须支持多种类型队列的优先级设定，以及不同类型患者间隔呼叫规则的设定，系统设计应至少满足初诊、优先、过号、回诊、复诊、预约、转诊、预约迟到等多种状态下患者的间隔呼叫的设定，同时也要求具备自定义添加患者类型，设定方式应灵活简便。</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3）系统须支持支持全自动形成队列、人工报到形成队列（患者自助报到、护士操作报到）以及自动及人工混合报到三种模式；</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4）支持护士操作预约和患者自助预约两种模式，预约平台要求操作简便，易学易用；</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5）护士可为患者进行单次、多次预约，修改预约和取消预约等操作；</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6）可预约至精确的时间段内，时间跨度可灵活设置，最小时间跨度不大于0.5小时；</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7）一天内单一检查项预约人数超出预警人数时，系统应有明显提示；单一检查项下的峰值可预设，也可以根据实际情况临时调整峰值。</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8）预约完成后，患者可获得预约单，预约单上要求有患者姓名、年龄、检查项、预约日期、预约时间段、注意事项等。</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9）住院病人、预约患者在预约时段内，需采用优先原则；</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10）在患者有多个检查项的情况下，当其被一检查项呼叫到时，其他检查项状态为挂起装状态，待该患者完成当前检查后，其他检查项方可呼叫。</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11）在患者不具备检查条件时，护士工作站软件可设置为挂起状态，待具备检查条件时，方可呼叫。</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12）部分无医生工作站检查室应支持物理呼叫设备。</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13）中午午休时间，系统可自动切换到信息发布显示，叫号屏播放医院自己的宣教片。</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14）投标人需提供投标产品医技科室导医系统软件的软件著作权证书复印件。</w:t>
            </w:r>
          </w:p>
        </w:tc>
        <w:tc>
          <w:tcPr>
            <w:tcW w:w="66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24</w:t>
            </w:r>
          </w:p>
        </w:tc>
        <w:tc>
          <w:tcPr>
            <w:tcW w:w="2083"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检验导医系统模块</w:t>
            </w:r>
          </w:p>
        </w:tc>
        <w:tc>
          <w:tcPr>
            <w:tcW w:w="6400"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1）系统须支持全自动形成队列、人工报到形成队列（患者自助报到、护士操作报到）以及自动及人工混合报到三种模式；</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2）在患者进行报到后，自动进入采血排队队列。采血窗口按照患者报到的顺序进行叫号，窗口屏幕语音呼叫并显示患者信息。</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3）检验窗口可按业务划分，例如：静脉血窗口、末梢血窗口，成人采血窗口、儿童采血窗口等。</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4）患者排队顺序以报到时间或者取号时间为准，支持过号患者优先机制。</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5）支持特殊患者多次采血呼叫，例如第一次采血完毕，在可设定时间后可再次进入队列并优先。</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6）部分无医生工作站采血窗口应支持物理呼叫设备。</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7）中午午休时间，系统可自动切换到信息发布显示，叫号屏播放医院自己的宣教片。</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8）投标人需提供投标产品 检验科室导医系统软件的软件著作权证书复印件。1）系统须支持全自动形成队列、人工报到形成队列（患者自助报到、护士操作报到）以及自动及人工混合报到三种模式；</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2）在患者进行报到后，自动进入采血排队队列。采血窗口按照患者报到的顺序进行叫号，窗口屏幕语音呼叫并显示患者信息。</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3）检验窗口可按业务划分，例如：静脉血窗口、末梢血窗口，成人采血窗口、儿童采血窗口等。</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4）患者排队顺序以报到时间或者取号时间为准，支持过号患者优先机制。</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5）支持特殊患者多次采血呼叫，例如第一次采血完毕，在可设定时间后可再次进入队列并优先。</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6）部分无医生工作站采血窗口应支持物理呼叫设备。</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7）中午午休时间，系统可自动切换到信息发布显示，叫号屏播放医院自己的宣教片。</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8）投标人需提供投标产品 检验科室导医系统软件的软件著作权证书复印件。</w:t>
            </w:r>
          </w:p>
        </w:tc>
        <w:tc>
          <w:tcPr>
            <w:tcW w:w="66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25</w:t>
            </w:r>
          </w:p>
        </w:tc>
        <w:tc>
          <w:tcPr>
            <w:tcW w:w="2083"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药房导医系统模块</w:t>
            </w:r>
          </w:p>
        </w:tc>
        <w:tc>
          <w:tcPr>
            <w:tcW w:w="6400"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1）支持患者缴费后未分和预分窗口两种模式。</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2）支持取药患者报到机制，避免出现配药发药后无人领取的现象。</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3）支持取药患者报到后自动分配窗口功能，明确指示患者在分配窗口等候。</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4）支持扫描患者药单即呼叫患者取药。</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5）支持重复呼叫。</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6）取药窗口屏显示全部已呼叫患者信息，提高我院发药效率。</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7）要求药房排队叫号系统具有实际的可扩展性，可与药房摆药系统进行无缝连接。</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8）投标人需提供投标产品 药房导医系统软件的软件著作权证书复印件。1）支持患者缴费后未分和预分窗口两种模式。</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2）支持取药患者报到机制，避免出现配药发药后无人领取的现象。</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3）支持取药患者报到后自动分配窗口功能，明确指示患者在分配窗口等候。</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4）支持扫描患者药单即呼叫患者取药。</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5）支持重复呼叫。</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6）取药窗口屏显示全部已呼叫患者信息，提高我院发药效率。</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7）要求药房排队叫号系统具有实际的可扩展性，可与药房摆药系统进行无缝连接。</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8）投标人需提供投标产品 药房导医系统软件的软件著作权证书复印件。</w:t>
            </w:r>
          </w:p>
        </w:tc>
        <w:tc>
          <w:tcPr>
            <w:tcW w:w="66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26</w:t>
            </w:r>
          </w:p>
        </w:tc>
        <w:tc>
          <w:tcPr>
            <w:tcW w:w="2083"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自助报到设备软件技术要求</w:t>
            </w:r>
          </w:p>
        </w:tc>
        <w:tc>
          <w:tcPr>
            <w:tcW w:w="6400"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1）要求支持患者通过自助报到机进行签到，报到机可通过条形码扫描、就诊卡读取、医保卡读取等方式相结合识别患者信息；支持手工输入住院号进行报到。</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2）系统要求在患者报到时，能够显示排队信息以及当前等候的总人数、预计等候时长。</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3）要求支持回诊患者、隔天复诊患者报到后，系统将其自动分配到原看诊医生的队列中。</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4）系统须可自定义设置初诊、回诊、复诊、预约、过号患者之间的优先级。支持回诊、复诊、过号患者再次报到，进入排队队列。</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5）要求体检科室自助报到设备可显示未检项目及排队信息。</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6）要求可支持患者要排多项队列时，报到机软件具有一次签到或选择签到功能；</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7）要求系统支持患者可自主选择当前出诊医生排队签到；</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8）系统支持按需求打印排队信息凭条。1）要求支持患者通过自助报到机进行签到，报到机可通过条形码扫描、就诊卡读取、医保卡读取等方式相结合识别患者信息；支持手工输入住院号进行报到。</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2）系统要求在患者报到时，能够显示排队信息以及当前等候的总人数、预计等候时长。</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3）要求支持回诊患者、隔天复诊患者报到后，系统将其自动分配到原看诊医生的队列中。</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4）系统须可自定义设置初诊、回诊、复诊、预约、过号患者之间的优先级。支持回诊、复诊、过号患者再次报到，进入排队队列。</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5）要求体检科室自助报到设备可显示未检项目及排队信息。</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6）要求可支持患者要排多项队列时，报到机软件具有一次签到或选择签到功能；</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7）要求系统支持患者可自主选择当前出诊医生排队签到；</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8）系统支持按需求打印排队信息凭条。1）要求支持患者通过自助报到机进行签到，报到机可通过条形码扫描、就诊卡读取、医保卡读取等方式相结合识别患者信息；支持手工输入住院号进行报到。</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2）系统要求在患者报到时，能够显示排队信息以及当前等候的总人数、预计等候时长。</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3）要求支持回诊患者、隔天复诊患者报到后，系统将其自动分配到原看诊医生的队列中。</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4）系统须可自定义设置初诊、回诊、复诊、预约、过号患者之间的优先级。支持回诊、复诊、过号患者再次报到，进入排队队列。</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5）要求体检科室自助报到设备可显示未检项目及排队信息。</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6）要求可支持患者要排多项队列时，报到机软件具有一次签到或选择签到功能；</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7）要求系统支持患者可自主选择当前出诊医生排队签到；</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8）系统支持按需求打印排队信息凭条。</w:t>
            </w:r>
          </w:p>
        </w:tc>
        <w:tc>
          <w:tcPr>
            <w:tcW w:w="66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27</w:t>
            </w:r>
          </w:p>
        </w:tc>
        <w:tc>
          <w:tcPr>
            <w:tcW w:w="2083"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医生工作站虚拟叫号软件</w:t>
            </w:r>
          </w:p>
        </w:tc>
        <w:tc>
          <w:tcPr>
            <w:tcW w:w="6400"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1）支持医生ID号登录；</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2）要求医生工作站管理软件样式可由医生自主选择，满足医生对软件字体大小的个性化需求。</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3）支持顺序呼叫、选择呼叫、扫描呼叫等三种呼叫方式；</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4）支持叫号、重呼、选呼三种呼叫方式；支持过号（呼叫未到）、诊结两种结束状态；支持暂离、停诊等状态切换；</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5）支持叫号、重呼、过号、诊结、停诊功能；</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6）支持过号（呼叫未到）患者按规则自动重排，并可在后台统一设定诊区过号自动重排的次数；支持可选择呼叫过号患者就诊功能。</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7）医生同时出诊多队列时,可自行设定多队列的呼叫策略；例如：</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同时出诊心内科、呼吸内科，可自动轮流呼叫；</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同时出诊专科号、普通号，可先呼叫专科号，若专科号无患者时，自动呼叫普通号；</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8）支持功能按钮快捷键方式，可自定义设置快捷键；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9）支持无等候患者状态下，新患者签到提醒；</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10）支持悬浮窗及自动停靠；</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11）同一患者排多个队列，被呼叫时其他队列自动挂起，诊结后自动恢复等候状态。</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12）可显示当前呼叫患者检查项目；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13）门诊科室可根据需求设置温馨提示，要求系统可按照时间点设定提示内容，例如：“请您注意休息”、“请休息一分钟”等，并可在医生工作站软件弹出。</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14）支持一键报警功能，可在分诊台、警卫室等指定区域响应。</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15）要求支持预检叫号功能，支持患者先通过预检叫号后，再可被医生呼叫至诊室就诊。</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16）可开放叫号器功能接口，允许第三方系统调用；</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17）投标人需提供投标产品医生工作站管理系统软件的软件著作权证书复印件。</w:t>
            </w:r>
          </w:p>
        </w:tc>
        <w:tc>
          <w:tcPr>
            <w:tcW w:w="66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28</w:t>
            </w:r>
          </w:p>
        </w:tc>
        <w:tc>
          <w:tcPr>
            <w:tcW w:w="2083"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分诊台管理软件</w:t>
            </w:r>
          </w:p>
        </w:tc>
        <w:tc>
          <w:tcPr>
            <w:tcW w:w="6400"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1）要求系统具有分诊台属性设定功能，可以针对不同科室分诊台设定，例如体检科室、发热门诊、医技科室设定分诊的类型、叫号模式、数据留存时长、隔天复诊天数等，以满足不同诊区的不同使用需求。</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3）要求支持查看当前诊区的每个队列叫号情况（如：排队队列名称、候诊人数、已就诊人数、未到过号人数、当前队列最后一次呼叫的患者姓名、排队序号、呼叫医生或诊位、叫号时间等）</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4）要求系统支持查看患者状态、不同状态患者列表、通过姓名查找功能。</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5）支持同步HIS系统中医生排班数据，并支持临时手动调整功能；支持编辑周期内医生排班功能，并支持对医生每天出诊情况进行手动调整；</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6）支持预约功能，可按照未来某一天某个时段对患者进行预约，有效分散患者就诊时间；具备预约时段管理，时段跨度可根据我院情况进行调整；具备预约人数管理，要求时段内预约人数峰值可以自由设定；具备预警功能，当时段内预约人数临近或超出设定峰值，系统要有提醒功能，通过警示色或者拒绝预约等方式提示。</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7）可以查看某检查项的排队信息，包含剩余号量、等候人数、过号人数、预约未报到人数，以及患者的排队检查信息。同时可以为患者做“优先”、“暂停”、“调号”等操作。</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8）支持刷卡、扫描条码、手工录入等多种方式进行初诊患者签到、回诊患者二次签到、过号患者再报到、隔天复诊患者报到、患者状态查询、患者排序调号、患者预约等；</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9）早间高峰期患者突增情况下，分诊台软件须支持自动报到和手动批量报到机制，避免患者拥堵分诊台签到，降低排队护士工作量；</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10）在普通号情况下，分诊台系统须支持将患者手动分配至指定医生或诊室下排队候诊；</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11）系统须支持对“特殊”患者进行标识，并对此类患者进行优先就诊操作，例如老、幼、军人、离休等患者可优先就诊，同时叫号屏幕可显示此类患者标识，如“军”、“幼”等，并用其他颜色以示区别，打消其他患者疑虑。</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12）支持同一诊区下转诊功能，可将患者从一个队列转到另一个队列排队；</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13）患者在一个诊区有多个检查项时，系统须支持一次报到操作即进入多个检查项队列的功能，要求具备一个检查项呼叫患者，其他检查项自动暂停对该名患者进行呼叫，当患者其中一个检查项诊结完毕时，其他未检项再对患者进行呼叫，避免过号产生；</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14）系统须支持延迟呼叫，例如在检查、检验科室，当患者暂时不满足检查、检验条件时，护士可对患者进行延迟就诊操作，延迟时长可自定义，时间截止时，自动取消患者延迟状态，也可以通过护士手动取消患者延迟状态；</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15）系统须具备优先分诊、取消分诊、延迟分诊、转诊、挂起等功能。</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16）支持回诊患者、隔天复诊患者签到再次进入队列功能，同时可根据需求设置复诊插队策略，例如：优先插队、间隔插队；</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17）支持绿色通道（弃号）功能，可不经叫号直接就诊；</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18）支持过号患者签到再次进入队列功能，同时可根据需求设置过号患者优先就诊，延后就诊，延后就诊可设置延后位数；</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19）要求系统支持广播功能，分诊台可向候诊区广播语音、文本信息，护士可输入广播内容文字，选择对应的播放设备进行广播，要求广播可选择重播及多时段播放。</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20）要求系统支持接收消息信息，要求可接收来自医生的求援信息，以及分诊台下自助服务终端设备的缺纸、卡纸信息等。</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21）要求系统支持记录护士的每一步操作信息，要求可通过时间、患者进行操作记录的查询，做到分诊台操作详情可追溯；</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22）软件支持密码登录功能，防止其他人员误操作。</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23）要求护士工作站管理软件支持移动设备，护士可通过移动设备扫描患者挂号凭条，通过移动端对患者进行分诊、过号、复诊处理，并可查询该分诊台下的队列信息、等候人数、过号人数等。</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24）投标人需提供投标产品护士工作站管理系统软件的软件著作权证书复印件。</w:t>
            </w:r>
          </w:p>
        </w:tc>
        <w:tc>
          <w:tcPr>
            <w:tcW w:w="66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29</w:t>
            </w:r>
          </w:p>
        </w:tc>
        <w:tc>
          <w:tcPr>
            <w:tcW w:w="2083"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语音平台</w:t>
            </w:r>
          </w:p>
        </w:tc>
        <w:tc>
          <w:tcPr>
            <w:tcW w:w="6400"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 系统应具备按照不同诊区播放不同呼叫信息；</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 语音播报软件应具备全语音库的语音呼叫功能，支持文本内容(中、英文、数字）自动语音合成与播报，排队叫号信息可自动合成为语音信息播放；</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3） 可设定语音（男、女声）、语速、音调；例如：请王俪（患者姓名）到第五诊室（诊室信息）就诊。</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4） 语音默认要求为女声普通话，且语音清晰、流畅、无噪音、声音感受效果良好。</w:t>
            </w:r>
          </w:p>
        </w:tc>
        <w:tc>
          <w:tcPr>
            <w:tcW w:w="66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40</w:t>
            </w:r>
          </w:p>
        </w:tc>
        <w:tc>
          <w:tcPr>
            <w:tcW w:w="2083"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显示端授权</w:t>
            </w:r>
          </w:p>
        </w:tc>
        <w:tc>
          <w:tcPr>
            <w:tcW w:w="6400"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硬件设备授权防止内容篡改盗播、病毒攻击。</w:t>
            </w:r>
          </w:p>
        </w:tc>
        <w:tc>
          <w:tcPr>
            <w:tcW w:w="66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bl>
    <w:p>
      <w:pPr>
        <w:rPr>
          <w:rFonts w:ascii="Tahoma" w:hAnsi="黑体" w:eastAsia="黑体" w:cs="Tahoma"/>
          <w:b/>
          <w:color w:val="000000" w:themeColor="text1"/>
          <w:szCs w:val="21"/>
          <w:highlight w:val="none"/>
          <w14:textFill>
            <w14:solidFill>
              <w14:schemeClr w14:val="tx1"/>
            </w14:solidFill>
          </w14:textFill>
        </w:rPr>
      </w:pPr>
    </w:p>
    <w:p>
      <w:pPr>
        <w:pStyle w:val="2"/>
        <w:rPr>
          <w:rFonts w:ascii="Tahoma" w:hAnsi="黑体" w:eastAsia="黑体" w:cs="Tahoma"/>
          <w:b/>
          <w:color w:val="000000" w:themeColor="text1"/>
          <w:szCs w:val="21"/>
          <w:highlight w:val="none"/>
          <w14:textFill>
            <w14:solidFill>
              <w14:schemeClr w14:val="tx1"/>
            </w14:solidFill>
          </w14:textFill>
        </w:rPr>
      </w:pPr>
    </w:p>
    <w:p>
      <w:pPr>
        <w:pStyle w:val="2"/>
        <w:rPr>
          <w:rFonts w:ascii="Tahoma" w:hAnsi="黑体" w:eastAsia="黑体" w:cs="Tahoma"/>
          <w:b/>
          <w:color w:val="000000" w:themeColor="text1"/>
          <w:szCs w:val="21"/>
          <w:highlight w:val="none"/>
          <w14:textFill>
            <w14:solidFill>
              <w14:schemeClr w14:val="tx1"/>
            </w14:solidFill>
          </w14:textFill>
        </w:rPr>
      </w:pPr>
    </w:p>
    <w:p>
      <w:pPr>
        <w:rPr>
          <w:rFonts w:ascii="Tahoma" w:hAnsi="黑体" w:eastAsia="黑体" w:cs="Tahoma"/>
          <w:b/>
          <w:color w:val="000000" w:themeColor="text1"/>
          <w:szCs w:val="21"/>
          <w:highlight w:val="none"/>
          <w14:textFill>
            <w14:solidFill>
              <w14:schemeClr w14:val="tx1"/>
            </w14:solidFill>
          </w14:textFill>
        </w:rPr>
      </w:pPr>
      <w:r>
        <w:rPr>
          <w:rFonts w:hint="eastAsia" w:ascii="Tahoma" w:hAnsi="黑体" w:eastAsia="黑体" w:cs="Tahoma"/>
          <w:b/>
          <w:color w:val="000000" w:themeColor="text1"/>
          <w:szCs w:val="21"/>
          <w:highlight w:val="none"/>
          <w14:textFill>
            <w14:solidFill>
              <w14:schemeClr w14:val="tx1"/>
            </w14:solidFill>
          </w14:textFill>
        </w:rPr>
        <w:t>6、模块化机房建设</w:t>
      </w:r>
    </w:p>
    <w:p>
      <w:pPr>
        <w:rPr>
          <w:color w:val="000000" w:themeColor="text1"/>
          <w:highlight w:val="none"/>
          <w14:textFill>
            <w14:solidFill>
              <w14:schemeClr w14:val="tx1"/>
            </w14:solidFill>
          </w14:textFill>
        </w:rPr>
      </w:pPr>
      <w:r>
        <w:rPr>
          <w:rFonts w:hint="eastAsia" w:ascii="Tahoma" w:hAnsi="黑体" w:eastAsia="黑体" w:cs="Tahoma"/>
          <w:b/>
          <w:color w:val="000000" w:themeColor="text1"/>
          <w:szCs w:val="21"/>
          <w:highlight w:val="none"/>
          <w14:textFill>
            <w14:solidFill>
              <w14:schemeClr w14:val="tx1"/>
            </w14:solidFill>
          </w14:textFill>
        </w:rPr>
        <w:t>6.1机房装修</w:t>
      </w:r>
    </w:p>
    <w:tbl>
      <w:tblPr>
        <w:tblStyle w:val="20"/>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7"/>
        <w:gridCol w:w="2084"/>
        <w:gridCol w:w="6366"/>
        <w:gridCol w:w="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47" w:type="dxa"/>
            <w:shd w:val="clear" w:color="auto" w:fill="auto"/>
            <w:tcMar>
              <w:top w:w="12" w:type="dxa"/>
              <w:left w:w="12" w:type="dxa"/>
              <w:right w:w="12" w:type="dxa"/>
            </w:tcMar>
            <w:vAlign w:val="center"/>
          </w:tcPr>
          <w:p>
            <w:pPr>
              <w:snapToGrid w:val="0"/>
              <w:ind w:left="425" w:hanging="425"/>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序号</w:t>
            </w:r>
          </w:p>
        </w:tc>
        <w:tc>
          <w:tcPr>
            <w:tcW w:w="2084" w:type="dxa"/>
            <w:shd w:val="clear" w:color="auto" w:fill="auto"/>
            <w:tcMar>
              <w:top w:w="12" w:type="dxa"/>
              <w:left w:w="12" w:type="dxa"/>
              <w:right w:w="12" w:type="dxa"/>
            </w:tcMar>
            <w:vAlign w:val="center"/>
          </w:tcPr>
          <w:p>
            <w:pPr>
              <w:snapToGrid w:val="0"/>
              <w:ind w:left="425" w:hanging="425"/>
              <w:jc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商品名称</w:t>
            </w:r>
          </w:p>
        </w:tc>
        <w:tc>
          <w:tcPr>
            <w:tcW w:w="6366"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技术规格</w:t>
            </w:r>
          </w:p>
        </w:tc>
        <w:tc>
          <w:tcPr>
            <w:tcW w:w="681" w:type="dxa"/>
            <w:shd w:val="clear" w:color="auto" w:fill="auto"/>
            <w:tcMar>
              <w:top w:w="12" w:type="dxa"/>
              <w:left w:w="12" w:type="dxa"/>
              <w:right w:w="12" w:type="dxa"/>
            </w:tcMar>
            <w:vAlign w:val="center"/>
          </w:tcPr>
          <w:p>
            <w:pPr>
              <w:snapToGrid w:val="0"/>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4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w:t>
            </w:r>
          </w:p>
        </w:tc>
        <w:tc>
          <w:tcPr>
            <w:tcW w:w="2084"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吊顶丝杆</w:t>
            </w:r>
          </w:p>
        </w:tc>
        <w:tc>
          <w:tcPr>
            <w:tcW w:w="6366" w:type="dxa"/>
            <w:shd w:val="clear" w:color="auto" w:fill="auto"/>
            <w:tcMar>
              <w:top w:w="12" w:type="dxa"/>
              <w:left w:w="12" w:type="dxa"/>
              <w:right w:w="12" w:type="dxa"/>
            </w:tcMar>
            <w:vAlign w:val="center"/>
          </w:tcPr>
          <w:p>
            <w:pP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 xml:space="preserve"> ￠8全丝吊筋套膨胀管</w:t>
            </w:r>
          </w:p>
        </w:tc>
        <w:tc>
          <w:tcPr>
            <w:tcW w:w="6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4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w:t>
            </w:r>
          </w:p>
        </w:tc>
        <w:tc>
          <w:tcPr>
            <w:tcW w:w="2084"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主骨</w:t>
            </w:r>
          </w:p>
        </w:tc>
        <w:tc>
          <w:tcPr>
            <w:tcW w:w="6366" w:type="dxa"/>
            <w:shd w:val="clear" w:color="auto" w:fill="auto"/>
            <w:tcMar>
              <w:top w:w="12" w:type="dxa"/>
              <w:left w:w="12" w:type="dxa"/>
              <w:right w:w="12" w:type="dxa"/>
            </w:tcMar>
            <w:vAlign w:val="center"/>
          </w:tcPr>
          <w:p>
            <w:pP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38轻钢主龙骨排列(间隔1.2米）</w:t>
            </w:r>
          </w:p>
        </w:tc>
        <w:tc>
          <w:tcPr>
            <w:tcW w:w="6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4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3</w:t>
            </w:r>
          </w:p>
        </w:tc>
        <w:tc>
          <w:tcPr>
            <w:tcW w:w="2084"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吊顶防火吸音板</w:t>
            </w:r>
          </w:p>
        </w:tc>
        <w:tc>
          <w:tcPr>
            <w:tcW w:w="6366" w:type="dxa"/>
            <w:shd w:val="clear" w:color="auto" w:fill="auto"/>
            <w:tcMar>
              <w:top w:w="12" w:type="dxa"/>
              <w:left w:w="12" w:type="dxa"/>
              <w:right w:w="12" w:type="dxa"/>
            </w:tcMar>
            <w:vAlign w:val="center"/>
          </w:tcPr>
          <w:p>
            <w:pP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60cm*60cm金属穿孔吸音板(c 材料厚度为1mm）吊顶安装，厚度为，三角龙骨排列，挂钩安装</w:t>
            </w:r>
          </w:p>
        </w:tc>
        <w:tc>
          <w:tcPr>
            <w:tcW w:w="6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4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4</w:t>
            </w:r>
          </w:p>
        </w:tc>
        <w:tc>
          <w:tcPr>
            <w:tcW w:w="2084"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照明</w:t>
            </w:r>
          </w:p>
        </w:tc>
        <w:tc>
          <w:tcPr>
            <w:tcW w:w="6366" w:type="dxa"/>
            <w:shd w:val="clear" w:color="auto" w:fill="auto"/>
            <w:tcMar>
              <w:top w:w="12" w:type="dxa"/>
              <w:left w:w="12" w:type="dxa"/>
              <w:right w:w="12" w:type="dxa"/>
            </w:tcMar>
            <w:vAlign w:val="center"/>
          </w:tcPr>
          <w:p>
            <w:pP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60cm*60cmLED灯具安装（普通照明）不低于48W,色温为6500k</w:t>
            </w:r>
          </w:p>
        </w:tc>
        <w:tc>
          <w:tcPr>
            <w:tcW w:w="6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4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5</w:t>
            </w:r>
          </w:p>
        </w:tc>
        <w:tc>
          <w:tcPr>
            <w:tcW w:w="2084"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玻璃隔墙</w:t>
            </w:r>
          </w:p>
        </w:tc>
        <w:tc>
          <w:tcPr>
            <w:tcW w:w="6366" w:type="dxa"/>
            <w:shd w:val="clear" w:color="auto" w:fill="auto"/>
            <w:tcMar>
              <w:top w:w="12" w:type="dxa"/>
              <w:left w:w="12" w:type="dxa"/>
              <w:right w:w="12" w:type="dxa"/>
            </w:tcMar>
            <w:vAlign w:val="center"/>
          </w:tcPr>
          <w:p>
            <w:pP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离地2米高度为双层钢化玻璃安装，需采用符合相应耐火时间要求的防火玻璃（按照215平米，四个区域实施）</w:t>
            </w:r>
          </w:p>
        </w:tc>
        <w:tc>
          <w:tcPr>
            <w:tcW w:w="6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4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6</w:t>
            </w:r>
          </w:p>
        </w:tc>
        <w:tc>
          <w:tcPr>
            <w:tcW w:w="2084"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玻璃隔墙门</w:t>
            </w:r>
          </w:p>
        </w:tc>
        <w:tc>
          <w:tcPr>
            <w:tcW w:w="6366" w:type="dxa"/>
            <w:shd w:val="clear" w:color="auto" w:fill="auto"/>
            <w:tcMar>
              <w:top w:w="12" w:type="dxa"/>
              <w:left w:w="12" w:type="dxa"/>
              <w:right w:w="12" w:type="dxa"/>
            </w:tcMar>
            <w:vAlign w:val="center"/>
          </w:tcPr>
          <w:p>
            <w:pP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带框玻璃门，安装门禁系统（钢化玻璃为2-4cm厚）。</w:t>
            </w:r>
          </w:p>
        </w:tc>
        <w:tc>
          <w:tcPr>
            <w:tcW w:w="6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4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7</w:t>
            </w:r>
          </w:p>
        </w:tc>
        <w:tc>
          <w:tcPr>
            <w:tcW w:w="2084"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防盗门</w:t>
            </w:r>
          </w:p>
        </w:tc>
        <w:tc>
          <w:tcPr>
            <w:tcW w:w="6366" w:type="dxa"/>
            <w:shd w:val="clear" w:color="auto" w:fill="auto"/>
            <w:tcMar>
              <w:top w:w="12" w:type="dxa"/>
              <w:left w:w="12" w:type="dxa"/>
              <w:right w:w="12" w:type="dxa"/>
            </w:tcMar>
            <w:vAlign w:val="center"/>
          </w:tcPr>
          <w:p>
            <w:pP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7cm厚防盗门及安装。</w:t>
            </w:r>
          </w:p>
        </w:tc>
        <w:tc>
          <w:tcPr>
            <w:tcW w:w="6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4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8</w:t>
            </w:r>
          </w:p>
        </w:tc>
        <w:tc>
          <w:tcPr>
            <w:tcW w:w="2084"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隔墙龙骨</w:t>
            </w:r>
          </w:p>
        </w:tc>
        <w:tc>
          <w:tcPr>
            <w:tcW w:w="6366" w:type="dxa"/>
            <w:shd w:val="clear" w:color="auto" w:fill="auto"/>
            <w:tcMar>
              <w:top w:w="12" w:type="dxa"/>
              <w:left w:w="12" w:type="dxa"/>
              <w:right w:w="12" w:type="dxa"/>
            </w:tcMar>
            <w:vAlign w:val="center"/>
          </w:tcPr>
          <w:p>
            <w:pP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75型轻钢龙骨隔墙</w:t>
            </w:r>
          </w:p>
        </w:tc>
        <w:tc>
          <w:tcPr>
            <w:tcW w:w="6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4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9</w:t>
            </w:r>
          </w:p>
        </w:tc>
        <w:tc>
          <w:tcPr>
            <w:tcW w:w="2084"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隔墙隔音棉铺设</w:t>
            </w:r>
          </w:p>
        </w:tc>
        <w:tc>
          <w:tcPr>
            <w:tcW w:w="6366" w:type="dxa"/>
            <w:shd w:val="clear" w:color="auto" w:fill="auto"/>
            <w:tcMar>
              <w:top w:w="12" w:type="dxa"/>
              <w:left w:w="12" w:type="dxa"/>
              <w:right w:w="12" w:type="dxa"/>
            </w:tcMar>
            <w:vAlign w:val="center"/>
          </w:tcPr>
          <w:p>
            <w:pP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硅酸钙长绒棉填充，防火等级为阻燃</w:t>
            </w:r>
          </w:p>
        </w:tc>
        <w:tc>
          <w:tcPr>
            <w:tcW w:w="6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10</w:t>
            </w:r>
          </w:p>
        </w:tc>
        <w:tc>
          <w:tcPr>
            <w:tcW w:w="2084" w:type="dxa"/>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机房防静电墙面</w:t>
            </w:r>
          </w:p>
        </w:tc>
        <w:tc>
          <w:tcPr>
            <w:tcW w:w="6366" w:type="dxa"/>
            <w:vAlign w:val="center"/>
          </w:tcPr>
          <w:p>
            <w:pP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全钢防静电防火隔音护墙板</w:t>
            </w:r>
          </w:p>
        </w:tc>
        <w:tc>
          <w:tcPr>
            <w:tcW w:w="681"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11</w:t>
            </w:r>
          </w:p>
        </w:tc>
        <w:tc>
          <w:tcPr>
            <w:tcW w:w="2084" w:type="dxa"/>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地面防尘漆</w:t>
            </w:r>
          </w:p>
        </w:tc>
        <w:tc>
          <w:tcPr>
            <w:tcW w:w="6366" w:type="dxa"/>
            <w:vAlign w:val="center"/>
          </w:tcPr>
          <w:p>
            <w:pP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地面防尘漆刷涂两遍</w:t>
            </w:r>
          </w:p>
        </w:tc>
        <w:tc>
          <w:tcPr>
            <w:tcW w:w="681"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12</w:t>
            </w:r>
          </w:p>
        </w:tc>
        <w:tc>
          <w:tcPr>
            <w:tcW w:w="2084" w:type="dxa"/>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封堵</w:t>
            </w:r>
          </w:p>
        </w:tc>
        <w:tc>
          <w:tcPr>
            <w:tcW w:w="6366" w:type="dxa"/>
            <w:vAlign w:val="center"/>
          </w:tcPr>
          <w:p>
            <w:pP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窗户，门拆除后封堵，使用木质龙骨，密度板基础，石膏板面层封处理，面层做墙面腻子基层处理，刷涂乳胶漆。</w:t>
            </w:r>
          </w:p>
        </w:tc>
        <w:tc>
          <w:tcPr>
            <w:tcW w:w="681"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13</w:t>
            </w:r>
          </w:p>
        </w:tc>
        <w:tc>
          <w:tcPr>
            <w:tcW w:w="2084" w:type="dxa"/>
            <w:vAlign w:val="center"/>
          </w:tcPr>
          <w:p>
            <w:pPr>
              <w:jc w:val="center"/>
              <w:textAlignment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电线敷设</w:t>
            </w:r>
          </w:p>
        </w:tc>
        <w:tc>
          <w:tcPr>
            <w:tcW w:w="6366" w:type="dxa"/>
            <w:vAlign w:val="center"/>
          </w:tcPr>
          <w:p>
            <w:pPr>
              <w:textAlignment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原有灯具线路重新布置，安装，开关面板更换，墙面基础插座安装。</w:t>
            </w:r>
          </w:p>
        </w:tc>
        <w:tc>
          <w:tcPr>
            <w:tcW w:w="681"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14</w:t>
            </w:r>
          </w:p>
        </w:tc>
        <w:tc>
          <w:tcPr>
            <w:tcW w:w="2084" w:type="dxa"/>
            <w:vAlign w:val="center"/>
          </w:tcPr>
          <w:p>
            <w:pPr>
              <w:jc w:val="center"/>
              <w:textAlignment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接地</w:t>
            </w:r>
          </w:p>
        </w:tc>
        <w:tc>
          <w:tcPr>
            <w:tcW w:w="6366" w:type="dxa"/>
            <w:vAlign w:val="center"/>
          </w:tcPr>
          <w:p>
            <w:pPr>
              <w:textAlignment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接地坑、接地网、接地桩、接地模块、降阻剂、接地线、接地母排、接地母线、机房防静电接地</w:t>
            </w:r>
          </w:p>
        </w:tc>
        <w:tc>
          <w:tcPr>
            <w:tcW w:w="681"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bl>
    <w:p>
      <w:pPr>
        <w:rPr>
          <w:color w:val="000000" w:themeColor="text1"/>
          <w:highlight w:val="none"/>
          <w14:textFill>
            <w14:solidFill>
              <w14:schemeClr w14:val="tx1"/>
            </w14:solidFill>
          </w14:textFill>
        </w:rPr>
      </w:pPr>
      <w:r>
        <w:rPr>
          <w:rFonts w:hint="eastAsia" w:ascii="Tahoma" w:hAnsi="黑体" w:eastAsia="黑体" w:cs="Tahoma"/>
          <w:b/>
          <w:color w:val="000000" w:themeColor="text1"/>
          <w:szCs w:val="21"/>
          <w:highlight w:val="none"/>
          <w14:textFill>
            <w14:solidFill>
              <w14:schemeClr w14:val="tx1"/>
            </w14:solidFill>
          </w14:textFill>
        </w:rPr>
        <w:t>6.2 备用机房机柜</w:t>
      </w:r>
    </w:p>
    <w:tbl>
      <w:tblPr>
        <w:tblStyle w:val="20"/>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1"/>
        <w:gridCol w:w="2083"/>
        <w:gridCol w:w="6317"/>
        <w:gridCol w:w="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81" w:type="dxa"/>
            <w:shd w:val="clear" w:color="auto" w:fill="auto"/>
            <w:tcMar>
              <w:top w:w="12" w:type="dxa"/>
              <w:left w:w="12" w:type="dxa"/>
              <w:right w:w="12" w:type="dxa"/>
            </w:tcMar>
            <w:vAlign w:val="center"/>
          </w:tcPr>
          <w:p>
            <w:pPr>
              <w:snapToGrid w:val="0"/>
              <w:ind w:left="425" w:hanging="425"/>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序号</w:t>
            </w:r>
          </w:p>
        </w:tc>
        <w:tc>
          <w:tcPr>
            <w:tcW w:w="2083" w:type="dxa"/>
            <w:shd w:val="clear" w:color="auto" w:fill="auto"/>
            <w:tcMar>
              <w:top w:w="12" w:type="dxa"/>
              <w:left w:w="12" w:type="dxa"/>
              <w:right w:w="12" w:type="dxa"/>
            </w:tcMar>
            <w:vAlign w:val="center"/>
          </w:tcPr>
          <w:p>
            <w:pPr>
              <w:snapToGrid w:val="0"/>
              <w:ind w:left="425" w:hanging="425"/>
              <w:jc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商品名称</w:t>
            </w:r>
          </w:p>
        </w:tc>
        <w:tc>
          <w:tcPr>
            <w:tcW w:w="631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技术规格</w:t>
            </w:r>
          </w:p>
        </w:tc>
        <w:tc>
          <w:tcPr>
            <w:tcW w:w="697" w:type="dxa"/>
            <w:shd w:val="clear" w:color="auto" w:fill="auto"/>
            <w:tcMar>
              <w:top w:w="12" w:type="dxa"/>
              <w:left w:w="12" w:type="dxa"/>
              <w:right w:w="12" w:type="dxa"/>
            </w:tcMar>
            <w:vAlign w:val="center"/>
          </w:tcPr>
          <w:p>
            <w:pPr>
              <w:snapToGrid w:val="0"/>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w:t>
            </w:r>
          </w:p>
        </w:tc>
        <w:tc>
          <w:tcPr>
            <w:tcW w:w="2083"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服务器机柜(核心备份）</w:t>
            </w:r>
          </w:p>
        </w:tc>
        <w:tc>
          <w:tcPr>
            <w:tcW w:w="6317" w:type="dxa"/>
            <w:shd w:val="clear" w:color="auto" w:fill="auto"/>
            <w:tcMar>
              <w:top w:w="12" w:type="dxa"/>
              <w:left w:w="12" w:type="dxa"/>
              <w:right w:w="12" w:type="dxa"/>
            </w:tcMar>
            <w:vAlign w:val="center"/>
          </w:tcPr>
          <w:p>
            <w:pPr>
              <w:textAlignment w:val="center"/>
              <w:rPr>
                <w:rFonts w:hint="eastAsia" w:ascii="宋体" w:hAnsi="宋体" w:cs="宋体"/>
                <w:color w:val="000000" w:themeColor="text1"/>
                <w:kern w:val="0"/>
                <w:sz w:val="22"/>
                <w:szCs w:val="22"/>
                <w:highlight w:val="none"/>
                <w:lang w:bidi="ar"/>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标准19" 42U服务器机柜 W600xD1200xH2000，前单开网孔弧形门，后双开网孔平门；包含并柜件、PDU安装板、接地连接件、机柜螺丝等</w:t>
            </w:r>
          </w:p>
        </w:tc>
        <w:tc>
          <w:tcPr>
            <w:tcW w:w="69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w:t>
            </w:r>
          </w:p>
        </w:tc>
        <w:tc>
          <w:tcPr>
            <w:tcW w:w="2083"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固定承重板</w:t>
            </w:r>
          </w:p>
        </w:tc>
        <w:tc>
          <w:tcPr>
            <w:tcW w:w="6317" w:type="dxa"/>
            <w:shd w:val="clear" w:color="auto" w:fill="auto"/>
            <w:tcMar>
              <w:top w:w="12" w:type="dxa"/>
              <w:left w:w="12" w:type="dxa"/>
              <w:right w:w="12" w:type="dxa"/>
            </w:tcMar>
            <w:vAlign w:val="center"/>
          </w:tcPr>
          <w:p>
            <w:pPr>
              <w:textAlignment w:val="center"/>
              <w:rPr>
                <w:rFonts w:hint="eastAsia" w:ascii="宋体" w:hAnsi="宋体" w:cs="宋体"/>
                <w:color w:val="000000" w:themeColor="text1"/>
                <w:kern w:val="0"/>
                <w:sz w:val="22"/>
                <w:szCs w:val="22"/>
                <w:highlight w:val="none"/>
                <w:lang w:bidi="ar"/>
                <w14:textFill>
                  <w14:solidFill>
                    <w14:schemeClr w14:val="tx1"/>
                  </w14:solidFill>
                </w14:textFill>
              </w:rPr>
            </w:pPr>
            <w:r>
              <w:rPr>
                <w:rFonts w:hint="default" w:ascii="宋体" w:hAnsi="宋体" w:cs="宋体"/>
                <w:color w:val="000000" w:themeColor="text1"/>
                <w:kern w:val="0"/>
                <w:sz w:val="22"/>
                <w:szCs w:val="22"/>
                <w:highlight w:val="none"/>
                <w:lang w:bidi="ar"/>
                <w14:textFill>
                  <w14:solidFill>
                    <w14:schemeClr w14:val="tx1"/>
                  </w14:solidFill>
                </w14:textFill>
              </w:rPr>
              <w:t>固定式安装承重板，最大承重</w:t>
            </w:r>
            <w:r>
              <w:rPr>
                <w:rFonts w:hint="eastAsia" w:ascii="宋体" w:hAnsi="宋体" w:cs="宋体"/>
                <w:color w:val="000000" w:themeColor="text1"/>
                <w:kern w:val="0"/>
                <w:sz w:val="22"/>
                <w:szCs w:val="22"/>
                <w:highlight w:val="none"/>
                <w:lang w:bidi="ar"/>
                <w14:textFill>
                  <w14:solidFill>
                    <w14:schemeClr w14:val="tx1"/>
                  </w14:solidFill>
                </w14:textFill>
              </w:rPr>
              <w:t>60KG</w:t>
            </w:r>
            <w:r>
              <w:rPr>
                <w:rFonts w:hint="default" w:ascii="宋体" w:hAnsi="宋体" w:cs="宋体"/>
                <w:color w:val="000000" w:themeColor="text1"/>
                <w:kern w:val="0"/>
                <w:sz w:val="22"/>
                <w:szCs w:val="22"/>
                <w:highlight w:val="none"/>
                <w:lang w:bidi="ar"/>
                <w14:textFill>
                  <w14:solidFill>
                    <w14:schemeClr w14:val="tx1"/>
                  </w14:solidFill>
                </w14:textFill>
              </w:rPr>
              <w:t>，材质</w:t>
            </w:r>
            <w:r>
              <w:rPr>
                <w:rFonts w:hint="eastAsia" w:ascii="宋体" w:hAnsi="宋体" w:cs="宋体"/>
                <w:color w:val="000000" w:themeColor="text1"/>
                <w:kern w:val="0"/>
                <w:sz w:val="22"/>
                <w:szCs w:val="22"/>
                <w:highlight w:val="none"/>
                <w:lang w:bidi="ar"/>
                <w14:textFill>
                  <w14:solidFill>
                    <w14:schemeClr w14:val="tx1"/>
                  </w14:solidFill>
                </w14:textFill>
              </w:rPr>
              <w:t>spcc1.5</w:t>
            </w:r>
            <w:r>
              <w:rPr>
                <w:rFonts w:hint="default" w:ascii="宋体" w:hAnsi="宋体" w:cs="宋体"/>
                <w:color w:val="000000" w:themeColor="text1"/>
                <w:kern w:val="0"/>
                <w:sz w:val="22"/>
                <w:szCs w:val="22"/>
                <w:highlight w:val="none"/>
                <w:lang w:bidi="ar"/>
                <w14:textFill>
                  <w14:solidFill>
                    <w14:schemeClr w14:val="tx1"/>
                  </w14:solidFill>
                </w14:textFill>
              </w:rPr>
              <w:t>，配</w:t>
            </w:r>
            <w:r>
              <w:rPr>
                <w:rFonts w:hint="eastAsia" w:ascii="宋体" w:hAnsi="宋体" w:cs="宋体"/>
                <w:color w:val="000000" w:themeColor="text1"/>
                <w:kern w:val="0"/>
                <w:sz w:val="22"/>
                <w:szCs w:val="22"/>
                <w:highlight w:val="none"/>
                <w:lang w:bidi="ar"/>
                <w14:textFill>
                  <w14:solidFill>
                    <w14:schemeClr w14:val="tx1"/>
                  </w14:solidFill>
                </w14:textFill>
              </w:rPr>
              <w:t>4</w:t>
            </w:r>
            <w:r>
              <w:rPr>
                <w:rFonts w:hint="default" w:ascii="宋体" w:hAnsi="宋体" w:cs="宋体"/>
                <w:color w:val="000000" w:themeColor="text1"/>
                <w:kern w:val="0"/>
                <w:sz w:val="22"/>
                <w:szCs w:val="22"/>
                <w:highlight w:val="none"/>
                <w:lang w:bidi="ar"/>
                <w14:textFill>
                  <w14:solidFill>
                    <w14:schemeClr w14:val="tx1"/>
                  </w14:solidFill>
                </w14:textFill>
              </w:rPr>
              <w:t>粒</w:t>
            </w:r>
            <w:r>
              <w:rPr>
                <w:rFonts w:hint="eastAsia" w:ascii="宋体" w:hAnsi="宋体" w:cs="宋体"/>
                <w:color w:val="000000" w:themeColor="text1"/>
                <w:kern w:val="0"/>
                <w:sz w:val="22"/>
                <w:szCs w:val="22"/>
                <w:highlight w:val="none"/>
                <w:lang w:bidi="ar"/>
                <w14:textFill>
                  <w14:solidFill>
                    <w14:schemeClr w14:val="tx1"/>
                  </w14:solidFill>
                </w14:textFill>
              </w:rPr>
              <w:t>M6</w:t>
            </w:r>
            <w:r>
              <w:rPr>
                <w:rFonts w:hint="default" w:ascii="宋体" w:hAnsi="宋体" w:cs="宋体"/>
                <w:color w:val="000000" w:themeColor="text1"/>
                <w:kern w:val="0"/>
                <w:sz w:val="22"/>
                <w:szCs w:val="22"/>
                <w:highlight w:val="none"/>
                <w:lang w:bidi="ar"/>
                <w14:textFill>
                  <w14:solidFill>
                    <w14:schemeClr w14:val="tx1"/>
                  </w14:solidFill>
                </w14:textFill>
              </w:rPr>
              <w:t>螺丝，</w:t>
            </w:r>
            <w:r>
              <w:rPr>
                <w:rFonts w:hint="eastAsia" w:ascii="宋体" w:hAnsi="宋体" w:cs="宋体"/>
                <w:color w:val="000000" w:themeColor="text1"/>
                <w:kern w:val="0"/>
                <w:sz w:val="22"/>
                <w:szCs w:val="22"/>
                <w:highlight w:val="none"/>
                <w:lang w:bidi="ar"/>
                <w14:textFill>
                  <w14:solidFill>
                    <w14:schemeClr w14:val="tx1"/>
                  </w14:solidFill>
                </w14:textFill>
              </w:rPr>
              <w:t>4</w:t>
            </w:r>
            <w:r>
              <w:rPr>
                <w:rFonts w:hint="default" w:ascii="宋体" w:hAnsi="宋体" w:cs="宋体"/>
                <w:color w:val="000000" w:themeColor="text1"/>
                <w:kern w:val="0"/>
                <w:sz w:val="22"/>
                <w:szCs w:val="22"/>
                <w:highlight w:val="none"/>
                <w:lang w:bidi="ar"/>
                <w14:textFill>
                  <w14:solidFill>
                    <w14:schemeClr w14:val="tx1"/>
                  </w14:solidFill>
                </w14:textFill>
              </w:rPr>
              <w:t>粒</w:t>
            </w:r>
            <w:r>
              <w:rPr>
                <w:rFonts w:hint="eastAsia" w:ascii="宋体" w:hAnsi="宋体" w:cs="宋体"/>
                <w:color w:val="000000" w:themeColor="text1"/>
                <w:kern w:val="0"/>
                <w:sz w:val="22"/>
                <w:szCs w:val="22"/>
                <w:highlight w:val="none"/>
                <w:lang w:bidi="ar"/>
                <w14:textFill>
                  <w14:solidFill>
                    <w14:schemeClr w14:val="tx1"/>
                  </w14:solidFill>
                </w14:textFill>
              </w:rPr>
              <w:t>M6</w:t>
            </w:r>
            <w:r>
              <w:rPr>
                <w:rFonts w:hint="default" w:ascii="宋体" w:hAnsi="宋体" w:cs="宋体"/>
                <w:color w:val="000000" w:themeColor="text1"/>
                <w:kern w:val="0"/>
                <w:sz w:val="22"/>
                <w:szCs w:val="22"/>
                <w:highlight w:val="none"/>
                <w:lang w:bidi="ar"/>
                <w14:textFill>
                  <w14:solidFill>
                    <w14:schemeClr w14:val="tx1"/>
                  </w14:solidFill>
                </w14:textFill>
              </w:rPr>
              <w:t>卡扣螺母。</w:t>
            </w:r>
          </w:p>
        </w:tc>
        <w:tc>
          <w:tcPr>
            <w:tcW w:w="69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3</w:t>
            </w:r>
          </w:p>
        </w:tc>
        <w:tc>
          <w:tcPr>
            <w:tcW w:w="2083"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气流遏制盲板</w:t>
            </w:r>
          </w:p>
        </w:tc>
        <w:tc>
          <w:tcPr>
            <w:tcW w:w="6317" w:type="dxa"/>
            <w:shd w:val="clear" w:color="auto" w:fill="auto"/>
            <w:tcMar>
              <w:top w:w="12" w:type="dxa"/>
              <w:left w:w="12" w:type="dxa"/>
              <w:right w:w="12" w:type="dxa"/>
            </w:tcMar>
            <w:vAlign w:val="center"/>
          </w:tcPr>
          <w:p>
            <w:pPr>
              <w:textAlignment w:val="center"/>
              <w:rPr>
                <w:rFonts w:hint="eastAsia" w:ascii="宋体" w:hAnsi="宋体" w:cs="宋体"/>
                <w:color w:val="000000" w:themeColor="text1"/>
                <w:kern w:val="0"/>
                <w:sz w:val="22"/>
                <w:szCs w:val="22"/>
                <w:highlight w:val="none"/>
                <w:lang w:bidi="ar"/>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19</w:t>
            </w:r>
            <w:r>
              <w:rPr>
                <w:rFonts w:hint="default" w:ascii="宋体" w:hAnsi="宋体" w:cs="宋体"/>
                <w:color w:val="000000" w:themeColor="text1"/>
                <w:kern w:val="0"/>
                <w:sz w:val="22"/>
                <w:szCs w:val="22"/>
                <w:highlight w:val="none"/>
                <w:lang w:bidi="ar"/>
                <w14:textFill>
                  <w14:solidFill>
                    <w14:schemeClr w14:val="tx1"/>
                  </w14:solidFill>
                </w14:textFill>
              </w:rPr>
              <w:t>英寸</w:t>
            </w:r>
            <w:r>
              <w:rPr>
                <w:rFonts w:hint="eastAsia" w:ascii="宋体" w:hAnsi="宋体" w:cs="宋体"/>
                <w:color w:val="000000" w:themeColor="text1"/>
                <w:kern w:val="0"/>
                <w:sz w:val="22"/>
                <w:szCs w:val="22"/>
                <w:highlight w:val="none"/>
                <w:lang w:bidi="ar"/>
                <w14:textFill>
                  <w14:solidFill>
                    <w14:schemeClr w14:val="tx1"/>
                  </w14:solidFill>
                </w14:textFill>
              </w:rPr>
              <w:t>1U</w:t>
            </w:r>
            <w:r>
              <w:rPr>
                <w:rFonts w:hint="default" w:ascii="宋体" w:hAnsi="宋体" w:cs="宋体"/>
                <w:color w:val="000000" w:themeColor="text1"/>
                <w:kern w:val="0"/>
                <w:sz w:val="22"/>
                <w:szCs w:val="22"/>
                <w:highlight w:val="none"/>
                <w:lang w:bidi="ar"/>
                <w14:textFill>
                  <w14:solidFill>
                    <w14:schemeClr w14:val="tx1"/>
                  </w14:solidFill>
                </w14:textFill>
              </w:rPr>
              <w:t>标准，卡扣式安装，材质</w:t>
            </w:r>
            <w:r>
              <w:rPr>
                <w:rFonts w:hint="eastAsia" w:ascii="宋体" w:hAnsi="宋体" w:cs="宋体"/>
                <w:color w:val="000000" w:themeColor="text1"/>
                <w:kern w:val="0"/>
                <w:sz w:val="22"/>
                <w:szCs w:val="22"/>
                <w:highlight w:val="none"/>
                <w:lang w:bidi="ar"/>
                <w14:textFill>
                  <w14:solidFill>
                    <w14:schemeClr w14:val="tx1"/>
                  </w14:solidFill>
                </w14:textFill>
              </w:rPr>
              <w:t>spcc1.0</w:t>
            </w:r>
            <w:r>
              <w:rPr>
                <w:rFonts w:hint="default" w:ascii="宋体" w:hAnsi="宋体" w:cs="宋体"/>
                <w:color w:val="000000" w:themeColor="text1"/>
                <w:kern w:val="0"/>
                <w:sz w:val="22"/>
                <w:szCs w:val="22"/>
                <w:highlight w:val="none"/>
                <w:lang w:bidi="ar"/>
                <w14:textFill>
                  <w14:solidFill>
                    <w14:schemeClr w14:val="tx1"/>
                  </w14:solidFill>
                </w14:textFill>
              </w:rPr>
              <w:t>颜色：细沙纹黑</w:t>
            </w:r>
            <w:r>
              <w:rPr>
                <w:rFonts w:hint="eastAsia" w:ascii="宋体" w:hAnsi="宋体" w:cs="宋体"/>
                <w:color w:val="000000" w:themeColor="text1"/>
                <w:kern w:val="0"/>
                <w:sz w:val="22"/>
                <w:szCs w:val="22"/>
                <w:highlight w:val="none"/>
                <w:lang w:bidi="ar"/>
                <w14:textFill>
                  <w14:solidFill>
                    <w14:schemeClr w14:val="tx1"/>
                  </w14:solidFill>
                </w14:textFill>
              </w:rPr>
              <w:t>RAL9005/</w:t>
            </w:r>
            <w:r>
              <w:rPr>
                <w:rFonts w:hint="default" w:ascii="宋体" w:hAnsi="宋体" w:cs="宋体"/>
                <w:color w:val="000000" w:themeColor="text1"/>
                <w:kern w:val="0"/>
                <w:sz w:val="22"/>
                <w:szCs w:val="22"/>
                <w:highlight w:val="none"/>
                <w:lang w:bidi="ar"/>
                <w14:textFill>
                  <w14:solidFill>
                    <w14:schemeClr w14:val="tx1"/>
                  </w14:solidFill>
                </w14:textFill>
              </w:rPr>
              <w:t>细沙纹白</w:t>
            </w:r>
            <w:r>
              <w:rPr>
                <w:rFonts w:hint="eastAsia" w:ascii="宋体" w:hAnsi="宋体" w:cs="宋体"/>
                <w:color w:val="000000" w:themeColor="text1"/>
                <w:kern w:val="0"/>
                <w:sz w:val="22"/>
                <w:szCs w:val="22"/>
                <w:highlight w:val="none"/>
                <w:lang w:bidi="ar"/>
                <w14:textFill>
                  <w14:solidFill>
                    <w14:schemeClr w14:val="tx1"/>
                  </w14:solidFill>
                </w14:textFill>
              </w:rPr>
              <w:t>RAL9003</w:t>
            </w:r>
            <w:r>
              <w:rPr>
                <w:rFonts w:hint="default" w:ascii="宋体" w:hAnsi="宋体" w:cs="宋体"/>
                <w:color w:val="000000" w:themeColor="text1"/>
                <w:kern w:val="0"/>
                <w:sz w:val="22"/>
                <w:szCs w:val="22"/>
                <w:highlight w:val="none"/>
                <w:lang w:bidi="ar"/>
                <w14:textFill>
                  <w14:solidFill>
                    <w14:schemeClr w14:val="tx1"/>
                  </w14:solidFill>
                </w14:textFill>
              </w:rPr>
              <w:t>。</w:t>
            </w:r>
          </w:p>
        </w:tc>
        <w:tc>
          <w:tcPr>
            <w:tcW w:w="69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bl>
    <w:p>
      <w:pPr>
        <w:rPr>
          <w:color w:val="000000" w:themeColor="text1"/>
          <w:highlight w:val="none"/>
          <w14:textFill>
            <w14:solidFill>
              <w14:schemeClr w14:val="tx1"/>
            </w14:solidFill>
          </w14:textFill>
        </w:rPr>
      </w:pPr>
      <w:r>
        <w:rPr>
          <w:rFonts w:hint="eastAsia" w:ascii="Tahoma" w:hAnsi="黑体" w:eastAsia="黑体" w:cs="Tahoma"/>
          <w:b/>
          <w:color w:val="000000" w:themeColor="text1"/>
          <w:szCs w:val="21"/>
          <w:highlight w:val="none"/>
          <w14:textFill>
            <w14:solidFill>
              <w14:schemeClr w14:val="tx1"/>
            </w14:solidFill>
          </w14:textFill>
        </w:rPr>
        <w:t>6.3 消防系统</w:t>
      </w:r>
    </w:p>
    <w:tbl>
      <w:tblPr>
        <w:tblStyle w:val="20"/>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1"/>
        <w:gridCol w:w="2083"/>
        <w:gridCol w:w="6317"/>
        <w:gridCol w:w="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81" w:type="dxa"/>
            <w:shd w:val="clear" w:color="auto" w:fill="auto"/>
            <w:tcMar>
              <w:top w:w="12" w:type="dxa"/>
              <w:left w:w="12" w:type="dxa"/>
              <w:right w:w="12" w:type="dxa"/>
            </w:tcMar>
            <w:vAlign w:val="center"/>
          </w:tcPr>
          <w:p>
            <w:pPr>
              <w:snapToGrid w:val="0"/>
              <w:ind w:left="425" w:hanging="425"/>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序号</w:t>
            </w:r>
          </w:p>
        </w:tc>
        <w:tc>
          <w:tcPr>
            <w:tcW w:w="2083" w:type="dxa"/>
            <w:shd w:val="clear" w:color="auto" w:fill="auto"/>
            <w:tcMar>
              <w:top w:w="12" w:type="dxa"/>
              <w:left w:w="12" w:type="dxa"/>
              <w:right w:w="12" w:type="dxa"/>
            </w:tcMar>
            <w:vAlign w:val="center"/>
          </w:tcPr>
          <w:p>
            <w:pPr>
              <w:snapToGrid w:val="0"/>
              <w:ind w:left="425" w:hanging="425"/>
              <w:jc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商品名称</w:t>
            </w:r>
          </w:p>
        </w:tc>
        <w:tc>
          <w:tcPr>
            <w:tcW w:w="6317" w:type="dxa"/>
            <w:shd w:val="clear" w:color="auto" w:fill="auto"/>
            <w:tcMar>
              <w:top w:w="12" w:type="dxa"/>
              <w:left w:w="12" w:type="dxa"/>
              <w:right w:w="12" w:type="dxa"/>
            </w:tcMar>
            <w:vAlign w:val="center"/>
          </w:tcPr>
          <w:p>
            <w:pPr>
              <w:snapToGrid w:val="0"/>
              <w:jc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技术规格</w:t>
            </w:r>
          </w:p>
        </w:tc>
        <w:tc>
          <w:tcPr>
            <w:tcW w:w="697" w:type="dxa"/>
            <w:shd w:val="clear" w:color="auto" w:fill="auto"/>
            <w:tcMar>
              <w:top w:w="12" w:type="dxa"/>
              <w:left w:w="12" w:type="dxa"/>
              <w:right w:w="12" w:type="dxa"/>
            </w:tcMar>
            <w:vAlign w:val="center"/>
          </w:tcPr>
          <w:p>
            <w:pPr>
              <w:snapToGrid w:val="0"/>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w:t>
            </w:r>
          </w:p>
        </w:tc>
        <w:tc>
          <w:tcPr>
            <w:tcW w:w="2083"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点型光电感烟火灾探测器</w:t>
            </w:r>
          </w:p>
        </w:tc>
        <w:tc>
          <w:tcPr>
            <w:tcW w:w="6317" w:type="dxa"/>
            <w:shd w:val="clear" w:color="auto" w:fill="auto"/>
            <w:tcMar>
              <w:top w:w="12" w:type="dxa"/>
              <w:left w:w="12" w:type="dxa"/>
              <w:right w:w="12" w:type="dxa"/>
            </w:tcMar>
            <w:vAlign w:val="center"/>
          </w:tcPr>
          <w:p>
            <w:pP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工作电压 总线 16V～28V。线制 无极性二总线。总线静态电流 ≤0.3mA 报警电流 ≤0.8mA。温度 -10℃～+55℃。 相对湿度 ≤95%，不凝露。编码方式 电子编码。 外形尺寸：100.0mm*51mm。执行标准 GB 4715-2005 。</w:t>
            </w:r>
          </w:p>
        </w:tc>
        <w:tc>
          <w:tcPr>
            <w:tcW w:w="69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w:t>
            </w:r>
          </w:p>
        </w:tc>
        <w:tc>
          <w:tcPr>
            <w:tcW w:w="2083"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点型感温火灾探测器</w:t>
            </w:r>
          </w:p>
        </w:tc>
        <w:tc>
          <w:tcPr>
            <w:tcW w:w="6317" w:type="dxa"/>
            <w:shd w:val="clear" w:color="auto" w:fill="auto"/>
            <w:tcMar>
              <w:top w:w="12" w:type="dxa"/>
              <w:left w:w="12" w:type="dxa"/>
              <w:right w:w="12" w:type="dxa"/>
            </w:tcMar>
            <w:vAlign w:val="center"/>
          </w:tcPr>
          <w:p>
            <w:pP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工作电压 总线 16V～28V 。线制 无极性二总线。总线静态电流 ≤0.3mA 报警电流 ≤0.8mA。温度 -10℃～+55℃。 相对湿度 ≤95%，不凝露。编码方式 电子编码。 外形尺寸：100.0mm*50mm。执行标准 GB 4715-2005 。</w:t>
            </w:r>
          </w:p>
        </w:tc>
        <w:tc>
          <w:tcPr>
            <w:tcW w:w="69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3</w:t>
            </w:r>
          </w:p>
        </w:tc>
        <w:tc>
          <w:tcPr>
            <w:tcW w:w="2083"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底座</w:t>
            </w:r>
          </w:p>
        </w:tc>
        <w:tc>
          <w:tcPr>
            <w:tcW w:w="6317" w:type="dxa"/>
            <w:shd w:val="clear" w:color="auto" w:fill="auto"/>
            <w:tcMar>
              <w:top w:w="12" w:type="dxa"/>
              <w:left w:w="12" w:type="dxa"/>
              <w:right w:w="12" w:type="dxa"/>
            </w:tcMar>
            <w:vAlign w:val="center"/>
          </w:tcPr>
          <w:p>
            <w:pP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材质：ABS。</w:t>
            </w:r>
          </w:p>
        </w:tc>
        <w:tc>
          <w:tcPr>
            <w:tcW w:w="69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4</w:t>
            </w:r>
          </w:p>
        </w:tc>
        <w:tc>
          <w:tcPr>
            <w:tcW w:w="2083"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输入输出模块</w:t>
            </w:r>
          </w:p>
        </w:tc>
        <w:tc>
          <w:tcPr>
            <w:tcW w:w="6317" w:type="dxa"/>
            <w:shd w:val="clear" w:color="auto" w:fill="auto"/>
            <w:tcMar>
              <w:top w:w="12" w:type="dxa"/>
              <w:left w:w="12" w:type="dxa"/>
              <w:right w:w="12" w:type="dxa"/>
            </w:tcMar>
            <w:vAlign w:val="center"/>
          </w:tcPr>
          <w:p>
            <w:pP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工作电压 总线 16V～28V 。线制 无极性二总线。监视电流 ≤0.2mA 报警电流 ≤2mA。温度 -10℃～+55℃。 相对湿度 ≤95%，不凝露。编码方式 电子编码。 外形尺寸：86mm*86mm*38mm。执行标准 GB 16806-2006 。</w:t>
            </w:r>
          </w:p>
        </w:tc>
        <w:tc>
          <w:tcPr>
            <w:tcW w:w="69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5</w:t>
            </w:r>
          </w:p>
        </w:tc>
        <w:tc>
          <w:tcPr>
            <w:tcW w:w="2083"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手/自动转换模块</w:t>
            </w:r>
          </w:p>
        </w:tc>
        <w:tc>
          <w:tcPr>
            <w:tcW w:w="6317" w:type="dxa"/>
            <w:shd w:val="clear" w:color="auto" w:fill="auto"/>
            <w:tcMar>
              <w:top w:w="12" w:type="dxa"/>
              <w:left w:w="12" w:type="dxa"/>
              <w:right w:w="12" w:type="dxa"/>
            </w:tcMar>
            <w:vAlign w:val="center"/>
          </w:tcPr>
          <w:p>
            <w:pP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二总线，无极性。内置微处理器。以正常，手动/自动，故障三种形式将模块状态传给控制器</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插接式模块结构，方便施工安装。温度 -10℃～+55℃。相对湿度 ≤95%，不凝露。编码方式 电子编码。 外形尺寸：86mm*86mm*38mm。</w:t>
            </w:r>
          </w:p>
        </w:tc>
        <w:tc>
          <w:tcPr>
            <w:tcW w:w="69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6</w:t>
            </w:r>
          </w:p>
        </w:tc>
        <w:tc>
          <w:tcPr>
            <w:tcW w:w="2083"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火灾声光警报器</w:t>
            </w:r>
          </w:p>
        </w:tc>
        <w:tc>
          <w:tcPr>
            <w:tcW w:w="6317" w:type="dxa"/>
            <w:shd w:val="clear" w:color="auto" w:fill="auto"/>
            <w:tcMar>
              <w:top w:w="12" w:type="dxa"/>
              <w:left w:w="12" w:type="dxa"/>
              <w:right w:w="12" w:type="dxa"/>
            </w:tcMar>
            <w:vAlign w:val="center"/>
          </w:tcPr>
          <w:p>
            <w:pP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工作电压 总线 16V～28V 。线制 无极性二总线。监视电流 ≤0.2mA 报警电流 ≤1.5mA。</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闪光频率 1.0Hz～1.6Hz。声压级 75dB～100dB。温度 -10℃～+55℃。 相对湿度 ≤95%，不凝露。编码方式 电子编码。执行标准 GB26851-2011。</w:t>
            </w:r>
          </w:p>
        </w:tc>
        <w:tc>
          <w:tcPr>
            <w:tcW w:w="69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7</w:t>
            </w:r>
          </w:p>
        </w:tc>
        <w:tc>
          <w:tcPr>
            <w:tcW w:w="2083"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紧急启停按钮</w:t>
            </w:r>
          </w:p>
        </w:tc>
        <w:tc>
          <w:tcPr>
            <w:tcW w:w="6317" w:type="dxa"/>
            <w:shd w:val="clear" w:color="auto" w:fill="auto"/>
            <w:tcMar>
              <w:top w:w="12" w:type="dxa"/>
              <w:left w:w="12" w:type="dxa"/>
              <w:right w:w="12" w:type="dxa"/>
            </w:tcMar>
            <w:vAlign w:val="center"/>
          </w:tcPr>
          <w:p>
            <w:pP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工作电压 总线 16V～28V 。线制 无极性二总线。壳体材料颜色：ABS,红。温度 -10℃～+55℃。相对湿度 ≤95%，不凝露。编码方式 电子编码。工作电流≤1mA。“紧急启停”按钮。可重复使用型启动按片。</w:t>
            </w:r>
          </w:p>
        </w:tc>
        <w:tc>
          <w:tcPr>
            <w:tcW w:w="69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8</w:t>
            </w:r>
          </w:p>
        </w:tc>
        <w:tc>
          <w:tcPr>
            <w:tcW w:w="2083"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气体喷洒释放灯</w:t>
            </w:r>
          </w:p>
        </w:tc>
        <w:tc>
          <w:tcPr>
            <w:tcW w:w="6317" w:type="dxa"/>
            <w:shd w:val="clear" w:color="auto" w:fill="auto"/>
            <w:tcMar>
              <w:top w:w="12" w:type="dxa"/>
              <w:left w:w="12" w:type="dxa"/>
              <w:right w:w="12" w:type="dxa"/>
            </w:tcMar>
            <w:vAlign w:val="center"/>
          </w:tcPr>
          <w:p>
            <w:pP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工作电压 DC24V。工作电流≤250mA。壳体颜色：银白色,字体颜色：红。温度 -10℃～+50℃。相对湿度 ≤95%，不凝露。外形尺寸：298mm*30mm*135mm。 </w:t>
            </w:r>
          </w:p>
        </w:tc>
        <w:tc>
          <w:tcPr>
            <w:tcW w:w="69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9</w:t>
            </w:r>
          </w:p>
        </w:tc>
        <w:tc>
          <w:tcPr>
            <w:tcW w:w="2083"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七氟丙烷自动灭火装置</w:t>
            </w:r>
          </w:p>
        </w:tc>
        <w:tc>
          <w:tcPr>
            <w:tcW w:w="6317"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灭火剂贮存压力 2.5MPa 。最大工作压力 4.2MPa 。灭火剂充装密度 ≤1000 kg/m³。灭火技术方式 全淹没 。灭火剂喷射时间 ≤10 S 。启动方式 自动、手动启动 。环境温度 0 ℃ ～ 50 ℃  。工作启动电源 DC24V±10% 。瓶组响应时间 2 S。</w:t>
            </w:r>
          </w:p>
        </w:tc>
        <w:tc>
          <w:tcPr>
            <w:tcW w:w="69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81"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10</w:t>
            </w:r>
          </w:p>
        </w:tc>
        <w:tc>
          <w:tcPr>
            <w:tcW w:w="2083" w:type="dxa"/>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气体灭火控制器</w:t>
            </w:r>
          </w:p>
        </w:tc>
        <w:tc>
          <w:tcPr>
            <w:tcW w:w="6317" w:type="dxa"/>
            <w:vAlign w:val="center"/>
          </w:tcPr>
          <w:p>
            <w:pP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双电源 交流 220V （187~242V） 备用电池 12V/12Ah 两节。液晶屏规格4寸彩色液晶屏 480×272。容量 最大容量 4 个气体灭火分区。可自由选择气体灭火分区，255个回路地址点。温度 0℃～+40℃。相对湿度 ≤95%RH，不凝露。外形尺寸 385mm×134mm×510mm。</w:t>
            </w:r>
          </w:p>
        </w:tc>
        <w:tc>
          <w:tcPr>
            <w:tcW w:w="69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81"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11</w:t>
            </w:r>
          </w:p>
        </w:tc>
        <w:tc>
          <w:tcPr>
            <w:tcW w:w="2083" w:type="dxa"/>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消防报警线缆</w:t>
            </w:r>
          </w:p>
        </w:tc>
        <w:tc>
          <w:tcPr>
            <w:tcW w:w="6317" w:type="dxa"/>
            <w:vAlign w:val="center"/>
          </w:tcPr>
          <w:p>
            <w:pP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国标。</w:t>
            </w:r>
          </w:p>
        </w:tc>
        <w:tc>
          <w:tcPr>
            <w:tcW w:w="69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81"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12</w:t>
            </w:r>
          </w:p>
        </w:tc>
        <w:tc>
          <w:tcPr>
            <w:tcW w:w="2083" w:type="dxa"/>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消防报警线管</w:t>
            </w:r>
          </w:p>
        </w:tc>
        <w:tc>
          <w:tcPr>
            <w:tcW w:w="6317" w:type="dxa"/>
            <w:vAlign w:val="center"/>
          </w:tcPr>
          <w:p>
            <w:pP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国标。</w:t>
            </w:r>
          </w:p>
        </w:tc>
        <w:tc>
          <w:tcPr>
            <w:tcW w:w="69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bl>
    <w:p>
      <w:pPr>
        <w:rPr>
          <w:color w:val="000000" w:themeColor="text1"/>
          <w:highlight w:val="none"/>
          <w14:textFill>
            <w14:solidFill>
              <w14:schemeClr w14:val="tx1"/>
            </w14:solidFill>
          </w14:textFill>
        </w:rPr>
      </w:pPr>
      <w:r>
        <w:rPr>
          <w:rFonts w:hint="eastAsia" w:ascii="Tahoma" w:hAnsi="黑体" w:eastAsia="黑体" w:cs="Tahoma"/>
          <w:b/>
          <w:color w:val="000000" w:themeColor="text1"/>
          <w:szCs w:val="21"/>
          <w:highlight w:val="none"/>
          <w14:textFill>
            <w14:solidFill>
              <w14:schemeClr w14:val="tx1"/>
            </w14:solidFill>
          </w14:textFill>
        </w:rPr>
        <w:t>6.4 模块化机柜系统</w:t>
      </w:r>
    </w:p>
    <w:tbl>
      <w:tblPr>
        <w:tblStyle w:val="20"/>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7"/>
        <w:gridCol w:w="2100"/>
        <w:gridCol w:w="6250"/>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97" w:type="dxa"/>
            <w:shd w:val="clear" w:color="auto" w:fill="auto"/>
            <w:tcMar>
              <w:top w:w="12" w:type="dxa"/>
              <w:left w:w="12" w:type="dxa"/>
              <w:right w:w="12" w:type="dxa"/>
            </w:tcMar>
            <w:vAlign w:val="center"/>
          </w:tcPr>
          <w:p>
            <w:pPr>
              <w:snapToGrid w:val="0"/>
              <w:ind w:left="425" w:hanging="425"/>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序号</w:t>
            </w:r>
          </w:p>
        </w:tc>
        <w:tc>
          <w:tcPr>
            <w:tcW w:w="2100" w:type="dxa"/>
            <w:shd w:val="clear" w:color="auto" w:fill="auto"/>
            <w:tcMar>
              <w:top w:w="12" w:type="dxa"/>
              <w:left w:w="12" w:type="dxa"/>
              <w:right w:w="12" w:type="dxa"/>
            </w:tcMar>
            <w:vAlign w:val="center"/>
          </w:tcPr>
          <w:p>
            <w:pPr>
              <w:snapToGrid w:val="0"/>
              <w:ind w:left="425" w:hanging="425"/>
              <w:jc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商品名称</w:t>
            </w:r>
          </w:p>
        </w:tc>
        <w:tc>
          <w:tcPr>
            <w:tcW w:w="6250" w:type="dxa"/>
            <w:shd w:val="clear" w:color="auto" w:fill="auto"/>
            <w:tcMar>
              <w:top w:w="12" w:type="dxa"/>
              <w:left w:w="12" w:type="dxa"/>
              <w:right w:w="12" w:type="dxa"/>
            </w:tcMar>
            <w:vAlign w:val="center"/>
          </w:tcPr>
          <w:p>
            <w:pPr>
              <w:snapToGrid w:val="0"/>
              <w:jc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技术规格</w:t>
            </w:r>
          </w:p>
        </w:tc>
        <w:tc>
          <w:tcPr>
            <w:tcW w:w="731" w:type="dxa"/>
            <w:shd w:val="clear" w:color="auto" w:fill="auto"/>
            <w:tcMar>
              <w:top w:w="12" w:type="dxa"/>
              <w:left w:w="12" w:type="dxa"/>
              <w:right w:w="12" w:type="dxa"/>
            </w:tcMar>
            <w:vAlign w:val="center"/>
          </w:tcPr>
          <w:p>
            <w:pPr>
              <w:snapToGrid w:val="0"/>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9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w:t>
            </w:r>
          </w:p>
        </w:tc>
        <w:tc>
          <w:tcPr>
            <w:tcW w:w="2100"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服务器机柜</w:t>
            </w:r>
          </w:p>
        </w:tc>
        <w:tc>
          <w:tcPr>
            <w:tcW w:w="6250" w:type="dxa"/>
            <w:shd w:val="clear" w:color="auto" w:fill="auto"/>
            <w:tcMar>
              <w:top w:w="12" w:type="dxa"/>
              <w:left w:w="12" w:type="dxa"/>
              <w:right w:w="12" w:type="dxa"/>
            </w:tcMar>
            <w:vAlign w:val="center"/>
          </w:tcPr>
          <w:p>
            <w:pP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1、拼装机柜，含前后门和机柜底板；</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2、机柜框架采用冷轧钢板；</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3、不含层板、侧门、PDU及散热单元；</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4、黑色外观；</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5、含并柜件1套；</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6、含垂直绑线板两条，</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7、含螺丝、螺母50套；</w:t>
            </w:r>
          </w:p>
        </w:tc>
        <w:tc>
          <w:tcPr>
            <w:tcW w:w="7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9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w:t>
            </w:r>
          </w:p>
        </w:tc>
        <w:tc>
          <w:tcPr>
            <w:tcW w:w="2100"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固定层板</w:t>
            </w:r>
          </w:p>
        </w:tc>
        <w:tc>
          <w:tcPr>
            <w:tcW w:w="6250" w:type="dxa"/>
            <w:shd w:val="clear" w:color="auto" w:fill="auto"/>
            <w:tcMar>
              <w:top w:w="12" w:type="dxa"/>
              <w:left w:w="12" w:type="dxa"/>
              <w:right w:w="12" w:type="dxa"/>
            </w:tcMar>
            <w:vAlign w:val="center"/>
          </w:tcPr>
          <w:p>
            <w:pP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472*710mm ，托放设备.承载50kg设备，1200mm深的服务器机柜</w:t>
            </w:r>
          </w:p>
        </w:tc>
        <w:tc>
          <w:tcPr>
            <w:tcW w:w="7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9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3</w:t>
            </w:r>
          </w:p>
        </w:tc>
        <w:tc>
          <w:tcPr>
            <w:tcW w:w="2100"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L型支架</w:t>
            </w:r>
          </w:p>
        </w:tc>
        <w:tc>
          <w:tcPr>
            <w:tcW w:w="6250" w:type="dxa"/>
            <w:shd w:val="clear" w:color="auto" w:fill="auto"/>
            <w:tcMar>
              <w:top w:w="12" w:type="dxa"/>
              <w:left w:w="12" w:type="dxa"/>
              <w:right w:w="12" w:type="dxa"/>
            </w:tcMar>
            <w:vAlign w:val="center"/>
          </w:tcPr>
          <w:p>
            <w:pP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托放设备.承载50kg设备,1200mm深的服务器机柜</w:t>
            </w:r>
          </w:p>
        </w:tc>
        <w:tc>
          <w:tcPr>
            <w:tcW w:w="7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9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4</w:t>
            </w:r>
          </w:p>
        </w:tc>
        <w:tc>
          <w:tcPr>
            <w:tcW w:w="2100"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盲板</w:t>
            </w:r>
          </w:p>
        </w:tc>
        <w:tc>
          <w:tcPr>
            <w:tcW w:w="6250" w:type="dxa"/>
            <w:shd w:val="clear" w:color="auto" w:fill="auto"/>
            <w:tcMar>
              <w:top w:w="12" w:type="dxa"/>
              <w:left w:w="12" w:type="dxa"/>
              <w:right w:w="12" w:type="dxa"/>
            </w:tcMar>
            <w:vAlign w:val="center"/>
          </w:tcPr>
          <w:p>
            <w:pP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19英寸机架式安装，塑料材质，高度1U，卡扣式安装。用于IT机柜空余位置处的挡板，阻止冷气流漏出功能。</w:t>
            </w:r>
          </w:p>
        </w:tc>
        <w:tc>
          <w:tcPr>
            <w:tcW w:w="7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9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5</w:t>
            </w:r>
          </w:p>
        </w:tc>
        <w:tc>
          <w:tcPr>
            <w:tcW w:w="2100"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PDU</w:t>
            </w:r>
          </w:p>
        </w:tc>
        <w:tc>
          <w:tcPr>
            <w:tcW w:w="6250" w:type="dxa"/>
            <w:shd w:val="clear" w:color="auto" w:fill="auto"/>
            <w:tcMar>
              <w:top w:w="12" w:type="dxa"/>
              <w:left w:w="12" w:type="dxa"/>
              <w:right w:w="12" w:type="dxa"/>
            </w:tcMar>
            <w:vAlign w:val="center"/>
          </w:tcPr>
          <w:p>
            <w:pP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每个机柜配1套，包含机柜左安装和右安装各1个。铝合金外壳 KSTAR 单路32A输入/10A国标12口 16A国标4口输出 (带接线盒,带指示灯,机柜后门左和右侧垂直安装</w:t>
            </w:r>
          </w:p>
        </w:tc>
        <w:tc>
          <w:tcPr>
            <w:tcW w:w="7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bl>
    <w:p>
      <w:pPr>
        <w:rPr>
          <w:color w:val="000000" w:themeColor="text1"/>
          <w:highlight w:val="none"/>
          <w14:textFill>
            <w14:solidFill>
              <w14:schemeClr w14:val="tx1"/>
            </w14:solidFill>
          </w14:textFill>
        </w:rPr>
      </w:pPr>
      <w:r>
        <w:rPr>
          <w:rFonts w:hint="eastAsia" w:ascii="Tahoma" w:hAnsi="黑体" w:eastAsia="黑体" w:cs="Tahoma"/>
          <w:b/>
          <w:color w:val="000000" w:themeColor="text1"/>
          <w:szCs w:val="21"/>
          <w:highlight w:val="none"/>
          <w14:textFill>
            <w14:solidFill>
              <w14:schemeClr w14:val="tx1"/>
            </w14:solidFill>
          </w14:textFill>
        </w:rPr>
        <w:t>6.5 封闭冷通道</w:t>
      </w:r>
    </w:p>
    <w:tbl>
      <w:tblPr>
        <w:tblStyle w:val="20"/>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7"/>
        <w:gridCol w:w="2100"/>
        <w:gridCol w:w="6250"/>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97" w:type="dxa"/>
            <w:shd w:val="clear" w:color="auto" w:fill="auto"/>
            <w:tcMar>
              <w:top w:w="12" w:type="dxa"/>
              <w:left w:w="12" w:type="dxa"/>
              <w:right w:w="12" w:type="dxa"/>
            </w:tcMar>
            <w:vAlign w:val="center"/>
          </w:tcPr>
          <w:p>
            <w:pPr>
              <w:snapToGrid w:val="0"/>
              <w:ind w:left="425" w:hanging="425"/>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序号</w:t>
            </w:r>
          </w:p>
        </w:tc>
        <w:tc>
          <w:tcPr>
            <w:tcW w:w="2100" w:type="dxa"/>
            <w:shd w:val="clear" w:color="auto" w:fill="auto"/>
            <w:tcMar>
              <w:top w:w="12" w:type="dxa"/>
              <w:left w:w="12" w:type="dxa"/>
              <w:right w:w="12" w:type="dxa"/>
            </w:tcMar>
            <w:vAlign w:val="center"/>
          </w:tcPr>
          <w:p>
            <w:pPr>
              <w:snapToGrid w:val="0"/>
              <w:ind w:left="425" w:hanging="425"/>
              <w:jc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商品名称</w:t>
            </w:r>
          </w:p>
        </w:tc>
        <w:tc>
          <w:tcPr>
            <w:tcW w:w="6250" w:type="dxa"/>
            <w:shd w:val="clear" w:color="auto" w:fill="auto"/>
            <w:tcMar>
              <w:top w:w="12" w:type="dxa"/>
              <w:left w:w="12" w:type="dxa"/>
              <w:right w:w="12" w:type="dxa"/>
            </w:tcMar>
            <w:vAlign w:val="center"/>
          </w:tcPr>
          <w:p>
            <w:pPr>
              <w:snapToGrid w:val="0"/>
              <w:jc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技术规格</w:t>
            </w:r>
          </w:p>
        </w:tc>
        <w:tc>
          <w:tcPr>
            <w:tcW w:w="731" w:type="dxa"/>
            <w:shd w:val="clear" w:color="auto" w:fill="auto"/>
            <w:tcMar>
              <w:top w:w="12" w:type="dxa"/>
              <w:left w:w="12" w:type="dxa"/>
              <w:right w:w="12" w:type="dxa"/>
            </w:tcMar>
            <w:vAlign w:val="center"/>
          </w:tcPr>
          <w:p>
            <w:pPr>
              <w:snapToGrid w:val="0"/>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9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w:t>
            </w:r>
          </w:p>
        </w:tc>
        <w:tc>
          <w:tcPr>
            <w:tcW w:w="2100"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自动动双开滑动门</w:t>
            </w:r>
          </w:p>
        </w:tc>
        <w:tc>
          <w:tcPr>
            <w:tcW w:w="6250" w:type="dxa"/>
            <w:shd w:val="clear" w:color="auto" w:fill="auto"/>
            <w:tcMar>
              <w:top w:w="12" w:type="dxa"/>
              <w:left w:w="12" w:type="dxa"/>
              <w:right w:w="12" w:type="dxa"/>
            </w:tcMar>
            <w:vAlign w:val="center"/>
          </w:tcPr>
          <w:p>
            <w:pP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适配双排通道宽度1200mm，双开左右滑动门，自动开关门（电机驱动），配套1200mm深拼装机柜使用，含声光告警安装辅件</w:t>
            </w:r>
          </w:p>
        </w:tc>
        <w:tc>
          <w:tcPr>
            <w:tcW w:w="7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9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w:t>
            </w:r>
          </w:p>
        </w:tc>
        <w:tc>
          <w:tcPr>
            <w:tcW w:w="2100"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600宽天窗</w:t>
            </w:r>
          </w:p>
        </w:tc>
        <w:tc>
          <w:tcPr>
            <w:tcW w:w="6250" w:type="dxa"/>
            <w:shd w:val="clear" w:color="auto" w:fill="auto"/>
            <w:tcMar>
              <w:top w:w="12" w:type="dxa"/>
              <w:left w:w="12" w:type="dxa"/>
              <w:right w:w="12" w:type="dxa"/>
            </w:tcMar>
            <w:vAlign w:val="center"/>
          </w:tcPr>
          <w:p>
            <w:pP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配600宽机柜，旋转天窗，含安装支架，尺寸600mm（长）*1200mm（宽）*300mm（高）。含LED照明灯，天窗内线缆</w:t>
            </w:r>
          </w:p>
        </w:tc>
        <w:tc>
          <w:tcPr>
            <w:tcW w:w="7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9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3</w:t>
            </w:r>
          </w:p>
        </w:tc>
        <w:tc>
          <w:tcPr>
            <w:tcW w:w="2100"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天窗控制盒</w:t>
            </w:r>
          </w:p>
        </w:tc>
        <w:tc>
          <w:tcPr>
            <w:tcW w:w="6250" w:type="dxa"/>
            <w:shd w:val="clear" w:color="auto" w:fill="auto"/>
            <w:tcMar>
              <w:top w:w="12" w:type="dxa"/>
              <w:left w:w="12" w:type="dxa"/>
              <w:right w:w="12" w:type="dxa"/>
            </w:tcMar>
            <w:vAlign w:val="center"/>
          </w:tcPr>
          <w:p>
            <w:pP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集成控制盒，含翻转天窗控制，含烟感消防接口，可为LED灯，翻转天窗电磁锁以及自动双开门电机供电。</w:t>
            </w:r>
          </w:p>
        </w:tc>
        <w:tc>
          <w:tcPr>
            <w:tcW w:w="7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9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4</w:t>
            </w:r>
          </w:p>
        </w:tc>
        <w:tc>
          <w:tcPr>
            <w:tcW w:w="2100"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LED照明灯</w:t>
            </w:r>
          </w:p>
        </w:tc>
        <w:tc>
          <w:tcPr>
            <w:tcW w:w="6250" w:type="dxa"/>
            <w:shd w:val="clear" w:color="auto" w:fill="auto"/>
            <w:tcMar>
              <w:top w:w="12" w:type="dxa"/>
              <w:left w:w="12" w:type="dxa"/>
              <w:right w:w="12" w:type="dxa"/>
            </w:tcMar>
            <w:vAlign w:val="center"/>
          </w:tcPr>
          <w:p>
            <w:pP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安装在通道的两侧顶部。单排最多支持16根灯管串接。单排的灯管个数N （向下取整）=通道长度L/灯管长度。如果照明灯管不能完全布满通道总</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长，需要在通道两端预留同样的安装距离W： W=（L-600×N）/2。</w:t>
            </w:r>
          </w:p>
        </w:tc>
        <w:tc>
          <w:tcPr>
            <w:tcW w:w="7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9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5</w:t>
            </w:r>
          </w:p>
        </w:tc>
        <w:tc>
          <w:tcPr>
            <w:tcW w:w="2100"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机柜配套侧门</w:t>
            </w:r>
          </w:p>
        </w:tc>
        <w:tc>
          <w:tcPr>
            <w:tcW w:w="6250" w:type="dxa"/>
            <w:shd w:val="clear" w:color="auto" w:fill="auto"/>
            <w:tcMar>
              <w:top w:w="12" w:type="dxa"/>
              <w:left w:w="12" w:type="dxa"/>
              <w:right w:w="12" w:type="dxa"/>
            </w:tcMar>
            <w:vAlign w:val="center"/>
          </w:tcPr>
          <w:p>
            <w:pP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配1200深42U机柜，机柜单侧内嵌式侧门，每块侧门含上下两段式门板，卡扣式安装</w:t>
            </w:r>
          </w:p>
        </w:tc>
        <w:tc>
          <w:tcPr>
            <w:tcW w:w="7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9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6</w:t>
            </w:r>
          </w:p>
        </w:tc>
        <w:tc>
          <w:tcPr>
            <w:tcW w:w="2100"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机柜配套侧门</w:t>
            </w:r>
          </w:p>
        </w:tc>
        <w:tc>
          <w:tcPr>
            <w:tcW w:w="6250" w:type="dxa"/>
            <w:shd w:val="clear" w:color="auto" w:fill="auto"/>
            <w:tcMar>
              <w:top w:w="12" w:type="dxa"/>
              <w:left w:w="12" w:type="dxa"/>
              <w:right w:w="12" w:type="dxa"/>
            </w:tcMar>
            <w:vAlign w:val="center"/>
          </w:tcPr>
          <w:p>
            <w:pP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适用用IDM模块最外侧侧门，带显示屏和读卡器孔位，带通道照明控制开关，配套21.5寸触摸屏使用，配套1200mm深拼装机柜使用</w:t>
            </w:r>
          </w:p>
        </w:tc>
        <w:tc>
          <w:tcPr>
            <w:tcW w:w="7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9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7</w:t>
            </w:r>
          </w:p>
        </w:tc>
        <w:tc>
          <w:tcPr>
            <w:tcW w:w="2100"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围板</w:t>
            </w:r>
          </w:p>
        </w:tc>
        <w:tc>
          <w:tcPr>
            <w:tcW w:w="6250" w:type="dxa"/>
            <w:shd w:val="clear" w:color="auto" w:fill="auto"/>
            <w:tcMar>
              <w:top w:w="12" w:type="dxa"/>
              <w:left w:w="12" w:type="dxa"/>
              <w:right w:w="12" w:type="dxa"/>
            </w:tcMar>
            <w:vAlign w:val="center"/>
          </w:tcPr>
          <w:p>
            <w:pP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适用600宽机柜，机柜后面安装，挡住走线槽，增加整体美观，每个机柜配一个</w:t>
            </w:r>
          </w:p>
        </w:tc>
        <w:tc>
          <w:tcPr>
            <w:tcW w:w="7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9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8</w:t>
            </w:r>
          </w:p>
        </w:tc>
        <w:tc>
          <w:tcPr>
            <w:tcW w:w="2100"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顶部线槽</w:t>
            </w:r>
          </w:p>
        </w:tc>
        <w:tc>
          <w:tcPr>
            <w:tcW w:w="6250" w:type="dxa"/>
            <w:shd w:val="clear" w:color="auto" w:fill="auto"/>
            <w:tcMar>
              <w:top w:w="12" w:type="dxa"/>
              <w:left w:w="12" w:type="dxa"/>
              <w:right w:w="12" w:type="dxa"/>
            </w:tcMar>
            <w:vAlign w:val="center"/>
          </w:tcPr>
          <w:p>
            <w:pP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适用600宽机柜，单通道走线槽，强弱电分离则需要配置2个</w:t>
            </w:r>
          </w:p>
        </w:tc>
        <w:tc>
          <w:tcPr>
            <w:tcW w:w="7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9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9</w:t>
            </w:r>
          </w:p>
        </w:tc>
        <w:tc>
          <w:tcPr>
            <w:tcW w:w="2100"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走线梯</w:t>
            </w:r>
          </w:p>
        </w:tc>
        <w:tc>
          <w:tcPr>
            <w:tcW w:w="6250" w:type="dxa"/>
            <w:shd w:val="clear" w:color="auto" w:fill="auto"/>
            <w:tcMar>
              <w:top w:w="12" w:type="dxa"/>
              <w:left w:w="12" w:type="dxa"/>
              <w:right w:w="12" w:type="dxa"/>
            </w:tcMar>
            <w:vAlign w:val="center"/>
          </w:tcPr>
          <w:p>
            <w:pP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列与列走线梯，适用不同行、列机柜间走线</w:t>
            </w:r>
          </w:p>
        </w:tc>
        <w:tc>
          <w:tcPr>
            <w:tcW w:w="7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9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10</w:t>
            </w:r>
          </w:p>
        </w:tc>
        <w:tc>
          <w:tcPr>
            <w:tcW w:w="2100"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机柜灯带</w:t>
            </w:r>
          </w:p>
        </w:tc>
        <w:tc>
          <w:tcPr>
            <w:tcW w:w="6250"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每个机柜配一套，含两条双色灯带</w:t>
            </w:r>
          </w:p>
        </w:tc>
        <w:tc>
          <w:tcPr>
            <w:tcW w:w="7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9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11</w:t>
            </w:r>
          </w:p>
        </w:tc>
        <w:tc>
          <w:tcPr>
            <w:tcW w:w="2100"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灯带控制器（机柜双色</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灯带用）</w:t>
            </w:r>
          </w:p>
        </w:tc>
        <w:tc>
          <w:tcPr>
            <w:tcW w:w="6250"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20个机柜内选用，最多控制40条灯带</w:t>
            </w:r>
          </w:p>
        </w:tc>
        <w:tc>
          <w:tcPr>
            <w:tcW w:w="7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bl>
    <w:p>
      <w:pPr>
        <w:rPr>
          <w:rFonts w:ascii="Tahoma" w:hAnsi="黑体" w:eastAsia="黑体" w:cs="Tahoma"/>
          <w:b/>
          <w:color w:val="000000" w:themeColor="text1"/>
          <w:szCs w:val="21"/>
          <w:highlight w:val="none"/>
          <w14:textFill>
            <w14:solidFill>
              <w14:schemeClr w14:val="tx1"/>
            </w14:solidFill>
          </w14:textFill>
        </w:rPr>
      </w:pPr>
      <w:r>
        <w:rPr>
          <w:rFonts w:hint="eastAsia" w:ascii="Tahoma" w:hAnsi="黑体" w:eastAsia="黑体" w:cs="Tahoma"/>
          <w:b/>
          <w:color w:val="000000" w:themeColor="text1"/>
          <w:szCs w:val="21"/>
          <w:highlight w:val="none"/>
          <w14:textFill>
            <w14:solidFill>
              <w14:schemeClr w14:val="tx1"/>
            </w14:solidFill>
          </w14:textFill>
        </w:rPr>
        <w:t>6.6 行级空调系统</w:t>
      </w:r>
    </w:p>
    <w:tbl>
      <w:tblPr>
        <w:tblStyle w:val="20"/>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7"/>
        <w:gridCol w:w="2117"/>
        <w:gridCol w:w="6267"/>
        <w:gridCol w:w="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97" w:type="dxa"/>
            <w:shd w:val="clear" w:color="auto" w:fill="auto"/>
            <w:tcMar>
              <w:top w:w="12" w:type="dxa"/>
              <w:left w:w="12" w:type="dxa"/>
              <w:right w:w="12" w:type="dxa"/>
            </w:tcMar>
            <w:vAlign w:val="center"/>
          </w:tcPr>
          <w:p>
            <w:pPr>
              <w:snapToGrid w:val="0"/>
              <w:ind w:left="425" w:hanging="425"/>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序号</w:t>
            </w:r>
          </w:p>
        </w:tc>
        <w:tc>
          <w:tcPr>
            <w:tcW w:w="2117" w:type="dxa"/>
            <w:shd w:val="clear" w:color="auto" w:fill="auto"/>
            <w:tcMar>
              <w:top w:w="12" w:type="dxa"/>
              <w:left w:w="12" w:type="dxa"/>
              <w:right w:w="12" w:type="dxa"/>
            </w:tcMar>
            <w:vAlign w:val="center"/>
          </w:tcPr>
          <w:p>
            <w:pPr>
              <w:snapToGrid w:val="0"/>
              <w:ind w:left="425" w:hanging="425"/>
              <w:jc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商品名称</w:t>
            </w:r>
          </w:p>
        </w:tc>
        <w:tc>
          <w:tcPr>
            <w:tcW w:w="6267" w:type="dxa"/>
            <w:shd w:val="clear" w:color="auto" w:fill="auto"/>
            <w:tcMar>
              <w:top w:w="12" w:type="dxa"/>
              <w:left w:w="12" w:type="dxa"/>
              <w:right w:w="12" w:type="dxa"/>
            </w:tcMar>
            <w:vAlign w:val="center"/>
          </w:tcPr>
          <w:p>
            <w:pPr>
              <w:snapToGrid w:val="0"/>
              <w:jc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技术规格</w:t>
            </w:r>
          </w:p>
        </w:tc>
        <w:tc>
          <w:tcPr>
            <w:tcW w:w="697" w:type="dxa"/>
            <w:shd w:val="clear" w:color="auto" w:fill="auto"/>
            <w:tcMar>
              <w:top w:w="12" w:type="dxa"/>
              <w:left w:w="12" w:type="dxa"/>
              <w:right w:w="12" w:type="dxa"/>
            </w:tcMar>
            <w:vAlign w:val="center"/>
          </w:tcPr>
          <w:p>
            <w:pPr>
              <w:snapToGrid w:val="0"/>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9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w:t>
            </w:r>
          </w:p>
        </w:tc>
        <w:tc>
          <w:tcPr>
            <w:tcW w:w="2117"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精密空调（恒温恒湿）</w:t>
            </w:r>
          </w:p>
        </w:tc>
        <w:tc>
          <w:tcPr>
            <w:tcW w:w="6267"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行级精密空调 室内机 制冷量25.5kW 风冷型 水平前送风 含加热加湿 直流变频压缩机 EC风机 电子膨胀阀 七英寸彩色触摸屏 尺寸300*1200*2000mm，风冷室外机 单制冷系统 常温型（-20℃以上） R410A冷媒 变频无极调速</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控制 三相供电</w:t>
            </w:r>
          </w:p>
        </w:tc>
        <w:tc>
          <w:tcPr>
            <w:tcW w:w="69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9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w:t>
            </w:r>
          </w:p>
        </w:tc>
        <w:tc>
          <w:tcPr>
            <w:tcW w:w="2117"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低温组件</w:t>
            </w:r>
          </w:p>
        </w:tc>
        <w:tc>
          <w:tcPr>
            <w:tcW w:w="6267"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室外机低温组件 R410A冷媒 室外环境温度低于-20℃时选用，最低适用-40℃ ；</w:t>
            </w:r>
          </w:p>
        </w:tc>
        <w:tc>
          <w:tcPr>
            <w:tcW w:w="69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bl>
    <w:p>
      <w:pPr>
        <w:spacing w:line="340" w:lineRule="exact"/>
        <w:rPr>
          <w:rFonts w:ascii="Tahoma" w:hAnsi="黑体" w:eastAsia="黑体" w:cs="Tahoma"/>
          <w:b/>
          <w:color w:val="000000" w:themeColor="text1"/>
          <w:szCs w:val="21"/>
          <w:highlight w:val="none"/>
          <w14:textFill>
            <w14:solidFill>
              <w14:schemeClr w14:val="tx1"/>
            </w14:solidFill>
          </w14:textFill>
        </w:rPr>
      </w:pPr>
      <w:r>
        <w:rPr>
          <w:rFonts w:hint="eastAsia" w:ascii="Tahoma" w:hAnsi="黑体" w:eastAsia="黑体" w:cs="Tahoma"/>
          <w:b/>
          <w:color w:val="000000" w:themeColor="text1"/>
          <w:szCs w:val="21"/>
          <w:highlight w:val="none"/>
          <w14:textFill>
            <w14:solidFill>
              <w14:schemeClr w14:val="tx1"/>
            </w14:solidFill>
          </w14:textFill>
        </w:rPr>
        <w:t>6.7 UPS配电</w:t>
      </w:r>
    </w:p>
    <w:tbl>
      <w:tblPr>
        <w:tblStyle w:val="20"/>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1"/>
        <w:gridCol w:w="2100"/>
        <w:gridCol w:w="6216"/>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31" w:type="dxa"/>
            <w:shd w:val="clear" w:color="auto" w:fill="auto"/>
            <w:tcMar>
              <w:top w:w="12" w:type="dxa"/>
              <w:left w:w="12" w:type="dxa"/>
              <w:right w:w="12" w:type="dxa"/>
            </w:tcMar>
            <w:vAlign w:val="center"/>
          </w:tcPr>
          <w:p>
            <w:pPr>
              <w:snapToGrid w:val="0"/>
              <w:ind w:left="425" w:hanging="425"/>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序号</w:t>
            </w:r>
          </w:p>
        </w:tc>
        <w:tc>
          <w:tcPr>
            <w:tcW w:w="2100" w:type="dxa"/>
            <w:shd w:val="clear" w:color="auto" w:fill="auto"/>
            <w:tcMar>
              <w:top w:w="12" w:type="dxa"/>
              <w:left w:w="12" w:type="dxa"/>
              <w:right w:w="12" w:type="dxa"/>
            </w:tcMar>
            <w:vAlign w:val="center"/>
          </w:tcPr>
          <w:p>
            <w:pPr>
              <w:snapToGrid w:val="0"/>
              <w:ind w:left="425" w:hanging="425"/>
              <w:jc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商品名称</w:t>
            </w:r>
          </w:p>
        </w:tc>
        <w:tc>
          <w:tcPr>
            <w:tcW w:w="6216" w:type="dxa"/>
            <w:shd w:val="clear" w:color="auto" w:fill="auto"/>
            <w:tcMar>
              <w:top w:w="12" w:type="dxa"/>
              <w:left w:w="12" w:type="dxa"/>
              <w:right w:w="12" w:type="dxa"/>
            </w:tcMar>
            <w:vAlign w:val="center"/>
          </w:tcPr>
          <w:p>
            <w:pPr>
              <w:snapToGrid w:val="0"/>
              <w:jc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技术规格</w:t>
            </w:r>
          </w:p>
        </w:tc>
        <w:tc>
          <w:tcPr>
            <w:tcW w:w="731" w:type="dxa"/>
            <w:shd w:val="clear" w:color="auto" w:fill="auto"/>
            <w:tcMar>
              <w:top w:w="12" w:type="dxa"/>
              <w:left w:w="12" w:type="dxa"/>
              <w:right w:w="12" w:type="dxa"/>
            </w:tcMar>
            <w:vAlign w:val="center"/>
          </w:tcPr>
          <w:p>
            <w:pPr>
              <w:snapToGrid w:val="0"/>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w:t>
            </w:r>
          </w:p>
        </w:tc>
        <w:tc>
          <w:tcPr>
            <w:tcW w:w="2100"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输入输出配电柜</w:t>
            </w:r>
          </w:p>
        </w:tc>
        <w:tc>
          <w:tcPr>
            <w:tcW w:w="6216" w:type="dxa"/>
            <w:shd w:val="clear" w:color="auto" w:fill="auto"/>
            <w:tcMar>
              <w:top w:w="12" w:type="dxa"/>
              <w:left w:w="12" w:type="dxa"/>
              <w:right w:w="12" w:type="dxa"/>
            </w:tcMar>
            <w:vAlign w:val="center"/>
          </w:tcPr>
          <w:p>
            <w:pP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配电柜为模块化结构，尺寸：600*1200*2000                                                                                                          1、市电输入320A/3P，输出160A/3P*3，63A/3P*4,32A/2P*4,备用100A/3P*1</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2、元件选用一线知名品牌，符合IEC 60947国际标准和GB14048国家标准；</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3、具有防雷器，满足配电柜防浪涌、防雷击、过流保护的功能。具有防雷器故障报警功能，并可集成到动环监控系统；</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4、配置智能电量仪≥7寸触摸式显示屏，用于集中监测主开关的电压、电流、频率、功率因素、电量等电参数；可接入动环监控系统。智能电量仪能够传输相关报警信息到动环监控系统统一进行报警。支持主回路电压电流，空开状态，视在功率，有功功率，电能等指标监测；支持主回路过压欠压告警，过流告警，频率异常告警，单路掉电告警，三相不平衡告警。</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5、柜体防护等级IP20；6、具有CCC认证</w:t>
            </w:r>
          </w:p>
        </w:tc>
        <w:tc>
          <w:tcPr>
            <w:tcW w:w="7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w:t>
            </w:r>
          </w:p>
        </w:tc>
        <w:tc>
          <w:tcPr>
            <w:tcW w:w="2100"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精密列头柜</w:t>
            </w:r>
          </w:p>
        </w:tc>
        <w:tc>
          <w:tcPr>
            <w:tcW w:w="6216" w:type="dxa"/>
            <w:shd w:val="clear" w:color="auto" w:fill="auto"/>
            <w:tcMar>
              <w:top w:w="12" w:type="dxa"/>
              <w:left w:w="12" w:type="dxa"/>
              <w:right w:w="12" w:type="dxa"/>
            </w:tcMar>
            <w:vAlign w:val="center"/>
          </w:tcPr>
          <w:p>
            <w:pP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配电柜为模块化结构，尺寸：600*1200*2000                                                                                                          1、总输入160A/3P*2，输出32A/2P*40</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2、元件选用一线知名品牌，符合IEC 60947国际标准和GB14048国家标准；</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3、具有防雷器，满足配电柜防浪涌、防雷击、过流保护的功能。具有防雷器故障报警功能，并可集成到动环监控系统；</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4、配置智能电量仪≥7寸触摸式显示屏，用于集中监测主开关的电压、电流、频率、功率因素、电量等电参数；可接入动环监控系统。智能电量仪能够传输相关报警信息到动环监控系统统一进行报警。支持主回路电压电流，空开状态，视在功率，有功功率，电能等指标监测；支持主回路过压欠压告警，过流告警，频率异常告警，单路掉电告警，三相不平衡告警。</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5、柜体防护等级IP20；6、具有CCC认证</w:t>
            </w:r>
          </w:p>
        </w:tc>
        <w:tc>
          <w:tcPr>
            <w:tcW w:w="7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3</w:t>
            </w:r>
          </w:p>
        </w:tc>
        <w:tc>
          <w:tcPr>
            <w:tcW w:w="2100"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UPS主机柜</w:t>
            </w:r>
          </w:p>
        </w:tc>
        <w:tc>
          <w:tcPr>
            <w:tcW w:w="6216" w:type="dxa"/>
            <w:shd w:val="clear" w:color="auto" w:fill="auto"/>
            <w:tcMar>
              <w:top w:w="12" w:type="dxa"/>
              <w:left w:w="12" w:type="dxa"/>
              <w:right w:w="12" w:type="dxa"/>
            </w:tcMar>
            <w:vAlign w:val="center"/>
          </w:tcPr>
          <w:p>
            <w:pP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UPS机柜：两侧内嵌式侧门,拼装柜，带七寸彩屏,深度1200mm，单个UPS</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机柜最多可配置4个50KVA UPS模块，集中式旁路；600*1200*2000</w:t>
            </w:r>
          </w:p>
        </w:tc>
        <w:tc>
          <w:tcPr>
            <w:tcW w:w="7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4</w:t>
            </w:r>
          </w:p>
        </w:tc>
        <w:tc>
          <w:tcPr>
            <w:tcW w:w="2100"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UPS模块</w:t>
            </w:r>
          </w:p>
        </w:tc>
        <w:tc>
          <w:tcPr>
            <w:tcW w:w="6216" w:type="dxa"/>
            <w:shd w:val="clear" w:color="auto" w:fill="auto"/>
            <w:tcMar>
              <w:top w:w="12" w:type="dxa"/>
              <w:left w:w="12" w:type="dxa"/>
              <w:right w:w="12" w:type="dxa"/>
            </w:tcMar>
            <w:vAlign w:val="center"/>
          </w:tcPr>
          <w:p>
            <w:pP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50KVA功率模块，集中式旁路UPS柜用，输出功率因数1，支持热插拔</w:t>
            </w:r>
          </w:p>
        </w:tc>
        <w:tc>
          <w:tcPr>
            <w:tcW w:w="7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5</w:t>
            </w:r>
          </w:p>
        </w:tc>
        <w:tc>
          <w:tcPr>
            <w:tcW w:w="2100"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蓄电池</w:t>
            </w:r>
          </w:p>
        </w:tc>
        <w:tc>
          <w:tcPr>
            <w:tcW w:w="6216" w:type="dxa"/>
            <w:shd w:val="clear" w:color="auto" w:fill="auto"/>
            <w:tcMar>
              <w:top w:w="12" w:type="dxa"/>
              <w:left w:w="12" w:type="dxa"/>
              <w:right w:w="12" w:type="dxa"/>
            </w:tcMar>
            <w:vAlign w:val="center"/>
          </w:tcPr>
          <w:p>
            <w:pP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电池容量：12V，100AH</w:t>
            </w:r>
          </w:p>
        </w:tc>
        <w:tc>
          <w:tcPr>
            <w:tcW w:w="7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6</w:t>
            </w:r>
          </w:p>
        </w:tc>
        <w:tc>
          <w:tcPr>
            <w:tcW w:w="2100"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电池架</w:t>
            </w:r>
          </w:p>
        </w:tc>
        <w:tc>
          <w:tcPr>
            <w:tcW w:w="6216" w:type="dxa"/>
            <w:shd w:val="clear" w:color="auto" w:fill="auto"/>
            <w:tcMar>
              <w:top w:w="12" w:type="dxa"/>
              <w:left w:w="12" w:type="dxa"/>
              <w:right w:w="12" w:type="dxa"/>
            </w:tcMar>
            <w:vAlign w:val="center"/>
          </w:tcPr>
          <w:p>
            <w:pP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每套放置64节12V，100AH，含电池组控制开关箱</w:t>
            </w:r>
          </w:p>
        </w:tc>
        <w:tc>
          <w:tcPr>
            <w:tcW w:w="7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7</w:t>
            </w:r>
          </w:p>
        </w:tc>
        <w:tc>
          <w:tcPr>
            <w:tcW w:w="2100"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电池连接铜排</w:t>
            </w:r>
          </w:p>
        </w:tc>
        <w:tc>
          <w:tcPr>
            <w:tcW w:w="6216" w:type="dxa"/>
            <w:shd w:val="clear" w:color="auto" w:fill="auto"/>
            <w:tcMar>
              <w:top w:w="12" w:type="dxa"/>
              <w:left w:w="12" w:type="dxa"/>
              <w:right w:w="12" w:type="dxa"/>
            </w:tcMar>
            <w:vAlign w:val="center"/>
          </w:tcPr>
          <w:p>
            <w:pP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蓄电池的连接铜排</w:t>
            </w:r>
          </w:p>
        </w:tc>
        <w:tc>
          <w:tcPr>
            <w:tcW w:w="7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bl>
    <w:p>
      <w:pPr>
        <w:spacing w:line="340" w:lineRule="exact"/>
        <w:rPr>
          <w:rFonts w:ascii="Tahoma" w:hAnsi="黑体" w:eastAsia="黑体" w:cs="Tahoma"/>
          <w:b/>
          <w:color w:val="000000" w:themeColor="text1"/>
          <w:szCs w:val="21"/>
          <w:highlight w:val="none"/>
          <w14:textFill>
            <w14:solidFill>
              <w14:schemeClr w14:val="tx1"/>
            </w14:solidFill>
          </w14:textFill>
        </w:rPr>
      </w:pPr>
      <w:r>
        <w:rPr>
          <w:rFonts w:hint="eastAsia" w:ascii="Tahoma" w:hAnsi="黑体" w:eastAsia="黑体" w:cs="Tahoma"/>
          <w:b/>
          <w:color w:val="000000" w:themeColor="text1"/>
          <w:szCs w:val="21"/>
          <w:highlight w:val="none"/>
          <w14:textFill>
            <w14:solidFill>
              <w14:schemeClr w14:val="tx1"/>
            </w14:solidFill>
          </w14:textFill>
        </w:rPr>
        <w:t>6.8 机房视频系统</w:t>
      </w:r>
    </w:p>
    <w:tbl>
      <w:tblPr>
        <w:tblStyle w:val="20"/>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7"/>
        <w:gridCol w:w="2195"/>
        <w:gridCol w:w="6105"/>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47" w:type="dxa"/>
            <w:shd w:val="clear" w:color="auto" w:fill="auto"/>
            <w:tcMar>
              <w:top w:w="12" w:type="dxa"/>
              <w:left w:w="12" w:type="dxa"/>
              <w:right w:w="12" w:type="dxa"/>
            </w:tcMar>
            <w:vAlign w:val="center"/>
          </w:tcPr>
          <w:p>
            <w:pPr>
              <w:snapToGrid w:val="0"/>
              <w:ind w:left="425" w:hanging="425"/>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序号</w:t>
            </w:r>
          </w:p>
        </w:tc>
        <w:tc>
          <w:tcPr>
            <w:tcW w:w="2195" w:type="dxa"/>
            <w:shd w:val="clear" w:color="auto" w:fill="auto"/>
            <w:tcMar>
              <w:top w:w="12" w:type="dxa"/>
              <w:left w:w="12" w:type="dxa"/>
              <w:right w:w="12" w:type="dxa"/>
            </w:tcMar>
            <w:vAlign w:val="center"/>
          </w:tcPr>
          <w:p>
            <w:pPr>
              <w:snapToGrid w:val="0"/>
              <w:ind w:left="425" w:hanging="425"/>
              <w:jc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商品名称</w:t>
            </w:r>
          </w:p>
        </w:tc>
        <w:tc>
          <w:tcPr>
            <w:tcW w:w="6105" w:type="dxa"/>
            <w:shd w:val="clear" w:color="auto" w:fill="auto"/>
            <w:tcMar>
              <w:top w:w="12" w:type="dxa"/>
              <w:left w:w="12" w:type="dxa"/>
              <w:right w:w="12" w:type="dxa"/>
            </w:tcMar>
            <w:vAlign w:val="center"/>
          </w:tcPr>
          <w:p>
            <w:pPr>
              <w:snapToGrid w:val="0"/>
              <w:jc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技术规格</w:t>
            </w:r>
          </w:p>
        </w:tc>
        <w:tc>
          <w:tcPr>
            <w:tcW w:w="731" w:type="dxa"/>
            <w:shd w:val="clear" w:color="auto" w:fill="auto"/>
            <w:tcMar>
              <w:top w:w="12" w:type="dxa"/>
              <w:left w:w="12" w:type="dxa"/>
              <w:right w:w="12" w:type="dxa"/>
            </w:tcMar>
            <w:vAlign w:val="center"/>
          </w:tcPr>
          <w:p>
            <w:pPr>
              <w:snapToGrid w:val="0"/>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4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w:t>
            </w:r>
          </w:p>
        </w:tc>
        <w:tc>
          <w:tcPr>
            <w:tcW w:w="2195"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4路网络硬盘录像机 </w:t>
            </w:r>
          </w:p>
        </w:tc>
        <w:tc>
          <w:tcPr>
            <w:tcW w:w="6105" w:type="dxa"/>
            <w:shd w:val="clear" w:color="auto" w:fill="auto"/>
            <w:tcMar>
              <w:top w:w="12" w:type="dxa"/>
              <w:left w:w="12" w:type="dxa"/>
              <w:right w:w="12" w:type="dxa"/>
            </w:tcMar>
            <w:vAlign w:val="center"/>
          </w:tcPr>
          <w:p>
            <w:pP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网络硬盘录像机，支持1个硬盘，支持POE，支持4个网络摄</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像头</w:t>
            </w:r>
          </w:p>
        </w:tc>
        <w:tc>
          <w:tcPr>
            <w:tcW w:w="7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4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w:t>
            </w:r>
          </w:p>
        </w:tc>
        <w:tc>
          <w:tcPr>
            <w:tcW w:w="2195"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红外半球式网络摄像机</w:t>
            </w:r>
          </w:p>
        </w:tc>
        <w:tc>
          <w:tcPr>
            <w:tcW w:w="6105"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半球网络摄像头，支持 DC12V/POE 供电方式，200万高清</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画质，支持 IP67 防护等级</w:t>
            </w:r>
          </w:p>
        </w:tc>
        <w:tc>
          <w:tcPr>
            <w:tcW w:w="7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4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3</w:t>
            </w:r>
          </w:p>
        </w:tc>
        <w:tc>
          <w:tcPr>
            <w:tcW w:w="2195"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4TB监控级硬盘</w:t>
            </w:r>
          </w:p>
        </w:tc>
        <w:tc>
          <w:tcPr>
            <w:tcW w:w="6105"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4T存储空间</w:t>
            </w:r>
          </w:p>
        </w:tc>
        <w:tc>
          <w:tcPr>
            <w:tcW w:w="7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bl>
    <w:p>
      <w:pPr>
        <w:rPr>
          <w:color w:val="000000" w:themeColor="text1"/>
          <w:highlight w:val="none"/>
          <w14:textFill>
            <w14:solidFill>
              <w14:schemeClr w14:val="tx1"/>
            </w14:solidFill>
          </w14:textFill>
        </w:rPr>
      </w:pPr>
      <w:r>
        <w:rPr>
          <w:rFonts w:hint="eastAsia" w:ascii="Tahoma" w:hAnsi="黑体" w:eastAsia="黑体" w:cs="Tahoma"/>
          <w:b/>
          <w:color w:val="000000" w:themeColor="text1"/>
          <w:szCs w:val="21"/>
          <w:highlight w:val="none"/>
          <w14:textFill>
            <w14:solidFill>
              <w14:schemeClr w14:val="tx1"/>
            </w14:solidFill>
          </w14:textFill>
        </w:rPr>
        <w:t>6.9  机房动环检测设施管理系统</w:t>
      </w:r>
    </w:p>
    <w:tbl>
      <w:tblPr>
        <w:tblStyle w:val="20"/>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1"/>
        <w:gridCol w:w="2100"/>
        <w:gridCol w:w="6183"/>
        <w:gridCol w:w="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81" w:type="dxa"/>
            <w:shd w:val="clear" w:color="auto" w:fill="auto"/>
            <w:tcMar>
              <w:top w:w="12" w:type="dxa"/>
              <w:left w:w="12" w:type="dxa"/>
              <w:right w:w="12" w:type="dxa"/>
            </w:tcMar>
            <w:vAlign w:val="center"/>
          </w:tcPr>
          <w:p>
            <w:pPr>
              <w:snapToGrid w:val="0"/>
              <w:ind w:left="425" w:hanging="425"/>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序号</w:t>
            </w:r>
          </w:p>
        </w:tc>
        <w:tc>
          <w:tcPr>
            <w:tcW w:w="2100" w:type="dxa"/>
            <w:shd w:val="clear" w:color="auto" w:fill="auto"/>
            <w:tcMar>
              <w:top w:w="12" w:type="dxa"/>
              <w:left w:w="12" w:type="dxa"/>
              <w:right w:w="12" w:type="dxa"/>
            </w:tcMar>
            <w:vAlign w:val="center"/>
          </w:tcPr>
          <w:p>
            <w:pPr>
              <w:snapToGrid w:val="0"/>
              <w:ind w:left="425" w:hanging="425"/>
              <w:jc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商品名称</w:t>
            </w:r>
          </w:p>
        </w:tc>
        <w:tc>
          <w:tcPr>
            <w:tcW w:w="6183" w:type="dxa"/>
            <w:shd w:val="clear" w:color="auto" w:fill="auto"/>
            <w:tcMar>
              <w:top w:w="12" w:type="dxa"/>
              <w:left w:w="12" w:type="dxa"/>
              <w:right w:w="12" w:type="dxa"/>
            </w:tcMar>
            <w:vAlign w:val="center"/>
          </w:tcPr>
          <w:p>
            <w:pPr>
              <w:snapToGrid w:val="0"/>
              <w:jc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技术规格</w:t>
            </w:r>
          </w:p>
        </w:tc>
        <w:tc>
          <w:tcPr>
            <w:tcW w:w="714" w:type="dxa"/>
            <w:shd w:val="clear" w:color="auto" w:fill="auto"/>
            <w:tcMar>
              <w:top w:w="12" w:type="dxa"/>
              <w:left w:w="12" w:type="dxa"/>
              <w:right w:w="12" w:type="dxa"/>
            </w:tcMar>
            <w:vAlign w:val="center"/>
          </w:tcPr>
          <w:p>
            <w:pPr>
              <w:snapToGrid w:val="0"/>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w:t>
            </w:r>
          </w:p>
        </w:tc>
        <w:tc>
          <w:tcPr>
            <w:tcW w:w="2100"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监控系统主机</w:t>
            </w:r>
          </w:p>
        </w:tc>
        <w:tc>
          <w:tcPr>
            <w:tcW w:w="6183" w:type="dxa"/>
            <w:shd w:val="clear" w:color="auto" w:fill="auto"/>
            <w:tcMar>
              <w:top w:w="12" w:type="dxa"/>
              <w:left w:w="12" w:type="dxa"/>
              <w:right w:w="12" w:type="dxa"/>
            </w:tcMar>
            <w:vAlign w:val="center"/>
          </w:tcPr>
          <w:p>
            <w:pP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双AC220V输入电源 , Intel®2.0GHZ四核处理器，4G内存，固态 硬盘 120G，，6路DI，2路DO,2个232串口，6个485串口，1路VGA接口，1路 HDMI接口。工作温度-10℃~50℃。</w:t>
            </w:r>
          </w:p>
        </w:tc>
        <w:tc>
          <w:tcPr>
            <w:tcW w:w="71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w:t>
            </w:r>
          </w:p>
        </w:tc>
        <w:tc>
          <w:tcPr>
            <w:tcW w:w="2100"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4G全网通短信报警模块 </w:t>
            </w:r>
          </w:p>
        </w:tc>
        <w:tc>
          <w:tcPr>
            <w:tcW w:w="6183" w:type="dxa"/>
            <w:shd w:val="clear" w:color="auto" w:fill="auto"/>
            <w:tcMar>
              <w:top w:w="12" w:type="dxa"/>
              <w:left w:w="12" w:type="dxa"/>
              <w:right w:w="12" w:type="dxa"/>
            </w:tcMar>
            <w:vAlign w:val="center"/>
          </w:tcPr>
          <w:p>
            <w:pP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4G全网通短信报警模块，接在主机串口上</w:t>
            </w:r>
          </w:p>
        </w:tc>
        <w:tc>
          <w:tcPr>
            <w:tcW w:w="71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3</w:t>
            </w:r>
          </w:p>
        </w:tc>
        <w:tc>
          <w:tcPr>
            <w:tcW w:w="2100"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电容触摸屏（21.5寸）</w:t>
            </w:r>
          </w:p>
        </w:tc>
        <w:tc>
          <w:tcPr>
            <w:tcW w:w="6183" w:type="dxa"/>
            <w:shd w:val="clear" w:color="auto" w:fill="auto"/>
            <w:tcMar>
              <w:top w:w="12" w:type="dxa"/>
              <w:left w:w="12" w:type="dxa"/>
              <w:right w:w="12" w:type="dxa"/>
            </w:tcMar>
            <w:vAlign w:val="center"/>
          </w:tcPr>
          <w:p>
            <w:pP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工业级电容触控屏，1、21.5英寸（16:9）显示屏，分辨率:1920*1080；2、使用寿命：&gt; 50000小时；3、整机功耗：&lt;220W，待机功耗：&lt;3W；4、抗光干扰，确保操作的准确性（强光直射照常使用）</w:t>
            </w:r>
          </w:p>
        </w:tc>
        <w:tc>
          <w:tcPr>
            <w:tcW w:w="71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4</w:t>
            </w:r>
          </w:p>
        </w:tc>
        <w:tc>
          <w:tcPr>
            <w:tcW w:w="2100"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声光告警模块</w:t>
            </w:r>
          </w:p>
        </w:tc>
        <w:tc>
          <w:tcPr>
            <w:tcW w:w="6183" w:type="dxa"/>
            <w:shd w:val="clear" w:color="auto" w:fill="auto"/>
            <w:tcMar>
              <w:top w:w="12" w:type="dxa"/>
              <w:left w:w="12" w:type="dxa"/>
              <w:right w:w="12" w:type="dxa"/>
            </w:tcMar>
            <w:vAlign w:val="center"/>
          </w:tcPr>
          <w:p>
            <w:pP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本地声光报警；</w:t>
            </w:r>
          </w:p>
        </w:tc>
        <w:tc>
          <w:tcPr>
            <w:tcW w:w="71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5</w:t>
            </w:r>
          </w:p>
        </w:tc>
        <w:tc>
          <w:tcPr>
            <w:tcW w:w="2100"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设备接入软件模块</w:t>
            </w:r>
          </w:p>
        </w:tc>
        <w:tc>
          <w:tcPr>
            <w:tcW w:w="6183" w:type="dxa"/>
            <w:shd w:val="clear" w:color="auto" w:fill="auto"/>
            <w:tcMar>
              <w:top w:w="12" w:type="dxa"/>
              <w:left w:w="12" w:type="dxa"/>
              <w:right w:w="12" w:type="dxa"/>
            </w:tcMar>
            <w:vAlign w:val="center"/>
          </w:tcPr>
          <w:p>
            <w:pP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内置于监控主机，每接入一个设备（UPS,空调，配电等智能设备），需要1个软件模块。温湿度，烟感等环境传感器不算在内</w:t>
            </w:r>
          </w:p>
        </w:tc>
        <w:tc>
          <w:tcPr>
            <w:tcW w:w="71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6</w:t>
            </w:r>
          </w:p>
        </w:tc>
        <w:tc>
          <w:tcPr>
            <w:tcW w:w="2100"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温湿度传感器 （大LCD屏）</w:t>
            </w:r>
          </w:p>
        </w:tc>
        <w:tc>
          <w:tcPr>
            <w:tcW w:w="6183"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专用于机房环境的高精度数字式温湿度传感器，-20C~+80C的精度在±0.5C， Modbus RTU通讯接口，全双工方式，抗干扰性强，稳定可靠，LCD显示。</w:t>
            </w:r>
          </w:p>
        </w:tc>
        <w:tc>
          <w:tcPr>
            <w:tcW w:w="71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7</w:t>
            </w:r>
          </w:p>
        </w:tc>
        <w:tc>
          <w:tcPr>
            <w:tcW w:w="2100"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烟雾传感器</w:t>
            </w:r>
          </w:p>
        </w:tc>
        <w:tc>
          <w:tcPr>
            <w:tcW w:w="6183"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监控机房烟雾状况，每100平方装一个</w:t>
            </w:r>
          </w:p>
        </w:tc>
        <w:tc>
          <w:tcPr>
            <w:tcW w:w="71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8</w:t>
            </w:r>
          </w:p>
        </w:tc>
        <w:tc>
          <w:tcPr>
            <w:tcW w:w="2100"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非定位线式漏水检测报警器</w:t>
            </w:r>
          </w:p>
        </w:tc>
        <w:tc>
          <w:tcPr>
            <w:tcW w:w="6183"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检测漏水状态，通过漏水感应线检测到漏水后，通过采集器输出一个继电器报警信号，并可发出蜂鸣器警报；</w:t>
            </w:r>
          </w:p>
        </w:tc>
        <w:tc>
          <w:tcPr>
            <w:tcW w:w="71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9</w:t>
            </w:r>
          </w:p>
        </w:tc>
        <w:tc>
          <w:tcPr>
            <w:tcW w:w="2100"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非定位线式漏水感应线</w:t>
            </w:r>
          </w:p>
        </w:tc>
        <w:tc>
          <w:tcPr>
            <w:tcW w:w="6183"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线长10米，用于配合漏水检测报警器检测是否有漏水产生</w:t>
            </w:r>
          </w:p>
        </w:tc>
        <w:tc>
          <w:tcPr>
            <w:tcW w:w="71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10</w:t>
            </w:r>
          </w:p>
        </w:tc>
        <w:tc>
          <w:tcPr>
            <w:tcW w:w="2100"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12V/3A 直流电源</w:t>
            </w:r>
          </w:p>
        </w:tc>
        <w:tc>
          <w:tcPr>
            <w:tcW w:w="6183"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辅助电源，AC220V输入，DC12V3A输出</w:t>
            </w:r>
          </w:p>
        </w:tc>
        <w:tc>
          <w:tcPr>
            <w:tcW w:w="71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11</w:t>
            </w:r>
          </w:p>
        </w:tc>
        <w:tc>
          <w:tcPr>
            <w:tcW w:w="2100"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双门禁控制器 </w:t>
            </w:r>
          </w:p>
        </w:tc>
        <w:tc>
          <w:tcPr>
            <w:tcW w:w="6183"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门禁控制主机；</w:t>
            </w:r>
          </w:p>
        </w:tc>
        <w:tc>
          <w:tcPr>
            <w:tcW w:w="71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12</w:t>
            </w:r>
          </w:p>
        </w:tc>
        <w:tc>
          <w:tcPr>
            <w:tcW w:w="2100"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指纹门禁刷卡器 </w:t>
            </w:r>
          </w:p>
        </w:tc>
        <w:tc>
          <w:tcPr>
            <w:tcW w:w="6183"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支持指纹认证、密码认证和ID卡认证的读卡</w:t>
            </w:r>
          </w:p>
        </w:tc>
        <w:tc>
          <w:tcPr>
            <w:tcW w:w="71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13</w:t>
            </w:r>
          </w:p>
        </w:tc>
        <w:tc>
          <w:tcPr>
            <w:tcW w:w="2100"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配套用触摸开关 </w:t>
            </w:r>
          </w:p>
        </w:tc>
        <w:tc>
          <w:tcPr>
            <w:tcW w:w="6183"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触摸感应，造型设计简约美观，防水防尘，耐高温抗冲击</w:t>
            </w:r>
          </w:p>
        </w:tc>
        <w:tc>
          <w:tcPr>
            <w:tcW w:w="71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14</w:t>
            </w:r>
          </w:p>
        </w:tc>
        <w:tc>
          <w:tcPr>
            <w:tcW w:w="2100"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应急开关附件</w:t>
            </w:r>
          </w:p>
        </w:tc>
        <w:tc>
          <w:tcPr>
            <w:tcW w:w="6183"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防止门禁失灵，应急出门使用</w:t>
            </w:r>
          </w:p>
        </w:tc>
        <w:tc>
          <w:tcPr>
            <w:tcW w:w="71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15</w:t>
            </w:r>
          </w:p>
        </w:tc>
        <w:tc>
          <w:tcPr>
            <w:tcW w:w="2100"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ID卡 </w:t>
            </w:r>
          </w:p>
        </w:tc>
        <w:tc>
          <w:tcPr>
            <w:tcW w:w="6183"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配合门禁使用</w:t>
            </w:r>
          </w:p>
        </w:tc>
        <w:tc>
          <w:tcPr>
            <w:tcW w:w="71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16</w:t>
            </w:r>
          </w:p>
        </w:tc>
        <w:tc>
          <w:tcPr>
            <w:tcW w:w="2100"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交换机</w:t>
            </w:r>
          </w:p>
        </w:tc>
        <w:tc>
          <w:tcPr>
            <w:tcW w:w="6183"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19英寸标准机架安装，即插即用，无需管理，提供16个10/100M自适应</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RJ45端口，所有端口均可实现线速转发</w:t>
            </w:r>
          </w:p>
        </w:tc>
        <w:tc>
          <w:tcPr>
            <w:tcW w:w="71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bl>
    <w:p>
      <w:pPr>
        <w:rPr>
          <w:rFonts w:ascii="Tahoma" w:hAnsi="黑体" w:eastAsia="黑体" w:cs="Tahoma"/>
          <w:b/>
          <w:color w:val="000000" w:themeColor="text1"/>
          <w:szCs w:val="21"/>
          <w:highlight w:val="none"/>
          <w14:textFill>
            <w14:solidFill>
              <w14:schemeClr w14:val="tx1"/>
            </w14:solidFill>
          </w14:textFill>
        </w:rPr>
      </w:pPr>
    </w:p>
    <w:p>
      <w:pPr>
        <w:rPr>
          <w:color w:val="000000" w:themeColor="text1"/>
          <w:highlight w:val="none"/>
          <w14:textFill>
            <w14:solidFill>
              <w14:schemeClr w14:val="tx1"/>
            </w14:solidFill>
          </w14:textFill>
        </w:rPr>
      </w:pPr>
      <w:r>
        <w:rPr>
          <w:rFonts w:hint="eastAsia" w:ascii="Tahoma" w:hAnsi="黑体" w:eastAsia="黑体" w:cs="Tahoma"/>
          <w:b/>
          <w:color w:val="000000" w:themeColor="text1"/>
          <w:szCs w:val="21"/>
          <w:highlight w:val="none"/>
          <w14:textFill>
            <w14:solidFill>
              <w14:schemeClr w14:val="tx1"/>
            </w14:solidFill>
          </w14:textFill>
        </w:rPr>
        <w:t>7.  综合布线</w:t>
      </w:r>
    </w:p>
    <w:tbl>
      <w:tblPr>
        <w:tblStyle w:val="20"/>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7"/>
        <w:gridCol w:w="2117"/>
        <w:gridCol w:w="6133"/>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97" w:type="dxa"/>
            <w:shd w:val="clear" w:color="auto" w:fill="auto"/>
            <w:tcMar>
              <w:top w:w="12" w:type="dxa"/>
              <w:left w:w="12" w:type="dxa"/>
              <w:right w:w="12" w:type="dxa"/>
            </w:tcMar>
            <w:vAlign w:val="center"/>
          </w:tcPr>
          <w:p>
            <w:pPr>
              <w:snapToGrid w:val="0"/>
              <w:ind w:left="425" w:hanging="425"/>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序号</w:t>
            </w:r>
          </w:p>
        </w:tc>
        <w:tc>
          <w:tcPr>
            <w:tcW w:w="2117" w:type="dxa"/>
            <w:shd w:val="clear" w:color="auto" w:fill="auto"/>
            <w:tcMar>
              <w:top w:w="12" w:type="dxa"/>
              <w:left w:w="12" w:type="dxa"/>
              <w:right w:w="12" w:type="dxa"/>
            </w:tcMar>
            <w:vAlign w:val="center"/>
          </w:tcPr>
          <w:p>
            <w:pPr>
              <w:snapToGrid w:val="0"/>
              <w:ind w:left="425" w:hanging="425"/>
              <w:jc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商品名称</w:t>
            </w:r>
          </w:p>
        </w:tc>
        <w:tc>
          <w:tcPr>
            <w:tcW w:w="6133" w:type="dxa"/>
            <w:shd w:val="clear" w:color="auto" w:fill="auto"/>
            <w:tcMar>
              <w:top w:w="12" w:type="dxa"/>
              <w:left w:w="12" w:type="dxa"/>
              <w:right w:w="12" w:type="dxa"/>
            </w:tcMar>
            <w:vAlign w:val="center"/>
          </w:tcPr>
          <w:p>
            <w:pPr>
              <w:snapToGrid w:val="0"/>
              <w:jc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技术规格</w:t>
            </w:r>
          </w:p>
        </w:tc>
        <w:tc>
          <w:tcPr>
            <w:tcW w:w="731" w:type="dxa"/>
            <w:shd w:val="clear" w:color="auto" w:fill="auto"/>
            <w:tcMar>
              <w:top w:w="12" w:type="dxa"/>
              <w:left w:w="12" w:type="dxa"/>
              <w:right w:w="12" w:type="dxa"/>
            </w:tcMar>
            <w:vAlign w:val="center"/>
          </w:tcPr>
          <w:p>
            <w:pPr>
              <w:snapToGrid w:val="0"/>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9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w:t>
            </w:r>
          </w:p>
        </w:tc>
        <w:tc>
          <w:tcPr>
            <w:tcW w:w="2117" w:type="dxa"/>
            <w:shd w:val="clear" w:color="auto" w:fill="auto"/>
            <w:tcMar>
              <w:top w:w="12" w:type="dxa"/>
              <w:left w:w="12" w:type="dxa"/>
              <w:right w:w="12" w:type="dxa"/>
            </w:tcMar>
            <w:vAlign w:val="center"/>
          </w:tcPr>
          <w:p>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光缆</w:t>
            </w:r>
          </w:p>
        </w:tc>
        <w:tc>
          <w:tcPr>
            <w:tcW w:w="6133" w:type="dxa"/>
            <w:shd w:val="clear" w:color="auto" w:fill="auto"/>
            <w:tcMar>
              <w:top w:w="12" w:type="dxa"/>
              <w:left w:w="12" w:type="dxa"/>
              <w:right w:w="12" w:type="dxa"/>
            </w:tcMar>
            <w:vAlign w:val="center"/>
          </w:tcPr>
          <w:p>
            <w:pP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12芯单模金属加强件皮线光缆(室内）护套材质：LSZH光缆尺寸：3.0*2mm 加强件材质：钢丝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光纤类型：G.657A光纤，衰减：@1310≦0.40dB/km；@1550nm≦0.30dB/km 截止波长：≦16250nm </w:t>
            </w:r>
          </w:p>
        </w:tc>
        <w:tc>
          <w:tcPr>
            <w:tcW w:w="7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9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w:t>
            </w:r>
          </w:p>
        </w:tc>
        <w:tc>
          <w:tcPr>
            <w:tcW w:w="2117" w:type="dxa"/>
            <w:shd w:val="clear" w:color="auto" w:fill="auto"/>
            <w:tcMar>
              <w:top w:w="12" w:type="dxa"/>
              <w:left w:w="12" w:type="dxa"/>
              <w:right w:w="12" w:type="dxa"/>
            </w:tcMar>
            <w:vAlign w:val="center"/>
          </w:tcPr>
          <w:p>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4口终端盒</w:t>
            </w:r>
          </w:p>
        </w:tc>
        <w:tc>
          <w:tcPr>
            <w:tcW w:w="6133" w:type="dxa"/>
            <w:shd w:val="clear" w:color="auto" w:fill="auto"/>
            <w:tcMar>
              <w:top w:w="12" w:type="dxa"/>
              <w:left w:w="12" w:type="dxa"/>
              <w:right w:w="12" w:type="dxa"/>
            </w:tcMar>
            <w:vAlign w:val="center"/>
          </w:tcPr>
          <w:p>
            <w:pP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光纤终端盒尺寸：190*130*40mm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终端盒材质：优质冷轧钢板整体黑色喷塑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钢板厚度：0.7-0.8mm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进线光缆数量：2根</w:t>
            </w:r>
          </w:p>
        </w:tc>
        <w:tc>
          <w:tcPr>
            <w:tcW w:w="7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9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3</w:t>
            </w:r>
          </w:p>
        </w:tc>
        <w:tc>
          <w:tcPr>
            <w:tcW w:w="2117" w:type="dxa"/>
            <w:shd w:val="clear" w:color="auto" w:fill="auto"/>
            <w:tcMar>
              <w:top w:w="12" w:type="dxa"/>
              <w:left w:w="12" w:type="dxa"/>
              <w:right w:w="12" w:type="dxa"/>
            </w:tcMar>
            <w:vAlign w:val="center"/>
          </w:tcPr>
          <w:p>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SC/SC3米尾纤</w:t>
            </w:r>
          </w:p>
        </w:tc>
        <w:tc>
          <w:tcPr>
            <w:tcW w:w="6133" w:type="dxa"/>
            <w:shd w:val="clear" w:color="auto" w:fill="auto"/>
            <w:tcMar>
              <w:top w:w="12" w:type="dxa"/>
              <w:left w:w="12" w:type="dxa"/>
              <w:right w:w="12" w:type="dxa"/>
            </w:tcMar>
            <w:vAlign w:val="center"/>
          </w:tcPr>
          <w:p>
            <w:pP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单模SC-SC光纤跳线，陶瓷 连接器插入损耗：≤0.3dB/每接口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连接器回波损耗：单模≥50dB，多模≥20dB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重复性：≤0.1dB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互换性：≤0.1dB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拔插次数：≥1000次 </w:t>
            </w:r>
          </w:p>
        </w:tc>
        <w:tc>
          <w:tcPr>
            <w:tcW w:w="7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9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4</w:t>
            </w:r>
          </w:p>
        </w:tc>
        <w:tc>
          <w:tcPr>
            <w:tcW w:w="2117" w:type="dxa"/>
            <w:shd w:val="clear" w:color="auto" w:fill="auto"/>
            <w:tcMar>
              <w:top w:w="12" w:type="dxa"/>
              <w:left w:w="12" w:type="dxa"/>
              <w:right w:w="12" w:type="dxa"/>
            </w:tcMar>
            <w:vAlign w:val="center"/>
          </w:tcPr>
          <w:p>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超六类</w:t>
            </w:r>
            <w:r>
              <w:rPr>
                <w:rFonts w:hint="eastAsia" w:ascii="宋体" w:hAnsi="宋体" w:cs="宋体"/>
                <w:i/>
                <w:iCs/>
                <w:color w:val="000000" w:themeColor="text1"/>
                <w:kern w:val="0"/>
                <w:szCs w:val="21"/>
                <w:highlight w:val="none"/>
                <w:lang w:bidi="ar"/>
                <w14:textFill>
                  <w14:solidFill>
                    <w14:schemeClr w14:val="tx1"/>
                  </w14:solidFill>
                </w14:textFill>
              </w:rPr>
              <w:t>网线</w:t>
            </w:r>
          </w:p>
        </w:tc>
        <w:tc>
          <w:tcPr>
            <w:tcW w:w="6133" w:type="dxa"/>
            <w:shd w:val="clear" w:color="auto" w:fill="auto"/>
            <w:tcMar>
              <w:top w:w="12" w:type="dxa"/>
              <w:left w:w="12" w:type="dxa"/>
              <w:right w:w="12" w:type="dxa"/>
            </w:tcMar>
            <w:vAlign w:val="center"/>
          </w:tcPr>
          <w:p>
            <w:pP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成品外径：7.6±0.5mm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导体：99.99%纯铜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导体直径：23AWG</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导体绝缘外径：1.1±0.1mm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芯数：4*2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特性阻抗：100±15Ω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单根导体最大电阻：≤9.5Ω/100m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导体间介电强度，DC，1min：1Kv/1min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工作电容最大值：≤5.6nF/100m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线对直流电阻不平衡性：≤2.5% 蓝色（多媒体箱至办公桌）</w:t>
            </w:r>
          </w:p>
        </w:tc>
        <w:tc>
          <w:tcPr>
            <w:tcW w:w="7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9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5</w:t>
            </w:r>
          </w:p>
        </w:tc>
        <w:tc>
          <w:tcPr>
            <w:tcW w:w="2117" w:type="dxa"/>
            <w:shd w:val="clear" w:color="auto" w:fill="auto"/>
            <w:tcMar>
              <w:top w:w="12" w:type="dxa"/>
              <w:left w:w="12" w:type="dxa"/>
              <w:right w:w="12" w:type="dxa"/>
            </w:tcMar>
            <w:vAlign w:val="center"/>
          </w:tcPr>
          <w:p>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电源线</w:t>
            </w:r>
          </w:p>
        </w:tc>
        <w:tc>
          <w:tcPr>
            <w:tcW w:w="6133" w:type="dxa"/>
            <w:shd w:val="clear" w:color="auto" w:fill="auto"/>
            <w:tcMar>
              <w:top w:w="12" w:type="dxa"/>
              <w:left w:w="12" w:type="dxa"/>
              <w:right w:w="12" w:type="dxa"/>
            </w:tcMar>
            <w:vAlign w:val="center"/>
          </w:tcPr>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外接电源线</w:t>
            </w:r>
          </w:p>
        </w:tc>
        <w:tc>
          <w:tcPr>
            <w:tcW w:w="7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9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6</w:t>
            </w:r>
          </w:p>
        </w:tc>
        <w:tc>
          <w:tcPr>
            <w:tcW w:w="2117" w:type="dxa"/>
            <w:shd w:val="clear" w:color="auto" w:fill="auto"/>
            <w:tcMar>
              <w:top w:w="12" w:type="dxa"/>
              <w:left w:w="12" w:type="dxa"/>
              <w:right w:w="12" w:type="dxa"/>
            </w:tcMar>
            <w:vAlign w:val="center"/>
          </w:tcPr>
          <w:p>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六类网络配线架</w:t>
            </w:r>
          </w:p>
        </w:tc>
        <w:tc>
          <w:tcPr>
            <w:tcW w:w="6133"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48口，全钢架结构+黑色喷塑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配线架塑料材质：PBT工程塑料、PC聚碳酸酯、ABS工程塑料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IDC打线端子：磷青铜镀镍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镀金层厚度：50µm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配线架模块类型：6口一体式模块*4组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RJ45端口：可连接1-24根跳线</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接线端子类型：IDC与110双用端子，可卡接导体为0.4～0.6mm 外网弱电间机柜用</w:t>
            </w:r>
          </w:p>
        </w:tc>
        <w:tc>
          <w:tcPr>
            <w:tcW w:w="7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9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7</w:t>
            </w:r>
          </w:p>
        </w:tc>
        <w:tc>
          <w:tcPr>
            <w:tcW w:w="2117" w:type="dxa"/>
            <w:shd w:val="clear" w:color="auto" w:fill="auto"/>
            <w:tcMar>
              <w:top w:w="12" w:type="dxa"/>
              <w:left w:w="12" w:type="dxa"/>
              <w:right w:w="12" w:type="dxa"/>
            </w:tcMar>
            <w:vAlign w:val="center"/>
          </w:tcPr>
          <w:p>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理线架</w:t>
            </w:r>
          </w:p>
        </w:tc>
        <w:tc>
          <w:tcPr>
            <w:tcW w:w="6133"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金属加强</w:t>
            </w:r>
          </w:p>
        </w:tc>
        <w:tc>
          <w:tcPr>
            <w:tcW w:w="7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9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8</w:t>
            </w:r>
          </w:p>
        </w:tc>
        <w:tc>
          <w:tcPr>
            <w:tcW w:w="2117" w:type="dxa"/>
            <w:shd w:val="clear" w:color="auto" w:fill="auto"/>
            <w:tcMar>
              <w:top w:w="12" w:type="dxa"/>
              <w:left w:w="12" w:type="dxa"/>
              <w:right w:w="12" w:type="dxa"/>
            </w:tcMar>
            <w:vAlign w:val="center"/>
          </w:tcPr>
          <w:p>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86底盒</w:t>
            </w:r>
          </w:p>
        </w:tc>
        <w:tc>
          <w:tcPr>
            <w:tcW w:w="6133"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蓝色，内网用，国标</w:t>
            </w:r>
          </w:p>
        </w:tc>
        <w:tc>
          <w:tcPr>
            <w:tcW w:w="7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9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9</w:t>
            </w:r>
          </w:p>
        </w:tc>
        <w:tc>
          <w:tcPr>
            <w:tcW w:w="2117" w:type="dxa"/>
            <w:shd w:val="clear" w:color="auto" w:fill="auto"/>
            <w:tcMar>
              <w:top w:w="12" w:type="dxa"/>
              <w:left w:w="12" w:type="dxa"/>
              <w:right w:w="12" w:type="dxa"/>
            </w:tcMar>
            <w:vAlign w:val="center"/>
          </w:tcPr>
          <w:p>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双口面板</w:t>
            </w:r>
          </w:p>
        </w:tc>
        <w:tc>
          <w:tcPr>
            <w:tcW w:w="6133"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材质：优质ABS 工程塑料</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标识：含有机玻璃的标签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防尘门：优质ABS 工程塑料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Z字形弹簧材质：钢丝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连接方式：直接卡接信息模块 金色内网用，国标</w:t>
            </w:r>
          </w:p>
        </w:tc>
        <w:tc>
          <w:tcPr>
            <w:tcW w:w="7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9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10</w:t>
            </w:r>
          </w:p>
        </w:tc>
        <w:tc>
          <w:tcPr>
            <w:tcW w:w="2117" w:type="dxa"/>
            <w:shd w:val="clear" w:color="auto" w:fill="auto"/>
            <w:tcMar>
              <w:top w:w="12" w:type="dxa"/>
              <w:left w:w="12" w:type="dxa"/>
              <w:right w:w="12" w:type="dxa"/>
            </w:tcMar>
            <w:vAlign w:val="center"/>
          </w:tcPr>
          <w:p>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六类模块</w:t>
            </w:r>
          </w:p>
        </w:tc>
        <w:tc>
          <w:tcPr>
            <w:tcW w:w="6133"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模块主体塑料材质：聚碳酸酯（PC）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屏蔽层：锌合金铸件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IDC端子材质：磷青铜镀镍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金针材质：磷青铜镀金50μm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连接方式：RJ45插孔配接跳线，IDC端接水平布线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IDC端子可卡接线径：单股或多股裸铜导体0.4-0.6mm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RJ45端口类型：8P8C 内网用，国标</w:t>
            </w:r>
          </w:p>
        </w:tc>
        <w:tc>
          <w:tcPr>
            <w:tcW w:w="7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9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11</w:t>
            </w:r>
          </w:p>
        </w:tc>
        <w:tc>
          <w:tcPr>
            <w:tcW w:w="2117" w:type="dxa"/>
            <w:shd w:val="clear" w:color="auto" w:fill="auto"/>
            <w:tcMar>
              <w:top w:w="12" w:type="dxa"/>
              <w:left w:w="12" w:type="dxa"/>
              <w:right w:w="12" w:type="dxa"/>
            </w:tcMar>
            <w:vAlign w:val="center"/>
          </w:tcPr>
          <w:p>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双口面板</w:t>
            </w:r>
          </w:p>
        </w:tc>
        <w:tc>
          <w:tcPr>
            <w:tcW w:w="6133"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材质：优质ABS 工程塑料</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标识：含有机玻璃的标签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防尘门：优质ABS 工程塑料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Z字形弹簧材质：钢丝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连接方式：直接卡接信息模块外网</w:t>
            </w:r>
          </w:p>
        </w:tc>
        <w:tc>
          <w:tcPr>
            <w:tcW w:w="7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9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12</w:t>
            </w:r>
          </w:p>
        </w:tc>
        <w:tc>
          <w:tcPr>
            <w:tcW w:w="2117" w:type="dxa"/>
            <w:shd w:val="clear" w:color="auto" w:fill="auto"/>
            <w:tcMar>
              <w:top w:w="12" w:type="dxa"/>
              <w:left w:w="12" w:type="dxa"/>
              <w:right w:w="12" w:type="dxa"/>
            </w:tcMar>
            <w:vAlign w:val="center"/>
          </w:tcPr>
          <w:p>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PVC线管B型</w:t>
            </w:r>
          </w:p>
        </w:tc>
        <w:tc>
          <w:tcPr>
            <w:tcW w:w="6133"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直径25mm，含配件</w:t>
            </w:r>
          </w:p>
        </w:tc>
        <w:tc>
          <w:tcPr>
            <w:tcW w:w="7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9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13</w:t>
            </w:r>
          </w:p>
        </w:tc>
        <w:tc>
          <w:tcPr>
            <w:tcW w:w="2117" w:type="dxa"/>
            <w:shd w:val="clear" w:color="auto" w:fill="auto"/>
            <w:tcMar>
              <w:top w:w="12" w:type="dxa"/>
              <w:left w:w="12" w:type="dxa"/>
              <w:right w:w="12" w:type="dxa"/>
            </w:tcMar>
            <w:vAlign w:val="center"/>
          </w:tcPr>
          <w:p>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墙面开槽带恢复</w:t>
            </w:r>
          </w:p>
        </w:tc>
        <w:tc>
          <w:tcPr>
            <w:tcW w:w="6133"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墙面开槽预埋 PVC管，砂浆恢复</w:t>
            </w:r>
          </w:p>
        </w:tc>
        <w:tc>
          <w:tcPr>
            <w:tcW w:w="7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bl>
    <w:p>
      <w:pPr>
        <w:keepNext/>
        <w:keepLines/>
        <w:spacing w:after="200"/>
        <w:outlineLvl w:val="2"/>
        <w:rPr>
          <w:rFonts w:ascii="Tahoma" w:hAnsi="黑体" w:eastAsia="黑体" w:cs="Tahoma"/>
          <w:b/>
          <w:color w:val="000000" w:themeColor="text1"/>
          <w:szCs w:val="21"/>
          <w:highlight w:val="none"/>
          <w14:textFill>
            <w14:solidFill>
              <w14:schemeClr w14:val="tx1"/>
            </w14:solidFill>
          </w14:textFill>
        </w:rPr>
      </w:pPr>
      <w:r>
        <w:rPr>
          <w:rFonts w:hint="eastAsia" w:ascii="Tahoma" w:hAnsi="黑体" w:eastAsia="黑体" w:cs="Tahoma"/>
          <w:b/>
          <w:color w:val="000000" w:themeColor="text1"/>
          <w:szCs w:val="21"/>
          <w:highlight w:val="none"/>
          <w14:textFill>
            <w14:solidFill>
              <w14:schemeClr w14:val="tx1"/>
            </w14:solidFill>
          </w14:textFill>
        </w:rPr>
        <w:t>8. 网络安全等级保护测评</w:t>
      </w:r>
    </w:p>
    <w:tbl>
      <w:tblPr>
        <w:tblStyle w:val="20"/>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4"/>
        <w:gridCol w:w="2100"/>
        <w:gridCol w:w="4483"/>
        <w:gridCol w:w="1584"/>
        <w:gridCol w:w="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shd w:val="clear" w:color="auto" w:fill="auto"/>
            <w:tcMar>
              <w:top w:w="12" w:type="dxa"/>
              <w:left w:w="12" w:type="dxa"/>
              <w:right w:w="12" w:type="dxa"/>
            </w:tcMar>
            <w:vAlign w:val="center"/>
          </w:tcPr>
          <w:p>
            <w:pPr>
              <w:snapToGrid w:val="0"/>
              <w:ind w:left="425" w:hanging="425"/>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序号</w:t>
            </w:r>
          </w:p>
        </w:tc>
        <w:tc>
          <w:tcPr>
            <w:tcW w:w="2100" w:type="dxa"/>
            <w:shd w:val="clear" w:color="auto" w:fill="auto"/>
            <w:tcMar>
              <w:top w:w="12" w:type="dxa"/>
              <w:left w:w="12" w:type="dxa"/>
              <w:right w:w="12" w:type="dxa"/>
            </w:tcMar>
            <w:vAlign w:val="center"/>
          </w:tcPr>
          <w:p>
            <w:pPr>
              <w:snapToGrid w:val="0"/>
              <w:ind w:left="425" w:hanging="425"/>
              <w:jc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商品名称</w:t>
            </w:r>
          </w:p>
        </w:tc>
        <w:tc>
          <w:tcPr>
            <w:tcW w:w="6067" w:type="dxa"/>
            <w:gridSpan w:val="2"/>
            <w:shd w:val="clear" w:color="auto" w:fill="auto"/>
            <w:tcMar>
              <w:top w:w="12" w:type="dxa"/>
              <w:left w:w="12" w:type="dxa"/>
              <w:right w:w="12" w:type="dxa"/>
            </w:tcMar>
            <w:vAlign w:val="center"/>
          </w:tcPr>
          <w:p>
            <w:pPr>
              <w:snapToGrid w:val="0"/>
              <w:jc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技术规格</w:t>
            </w:r>
          </w:p>
        </w:tc>
        <w:tc>
          <w:tcPr>
            <w:tcW w:w="747" w:type="dxa"/>
            <w:shd w:val="clear" w:color="auto" w:fill="auto"/>
            <w:tcMar>
              <w:top w:w="12" w:type="dxa"/>
              <w:left w:w="12" w:type="dxa"/>
              <w:right w:w="12" w:type="dxa"/>
            </w:tcMar>
            <w:vAlign w:val="center"/>
          </w:tcPr>
          <w:p>
            <w:pPr>
              <w:snapToGrid w:val="0"/>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w:t>
            </w:r>
          </w:p>
        </w:tc>
        <w:tc>
          <w:tcPr>
            <w:tcW w:w="8914" w:type="dxa"/>
            <w:gridSpan w:val="4"/>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安全物理环境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1.1</w:t>
            </w:r>
          </w:p>
        </w:tc>
        <w:tc>
          <w:tcPr>
            <w:tcW w:w="2100"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物理位置选择</w:t>
            </w:r>
          </w:p>
        </w:tc>
        <w:tc>
          <w:tcPr>
            <w:tcW w:w="6067" w:type="dxa"/>
            <w:gridSpan w:val="2"/>
            <w:shd w:val="clear" w:color="auto" w:fill="auto"/>
            <w:tcMar>
              <w:top w:w="12" w:type="dxa"/>
              <w:left w:w="12" w:type="dxa"/>
              <w:right w:w="12" w:type="dxa"/>
            </w:tcMar>
            <w:vAlign w:val="center"/>
          </w:tcPr>
          <w:p>
            <w:pPr>
              <w:snapToGrid w:val="0"/>
              <w:ind w:left="567" w:hanging="567"/>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a）机房场地应选择在具有防震、防风和防雨等能力的建筑内。</w:t>
            </w:r>
          </w:p>
          <w:p>
            <w:pPr>
              <w:snapToGrid w:val="0"/>
              <w:ind w:left="7" w:hanging="7"/>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b</w:t>
            </w:r>
            <w:r>
              <w:rPr>
                <w:rFonts w:hint="eastAsia" w:ascii="微软雅黑" w:hAnsi="微软雅黑"/>
                <w:color w:val="000000" w:themeColor="text1"/>
                <w:szCs w:val="21"/>
                <w:highlight w:val="none"/>
                <w14:textFill>
                  <w14:solidFill>
                    <w14:schemeClr w14:val="tx1"/>
                  </w14:solidFill>
                </w14:textFill>
              </w:rPr>
              <w:t>）</w:t>
            </w:r>
            <w:r>
              <w:rPr>
                <w:rFonts w:ascii="微软雅黑" w:hAnsi="微软雅黑"/>
                <w:color w:val="000000" w:themeColor="text1"/>
                <w:szCs w:val="21"/>
                <w:highlight w:val="none"/>
                <w14:textFill>
                  <w14:solidFill>
                    <w14:schemeClr w14:val="tx1"/>
                  </w14:solidFill>
                </w14:textFill>
              </w:rPr>
              <w:t xml:space="preserve"> 机房场地应避免设在建筑物的顶层或地下室，否则应加强防水和防潮措施。</w:t>
            </w:r>
          </w:p>
        </w:tc>
        <w:tc>
          <w:tcPr>
            <w:tcW w:w="74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1.2</w:t>
            </w:r>
          </w:p>
        </w:tc>
        <w:tc>
          <w:tcPr>
            <w:tcW w:w="2100"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物理访问控制</w:t>
            </w:r>
          </w:p>
        </w:tc>
        <w:tc>
          <w:tcPr>
            <w:tcW w:w="6067" w:type="dxa"/>
            <w:gridSpan w:val="2"/>
            <w:shd w:val="clear" w:color="auto" w:fill="auto"/>
            <w:tcMar>
              <w:top w:w="12" w:type="dxa"/>
              <w:left w:w="12" w:type="dxa"/>
              <w:right w:w="12" w:type="dxa"/>
            </w:tcMar>
            <w:vAlign w:val="center"/>
          </w:tcPr>
          <w:p>
            <w:pP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机房出入口应配置电子门禁系统，控制、鉴别和记录进入的人员。</w:t>
            </w:r>
          </w:p>
        </w:tc>
        <w:tc>
          <w:tcPr>
            <w:tcW w:w="74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1.3</w:t>
            </w:r>
          </w:p>
        </w:tc>
        <w:tc>
          <w:tcPr>
            <w:tcW w:w="2100"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防盗窃和防破坏</w:t>
            </w:r>
          </w:p>
        </w:tc>
        <w:tc>
          <w:tcPr>
            <w:tcW w:w="6067" w:type="dxa"/>
            <w:gridSpan w:val="2"/>
            <w:shd w:val="clear" w:color="auto" w:fill="auto"/>
            <w:tcMar>
              <w:top w:w="12" w:type="dxa"/>
              <w:left w:w="12" w:type="dxa"/>
              <w:right w:w="12" w:type="dxa"/>
            </w:tcMar>
            <w:vAlign w:val="center"/>
          </w:tcPr>
          <w:p>
            <w:pPr>
              <w:snapToGrid w:val="0"/>
              <w:ind w:left="7" w:hanging="7"/>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a</w:t>
            </w:r>
            <w:r>
              <w:rPr>
                <w:rFonts w:hint="eastAsia" w:ascii="微软雅黑" w:hAnsi="微软雅黑"/>
                <w:color w:val="000000" w:themeColor="text1"/>
                <w:szCs w:val="21"/>
                <w:highlight w:val="none"/>
                <w14:textFill>
                  <w14:solidFill>
                    <w14:schemeClr w14:val="tx1"/>
                  </w14:solidFill>
                </w14:textFill>
              </w:rPr>
              <w:t>）</w:t>
            </w:r>
            <w:r>
              <w:rPr>
                <w:rFonts w:ascii="微软雅黑" w:hAnsi="微软雅黑"/>
                <w:color w:val="000000" w:themeColor="text1"/>
                <w:szCs w:val="21"/>
                <w:highlight w:val="none"/>
                <w14:textFill>
                  <w14:solidFill>
                    <w14:schemeClr w14:val="tx1"/>
                  </w14:solidFill>
                </w14:textFill>
              </w:rPr>
              <w:t xml:space="preserve"> 应将设备或主要部件进行固定，并设置明显的不易除去的标识。</w:t>
            </w:r>
          </w:p>
          <w:p>
            <w:pPr>
              <w:snapToGrid w:val="0"/>
              <w:ind w:left="567" w:hanging="567"/>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b）应将通信线缆铺设在隐蔽安全处。</w:t>
            </w:r>
          </w:p>
          <w:p>
            <w:pPr>
              <w:snapToGrid w:val="0"/>
              <w:ind w:left="7" w:hanging="7"/>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c</w:t>
            </w:r>
            <w:r>
              <w:rPr>
                <w:rFonts w:hint="eastAsia" w:ascii="微软雅黑" w:hAnsi="微软雅黑"/>
                <w:color w:val="000000" w:themeColor="text1"/>
                <w:szCs w:val="21"/>
                <w:highlight w:val="none"/>
                <w14:textFill>
                  <w14:solidFill>
                    <w14:schemeClr w14:val="tx1"/>
                  </w14:solidFill>
                </w14:textFill>
              </w:rPr>
              <w:t>）</w:t>
            </w:r>
            <w:r>
              <w:rPr>
                <w:rFonts w:ascii="微软雅黑" w:hAnsi="微软雅黑"/>
                <w:color w:val="000000" w:themeColor="text1"/>
                <w:szCs w:val="21"/>
                <w:highlight w:val="none"/>
                <w14:textFill>
                  <w14:solidFill>
                    <w14:schemeClr w14:val="tx1"/>
                  </w14:solidFill>
                </w14:textFill>
              </w:rPr>
              <w:t xml:space="preserve"> 应设置机房防盗报警系统或设置有专人值守的视频监控系统。</w:t>
            </w:r>
          </w:p>
        </w:tc>
        <w:tc>
          <w:tcPr>
            <w:tcW w:w="74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1.4</w:t>
            </w:r>
          </w:p>
        </w:tc>
        <w:tc>
          <w:tcPr>
            <w:tcW w:w="2100"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防雷击</w:t>
            </w:r>
          </w:p>
        </w:tc>
        <w:tc>
          <w:tcPr>
            <w:tcW w:w="6067" w:type="dxa"/>
            <w:gridSpan w:val="2"/>
            <w:shd w:val="clear" w:color="auto" w:fill="auto"/>
            <w:tcMar>
              <w:top w:w="12" w:type="dxa"/>
              <w:left w:w="12" w:type="dxa"/>
              <w:right w:w="12" w:type="dxa"/>
            </w:tcMar>
            <w:vAlign w:val="center"/>
          </w:tcPr>
          <w:p>
            <w:pPr>
              <w:snapToGrid w:val="0"/>
              <w:ind w:left="567" w:hanging="567"/>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a</w:t>
            </w:r>
            <w:r>
              <w:rPr>
                <w:rFonts w:hint="eastAsia" w:ascii="微软雅黑" w:hAnsi="微软雅黑"/>
                <w:color w:val="000000" w:themeColor="text1"/>
                <w:szCs w:val="21"/>
                <w:highlight w:val="none"/>
                <w14:textFill>
                  <w14:solidFill>
                    <w14:schemeClr w14:val="tx1"/>
                  </w14:solidFill>
                </w14:textFill>
              </w:rPr>
              <w:t>）</w:t>
            </w:r>
            <w:r>
              <w:rPr>
                <w:rFonts w:ascii="微软雅黑" w:hAnsi="微软雅黑"/>
                <w:color w:val="000000" w:themeColor="text1"/>
                <w:szCs w:val="21"/>
                <w:highlight w:val="none"/>
                <w14:textFill>
                  <w14:solidFill>
                    <w14:schemeClr w14:val="tx1"/>
                  </w14:solidFill>
                </w14:textFill>
              </w:rPr>
              <w:t xml:space="preserve"> 应将各类机柜、设施和设备等通过接地系统安全接地。</w:t>
            </w:r>
          </w:p>
          <w:p>
            <w:pPr>
              <w:snapToGrid w:val="0"/>
              <w:ind w:left="7" w:hanging="7"/>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b</w:t>
            </w:r>
            <w:r>
              <w:rPr>
                <w:rFonts w:hint="eastAsia" w:ascii="微软雅黑" w:hAnsi="微软雅黑"/>
                <w:color w:val="000000" w:themeColor="text1"/>
                <w:szCs w:val="21"/>
                <w:highlight w:val="none"/>
                <w14:textFill>
                  <w14:solidFill>
                    <w14:schemeClr w14:val="tx1"/>
                  </w14:solidFill>
                </w14:textFill>
              </w:rPr>
              <w:t>）</w:t>
            </w:r>
            <w:r>
              <w:rPr>
                <w:rFonts w:ascii="微软雅黑" w:hAnsi="微软雅黑"/>
                <w:color w:val="000000" w:themeColor="text1"/>
                <w:szCs w:val="21"/>
                <w:highlight w:val="none"/>
                <w14:textFill>
                  <w14:solidFill>
                    <w14:schemeClr w14:val="tx1"/>
                  </w14:solidFill>
                </w14:textFill>
              </w:rPr>
              <w:t xml:space="preserve"> 应采取措施防止感应雷，例如设置防雷保安器或过压保护装置等。</w:t>
            </w:r>
          </w:p>
        </w:tc>
        <w:tc>
          <w:tcPr>
            <w:tcW w:w="74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1.5</w:t>
            </w:r>
          </w:p>
        </w:tc>
        <w:tc>
          <w:tcPr>
            <w:tcW w:w="2100"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防火</w:t>
            </w:r>
          </w:p>
        </w:tc>
        <w:tc>
          <w:tcPr>
            <w:tcW w:w="6067" w:type="dxa"/>
            <w:gridSpan w:val="2"/>
            <w:shd w:val="clear" w:color="auto" w:fill="auto"/>
            <w:tcMar>
              <w:top w:w="12" w:type="dxa"/>
              <w:left w:w="12" w:type="dxa"/>
              <w:right w:w="12" w:type="dxa"/>
            </w:tcMar>
            <w:vAlign w:val="center"/>
          </w:tcPr>
          <w:p>
            <w:pPr>
              <w:snapToGrid w:val="0"/>
              <w:ind w:left="7" w:hanging="7"/>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a</w:t>
            </w:r>
            <w:r>
              <w:rPr>
                <w:rFonts w:hint="eastAsia" w:ascii="微软雅黑" w:hAnsi="微软雅黑"/>
                <w:color w:val="000000" w:themeColor="text1"/>
                <w:szCs w:val="21"/>
                <w:highlight w:val="none"/>
                <w14:textFill>
                  <w14:solidFill>
                    <w14:schemeClr w14:val="tx1"/>
                  </w14:solidFill>
                </w14:textFill>
              </w:rPr>
              <w:t>）</w:t>
            </w:r>
            <w:r>
              <w:rPr>
                <w:rFonts w:ascii="微软雅黑" w:hAnsi="微软雅黑"/>
                <w:color w:val="000000" w:themeColor="text1"/>
                <w:szCs w:val="21"/>
                <w:highlight w:val="none"/>
                <w14:textFill>
                  <w14:solidFill>
                    <w14:schemeClr w14:val="tx1"/>
                  </w14:solidFill>
                </w14:textFill>
              </w:rPr>
              <w:t xml:space="preserve"> 机房应设置火灾自动消防系统，能够自动检测火情、自动报警，并自动灭火。</w:t>
            </w:r>
          </w:p>
          <w:p>
            <w:pPr>
              <w:snapToGrid w:val="0"/>
              <w:ind w:left="7" w:hanging="7"/>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b</w:t>
            </w:r>
            <w:r>
              <w:rPr>
                <w:rFonts w:hint="eastAsia" w:ascii="微软雅黑" w:hAnsi="微软雅黑"/>
                <w:color w:val="000000" w:themeColor="text1"/>
                <w:szCs w:val="21"/>
                <w:highlight w:val="none"/>
                <w14:textFill>
                  <w14:solidFill>
                    <w14:schemeClr w14:val="tx1"/>
                  </w14:solidFill>
                </w14:textFill>
              </w:rPr>
              <w:t>）</w:t>
            </w:r>
            <w:r>
              <w:rPr>
                <w:rFonts w:ascii="微软雅黑" w:hAnsi="微软雅黑"/>
                <w:color w:val="000000" w:themeColor="text1"/>
                <w:szCs w:val="21"/>
                <w:highlight w:val="none"/>
                <w14:textFill>
                  <w14:solidFill>
                    <w14:schemeClr w14:val="tx1"/>
                  </w14:solidFill>
                </w14:textFill>
              </w:rPr>
              <w:t xml:space="preserve"> 机房及相关的工作房间和辅助房应采用具有耐火等级的建筑材料。</w:t>
            </w:r>
          </w:p>
          <w:p>
            <w:pPr>
              <w:snapToGrid w:val="0"/>
              <w:ind w:left="7" w:hanging="7"/>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c</w:t>
            </w:r>
            <w:r>
              <w:rPr>
                <w:rFonts w:hint="eastAsia" w:ascii="微软雅黑" w:hAnsi="微软雅黑"/>
                <w:color w:val="000000" w:themeColor="text1"/>
                <w:szCs w:val="21"/>
                <w:highlight w:val="none"/>
                <w14:textFill>
                  <w14:solidFill>
                    <w14:schemeClr w14:val="tx1"/>
                  </w14:solidFill>
                </w14:textFill>
              </w:rPr>
              <w:t>）</w:t>
            </w:r>
            <w:r>
              <w:rPr>
                <w:rFonts w:ascii="微软雅黑" w:hAnsi="微软雅黑"/>
                <w:color w:val="000000" w:themeColor="text1"/>
                <w:szCs w:val="21"/>
                <w:highlight w:val="none"/>
                <w14:textFill>
                  <w14:solidFill>
                    <w14:schemeClr w14:val="tx1"/>
                  </w14:solidFill>
                </w14:textFill>
              </w:rPr>
              <w:t xml:space="preserve"> 应对机房划分区域进行管理，区域和区域之间设置隔离防火措施。</w:t>
            </w:r>
          </w:p>
        </w:tc>
        <w:tc>
          <w:tcPr>
            <w:tcW w:w="74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1.6</w:t>
            </w:r>
          </w:p>
        </w:tc>
        <w:tc>
          <w:tcPr>
            <w:tcW w:w="2100"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防水和防潮</w:t>
            </w:r>
          </w:p>
        </w:tc>
        <w:tc>
          <w:tcPr>
            <w:tcW w:w="6067" w:type="dxa"/>
            <w:gridSpan w:val="2"/>
            <w:shd w:val="clear" w:color="auto" w:fill="auto"/>
            <w:tcMar>
              <w:top w:w="12" w:type="dxa"/>
              <w:left w:w="12" w:type="dxa"/>
              <w:right w:w="12" w:type="dxa"/>
            </w:tcMar>
            <w:vAlign w:val="center"/>
          </w:tcPr>
          <w:p>
            <w:pPr>
              <w:snapToGrid w:val="0"/>
              <w:ind w:left="567" w:hanging="567"/>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a</w:t>
            </w:r>
            <w:r>
              <w:rPr>
                <w:rFonts w:hint="eastAsia" w:ascii="微软雅黑" w:hAnsi="微软雅黑"/>
                <w:color w:val="000000" w:themeColor="text1"/>
                <w:szCs w:val="21"/>
                <w:highlight w:val="none"/>
                <w14:textFill>
                  <w14:solidFill>
                    <w14:schemeClr w14:val="tx1"/>
                  </w14:solidFill>
                </w14:textFill>
              </w:rPr>
              <w:t>）</w:t>
            </w:r>
            <w:r>
              <w:rPr>
                <w:rFonts w:ascii="微软雅黑" w:hAnsi="微软雅黑"/>
                <w:color w:val="000000" w:themeColor="text1"/>
                <w:szCs w:val="21"/>
                <w:highlight w:val="none"/>
                <w14:textFill>
                  <w14:solidFill>
                    <w14:schemeClr w14:val="tx1"/>
                  </w14:solidFill>
                </w14:textFill>
              </w:rPr>
              <w:t xml:space="preserve"> 应采取措施防止雨水通过机房窗户、屋顶和墙壁渗透。</w:t>
            </w:r>
          </w:p>
          <w:p>
            <w:pPr>
              <w:snapToGrid w:val="0"/>
              <w:ind w:left="567" w:hanging="567"/>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b</w:t>
            </w:r>
            <w:r>
              <w:rPr>
                <w:rFonts w:hint="eastAsia" w:ascii="微软雅黑" w:hAnsi="微软雅黑"/>
                <w:color w:val="000000" w:themeColor="text1"/>
                <w:szCs w:val="21"/>
                <w:highlight w:val="none"/>
                <w14:textFill>
                  <w14:solidFill>
                    <w14:schemeClr w14:val="tx1"/>
                  </w14:solidFill>
                </w14:textFill>
              </w:rPr>
              <w:t>）</w:t>
            </w:r>
            <w:r>
              <w:rPr>
                <w:rFonts w:ascii="微软雅黑" w:hAnsi="微软雅黑"/>
                <w:color w:val="000000" w:themeColor="text1"/>
                <w:szCs w:val="21"/>
                <w:highlight w:val="none"/>
                <w14:textFill>
                  <w14:solidFill>
                    <w14:schemeClr w14:val="tx1"/>
                  </w14:solidFill>
                </w14:textFill>
              </w:rPr>
              <w:t xml:space="preserve"> 应采取措施防止机房内水蒸气结露和地下积水的转移与渗透。</w:t>
            </w:r>
          </w:p>
          <w:p>
            <w:pPr>
              <w:snapToGrid w:val="0"/>
              <w:ind w:firstLine="73"/>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c</w:t>
            </w:r>
            <w:r>
              <w:rPr>
                <w:rFonts w:hint="eastAsia" w:ascii="微软雅黑" w:hAnsi="微软雅黑"/>
                <w:color w:val="000000" w:themeColor="text1"/>
                <w:szCs w:val="21"/>
                <w:highlight w:val="none"/>
                <w14:textFill>
                  <w14:solidFill>
                    <w14:schemeClr w14:val="tx1"/>
                  </w14:solidFill>
                </w14:textFill>
              </w:rPr>
              <w:t>）</w:t>
            </w:r>
            <w:r>
              <w:rPr>
                <w:rFonts w:ascii="微软雅黑" w:hAnsi="微软雅黑"/>
                <w:color w:val="000000" w:themeColor="text1"/>
                <w:szCs w:val="21"/>
                <w:highlight w:val="none"/>
                <w14:textFill>
                  <w14:solidFill>
                    <w14:schemeClr w14:val="tx1"/>
                  </w14:solidFill>
                </w14:textFill>
              </w:rPr>
              <w:t xml:space="preserve"> 应安装对水敏感的检测仪表或元件，对机房进行防水检测和报警。</w:t>
            </w:r>
          </w:p>
        </w:tc>
        <w:tc>
          <w:tcPr>
            <w:tcW w:w="74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1.7</w:t>
            </w:r>
          </w:p>
        </w:tc>
        <w:tc>
          <w:tcPr>
            <w:tcW w:w="2100"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防静电</w:t>
            </w:r>
          </w:p>
        </w:tc>
        <w:tc>
          <w:tcPr>
            <w:tcW w:w="6067" w:type="dxa"/>
            <w:gridSpan w:val="2"/>
            <w:shd w:val="clear" w:color="auto" w:fill="auto"/>
            <w:tcMar>
              <w:top w:w="12" w:type="dxa"/>
              <w:left w:w="12" w:type="dxa"/>
              <w:right w:w="12" w:type="dxa"/>
            </w:tcMar>
            <w:vAlign w:val="center"/>
          </w:tcPr>
          <w:p>
            <w:pPr>
              <w:snapToGrid w:val="0"/>
              <w:ind w:left="567" w:hanging="567"/>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a</w:t>
            </w:r>
            <w:r>
              <w:rPr>
                <w:rFonts w:hint="eastAsia" w:ascii="微软雅黑" w:hAnsi="微软雅黑"/>
                <w:color w:val="000000" w:themeColor="text1"/>
                <w:szCs w:val="21"/>
                <w:highlight w:val="none"/>
                <w14:textFill>
                  <w14:solidFill>
                    <w14:schemeClr w14:val="tx1"/>
                  </w14:solidFill>
                </w14:textFill>
              </w:rPr>
              <w:t>）</w:t>
            </w:r>
            <w:r>
              <w:rPr>
                <w:rFonts w:ascii="微软雅黑" w:hAnsi="微软雅黑"/>
                <w:color w:val="000000" w:themeColor="text1"/>
                <w:szCs w:val="21"/>
                <w:highlight w:val="none"/>
                <w14:textFill>
                  <w14:solidFill>
                    <w14:schemeClr w14:val="tx1"/>
                  </w14:solidFill>
                </w14:textFill>
              </w:rPr>
              <w:t xml:space="preserve"> 应采用防静电地板或地面并采用必要的接地防静电措施。</w:t>
            </w:r>
          </w:p>
          <w:p>
            <w:pPr>
              <w:tabs>
                <w:tab w:val="left" w:pos="420"/>
              </w:tabs>
              <w:snapToGrid w:val="0"/>
              <w:ind w:left="7" w:hanging="7"/>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b</w:t>
            </w:r>
            <w:r>
              <w:rPr>
                <w:rFonts w:hint="eastAsia" w:ascii="微软雅黑" w:hAnsi="微软雅黑"/>
                <w:color w:val="000000" w:themeColor="text1"/>
                <w:szCs w:val="21"/>
                <w:highlight w:val="none"/>
                <w14:textFill>
                  <w14:solidFill>
                    <w14:schemeClr w14:val="tx1"/>
                  </w14:solidFill>
                </w14:textFill>
              </w:rPr>
              <w:t>）</w:t>
            </w:r>
            <w:r>
              <w:rPr>
                <w:rFonts w:ascii="微软雅黑" w:hAnsi="微软雅黑"/>
                <w:color w:val="000000" w:themeColor="text1"/>
                <w:szCs w:val="21"/>
                <w:highlight w:val="none"/>
                <w14:textFill>
                  <w14:solidFill>
                    <w14:schemeClr w14:val="tx1"/>
                  </w14:solidFill>
                </w14:textFill>
              </w:rPr>
              <w:t xml:space="preserve"> 应采取措施防止静电的产生，例如采用静电消除器、佩戴防静电手环等。</w:t>
            </w:r>
          </w:p>
        </w:tc>
        <w:tc>
          <w:tcPr>
            <w:tcW w:w="74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96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1.8</w:t>
            </w:r>
          </w:p>
        </w:tc>
        <w:tc>
          <w:tcPr>
            <w:tcW w:w="2100"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温湿度控制</w:t>
            </w:r>
          </w:p>
        </w:tc>
        <w:tc>
          <w:tcPr>
            <w:tcW w:w="6067" w:type="dxa"/>
            <w:gridSpan w:val="2"/>
            <w:shd w:val="clear" w:color="auto" w:fill="auto"/>
            <w:tcMar>
              <w:top w:w="12" w:type="dxa"/>
              <w:left w:w="12" w:type="dxa"/>
              <w:right w:w="12" w:type="dxa"/>
            </w:tcMar>
            <w:vAlign w:val="center"/>
          </w:tcPr>
          <w:p>
            <w:pP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a） 应设置温、湿度自动询节设施，使机房温、湿度的变化在设备运行所允许的范围之内。</w:t>
            </w:r>
          </w:p>
        </w:tc>
        <w:tc>
          <w:tcPr>
            <w:tcW w:w="74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1.9</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电力供应</w:t>
            </w:r>
          </w:p>
        </w:tc>
        <w:tc>
          <w:tcPr>
            <w:tcW w:w="6067" w:type="dxa"/>
            <w:gridSpan w:val="2"/>
            <w:vAlign w:val="center"/>
          </w:tcPr>
          <w:p>
            <w:pPr>
              <w:snapToGrid w:val="0"/>
              <w:ind w:left="567" w:hanging="567"/>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a</w:t>
            </w:r>
            <w:r>
              <w:rPr>
                <w:rFonts w:hint="eastAsia" w:ascii="微软雅黑" w:hAnsi="微软雅黑"/>
                <w:color w:val="000000" w:themeColor="text1"/>
                <w:szCs w:val="21"/>
                <w:highlight w:val="none"/>
                <w14:textFill>
                  <w14:solidFill>
                    <w14:schemeClr w14:val="tx1"/>
                  </w14:solidFill>
                </w14:textFill>
              </w:rPr>
              <w:t>）</w:t>
            </w:r>
            <w:r>
              <w:rPr>
                <w:rFonts w:ascii="微软雅黑" w:hAnsi="微软雅黑"/>
                <w:color w:val="000000" w:themeColor="text1"/>
                <w:szCs w:val="21"/>
                <w:highlight w:val="none"/>
                <w14:textFill>
                  <w14:solidFill>
                    <w14:schemeClr w14:val="tx1"/>
                  </w14:solidFill>
                </w14:textFill>
              </w:rPr>
              <w:t xml:space="preserve"> 应在机房供电线路上配置稳压器和过电压防护设备。</w:t>
            </w:r>
          </w:p>
          <w:p>
            <w:pPr>
              <w:snapToGrid w:val="0"/>
              <w:ind w:left="7" w:hanging="7"/>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b</w:t>
            </w:r>
            <w:r>
              <w:rPr>
                <w:rFonts w:hint="eastAsia" w:ascii="微软雅黑" w:hAnsi="微软雅黑"/>
                <w:color w:val="000000" w:themeColor="text1"/>
                <w:szCs w:val="21"/>
                <w:highlight w:val="none"/>
                <w14:textFill>
                  <w14:solidFill>
                    <w14:schemeClr w14:val="tx1"/>
                  </w14:solidFill>
                </w14:textFill>
              </w:rPr>
              <w:t>）</w:t>
            </w:r>
            <w:r>
              <w:rPr>
                <w:rFonts w:ascii="微软雅黑" w:hAnsi="微软雅黑"/>
                <w:color w:val="000000" w:themeColor="text1"/>
                <w:szCs w:val="21"/>
                <w:highlight w:val="none"/>
                <w14:textFill>
                  <w14:solidFill>
                    <w14:schemeClr w14:val="tx1"/>
                  </w14:solidFill>
                </w14:textFill>
              </w:rPr>
              <w:t xml:space="preserve"> 应提供短期的备用电力供应，至少满足设备在断电情况下的正常运行要求。</w:t>
            </w:r>
          </w:p>
          <w:p>
            <w:pPr>
              <w:snapToGrid w:val="0"/>
              <w:ind w:left="567" w:hanging="567"/>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c</w:t>
            </w:r>
            <w:r>
              <w:rPr>
                <w:rFonts w:hint="eastAsia" w:ascii="微软雅黑" w:hAnsi="微软雅黑"/>
                <w:color w:val="000000" w:themeColor="text1"/>
                <w:szCs w:val="21"/>
                <w:highlight w:val="none"/>
                <w14:textFill>
                  <w14:solidFill>
                    <w14:schemeClr w14:val="tx1"/>
                  </w14:solidFill>
                </w14:textFill>
              </w:rPr>
              <w:t>）</w:t>
            </w:r>
            <w:r>
              <w:rPr>
                <w:rFonts w:ascii="微软雅黑" w:hAnsi="微软雅黑"/>
                <w:color w:val="000000" w:themeColor="text1"/>
                <w:szCs w:val="21"/>
                <w:highlight w:val="none"/>
                <w14:textFill>
                  <w14:solidFill>
                    <w14:schemeClr w14:val="tx1"/>
                  </w14:solidFill>
                </w14:textFill>
              </w:rPr>
              <w:t xml:space="preserve"> 应设置冗余或并行的电力电缆线路为计算机系统供电。</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1.10</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电磁防护</w:t>
            </w:r>
          </w:p>
        </w:tc>
        <w:tc>
          <w:tcPr>
            <w:tcW w:w="6067" w:type="dxa"/>
            <w:gridSpan w:val="2"/>
            <w:vAlign w:val="center"/>
          </w:tcPr>
          <w:p>
            <w:pPr>
              <w:snapToGrid w:val="0"/>
              <w:ind w:left="567" w:hanging="567"/>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a</w:t>
            </w:r>
            <w:r>
              <w:rPr>
                <w:rFonts w:hint="eastAsia" w:ascii="微软雅黑" w:hAnsi="微软雅黑"/>
                <w:color w:val="000000" w:themeColor="text1"/>
                <w:szCs w:val="21"/>
                <w:highlight w:val="none"/>
                <w14:textFill>
                  <w14:solidFill>
                    <w14:schemeClr w14:val="tx1"/>
                  </w14:solidFill>
                </w14:textFill>
              </w:rPr>
              <w:t>）</w:t>
            </w:r>
            <w:r>
              <w:rPr>
                <w:rFonts w:ascii="微软雅黑" w:hAnsi="微软雅黑"/>
                <w:color w:val="000000" w:themeColor="text1"/>
                <w:szCs w:val="21"/>
                <w:highlight w:val="none"/>
                <w14:textFill>
                  <w14:solidFill>
                    <w14:schemeClr w14:val="tx1"/>
                  </w14:solidFill>
                </w14:textFill>
              </w:rPr>
              <w:t xml:space="preserve"> 电源线和通信线缆应隔离铺设，避免互相干扰。</w:t>
            </w:r>
          </w:p>
          <w:p>
            <w:pPr>
              <w:snapToGrid w:val="0"/>
              <w:ind w:left="567" w:hanging="567"/>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b</w:t>
            </w:r>
            <w:r>
              <w:rPr>
                <w:rFonts w:hint="eastAsia" w:ascii="微软雅黑" w:hAnsi="微软雅黑"/>
                <w:color w:val="000000" w:themeColor="text1"/>
                <w:szCs w:val="21"/>
                <w:highlight w:val="none"/>
                <w14:textFill>
                  <w14:solidFill>
                    <w14:schemeClr w14:val="tx1"/>
                  </w14:solidFill>
                </w14:textFill>
              </w:rPr>
              <w:t>）</w:t>
            </w:r>
            <w:r>
              <w:rPr>
                <w:rFonts w:ascii="微软雅黑" w:hAnsi="微软雅黑"/>
                <w:color w:val="000000" w:themeColor="text1"/>
                <w:szCs w:val="21"/>
                <w:highlight w:val="none"/>
                <w14:textFill>
                  <w14:solidFill>
                    <w14:schemeClr w14:val="tx1"/>
                  </w14:solidFill>
                </w14:textFill>
              </w:rPr>
              <w:t xml:space="preserve"> 应对关键设备实施电磁屏蔽。</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w:t>
            </w:r>
          </w:p>
        </w:tc>
        <w:tc>
          <w:tcPr>
            <w:tcW w:w="8914" w:type="dxa"/>
            <w:gridSpan w:val="4"/>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安全通信网络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2.1</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网络架构</w:t>
            </w:r>
          </w:p>
        </w:tc>
        <w:tc>
          <w:tcPr>
            <w:tcW w:w="6067" w:type="dxa"/>
            <w:gridSpan w:val="2"/>
            <w:vAlign w:val="center"/>
          </w:tcPr>
          <w:p>
            <w:pPr>
              <w:snapToGrid w:val="0"/>
              <w:ind w:left="567" w:hanging="567"/>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a） 应保证网络设备的业务处理能力满足业务高峰期需要。</w:t>
            </w:r>
          </w:p>
          <w:p>
            <w:pPr>
              <w:snapToGrid w:val="0"/>
              <w:ind w:left="567" w:hanging="567"/>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b） 应保证网络各个部分的带宽满足业务高峰期需要。</w:t>
            </w:r>
          </w:p>
          <w:p>
            <w:pPr>
              <w:snapToGrid w:val="0"/>
              <w:ind w:left="7" w:hanging="7"/>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c） 应划分不同的网络区域，并按照方便管理和控制的原则为各网络区域分配地址。</w:t>
            </w:r>
          </w:p>
          <w:p>
            <w:pPr>
              <w:snapToGrid w:val="0"/>
              <w:ind w:left="7" w:hanging="7"/>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d） 应避免将重要网络区域部署在边界处，重要网络区域与其他网络区域之间应采取可 靠的技术隔离手段。</w:t>
            </w:r>
          </w:p>
          <w:p>
            <w:pPr>
              <w:snapToGrid w:val="0"/>
              <w:ind w:left="7" w:hanging="7"/>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e）应提供通信线路板、关健网络设备和关键计算设备的硬件冗余，保证系统的可用性。</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2.2</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通信传输</w:t>
            </w:r>
          </w:p>
        </w:tc>
        <w:tc>
          <w:tcPr>
            <w:tcW w:w="6067" w:type="dxa"/>
            <w:gridSpan w:val="2"/>
            <w:vAlign w:val="center"/>
          </w:tcPr>
          <w:p>
            <w:pPr>
              <w:snapToGrid w:val="0"/>
              <w:ind w:left="567" w:hanging="567"/>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a）应采用校验技术或密码技术保证通信过程中数据的完整性。</w:t>
            </w:r>
          </w:p>
          <w:p>
            <w:pPr>
              <w:snapToGrid w:val="0"/>
              <w:ind w:left="567" w:hanging="567"/>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b）应采用密码技术保证通信过程中数据的保密性。</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2.3</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可信验证</w:t>
            </w:r>
          </w:p>
        </w:tc>
        <w:tc>
          <w:tcPr>
            <w:tcW w:w="6067" w:type="dxa"/>
            <w:gridSpan w:val="2"/>
            <w:vAlign w:val="center"/>
          </w:tcPr>
          <w:p>
            <w:pP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可基于可信根对通信设备的系统引导程序、系统程序、重要配登参数和通信应用程序等进行可信验证，并在应用程序的关键执行环节进行动态可信验证，在检测到其可信性受到 破坏后进行报警，并将验证结果形成审计记录送至安全管理中心。</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3</w:t>
            </w:r>
          </w:p>
        </w:tc>
        <w:tc>
          <w:tcPr>
            <w:tcW w:w="8914" w:type="dxa"/>
            <w:gridSpan w:val="4"/>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安全区域边界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3.1</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边界防护</w:t>
            </w:r>
          </w:p>
        </w:tc>
        <w:tc>
          <w:tcPr>
            <w:tcW w:w="6067" w:type="dxa"/>
            <w:gridSpan w:val="2"/>
            <w:vAlign w:val="center"/>
          </w:tcPr>
          <w:p>
            <w:pPr>
              <w:snapToGrid w:val="0"/>
              <w:ind w:firstLine="73"/>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a） 应保证跨越边界的访问和数据流通过边界设备提供的受控接口进行通信。</w:t>
            </w:r>
          </w:p>
          <w:p>
            <w:pPr>
              <w:snapToGrid w:val="0"/>
              <w:ind w:left="7" w:hanging="7"/>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b） 应能够对非授权设备私自联到内部网络的行为进行检查或限制。</w:t>
            </w:r>
          </w:p>
          <w:p>
            <w:pPr>
              <w:snapToGrid w:val="0"/>
              <w:ind w:left="567" w:hanging="567"/>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c） 应能够对内部用户非授权联到外部网络的行为进行检查或限制。</w:t>
            </w:r>
          </w:p>
          <w:p>
            <w:pPr>
              <w:snapToGrid w:val="0"/>
              <w:ind w:left="7" w:hanging="7"/>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d） 应限制无线网络的使用，保证无线网络通过受控的边界设备接入内部网络。</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3.2</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访问控制</w:t>
            </w:r>
          </w:p>
        </w:tc>
        <w:tc>
          <w:tcPr>
            <w:tcW w:w="6067" w:type="dxa"/>
            <w:gridSpan w:val="2"/>
            <w:vAlign w:val="center"/>
          </w:tcPr>
          <w:p>
            <w:pPr>
              <w:snapToGrid w:val="0"/>
              <w:ind w:left="7" w:hanging="7"/>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a）应在网络边界或区域之间根据访问控制策略设置访问控制规则，默认情况下除允许通信外受控接口拒绝所有通信。</w:t>
            </w:r>
          </w:p>
          <w:p>
            <w:pPr>
              <w:snapToGrid w:val="0"/>
              <w:ind w:left="7" w:hanging="7"/>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b）应删除多余或无效的访问控制规则，优化访问控制列表，并保证访问控制规则数量最小化。</w:t>
            </w:r>
          </w:p>
          <w:p>
            <w:pPr>
              <w:snapToGrid w:val="0"/>
              <w:ind w:left="7" w:hanging="7"/>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c） 应对源地址、目的地址、源端口、目的端口和协议等进行检查，以允许／拒绝数据包进出。</w:t>
            </w:r>
          </w:p>
          <w:p>
            <w:pPr>
              <w:snapToGrid w:val="0"/>
              <w:ind w:left="7" w:hanging="7"/>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d） 应能根据会话状态信息为进出数据流提供明确的允许／拒绝访问的能力。</w:t>
            </w:r>
          </w:p>
          <w:p>
            <w:pPr>
              <w:snapToGrid w:val="0"/>
              <w:ind w:left="7" w:hanging="7"/>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e） 应对进出网络的数据流实现基于应用协议和应用内容的访问控制。</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3.3</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入侵防范</w:t>
            </w:r>
          </w:p>
        </w:tc>
        <w:tc>
          <w:tcPr>
            <w:tcW w:w="6067" w:type="dxa"/>
            <w:gridSpan w:val="2"/>
            <w:vAlign w:val="center"/>
          </w:tcPr>
          <w:p>
            <w:pPr>
              <w:tabs>
                <w:tab w:val="left" w:pos="420"/>
              </w:tabs>
              <w:snapToGrid w:val="0"/>
              <w:ind w:left="7" w:hanging="7"/>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a）应在关键网络节点处检测、防止或限制从外部发起的网络攻击行为。</w:t>
            </w:r>
          </w:p>
          <w:p>
            <w:pPr>
              <w:snapToGrid w:val="0"/>
              <w:ind w:left="7" w:hanging="7"/>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b）应在关键网络节点处检测、防止或限制从内部发起的网络攻击行为。</w:t>
            </w:r>
          </w:p>
          <w:p>
            <w:pPr>
              <w:snapToGrid w:val="0"/>
              <w:ind w:left="7" w:hanging="7"/>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c）应采取技术措施对网络行为进行分析，实现对网络攻击特别是新型网络攻击行为的分析。</w:t>
            </w:r>
          </w:p>
          <w:p>
            <w:pPr>
              <w:snapToGrid w:val="0"/>
              <w:ind w:left="7" w:hanging="7"/>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d）当检测到攻击行为时，记录攻击源 IP、攻击类型、攻击目标、攻击时间，在发生严重 入侵事件时应提供报警。</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3.4</w:t>
            </w:r>
          </w:p>
        </w:tc>
        <w:tc>
          <w:tcPr>
            <w:tcW w:w="2100" w:type="dxa"/>
            <w:vAlign w:val="center"/>
          </w:tcPr>
          <w:p>
            <w:pPr>
              <w:snapToGrid w:val="0"/>
              <w:ind w:left="7" w:hanging="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恶意代码和垃圾邮件防范</w:t>
            </w:r>
          </w:p>
        </w:tc>
        <w:tc>
          <w:tcPr>
            <w:tcW w:w="6067" w:type="dxa"/>
            <w:gridSpan w:val="2"/>
            <w:vAlign w:val="center"/>
          </w:tcPr>
          <w:p>
            <w:pPr>
              <w:snapToGrid w:val="0"/>
              <w:ind w:left="7" w:hanging="7"/>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a）应在关键网络节点处对恶意代码进行检测和清除，并维护恶意代码防护机制的升级 和更新。</w:t>
            </w:r>
          </w:p>
          <w:p>
            <w:pPr>
              <w:tabs>
                <w:tab w:val="left" w:pos="420"/>
              </w:tabs>
              <w:snapToGrid w:val="0"/>
              <w:ind w:left="7" w:hanging="7"/>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b）应在关键网络节点处对垃圾邮件进行检测和防护，并维护垃圾邮件防护机制的升级 和更新。</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3.5</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安全审计</w:t>
            </w:r>
          </w:p>
        </w:tc>
        <w:tc>
          <w:tcPr>
            <w:tcW w:w="6067" w:type="dxa"/>
            <w:gridSpan w:val="2"/>
            <w:vAlign w:val="center"/>
          </w:tcPr>
          <w:p>
            <w:pPr>
              <w:snapToGrid w:val="0"/>
              <w:ind w:left="7" w:hanging="7"/>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a）应在网络边界、重要网络节点进行安全审计，审计覆盖到每个用户，对重要的用户行 为和重要安全事件进行审计。</w:t>
            </w:r>
          </w:p>
          <w:p>
            <w:pPr>
              <w:snapToGrid w:val="0"/>
              <w:ind w:left="7" w:hanging="7"/>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b）审计记录应包括事件的日期和时间、用户、事件类型、事件是否成功及其他与审计相关的信息。</w:t>
            </w:r>
          </w:p>
          <w:p>
            <w:pPr>
              <w:tabs>
                <w:tab w:val="left" w:pos="420"/>
              </w:tabs>
              <w:snapToGrid w:val="0"/>
              <w:ind w:left="7" w:hanging="7"/>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c）应对审计记录进行保护，定期备份，避免受到未预期的删除、修改或覆盖等。</w:t>
            </w:r>
          </w:p>
          <w:p>
            <w:pPr>
              <w:snapToGrid w:val="0"/>
              <w:ind w:left="7" w:hanging="7"/>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d）应能对远程访问的用户行为、访问物联网的用户行为等单独进行行为审计和数据分析。</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3.6</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可信验证</w:t>
            </w:r>
          </w:p>
        </w:tc>
        <w:tc>
          <w:tcPr>
            <w:tcW w:w="6067" w:type="dxa"/>
            <w:gridSpan w:val="2"/>
            <w:vAlign w:val="center"/>
          </w:tcPr>
          <w:p>
            <w:pP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 xml:space="preserve">可信验证可基于可信针对边界设备的系统引导程序、系统程序、重要配置参数和边界防护应用程序进行可信验证，并在应用程序的关键执行环节进行动态可信验证，在检测到其可信性受到破坏后进行报警，并将其验证结果形成审计记录并送至安全管理中心。 </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4</w:t>
            </w:r>
          </w:p>
        </w:tc>
        <w:tc>
          <w:tcPr>
            <w:tcW w:w="8914" w:type="dxa"/>
            <w:gridSpan w:val="4"/>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安全计算环境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4.1</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身份鉴别</w:t>
            </w:r>
          </w:p>
        </w:tc>
        <w:tc>
          <w:tcPr>
            <w:tcW w:w="4483"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项</w:t>
            </w:r>
          </w:p>
        </w:tc>
        <w:tc>
          <w:tcPr>
            <w:tcW w:w="158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4</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4.2</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访问控制</w:t>
            </w:r>
          </w:p>
        </w:tc>
        <w:tc>
          <w:tcPr>
            <w:tcW w:w="4483"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项</w:t>
            </w:r>
          </w:p>
        </w:tc>
        <w:tc>
          <w:tcPr>
            <w:tcW w:w="158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7</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4.3</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安全审计</w:t>
            </w:r>
          </w:p>
        </w:tc>
        <w:tc>
          <w:tcPr>
            <w:tcW w:w="4483"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项</w:t>
            </w:r>
          </w:p>
        </w:tc>
        <w:tc>
          <w:tcPr>
            <w:tcW w:w="158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4</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4.4</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入侵防范</w:t>
            </w:r>
          </w:p>
        </w:tc>
        <w:tc>
          <w:tcPr>
            <w:tcW w:w="4483"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项</w:t>
            </w:r>
          </w:p>
        </w:tc>
        <w:tc>
          <w:tcPr>
            <w:tcW w:w="158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6</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4.5</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恶意代码防范</w:t>
            </w:r>
          </w:p>
        </w:tc>
        <w:tc>
          <w:tcPr>
            <w:tcW w:w="4483"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项</w:t>
            </w:r>
          </w:p>
        </w:tc>
        <w:tc>
          <w:tcPr>
            <w:tcW w:w="158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4.6</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可信验证</w:t>
            </w:r>
          </w:p>
        </w:tc>
        <w:tc>
          <w:tcPr>
            <w:tcW w:w="4483"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项</w:t>
            </w:r>
          </w:p>
        </w:tc>
        <w:tc>
          <w:tcPr>
            <w:tcW w:w="158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4.7</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数据完整性</w:t>
            </w:r>
          </w:p>
        </w:tc>
        <w:tc>
          <w:tcPr>
            <w:tcW w:w="4483"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项</w:t>
            </w:r>
          </w:p>
        </w:tc>
        <w:tc>
          <w:tcPr>
            <w:tcW w:w="158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4.8</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数据保密性</w:t>
            </w:r>
          </w:p>
        </w:tc>
        <w:tc>
          <w:tcPr>
            <w:tcW w:w="4483"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项</w:t>
            </w:r>
          </w:p>
        </w:tc>
        <w:tc>
          <w:tcPr>
            <w:tcW w:w="158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4.9</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数据备份恢复</w:t>
            </w:r>
          </w:p>
        </w:tc>
        <w:tc>
          <w:tcPr>
            <w:tcW w:w="4483"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项</w:t>
            </w:r>
          </w:p>
        </w:tc>
        <w:tc>
          <w:tcPr>
            <w:tcW w:w="158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3</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4.10</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剩余信息保护</w:t>
            </w:r>
          </w:p>
        </w:tc>
        <w:tc>
          <w:tcPr>
            <w:tcW w:w="4483"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项</w:t>
            </w:r>
          </w:p>
        </w:tc>
        <w:tc>
          <w:tcPr>
            <w:tcW w:w="158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4.11</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个人信息保护</w:t>
            </w:r>
          </w:p>
        </w:tc>
        <w:tc>
          <w:tcPr>
            <w:tcW w:w="4483"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项</w:t>
            </w:r>
          </w:p>
        </w:tc>
        <w:tc>
          <w:tcPr>
            <w:tcW w:w="158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5</w:t>
            </w:r>
          </w:p>
        </w:tc>
        <w:tc>
          <w:tcPr>
            <w:tcW w:w="8914" w:type="dxa"/>
            <w:gridSpan w:val="4"/>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安全管理中心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5.1</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系统管理</w:t>
            </w:r>
          </w:p>
        </w:tc>
        <w:tc>
          <w:tcPr>
            <w:tcW w:w="4483"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项</w:t>
            </w:r>
          </w:p>
        </w:tc>
        <w:tc>
          <w:tcPr>
            <w:tcW w:w="158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5.2</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审计管理</w:t>
            </w:r>
          </w:p>
        </w:tc>
        <w:tc>
          <w:tcPr>
            <w:tcW w:w="4483"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项</w:t>
            </w:r>
          </w:p>
        </w:tc>
        <w:tc>
          <w:tcPr>
            <w:tcW w:w="158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5.3</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安全管理</w:t>
            </w:r>
          </w:p>
        </w:tc>
        <w:tc>
          <w:tcPr>
            <w:tcW w:w="4483"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项</w:t>
            </w:r>
          </w:p>
        </w:tc>
        <w:tc>
          <w:tcPr>
            <w:tcW w:w="158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5.4</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集中管控</w:t>
            </w:r>
          </w:p>
        </w:tc>
        <w:tc>
          <w:tcPr>
            <w:tcW w:w="4483"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项</w:t>
            </w:r>
          </w:p>
        </w:tc>
        <w:tc>
          <w:tcPr>
            <w:tcW w:w="158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6</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6</w:t>
            </w:r>
          </w:p>
        </w:tc>
        <w:tc>
          <w:tcPr>
            <w:tcW w:w="8914" w:type="dxa"/>
            <w:gridSpan w:val="4"/>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安全管理制度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6.1</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安全策略</w:t>
            </w:r>
          </w:p>
        </w:tc>
        <w:tc>
          <w:tcPr>
            <w:tcW w:w="4483"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项</w:t>
            </w:r>
          </w:p>
        </w:tc>
        <w:tc>
          <w:tcPr>
            <w:tcW w:w="158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6.2</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管理制度</w:t>
            </w:r>
          </w:p>
        </w:tc>
        <w:tc>
          <w:tcPr>
            <w:tcW w:w="4483"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项</w:t>
            </w:r>
          </w:p>
        </w:tc>
        <w:tc>
          <w:tcPr>
            <w:tcW w:w="158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3</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6.3</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制定和发布</w:t>
            </w:r>
          </w:p>
        </w:tc>
        <w:tc>
          <w:tcPr>
            <w:tcW w:w="4483"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项</w:t>
            </w:r>
          </w:p>
        </w:tc>
        <w:tc>
          <w:tcPr>
            <w:tcW w:w="158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6.4</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评审和修订</w:t>
            </w:r>
          </w:p>
        </w:tc>
        <w:tc>
          <w:tcPr>
            <w:tcW w:w="4483"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项</w:t>
            </w:r>
          </w:p>
        </w:tc>
        <w:tc>
          <w:tcPr>
            <w:tcW w:w="158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7</w:t>
            </w:r>
          </w:p>
        </w:tc>
        <w:tc>
          <w:tcPr>
            <w:tcW w:w="8914" w:type="dxa"/>
            <w:gridSpan w:val="4"/>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安全管理机构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7.1</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岗位设置</w:t>
            </w:r>
          </w:p>
        </w:tc>
        <w:tc>
          <w:tcPr>
            <w:tcW w:w="4483"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项</w:t>
            </w:r>
          </w:p>
        </w:tc>
        <w:tc>
          <w:tcPr>
            <w:tcW w:w="158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3</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7.2</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人员配备</w:t>
            </w:r>
          </w:p>
        </w:tc>
        <w:tc>
          <w:tcPr>
            <w:tcW w:w="4483"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项</w:t>
            </w:r>
          </w:p>
        </w:tc>
        <w:tc>
          <w:tcPr>
            <w:tcW w:w="158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7.3</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授权和审批</w:t>
            </w:r>
          </w:p>
        </w:tc>
        <w:tc>
          <w:tcPr>
            <w:tcW w:w="4483"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项</w:t>
            </w:r>
          </w:p>
        </w:tc>
        <w:tc>
          <w:tcPr>
            <w:tcW w:w="158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3</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7.4</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沟通和合作</w:t>
            </w:r>
          </w:p>
        </w:tc>
        <w:tc>
          <w:tcPr>
            <w:tcW w:w="4483"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项</w:t>
            </w:r>
          </w:p>
        </w:tc>
        <w:tc>
          <w:tcPr>
            <w:tcW w:w="158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3</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7.5</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审核和检查</w:t>
            </w:r>
          </w:p>
        </w:tc>
        <w:tc>
          <w:tcPr>
            <w:tcW w:w="4483"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项</w:t>
            </w:r>
          </w:p>
        </w:tc>
        <w:tc>
          <w:tcPr>
            <w:tcW w:w="158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3</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8</w:t>
            </w:r>
          </w:p>
        </w:tc>
        <w:tc>
          <w:tcPr>
            <w:tcW w:w="8914" w:type="dxa"/>
            <w:gridSpan w:val="4"/>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安全管理人员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8.1</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人员录用</w:t>
            </w:r>
          </w:p>
        </w:tc>
        <w:tc>
          <w:tcPr>
            <w:tcW w:w="4483"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项</w:t>
            </w:r>
          </w:p>
        </w:tc>
        <w:tc>
          <w:tcPr>
            <w:tcW w:w="158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3</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8.2</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人员离岗</w:t>
            </w:r>
          </w:p>
        </w:tc>
        <w:tc>
          <w:tcPr>
            <w:tcW w:w="4483"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项</w:t>
            </w:r>
          </w:p>
        </w:tc>
        <w:tc>
          <w:tcPr>
            <w:tcW w:w="158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8.3</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安全意识教育和培训</w:t>
            </w:r>
          </w:p>
        </w:tc>
        <w:tc>
          <w:tcPr>
            <w:tcW w:w="4483"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项</w:t>
            </w:r>
          </w:p>
        </w:tc>
        <w:tc>
          <w:tcPr>
            <w:tcW w:w="158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3</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8.4</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外部人员访问管理</w:t>
            </w:r>
          </w:p>
        </w:tc>
        <w:tc>
          <w:tcPr>
            <w:tcW w:w="4483"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项</w:t>
            </w:r>
          </w:p>
        </w:tc>
        <w:tc>
          <w:tcPr>
            <w:tcW w:w="158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4</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9</w:t>
            </w:r>
          </w:p>
        </w:tc>
        <w:tc>
          <w:tcPr>
            <w:tcW w:w="8914" w:type="dxa"/>
            <w:gridSpan w:val="4"/>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安全建设管理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9.1</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定级和备案</w:t>
            </w:r>
          </w:p>
        </w:tc>
        <w:tc>
          <w:tcPr>
            <w:tcW w:w="4483"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项</w:t>
            </w:r>
          </w:p>
        </w:tc>
        <w:tc>
          <w:tcPr>
            <w:tcW w:w="158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4</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9.2</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安全方案设计</w:t>
            </w:r>
          </w:p>
        </w:tc>
        <w:tc>
          <w:tcPr>
            <w:tcW w:w="4483"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项</w:t>
            </w:r>
          </w:p>
        </w:tc>
        <w:tc>
          <w:tcPr>
            <w:tcW w:w="158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3</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9.3</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产品采购和使用</w:t>
            </w:r>
          </w:p>
        </w:tc>
        <w:tc>
          <w:tcPr>
            <w:tcW w:w="4483"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项</w:t>
            </w:r>
          </w:p>
        </w:tc>
        <w:tc>
          <w:tcPr>
            <w:tcW w:w="158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3</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9.4</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自行软件开发</w:t>
            </w:r>
          </w:p>
        </w:tc>
        <w:tc>
          <w:tcPr>
            <w:tcW w:w="4483"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项</w:t>
            </w:r>
          </w:p>
        </w:tc>
        <w:tc>
          <w:tcPr>
            <w:tcW w:w="158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7</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9.5</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外包软件开发</w:t>
            </w:r>
          </w:p>
        </w:tc>
        <w:tc>
          <w:tcPr>
            <w:tcW w:w="4483"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项</w:t>
            </w:r>
          </w:p>
        </w:tc>
        <w:tc>
          <w:tcPr>
            <w:tcW w:w="158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3</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9.6</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工程实施</w:t>
            </w:r>
          </w:p>
        </w:tc>
        <w:tc>
          <w:tcPr>
            <w:tcW w:w="4483"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项</w:t>
            </w:r>
          </w:p>
        </w:tc>
        <w:tc>
          <w:tcPr>
            <w:tcW w:w="158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3</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9.7</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测试验收</w:t>
            </w:r>
          </w:p>
        </w:tc>
        <w:tc>
          <w:tcPr>
            <w:tcW w:w="4483"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项</w:t>
            </w:r>
          </w:p>
        </w:tc>
        <w:tc>
          <w:tcPr>
            <w:tcW w:w="158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9.8</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系统交付</w:t>
            </w:r>
          </w:p>
        </w:tc>
        <w:tc>
          <w:tcPr>
            <w:tcW w:w="4483"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项</w:t>
            </w:r>
          </w:p>
        </w:tc>
        <w:tc>
          <w:tcPr>
            <w:tcW w:w="158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3</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9.9</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等级测评</w:t>
            </w:r>
          </w:p>
        </w:tc>
        <w:tc>
          <w:tcPr>
            <w:tcW w:w="4483"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项</w:t>
            </w:r>
          </w:p>
        </w:tc>
        <w:tc>
          <w:tcPr>
            <w:tcW w:w="158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3</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9.10</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服务供应商选择</w:t>
            </w:r>
          </w:p>
        </w:tc>
        <w:tc>
          <w:tcPr>
            <w:tcW w:w="4483"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项</w:t>
            </w:r>
          </w:p>
        </w:tc>
        <w:tc>
          <w:tcPr>
            <w:tcW w:w="158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3</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10</w:t>
            </w:r>
          </w:p>
        </w:tc>
        <w:tc>
          <w:tcPr>
            <w:tcW w:w="8914" w:type="dxa"/>
            <w:gridSpan w:val="4"/>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安全运维管理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10.1</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环境管理</w:t>
            </w:r>
          </w:p>
        </w:tc>
        <w:tc>
          <w:tcPr>
            <w:tcW w:w="4483"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项</w:t>
            </w:r>
          </w:p>
        </w:tc>
        <w:tc>
          <w:tcPr>
            <w:tcW w:w="158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3</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10.2</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资产管理</w:t>
            </w:r>
          </w:p>
        </w:tc>
        <w:tc>
          <w:tcPr>
            <w:tcW w:w="4483"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项</w:t>
            </w:r>
          </w:p>
        </w:tc>
        <w:tc>
          <w:tcPr>
            <w:tcW w:w="158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3</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10.3</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介质管理</w:t>
            </w:r>
          </w:p>
        </w:tc>
        <w:tc>
          <w:tcPr>
            <w:tcW w:w="4483"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项</w:t>
            </w:r>
          </w:p>
        </w:tc>
        <w:tc>
          <w:tcPr>
            <w:tcW w:w="158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10.4</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设备维护管理</w:t>
            </w:r>
          </w:p>
        </w:tc>
        <w:tc>
          <w:tcPr>
            <w:tcW w:w="4483"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项</w:t>
            </w:r>
          </w:p>
        </w:tc>
        <w:tc>
          <w:tcPr>
            <w:tcW w:w="158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4</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10.5</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漏洞和风险管理</w:t>
            </w:r>
          </w:p>
        </w:tc>
        <w:tc>
          <w:tcPr>
            <w:tcW w:w="4483"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项</w:t>
            </w:r>
          </w:p>
        </w:tc>
        <w:tc>
          <w:tcPr>
            <w:tcW w:w="158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10.6</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网络和系统安全管理</w:t>
            </w:r>
          </w:p>
        </w:tc>
        <w:tc>
          <w:tcPr>
            <w:tcW w:w="4483"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项</w:t>
            </w:r>
          </w:p>
        </w:tc>
        <w:tc>
          <w:tcPr>
            <w:tcW w:w="158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10</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10.7</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恶意代码防范管理</w:t>
            </w:r>
          </w:p>
        </w:tc>
        <w:tc>
          <w:tcPr>
            <w:tcW w:w="4483"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项</w:t>
            </w:r>
          </w:p>
        </w:tc>
        <w:tc>
          <w:tcPr>
            <w:tcW w:w="158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10.8</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配置管理</w:t>
            </w:r>
          </w:p>
        </w:tc>
        <w:tc>
          <w:tcPr>
            <w:tcW w:w="4483"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项</w:t>
            </w:r>
          </w:p>
        </w:tc>
        <w:tc>
          <w:tcPr>
            <w:tcW w:w="158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10.9</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密码管理</w:t>
            </w:r>
          </w:p>
        </w:tc>
        <w:tc>
          <w:tcPr>
            <w:tcW w:w="4483"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项</w:t>
            </w:r>
          </w:p>
        </w:tc>
        <w:tc>
          <w:tcPr>
            <w:tcW w:w="158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10.10</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变更管理</w:t>
            </w:r>
          </w:p>
        </w:tc>
        <w:tc>
          <w:tcPr>
            <w:tcW w:w="4483"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项</w:t>
            </w:r>
          </w:p>
        </w:tc>
        <w:tc>
          <w:tcPr>
            <w:tcW w:w="158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3</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10.11</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备份与恢复管理</w:t>
            </w:r>
          </w:p>
        </w:tc>
        <w:tc>
          <w:tcPr>
            <w:tcW w:w="4483"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项</w:t>
            </w:r>
          </w:p>
        </w:tc>
        <w:tc>
          <w:tcPr>
            <w:tcW w:w="158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3</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10.12</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安全事件处置</w:t>
            </w:r>
          </w:p>
        </w:tc>
        <w:tc>
          <w:tcPr>
            <w:tcW w:w="4483"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项</w:t>
            </w:r>
          </w:p>
        </w:tc>
        <w:tc>
          <w:tcPr>
            <w:tcW w:w="158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4</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10.13</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应急预案管理</w:t>
            </w:r>
          </w:p>
        </w:tc>
        <w:tc>
          <w:tcPr>
            <w:tcW w:w="4483"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项</w:t>
            </w:r>
          </w:p>
        </w:tc>
        <w:tc>
          <w:tcPr>
            <w:tcW w:w="158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4</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10.14</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外包运维管理</w:t>
            </w:r>
          </w:p>
        </w:tc>
        <w:tc>
          <w:tcPr>
            <w:tcW w:w="4483"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项</w:t>
            </w:r>
          </w:p>
        </w:tc>
        <w:tc>
          <w:tcPr>
            <w:tcW w:w="158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4</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bl>
    <w:p>
      <w:pPr>
        <w:keepNext/>
        <w:keepLines/>
        <w:spacing w:after="200"/>
        <w:outlineLvl w:val="2"/>
        <w:rPr>
          <w:rFonts w:hint="eastAsia" w:ascii="Tahoma" w:hAnsi="黑体" w:eastAsia="黑体" w:cs="Tahoma"/>
          <w:b/>
          <w:color w:val="000000" w:themeColor="text1"/>
          <w:szCs w:val="21"/>
          <w:highlight w:val="none"/>
          <w14:textFill>
            <w14:solidFill>
              <w14:schemeClr w14:val="tx1"/>
            </w14:solidFill>
          </w14:textFill>
        </w:rPr>
      </w:pPr>
    </w:p>
    <w:p>
      <w:pPr>
        <w:pStyle w:val="2"/>
        <w:rPr>
          <w:rFonts w:hint="eastAsia" w:ascii="Tahoma" w:hAnsi="黑体" w:eastAsia="黑体" w:cs="Tahoma"/>
          <w:b/>
          <w:color w:val="000000" w:themeColor="text1"/>
          <w:szCs w:val="21"/>
          <w:highlight w:val="none"/>
          <w14:textFill>
            <w14:solidFill>
              <w14:schemeClr w14:val="tx1"/>
            </w14:solidFill>
          </w14:textFill>
        </w:rPr>
      </w:pPr>
    </w:p>
    <w:p>
      <w:pPr>
        <w:pStyle w:val="2"/>
        <w:rPr>
          <w:rFonts w:hint="eastAsia" w:ascii="Tahoma" w:hAnsi="黑体" w:eastAsia="黑体" w:cs="Tahoma"/>
          <w:b/>
          <w:color w:val="000000" w:themeColor="text1"/>
          <w:szCs w:val="21"/>
          <w:highlight w:val="none"/>
          <w14:textFill>
            <w14:solidFill>
              <w14:schemeClr w14:val="tx1"/>
            </w14:solidFill>
          </w14:textFill>
        </w:rPr>
      </w:pPr>
    </w:p>
    <w:p>
      <w:pPr>
        <w:keepNext/>
        <w:keepLines/>
        <w:spacing w:after="200"/>
        <w:outlineLvl w:val="2"/>
        <w:rPr>
          <w:rFonts w:ascii="Tahoma" w:hAnsi="黑体" w:eastAsia="黑体" w:cs="Tahoma"/>
          <w:b/>
          <w:color w:val="000000" w:themeColor="text1"/>
          <w:szCs w:val="21"/>
          <w:highlight w:val="none"/>
          <w14:textFill>
            <w14:solidFill>
              <w14:schemeClr w14:val="tx1"/>
            </w14:solidFill>
          </w14:textFill>
        </w:rPr>
      </w:pPr>
      <w:r>
        <w:rPr>
          <w:rFonts w:hint="eastAsia" w:ascii="Tahoma" w:hAnsi="黑体" w:eastAsia="黑体" w:cs="Tahoma"/>
          <w:b/>
          <w:color w:val="000000" w:themeColor="text1"/>
          <w:szCs w:val="21"/>
          <w:highlight w:val="none"/>
          <w14:textFill>
            <w14:solidFill>
              <w14:schemeClr w14:val="tx1"/>
            </w14:solidFill>
          </w14:textFill>
        </w:rPr>
        <w:t>9.  120急救中心</w:t>
      </w:r>
    </w:p>
    <w:tbl>
      <w:tblPr>
        <w:tblStyle w:val="20"/>
        <w:tblW w:w="10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3"/>
        <w:gridCol w:w="2181"/>
        <w:gridCol w:w="6321"/>
        <w:gridCol w:w="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23" w:type="dxa"/>
            <w:shd w:val="clear" w:color="auto" w:fill="auto"/>
            <w:tcMar>
              <w:top w:w="12" w:type="dxa"/>
              <w:left w:w="12" w:type="dxa"/>
              <w:right w:w="12" w:type="dxa"/>
            </w:tcMar>
            <w:vAlign w:val="center"/>
          </w:tcPr>
          <w:p>
            <w:pPr>
              <w:snapToGrid w:val="0"/>
              <w:ind w:left="425" w:hanging="425"/>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序号</w:t>
            </w:r>
          </w:p>
        </w:tc>
        <w:tc>
          <w:tcPr>
            <w:tcW w:w="2181" w:type="dxa"/>
            <w:shd w:val="clear" w:color="auto" w:fill="auto"/>
            <w:tcMar>
              <w:top w:w="12" w:type="dxa"/>
              <w:left w:w="12" w:type="dxa"/>
              <w:right w:w="12" w:type="dxa"/>
            </w:tcMar>
            <w:vAlign w:val="center"/>
          </w:tcPr>
          <w:p>
            <w:pPr>
              <w:snapToGrid w:val="0"/>
              <w:ind w:left="425" w:hanging="425"/>
              <w:jc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商品名称</w:t>
            </w:r>
          </w:p>
        </w:tc>
        <w:tc>
          <w:tcPr>
            <w:tcW w:w="6321" w:type="dxa"/>
            <w:shd w:val="clear" w:color="auto" w:fill="auto"/>
            <w:tcMar>
              <w:top w:w="12" w:type="dxa"/>
              <w:left w:w="12" w:type="dxa"/>
              <w:right w:w="12" w:type="dxa"/>
            </w:tcMar>
            <w:vAlign w:val="center"/>
          </w:tcPr>
          <w:p>
            <w:pPr>
              <w:snapToGrid w:val="0"/>
              <w:jc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技术规格</w:t>
            </w:r>
          </w:p>
        </w:tc>
        <w:tc>
          <w:tcPr>
            <w:tcW w:w="752" w:type="dxa"/>
            <w:shd w:val="clear" w:color="auto" w:fill="auto"/>
            <w:tcMar>
              <w:top w:w="12" w:type="dxa"/>
              <w:left w:w="12" w:type="dxa"/>
              <w:right w:w="12" w:type="dxa"/>
            </w:tcMar>
            <w:vAlign w:val="center"/>
          </w:tcPr>
          <w:p>
            <w:pPr>
              <w:snapToGrid w:val="0"/>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23"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w:t>
            </w:r>
          </w:p>
        </w:tc>
        <w:tc>
          <w:tcPr>
            <w:tcW w:w="2181" w:type="dxa"/>
            <w:shd w:val="clear" w:color="auto" w:fill="auto"/>
            <w:tcMar>
              <w:top w:w="12" w:type="dxa"/>
              <w:left w:w="12" w:type="dxa"/>
              <w:right w:w="12" w:type="dxa"/>
            </w:tcMar>
            <w:vAlign w:val="center"/>
          </w:tcPr>
          <w:p>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液晶</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拼接屏</w:t>
            </w:r>
          </w:p>
        </w:tc>
        <w:tc>
          <w:tcPr>
            <w:tcW w:w="6321" w:type="dxa"/>
            <w:shd w:val="clear" w:color="auto" w:fill="auto"/>
            <w:tcMar>
              <w:top w:w="12" w:type="dxa"/>
              <w:left w:w="12" w:type="dxa"/>
              <w:right w:w="12" w:type="dxa"/>
            </w:tcMar>
            <w:vAlign w:val="center"/>
          </w:tcPr>
          <w:p>
            <w:pP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工业级DID超窄边液晶面板3*3</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支持1920*1080P输入高清显示；</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单屏尺寸长1213.5*宽684.3mm；</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亮度500cd/㎡</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对比度：3000:1；</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物理拼缝3.5mm；</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观看角度178度；</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色彩饱和度97%</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控制信号：RS-232</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显示模式：全屏拼接显示，支持M*N多屏组合拼接显示、分屏显示显示</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控制方式：中控拼接屏软件。</w:t>
            </w:r>
          </w:p>
        </w:tc>
        <w:tc>
          <w:tcPr>
            <w:tcW w:w="752"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23"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w:t>
            </w:r>
          </w:p>
        </w:tc>
        <w:tc>
          <w:tcPr>
            <w:tcW w:w="2181" w:type="dxa"/>
            <w:shd w:val="clear" w:color="auto" w:fill="auto"/>
            <w:tcMar>
              <w:top w:w="12" w:type="dxa"/>
              <w:left w:w="12" w:type="dxa"/>
              <w:right w:w="12" w:type="dxa"/>
            </w:tcMar>
            <w:vAlign w:val="center"/>
          </w:tcPr>
          <w:p>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LED字幕屏</w:t>
            </w:r>
          </w:p>
        </w:tc>
        <w:tc>
          <w:tcPr>
            <w:tcW w:w="6321" w:type="dxa"/>
            <w:shd w:val="clear" w:color="auto" w:fill="auto"/>
            <w:tcMar>
              <w:top w:w="12" w:type="dxa"/>
              <w:left w:w="12" w:type="dxa"/>
              <w:right w:w="12" w:type="dxa"/>
            </w:tcMar>
            <w:vAlign w:val="center"/>
          </w:tcPr>
          <w:p>
            <w:pP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约2.08个平方（3.748*0.556）</w:t>
            </w:r>
          </w:p>
        </w:tc>
        <w:tc>
          <w:tcPr>
            <w:tcW w:w="752"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23"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3</w:t>
            </w:r>
          </w:p>
        </w:tc>
        <w:tc>
          <w:tcPr>
            <w:tcW w:w="2181" w:type="dxa"/>
            <w:shd w:val="clear" w:color="auto" w:fill="auto"/>
            <w:tcMar>
              <w:top w:w="12" w:type="dxa"/>
              <w:left w:w="12" w:type="dxa"/>
              <w:right w:w="12" w:type="dxa"/>
            </w:tcMar>
            <w:vAlign w:val="center"/>
          </w:tcPr>
          <w:p>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中心概览屏</w:t>
            </w:r>
          </w:p>
        </w:tc>
        <w:tc>
          <w:tcPr>
            <w:tcW w:w="6321" w:type="dxa"/>
            <w:shd w:val="clear" w:color="auto" w:fill="auto"/>
            <w:tcMar>
              <w:top w:w="12" w:type="dxa"/>
              <w:left w:w="12" w:type="dxa"/>
              <w:right w:w="12" w:type="dxa"/>
            </w:tcMar>
            <w:vAlign w:val="center"/>
          </w:tcPr>
          <w:p>
            <w:pP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75寸4K超高清只能互联网液晶电视机</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人工智能HDR</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分辨率：（3840×2160）</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运行内存：2GB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存储内存：16GB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USB接口2个</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HDMI2.2接口3个</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全面屏</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四级能效</w:t>
            </w:r>
          </w:p>
        </w:tc>
        <w:tc>
          <w:tcPr>
            <w:tcW w:w="752"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23"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4</w:t>
            </w:r>
          </w:p>
        </w:tc>
        <w:tc>
          <w:tcPr>
            <w:tcW w:w="2181" w:type="dxa"/>
            <w:shd w:val="clear" w:color="auto" w:fill="auto"/>
            <w:tcMar>
              <w:top w:w="12" w:type="dxa"/>
              <w:left w:w="12" w:type="dxa"/>
              <w:right w:w="12" w:type="dxa"/>
            </w:tcMar>
            <w:vAlign w:val="center"/>
          </w:tcPr>
          <w:p>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机顶盒</w:t>
            </w:r>
          </w:p>
        </w:tc>
        <w:tc>
          <w:tcPr>
            <w:tcW w:w="6321" w:type="dxa"/>
            <w:shd w:val="clear" w:color="auto" w:fill="auto"/>
            <w:tcMar>
              <w:top w:w="12" w:type="dxa"/>
              <w:left w:w="12" w:type="dxa"/>
              <w:right w:w="12" w:type="dxa"/>
            </w:tcMar>
            <w:vAlign w:val="center"/>
          </w:tcPr>
          <w:p>
            <w:pP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产品类别 智能电视盒</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CPU：四核</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内存 2GB</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闪存 8GB</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操作系统 Android 6.0</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性能参数</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输出分辨率 4K（3840*2160）</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视频播放 视频解码：H.265 4K2K@60帧/秒；H.264 4K2K@30帧/秒；MPEG1/2/4、VC-1、DivX4/5可至1920*1080P@60帧/秒</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视频格式：RM、RMVB、FLV、MOV、AVI、MKV、 TS、M2TS、MP4、3GP、MPEG</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支持3D视频输出</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音频播放 视频格式：MP4，MKV，FLV，AVI，MOV，RMVB，MPEG，MPG，3GP</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音频格式：MP3、APE、Flac、AAC、Ogg</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图片格式 JPG，BMP，GIF，PNG等</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无线功能 支持，双频WiFi（2.4GHz/5GHz）</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视频接口 HDMI*2</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音频接口 AV接口</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其它接口 USB2.0*2</w:t>
            </w:r>
          </w:p>
        </w:tc>
        <w:tc>
          <w:tcPr>
            <w:tcW w:w="752"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23"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5</w:t>
            </w:r>
          </w:p>
        </w:tc>
        <w:tc>
          <w:tcPr>
            <w:tcW w:w="2181" w:type="dxa"/>
            <w:shd w:val="clear" w:color="auto" w:fill="auto"/>
            <w:tcMar>
              <w:top w:w="12" w:type="dxa"/>
              <w:left w:w="12" w:type="dxa"/>
              <w:right w:w="12" w:type="dxa"/>
            </w:tcMar>
            <w:vAlign w:val="center"/>
          </w:tcPr>
          <w:p>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音箱</w:t>
            </w:r>
          </w:p>
        </w:tc>
        <w:tc>
          <w:tcPr>
            <w:tcW w:w="6321" w:type="dxa"/>
            <w:shd w:val="clear" w:color="auto" w:fill="auto"/>
            <w:tcMar>
              <w:top w:w="12" w:type="dxa"/>
              <w:left w:w="12" w:type="dxa"/>
              <w:right w:w="12" w:type="dxa"/>
            </w:tcMar>
            <w:vAlign w:val="center"/>
          </w:tcPr>
          <w:p>
            <w:pP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调音台、音箱2只；一拖二无线话筒（主机一体）、话筒线、音箱线、机柜</w:t>
            </w:r>
          </w:p>
        </w:tc>
        <w:tc>
          <w:tcPr>
            <w:tcW w:w="752"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23"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6</w:t>
            </w:r>
          </w:p>
        </w:tc>
        <w:tc>
          <w:tcPr>
            <w:tcW w:w="2181" w:type="dxa"/>
            <w:shd w:val="clear" w:color="auto" w:fill="auto"/>
            <w:tcMar>
              <w:top w:w="12" w:type="dxa"/>
              <w:left w:w="12" w:type="dxa"/>
              <w:right w:w="12" w:type="dxa"/>
            </w:tcMar>
            <w:vAlign w:val="center"/>
          </w:tcPr>
          <w:p>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拼接屏管理电脑</w:t>
            </w:r>
          </w:p>
        </w:tc>
        <w:tc>
          <w:tcPr>
            <w:tcW w:w="6321"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I5-9500/内存8G/硬盘1T/2G独立显卡/DVD刻录/串口 支持WIN7 操作系统，23.8寸显示器 支持WIN10系统/Linux系统</w:t>
            </w:r>
          </w:p>
        </w:tc>
        <w:tc>
          <w:tcPr>
            <w:tcW w:w="752"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23"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7</w:t>
            </w:r>
          </w:p>
        </w:tc>
        <w:tc>
          <w:tcPr>
            <w:tcW w:w="2181" w:type="dxa"/>
            <w:shd w:val="clear" w:color="auto" w:fill="auto"/>
            <w:tcMar>
              <w:top w:w="12" w:type="dxa"/>
              <w:left w:w="12" w:type="dxa"/>
              <w:right w:w="12" w:type="dxa"/>
            </w:tcMar>
            <w:vAlign w:val="center"/>
          </w:tcPr>
          <w:p>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座席位显示器</w:t>
            </w:r>
          </w:p>
        </w:tc>
        <w:tc>
          <w:tcPr>
            <w:tcW w:w="6321"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34英寸，接口：DP，HDMI，USB扩展/充电，音频/耳机输出/接口：3440*1440/对比度：3000:1/3年质保/屏幕刷新率：144Hz</w:t>
            </w:r>
          </w:p>
        </w:tc>
        <w:tc>
          <w:tcPr>
            <w:tcW w:w="752"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23"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8</w:t>
            </w:r>
          </w:p>
        </w:tc>
        <w:tc>
          <w:tcPr>
            <w:tcW w:w="2181" w:type="dxa"/>
            <w:shd w:val="clear" w:color="auto" w:fill="auto"/>
            <w:tcMar>
              <w:top w:w="12" w:type="dxa"/>
              <w:left w:w="12" w:type="dxa"/>
              <w:right w:w="12" w:type="dxa"/>
            </w:tcMar>
            <w:vAlign w:val="center"/>
          </w:tcPr>
          <w:p>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座席位主机</w:t>
            </w:r>
          </w:p>
        </w:tc>
        <w:tc>
          <w:tcPr>
            <w:tcW w:w="6321"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I5-10400F/16GB/256+1TB/GTX1650  4G/W in10</w:t>
            </w:r>
          </w:p>
        </w:tc>
        <w:tc>
          <w:tcPr>
            <w:tcW w:w="752"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23"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9</w:t>
            </w:r>
          </w:p>
        </w:tc>
        <w:tc>
          <w:tcPr>
            <w:tcW w:w="2181" w:type="dxa"/>
            <w:shd w:val="clear" w:color="auto" w:fill="auto"/>
            <w:tcMar>
              <w:top w:w="12" w:type="dxa"/>
              <w:left w:w="12" w:type="dxa"/>
              <w:right w:w="12" w:type="dxa"/>
            </w:tcMar>
            <w:vAlign w:val="center"/>
          </w:tcPr>
          <w:p>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IP电话</w:t>
            </w:r>
          </w:p>
        </w:tc>
        <w:tc>
          <w:tcPr>
            <w:tcW w:w="6321"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IP话机（含耳机接口）；液晶彩屏显示；耳机接口：RJ-9/USB</w:t>
            </w:r>
          </w:p>
        </w:tc>
        <w:tc>
          <w:tcPr>
            <w:tcW w:w="752"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23"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10</w:t>
            </w:r>
          </w:p>
        </w:tc>
        <w:tc>
          <w:tcPr>
            <w:tcW w:w="2181" w:type="dxa"/>
            <w:shd w:val="clear" w:color="auto" w:fill="auto"/>
            <w:tcMar>
              <w:top w:w="12" w:type="dxa"/>
              <w:left w:w="12" w:type="dxa"/>
              <w:right w:w="12" w:type="dxa"/>
            </w:tcMar>
            <w:vAlign w:val="center"/>
          </w:tcPr>
          <w:p>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模拟线路网关</w:t>
            </w:r>
          </w:p>
        </w:tc>
        <w:tc>
          <w:tcPr>
            <w:tcW w:w="6321"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专业的语音处理芯片，具有高性能、全并发的呼叫处理能力</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支持4个FXO语音接口</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支持G.711、G.729、G.723，G.726，iLBC， AMR等编码</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支持语音、传真和POS终端接入</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网络接口：1* LAN，1* WAN, 10/100Mbps, RJ45</w:t>
            </w:r>
          </w:p>
        </w:tc>
        <w:tc>
          <w:tcPr>
            <w:tcW w:w="752"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23"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11</w:t>
            </w:r>
          </w:p>
        </w:tc>
        <w:tc>
          <w:tcPr>
            <w:tcW w:w="2181" w:type="dxa"/>
            <w:shd w:val="clear" w:color="auto" w:fill="auto"/>
            <w:tcMar>
              <w:top w:w="12" w:type="dxa"/>
              <w:left w:w="12" w:type="dxa"/>
              <w:right w:w="12" w:type="dxa"/>
            </w:tcMar>
            <w:vAlign w:val="center"/>
          </w:tcPr>
          <w:p>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交换机</w:t>
            </w:r>
          </w:p>
        </w:tc>
        <w:tc>
          <w:tcPr>
            <w:tcW w:w="6321"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S5720-28P-SI组合配置(24个10/100/1000Base-T以太网端口,4个复用的千兆Combo SFP,4个千兆SFP,含1个交流电源)</w:t>
            </w:r>
          </w:p>
        </w:tc>
        <w:tc>
          <w:tcPr>
            <w:tcW w:w="752"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23"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12</w:t>
            </w:r>
          </w:p>
        </w:tc>
        <w:tc>
          <w:tcPr>
            <w:tcW w:w="2181" w:type="dxa"/>
            <w:shd w:val="clear" w:color="auto" w:fill="auto"/>
            <w:tcMar>
              <w:top w:w="12" w:type="dxa"/>
              <w:left w:w="12" w:type="dxa"/>
              <w:right w:w="12" w:type="dxa"/>
            </w:tcMar>
            <w:vAlign w:val="center"/>
          </w:tcPr>
          <w:p>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交换机</w:t>
            </w:r>
          </w:p>
        </w:tc>
        <w:tc>
          <w:tcPr>
            <w:tcW w:w="6321"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8个千兆电无管理</w:t>
            </w:r>
          </w:p>
        </w:tc>
        <w:tc>
          <w:tcPr>
            <w:tcW w:w="752"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23"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13</w:t>
            </w:r>
          </w:p>
        </w:tc>
        <w:tc>
          <w:tcPr>
            <w:tcW w:w="2181" w:type="dxa"/>
            <w:shd w:val="clear" w:color="auto" w:fill="auto"/>
            <w:tcMar>
              <w:top w:w="12" w:type="dxa"/>
              <w:left w:w="12" w:type="dxa"/>
              <w:right w:w="12" w:type="dxa"/>
            </w:tcMar>
            <w:vAlign w:val="center"/>
          </w:tcPr>
          <w:p>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一体机</w:t>
            </w:r>
          </w:p>
        </w:tc>
        <w:tc>
          <w:tcPr>
            <w:tcW w:w="6321"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I5-10210/8G/512G/无光驱/集显/WIFI/23.8寸/W11/黑色</w:t>
            </w:r>
          </w:p>
        </w:tc>
        <w:tc>
          <w:tcPr>
            <w:tcW w:w="752"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23"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14</w:t>
            </w:r>
          </w:p>
        </w:tc>
        <w:tc>
          <w:tcPr>
            <w:tcW w:w="2181" w:type="dxa"/>
            <w:shd w:val="clear" w:color="auto" w:fill="auto"/>
            <w:tcMar>
              <w:top w:w="12" w:type="dxa"/>
              <w:left w:w="12" w:type="dxa"/>
              <w:right w:w="12" w:type="dxa"/>
            </w:tcMar>
            <w:vAlign w:val="center"/>
          </w:tcPr>
          <w:p>
            <w:pPr>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激光打印机</w:t>
            </w:r>
          </w:p>
        </w:tc>
        <w:tc>
          <w:tcPr>
            <w:tcW w:w="6321"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黑白激光网络打印机，自动双面打印：支持；幅面：A4；耗材类型：一体式硒鼓；连接方式：USB；技术类型：黑白激光</w:t>
            </w:r>
          </w:p>
        </w:tc>
        <w:tc>
          <w:tcPr>
            <w:tcW w:w="752"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23"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15</w:t>
            </w:r>
          </w:p>
        </w:tc>
        <w:tc>
          <w:tcPr>
            <w:tcW w:w="2181" w:type="dxa"/>
            <w:shd w:val="clear" w:color="auto" w:fill="auto"/>
            <w:tcMar>
              <w:top w:w="12" w:type="dxa"/>
              <w:left w:w="12" w:type="dxa"/>
              <w:right w:w="12" w:type="dxa"/>
            </w:tcMar>
            <w:vAlign w:val="center"/>
          </w:tcPr>
          <w:p>
            <w:pPr>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声光报警器</w:t>
            </w:r>
          </w:p>
        </w:tc>
        <w:tc>
          <w:tcPr>
            <w:tcW w:w="6321"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含固定支架；基本接口：USB；喇叭响度：280mA；工作温度：-20~60</w:t>
            </w:r>
          </w:p>
        </w:tc>
        <w:tc>
          <w:tcPr>
            <w:tcW w:w="752"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23"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16</w:t>
            </w:r>
          </w:p>
        </w:tc>
        <w:tc>
          <w:tcPr>
            <w:tcW w:w="2181" w:type="dxa"/>
            <w:shd w:val="clear" w:color="auto" w:fill="auto"/>
            <w:tcMar>
              <w:top w:w="12" w:type="dxa"/>
              <w:left w:w="12" w:type="dxa"/>
              <w:right w:w="12" w:type="dxa"/>
            </w:tcMar>
            <w:vAlign w:val="center"/>
          </w:tcPr>
          <w:p>
            <w:pPr>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流量卡</w:t>
            </w:r>
          </w:p>
        </w:tc>
        <w:tc>
          <w:tcPr>
            <w:tcW w:w="6321"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1主+2副（30G/月）</w:t>
            </w:r>
          </w:p>
        </w:tc>
        <w:tc>
          <w:tcPr>
            <w:tcW w:w="752"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23"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17</w:t>
            </w:r>
          </w:p>
        </w:tc>
        <w:tc>
          <w:tcPr>
            <w:tcW w:w="2181" w:type="dxa"/>
            <w:shd w:val="clear" w:color="auto" w:fill="auto"/>
            <w:tcMar>
              <w:top w:w="12" w:type="dxa"/>
              <w:left w:w="12" w:type="dxa"/>
              <w:right w:w="12" w:type="dxa"/>
            </w:tcMar>
            <w:vAlign w:val="center"/>
          </w:tcPr>
          <w:p>
            <w:pPr>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平板电脑</w:t>
            </w:r>
          </w:p>
        </w:tc>
        <w:tc>
          <w:tcPr>
            <w:tcW w:w="6321"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屏幕尺寸：8英寸以上；内存容量：≥4GB；存储容量≥64GB；网络连接：4G全网通；定位类型：北斗/GPS/带保护套</w:t>
            </w:r>
          </w:p>
        </w:tc>
        <w:tc>
          <w:tcPr>
            <w:tcW w:w="752"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23"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18</w:t>
            </w:r>
          </w:p>
        </w:tc>
        <w:tc>
          <w:tcPr>
            <w:tcW w:w="2181" w:type="dxa"/>
            <w:shd w:val="clear" w:color="auto" w:fill="auto"/>
            <w:tcMar>
              <w:top w:w="12" w:type="dxa"/>
              <w:left w:w="12" w:type="dxa"/>
              <w:right w:w="12" w:type="dxa"/>
            </w:tcMar>
            <w:vAlign w:val="center"/>
          </w:tcPr>
          <w:p>
            <w:pPr>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采集设备</w:t>
            </w:r>
          </w:p>
        </w:tc>
        <w:tc>
          <w:tcPr>
            <w:tcW w:w="6321"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内存容量：2GB</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存储容量：32GB</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网络连接：4G全网通</w:t>
            </w:r>
          </w:p>
        </w:tc>
        <w:tc>
          <w:tcPr>
            <w:tcW w:w="752"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23"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19</w:t>
            </w:r>
          </w:p>
        </w:tc>
        <w:tc>
          <w:tcPr>
            <w:tcW w:w="2181" w:type="dxa"/>
            <w:shd w:val="clear" w:color="auto" w:fill="auto"/>
            <w:tcMar>
              <w:top w:w="12" w:type="dxa"/>
              <w:left w:w="12" w:type="dxa"/>
              <w:right w:w="12" w:type="dxa"/>
            </w:tcMar>
            <w:vAlign w:val="center"/>
          </w:tcPr>
          <w:p>
            <w:pPr>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车载GPS</w:t>
            </w:r>
          </w:p>
        </w:tc>
        <w:tc>
          <w:tcPr>
            <w:tcW w:w="6321"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GPS/北斗双模</w:t>
            </w:r>
          </w:p>
        </w:tc>
        <w:tc>
          <w:tcPr>
            <w:tcW w:w="752"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23"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20</w:t>
            </w:r>
          </w:p>
        </w:tc>
        <w:tc>
          <w:tcPr>
            <w:tcW w:w="2181" w:type="dxa"/>
            <w:shd w:val="clear" w:color="auto" w:fill="auto"/>
            <w:tcMar>
              <w:top w:w="12" w:type="dxa"/>
              <w:left w:w="12" w:type="dxa"/>
              <w:right w:w="12" w:type="dxa"/>
            </w:tcMar>
            <w:vAlign w:val="center"/>
          </w:tcPr>
          <w:p>
            <w:pPr>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车辆改造费</w:t>
            </w:r>
          </w:p>
        </w:tc>
        <w:tc>
          <w:tcPr>
            <w:tcW w:w="6321"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采集设备安装，车载医疗设备对接</w:t>
            </w:r>
          </w:p>
        </w:tc>
        <w:tc>
          <w:tcPr>
            <w:tcW w:w="752"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23"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21</w:t>
            </w:r>
          </w:p>
        </w:tc>
        <w:tc>
          <w:tcPr>
            <w:tcW w:w="2181" w:type="dxa"/>
            <w:shd w:val="clear" w:color="auto" w:fill="auto"/>
            <w:tcMar>
              <w:top w:w="12" w:type="dxa"/>
              <w:left w:w="12" w:type="dxa"/>
              <w:right w:w="12" w:type="dxa"/>
            </w:tcMar>
            <w:vAlign w:val="center"/>
          </w:tcPr>
          <w:p>
            <w:pPr>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车载录像机</w:t>
            </w:r>
          </w:p>
        </w:tc>
        <w:tc>
          <w:tcPr>
            <w:tcW w:w="6321"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视频压缩标准： H.265、smart H.265 、H.264、smart H.264</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音频压缩标准： G.711A、G.711U、PCM</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存储：1个SATA接口，单硬盘最大支持2T；1个前置SD卡接口：单卡最大支持256G，本机标配1块1T硬盘</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陀螺仪：支持侧翻、撞车、急加速、急减速等事件检测并报警提示</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GPS：支持内置GPS/北斗双模，可实现定位信息的显示、编码叠加、录像记录</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3G/4G：支持内置3G/4G全网通模块，1个前置SIM卡槽</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Wi-Fi：支持内置Wi-Fi模块，可连接Wi-Fi网络</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视频输出：1路VGA、1路AV OUT、1路HDMI、1路扩展CVBS</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报警接口：9路输入(8+1，第9路兼容脉冲测试)，2路输出</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语音对讲：1路，支持车载专用话咪、车载全双工对讲终端</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USB接口：2个前置USB 2.0接口，1个后置扩展USB 2.0接口</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网口：1个前置RJ45，4个后置POE RJ45百兆自适应网口</w:t>
            </w:r>
          </w:p>
        </w:tc>
        <w:tc>
          <w:tcPr>
            <w:tcW w:w="752"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23"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22</w:t>
            </w:r>
          </w:p>
        </w:tc>
        <w:tc>
          <w:tcPr>
            <w:tcW w:w="2181" w:type="dxa"/>
            <w:shd w:val="clear" w:color="auto" w:fill="auto"/>
            <w:tcMar>
              <w:top w:w="12" w:type="dxa"/>
              <w:left w:w="12" w:type="dxa"/>
              <w:right w:w="12" w:type="dxa"/>
            </w:tcMar>
            <w:vAlign w:val="center"/>
          </w:tcPr>
          <w:p>
            <w:pPr>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车载硬盘2T</w:t>
            </w:r>
          </w:p>
        </w:tc>
        <w:tc>
          <w:tcPr>
            <w:tcW w:w="6321"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2T 2.5英寸7mm PC盘</w:t>
            </w:r>
          </w:p>
        </w:tc>
        <w:tc>
          <w:tcPr>
            <w:tcW w:w="752"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23"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23</w:t>
            </w:r>
          </w:p>
        </w:tc>
        <w:tc>
          <w:tcPr>
            <w:tcW w:w="2181" w:type="dxa"/>
            <w:shd w:val="clear" w:color="auto" w:fill="auto"/>
            <w:tcMar>
              <w:top w:w="12" w:type="dxa"/>
              <w:left w:w="12" w:type="dxa"/>
              <w:right w:w="12" w:type="dxa"/>
            </w:tcMar>
            <w:vAlign w:val="center"/>
          </w:tcPr>
          <w:p>
            <w:pPr>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车载摄像头</w:t>
            </w:r>
          </w:p>
        </w:tc>
        <w:tc>
          <w:tcPr>
            <w:tcW w:w="6321"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传感器类型1/2.8英寸CMOS；像素200万；最大分辨率1920×1080；最低照度0.002Lux(彩色模式);0.0002Lux(黑白模式);0Lux(补光灯开启)；最大补光距离20m（红外）；镜头类型定焦；镜头焦距2.8mm；通用行为分析物品遗留；物品搬移；热度图支持；周界防范绊线入侵；区域入侵；快速移动（三项均支持人车分类及精准检测）；徘徊检测；人员聚集；停车检测；人脸检测支持人脸检测；支持跟踪；支持优选；支持抓拍；支持上报最优的人脸抓图；支持人脸增强，支持人脸曝光；</w:t>
            </w:r>
          </w:p>
        </w:tc>
        <w:tc>
          <w:tcPr>
            <w:tcW w:w="752"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23"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24</w:t>
            </w:r>
          </w:p>
        </w:tc>
        <w:tc>
          <w:tcPr>
            <w:tcW w:w="2181" w:type="dxa"/>
            <w:shd w:val="clear" w:color="auto" w:fill="auto"/>
            <w:tcMar>
              <w:top w:w="12" w:type="dxa"/>
              <w:left w:w="12" w:type="dxa"/>
              <w:right w:w="12" w:type="dxa"/>
            </w:tcMar>
            <w:vAlign w:val="center"/>
          </w:tcPr>
          <w:p>
            <w:pPr>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车载对讲终端</w:t>
            </w:r>
          </w:p>
        </w:tc>
        <w:tc>
          <w:tcPr>
            <w:tcW w:w="6321"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支持全双工语音对讲</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按键数量4个</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功率小于1.5W</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自带6米线缆</w:t>
            </w:r>
          </w:p>
        </w:tc>
        <w:tc>
          <w:tcPr>
            <w:tcW w:w="752"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23"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25</w:t>
            </w:r>
          </w:p>
        </w:tc>
        <w:tc>
          <w:tcPr>
            <w:tcW w:w="2181" w:type="dxa"/>
            <w:shd w:val="clear" w:color="auto" w:fill="auto"/>
            <w:tcMar>
              <w:top w:w="12" w:type="dxa"/>
              <w:left w:w="12" w:type="dxa"/>
              <w:right w:w="12" w:type="dxa"/>
            </w:tcMar>
            <w:vAlign w:val="center"/>
          </w:tcPr>
          <w:p>
            <w:pPr>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车载监控平台</w:t>
            </w:r>
          </w:p>
        </w:tc>
        <w:tc>
          <w:tcPr>
            <w:tcW w:w="6321"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车载监控平台是一款灵活，易扩展，高可靠，更专业的视频监控软件，通过分布式扩展性能，可</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以满足中大型项目需求。除基本视频监控业务之外，车载监控平台支持车载监控、主动安全、电</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子围栏等功能，使得该平台可以广泛应用于公交，长运，货运等移动车辆使用场景。</w:t>
            </w:r>
          </w:p>
        </w:tc>
        <w:tc>
          <w:tcPr>
            <w:tcW w:w="752"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23"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26</w:t>
            </w:r>
          </w:p>
        </w:tc>
        <w:tc>
          <w:tcPr>
            <w:tcW w:w="2181" w:type="dxa"/>
            <w:shd w:val="clear" w:color="auto" w:fill="auto"/>
            <w:tcMar>
              <w:top w:w="12" w:type="dxa"/>
              <w:left w:w="12" w:type="dxa"/>
              <w:right w:w="12" w:type="dxa"/>
            </w:tcMar>
            <w:vAlign w:val="center"/>
          </w:tcPr>
          <w:p>
            <w:pPr>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平台硬件服务器</w:t>
            </w:r>
          </w:p>
        </w:tc>
        <w:tc>
          <w:tcPr>
            <w:tcW w:w="6321"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车载监控平台是移动监控的专业平台。聚焦切入道路运输、公</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交、长运等场景的安全防护，支撑场景内视频监控、电子地图、报警</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联控、智能分析及运维分析等一体化安防管控，并且是一个灵活、可</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扩展、高度可靠和强大的中心管理系统。车载监控平台采用客户端服务器架构，提供集中管理、便捷连接、多业务合作。它可以提供用</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户权限管理、设备管理、报警管理、中央存储、地图等基本功能，是一</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个专业的移动车辆管理平台。</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车载监控平台采用客户端-服务器架构，提供集中管理、便捷连</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接、多业务合作。它可以提供用户权限管理、设备管理、报警管理、中</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央存储、地图等基本功能，是一个专业的移动车辆管理平台。</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视频监控</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支持重点区域实时预览、录像回放、视频上墙及语音对讲</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等，支持第三方平台对接，支持iPhone、iPad及Android等</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多版本客户端。</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报警联控</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支持区域设备、智能规则报警管理，支持异常报警联动视</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频、录像、短信、邮件、上墙、话机及云台预置点定位。</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电子地图</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高德在线地图、光栅地图及百度地</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图等类型，支持地图化视频监控等基础动作，支持车辆历</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史轨迹查询、过车查询及定位追踪。</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统计运维</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支持设备状态、用户状态、系统状态、磁盘状态及网络状态</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实时检测、分析，支持用户系统管理、业务操作等日志记</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录。</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主动安全</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集成主动安全设备上报，报警信息、地点地图显示、报警图</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片、报警短录像一体化显示，图形化报警统计展示。</w:t>
            </w:r>
          </w:p>
        </w:tc>
        <w:tc>
          <w:tcPr>
            <w:tcW w:w="752"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23"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27</w:t>
            </w:r>
          </w:p>
        </w:tc>
        <w:tc>
          <w:tcPr>
            <w:tcW w:w="2181" w:type="dxa"/>
            <w:shd w:val="clear" w:color="auto" w:fill="auto"/>
            <w:tcMar>
              <w:top w:w="12" w:type="dxa"/>
              <w:left w:w="12" w:type="dxa"/>
              <w:right w:w="12" w:type="dxa"/>
            </w:tcMar>
            <w:vAlign w:val="center"/>
          </w:tcPr>
          <w:p>
            <w:pPr>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嵌入式高清解码器整机</w:t>
            </w:r>
          </w:p>
        </w:tc>
        <w:tc>
          <w:tcPr>
            <w:tcW w:w="6321"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支持4路本地信号采集（2路DVI-I和2路HDMI，HDMI接口最大支持4K）</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支持15路HDMI信号输出接口</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支持15路HDMI音频输出</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支持MPEG2/MPEG4/H.264/H.265/SVAC/MJPEG标准网络视频流解码</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QCIF/CIF/2CIF/HD1/D1/720P/1080P/300W/500W/600W/800W/1200W视频解码</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支持通过串口控制屏幕开关</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支持15路1200W@25fps，20路800W@30fps，40路500W @30fps，60路300W @25fps，80路1080P @30fps，180路720P@30fps视频解码H264和H265解码能力相同</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支持1/4/9/16画面分割切换</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HDMI输出接口支持3840x2160,，1920x1080,1280x1024，1280x720，1024x768五种显示分辨率</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HDMI输入接口支持,3840x2160分辨率</w:t>
            </w:r>
          </w:p>
        </w:tc>
        <w:tc>
          <w:tcPr>
            <w:tcW w:w="752"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23"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28</w:t>
            </w:r>
          </w:p>
        </w:tc>
        <w:tc>
          <w:tcPr>
            <w:tcW w:w="2181" w:type="dxa"/>
            <w:shd w:val="clear" w:color="auto" w:fill="auto"/>
            <w:tcMar>
              <w:top w:w="12" w:type="dxa"/>
              <w:left w:w="12" w:type="dxa"/>
              <w:right w:w="12" w:type="dxa"/>
            </w:tcMar>
            <w:vAlign w:val="center"/>
          </w:tcPr>
          <w:p>
            <w:pPr>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车载专用线</w:t>
            </w:r>
          </w:p>
        </w:tc>
        <w:tc>
          <w:tcPr>
            <w:tcW w:w="6321"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车载专用线-(装车取电线,3芯6.3间距孔型转3芯裸线)-黑色-4m</w:t>
            </w:r>
          </w:p>
        </w:tc>
        <w:tc>
          <w:tcPr>
            <w:tcW w:w="752"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23"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29</w:t>
            </w:r>
          </w:p>
        </w:tc>
        <w:tc>
          <w:tcPr>
            <w:tcW w:w="2181" w:type="dxa"/>
            <w:shd w:val="clear" w:color="auto" w:fill="auto"/>
            <w:tcMar>
              <w:top w:w="12" w:type="dxa"/>
              <w:left w:w="12" w:type="dxa"/>
              <w:right w:w="12" w:type="dxa"/>
            </w:tcMar>
            <w:vAlign w:val="center"/>
          </w:tcPr>
          <w:p>
            <w:pPr>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车载专用线</w:t>
            </w:r>
          </w:p>
        </w:tc>
        <w:tc>
          <w:tcPr>
            <w:tcW w:w="6321"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车载专用线B</w:t>
            </w:r>
          </w:p>
        </w:tc>
        <w:tc>
          <w:tcPr>
            <w:tcW w:w="752"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23"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30</w:t>
            </w:r>
          </w:p>
        </w:tc>
        <w:tc>
          <w:tcPr>
            <w:tcW w:w="2181" w:type="dxa"/>
            <w:shd w:val="clear" w:color="auto" w:fill="auto"/>
            <w:tcMar>
              <w:top w:w="12" w:type="dxa"/>
              <w:left w:w="12" w:type="dxa"/>
              <w:right w:w="12" w:type="dxa"/>
            </w:tcMar>
            <w:vAlign w:val="center"/>
          </w:tcPr>
          <w:p>
            <w:pPr>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装修服务</w:t>
            </w:r>
          </w:p>
        </w:tc>
        <w:tc>
          <w:tcPr>
            <w:tcW w:w="6321"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地面：瓷面防静电地板安装，含不锈钢踢脚线，铜箔条等材料；墙面处理，刷防尘漆；顶部吊顶制作；门窗处理；墙面吸声体安装，采用贴面法，做隔音处理，会议灯具及照明灯具，面积50平方米</w:t>
            </w:r>
          </w:p>
        </w:tc>
        <w:tc>
          <w:tcPr>
            <w:tcW w:w="752"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23"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31</w:t>
            </w:r>
          </w:p>
        </w:tc>
        <w:tc>
          <w:tcPr>
            <w:tcW w:w="2181" w:type="dxa"/>
            <w:vMerge w:val="restart"/>
            <w:shd w:val="clear" w:color="auto" w:fill="auto"/>
            <w:tcMar>
              <w:top w:w="12" w:type="dxa"/>
              <w:left w:w="12" w:type="dxa"/>
              <w:right w:w="12" w:type="dxa"/>
            </w:tcMar>
            <w:vAlign w:val="center"/>
          </w:tcPr>
          <w:p>
            <w:pPr>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桌椅</w:t>
            </w:r>
          </w:p>
        </w:tc>
        <w:tc>
          <w:tcPr>
            <w:tcW w:w="6321"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3个席位，包含桌椅，定做桌椅</w:t>
            </w:r>
          </w:p>
        </w:tc>
        <w:tc>
          <w:tcPr>
            <w:tcW w:w="752"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23"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32</w:t>
            </w:r>
          </w:p>
        </w:tc>
        <w:tc>
          <w:tcPr>
            <w:tcW w:w="2181" w:type="dxa"/>
            <w:vMerge w:val="continue"/>
            <w:shd w:val="clear" w:color="auto" w:fill="auto"/>
            <w:tcMar>
              <w:top w:w="12" w:type="dxa"/>
              <w:left w:w="12" w:type="dxa"/>
              <w:right w:w="12" w:type="dxa"/>
            </w:tcMar>
            <w:vAlign w:val="center"/>
          </w:tcPr>
          <w:p>
            <w:pPr>
              <w:jc w:val="center"/>
              <w:rPr>
                <w:rFonts w:ascii="宋体" w:hAnsi="宋体" w:cs="宋体"/>
                <w:color w:val="000000" w:themeColor="text1"/>
                <w:kern w:val="0"/>
                <w:szCs w:val="21"/>
                <w:highlight w:val="none"/>
                <w:lang w:bidi="ar"/>
                <w14:textFill>
                  <w14:solidFill>
                    <w14:schemeClr w14:val="tx1"/>
                  </w14:solidFill>
                </w14:textFill>
              </w:rPr>
            </w:pPr>
          </w:p>
        </w:tc>
        <w:tc>
          <w:tcPr>
            <w:tcW w:w="6321"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1长方桌，8把椅子，定做桌椅</w:t>
            </w:r>
          </w:p>
        </w:tc>
        <w:tc>
          <w:tcPr>
            <w:tcW w:w="752"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23"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33</w:t>
            </w:r>
          </w:p>
        </w:tc>
        <w:tc>
          <w:tcPr>
            <w:tcW w:w="2181" w:type="dxa"/>
            <w:shd w:val="clear" w:color="auto" w:fill="auto"/>
            <w:tcMar>
              <w:top w:w="12" w:type="dxa"/>
              <w:left w:w="12" w:type="dxa"/>
              <w:right w:w="12" w:type="dxa"/>
            </w:tcMar>
            <w:vAlign w:val="center"/>
          </w:tcPr>
          <w:p>
            <w:pPr>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空调</w:t>
            </w:r>
          </w:p>
        </w:tc>
        <w:tc>
          <w:tcPr>
            <w:tcW w:w="6321"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立柜式变频空调5P,冷暖变频</w:t>
            </w:r>
          </w:p>
        </w:tc>
        <w:tc>
          <w:tcPr>
            <w:tcW w:w="752"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23"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34</w:t>
            </w:r>
          </w:p>
        </w:tc>
        <w:tc>
          <w:tcPr>
            <w:tcW w:w="2181" w:type="dxa"/>
            <w:shd w:val="clear" w:color="auto" w:fill="auto"/>
            <w:tcMar>
              <w:top w:w="12" w:type="dxa"/>
              <w:left w:w="12" w:type="dxa"/>
              <w:right w:w="12" w:type="dxa"/>
            </w:tcMar>
            <w:vAlign w:val="center"/>
          </w:tcPr>
          <w:p>
            <w:pPr>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空调</w:t>
            </w:r>
          </w:p>
        </w:tc>
        <w:tc>
          <w:tcPr>
            <w:tcW w:w="6321"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立柜式变频空调3P,冷暖变频</w:t>
            </w:r>
          </w:p>
        </w:tc>
        <w:tc>
          <w:tcPr>
            <w:tcW w:w="752"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23"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35</w:t>
            </w:r>
          </w:p>
        </w:tc>
        <w:tc>
          <w:tcPr>
            <w:tcW w:w="2181" w:type="dxa"/>
            <w:shd w:val="clear" w:color="auto" w:fill="auto"/>
            <w:tcMar>
              <w:top w:w="12" w:type="dxa"/>
              <w:left w:w="12" w:type="dxa"/>
              <w:right w:w="12" w:type="dxa"/>
            </w:tcMar>
            <w:vAlign w:val="center"/>
          </w:tcPr>
          <w:p>
            <w:pPr>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配电箱</w:t>
            </w:r>
          </w:p>
        </w:tc>
        <w:tc>
          <w:tcPr>
            <w:tcW w:w="6321"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配电箱、UPS电池柜、阻燃铜芯电缆，含插线板3插口：3个及以上</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2插口：3个及以上</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长度：1.8米及以上</w:t>
            </w:r>
          </w:p>
        </w:tc>
        <w:tc>
          <w:tcPr>
            <w:tcW w:w="752"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23"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36</w:t>
            </w:r>
          </w:p>
        </w:tc>
        <w:tc>
          <w:tcPr>
            <w:tcW w:w="2181" w:type="dxa"/>
            <w:shd w:val="clear" w:color="auto" w:fill="auto"/>
            <w:tcMar>
              <w:top w:w="12" w:type="dxa"/>
              <w:left w:w="12" w:type="dxa"/>
              <w:right w:w="12" w:type="dxa"/>
            </w:tcMar>
            <w:vAlign w:val="center"/>
          </w:tcPr>
          <w:p>
            <w:pPr>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机柜</w:t>
            </w:r>
          </w:p>
        </w:tc>
        <w:tc>
          <w:tcPr>
            <w:tcW w:w="6321"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42U服务器机柜，外形尺寸:600*1000*2000cm,4只2”重型脚轮、4只M12支脚、1只内六角扳手，带1个8W蓝色节能灯。19"正方向安装，50个螺丝，1个PDU插座，12位国标，16A输入，10A输出，带开关带3米线机柜底座、接地铜牌、PDU供电单元</w:t>
            </w:r>
          </w:p>
        </w:tc>
        <w:tc>
          <w:tcPr>
            <w:tcW w:w="752"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23"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37</w:t>
            </w:r>
          </w:p>
        </w:tc>
        <w:tc>
          <w:tcPr>
            <w:tcW w:w="2181" w:type="dxa"/>
            <w:shd w:val="clear" w:color="auto" w:fill="auto"/>
            <w:tcMar>
              <w:top w:w="12" w:type="dxa"/>
              <w:left w:w="12" w:type="dxa"/>
              <w:right w:w="12" w:type="dxa"/>
            </w:tcMar>
            <w:vAlign w:val="center"/>
          </w:tcPr>
          <w:p>
            <w:pPr>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备用电源</w:t>
            </w:r>
          </w:p>
        </w:tc>
        <w:tc>
          <w:tcPr>
            <w:tcW w:w="6321"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1、输入输出制式：制式可调（三进三出、三进单出、单进单出）</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2、6K机头</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3、额定功率（kW）：10</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4、16节12V65AH</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5、1个电池柜，可放置16节12V65AH 蓄电池</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6、过载能力：110%负载可长期运行；125%负载15min后转旁路；150%负载1min后转旁路</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7、整机效率：高达 96%</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8、直流启动：支持</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9、尺寸（宽*深*高）（mm）：438×500×130</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10、重量（kg）：20</w:t>
            </w:r>
          </w:p>
        </w:tc>
        <w:tc>
          <w:tcPr>
            <w:tcW w:w="752"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23"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38</w:t>
            </w:r>
          </w:p>
        </w:tc>
        <w:tc>
          <w:tcPr>
            <w:tcW w:w="2181" w:type="dxa"/>
            <w:shd w:val="clear" w:color="auto" w:fill="auto"/>
            <w:tcMar>
              <w:top w:w="12" w:type="dxa"/>
              <w:left w:w="12" w:type="dxa"/>
              <w:right w:w="12" w:type="dxa"/>
            </w:tcMar>
            <w:vAlign w:val="center"/>
          </w:tcPr>
          <w:p>
            <w:pPr>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技术服务</w:t>
            </w:r>
          </w:p>
        </w:tc>
        <w:tc>
          <w:tcPr>
            <w:tcW w:w="6321"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调度会议室的网络综合布线，所需材料：配线盒、六类网线、光纤配线架、水晶头、跳线、光模块、理线架等，确保调度指挥中心的网络正常。</w:t>
            </w:r>
          </w:p>
        </w:tc>
        <w:tc>
          <w:tcPr>
            <w:tcW w:w="752"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bl>
    <w:p>
      <w:pPr>
        <w:tabs>
          <w:tab w:val="left" w:pos="900"/>
        </w:tabs>
        <w:snapToGrid w:val="0"/>
        <w:spacing w:line="264" w:lineRule="auto"/>
        <w:rPr>
          <w:rFonts w:ascii="Tahoma" w:hAnsi="黑体" w:eastAsia="黑体" w:cs="Tahoma"/>
          <w:b/>
          <w:color w:val="000000" w:themeColor="text1"/>
          <w:szCs w:val="21"/>
          <w:highlight w:val="none"/>
          <w14:textFill>
            <w14:solidFill>
              <w14:schemeClr w14:val="tx1"/>
            </w14:solidFill>
          </w14:textFill>
        </w:rPr>
      </w:pPr>
    </w:p>
    <w:p>
      <w:pPr>
        <w:tabs>
          <w:tab w:val="left" w:pos="900"/>
        </w:tabs>
        <w:snapToGrid w:val="0"/>
        <w:spacing w:line="264" w:lineRule="auto"/>
        <w:rPr>
          <w:rFonts w:ascii="Tahoma" w:hAnsi="黑体" w:eastAsia="黑体" w:cs="Tahoma"/>
          <w:b/>
          <w:bCs/>
          <w:color w:val="000000" w:themeColor="text1"/>
          <w:szCs w:val="21"/>
          <w:highlight w:val="none"/>
          <w14:textFill>
            <w14:solidFill>
              <w14:schemeClr w14:val="tx1"/>
            </w14:solidFill>
          </w14:textFill>
        </w:rPr>
      </w:pPr>
      <w:r>
        <w:rPr>
          <w:rFonts w:hint="eastAsia" w:ascii="Tahoma" w:hAnsi="黑体" w:eastAsia="黑体" w:cs="Tahoma"/>
          <w:b/>
          <w:color w:val="000000" w:themeColor="text1"/>
          <w:szCs w:val="21"/>
          <w:highlight w:val="none"/>
          <w14:textFill>
            <w14:solidFill>
              <w14:schemeClr w14:val="tx1"/>
            </w14:solidFill>
          </w14:textFill>
        </w:rPr>
        <w:t>二、软件采购</w:t>
      </w:r>
      <w:r>
        <w:rPr>
          <w:rFonts w:ascii="Tahoma" w:hAnsi="黑体" w:eastAsia="黑体" w:cs="Tahoma"/>
          <w:b/>
          <w:bCs/>
          <w:color w:val="000000" w:themeColor="text1"/>
          <w:szCs w:val="21"/>
          <w:highlight w:val="none"/>
          <w14:textFill>
            <w14:solidFill>
              <w14:schemeClr w14:val="tx1"/>
            </w14:solidFill>
          </w14:textFill>
        </w:rPr>
        <w:t>需求</w:t>
      </w:r>
      <w:r>
        <w:rPr>
          <w:rFonts w:hint="eastAsia" w:ascii="Tahoma" w:hAnsi="黑体" w:eastAsia="黑体" w:cs="Tahoma"/>
          <w:b/>
          <w:bCs/>
          <w:color w:val="000000" w:themeColor="text1"/>
          <w:szCs w:val="21"/>
          <w:highlight w:val="none"/>
          <w14:textFill>
            <w14:solidFill>
              <w14:schemeClr w14:val="tx1"/>
            </w14:solidFill>
          </w14:textFill>
        </w:rPr>
        <w:t>参数</w:t>
      </w:r>
    </w:p>
    <w:p>
      <w:pPr>
        <w:pStyle w:val="4"/>
        <w:spacing w:beforeAutospacing="0" w:after="0" w:afterAutospacing="0" w:line="348" w:lineRule="auto"/>
        <w:ind w:firstLine="643" w:firstLineChars="200"/>
        <w:rPr>
          <w:rFonts w:hint="default"/>
          <w:color w:val="000000" w:themeColor="text1"/>
          <w:highlight w:val="none"/>
          <w14:textFill>
            <w14:solidFill>
              <w14:schemeClr w14:val="tx1"/>
            </w14:solidFill>
          </w14:textFill>
        </w:rPr>
      </w:pPr>
      <w:bookmarkStart w:id="32" w:name="_Toc2381"/>
      <w:r>
        <w:rPr>
          <w:color w:val="000000" w:themeColor="text1"/>
          <w:highlight w:val="none"/>
          <w14:textFill>
            <w14:solidFill>
              <w14:schemeClr w14:val="tx1"/>
            </w14:solidFill>
          </w14:textFill>
        </w:rPr>
        <w:t>患者服务</w:t>
      </w:r>
      <w:bookmarkEnd w:id="32"/>
    </w:p>
    <w:p>
      <w:pPr>
        <w:pStyle w:val="5"/>
        <w:spacing w:beforeAutospacing="0" w:after="0" w:afterAutospacing="0" w:line="348" w:lineRule="auto"/>
        <w:ind w:firstLine="562" w:firstLineChars="200"/>
        <w:rPr>
          <w:rFonts w:hint="default"/>
          <w:color w:val="000000" w:themeColor="text1"/>
          <w:sz w:val="28"/>
          <w:szCs w:val="28"/>
          <w:highlight w:val="none"/>
          <w14:textFill>
            <w14:solidFill>
              <w14:schemeClr w14:val="tx1"/>
            </w14:solidFill>
          </w14:textFill>
        </w:rPr>
      </w:pPr>
      <w:bookmarkStart w:id="33" w:name="_Toc10745"/>
      <w:bookmarkStart w:id="34" w:name="_Toc20604"/>
      <w:r>
        <w:rPr>
          <w:color w:val="000000" w:themeColor="text1"/>
          <w:sz w:val="28"/>
          <w:szCs w:val="28"/>
          <w:highlight w:val="none"/>
          <w14:textFill>
            <w14:solidFill>
              <w14:schemeClr w14:val="tx1"/>
            </w14:solidFill>
          </w14:textFill>
        </w:rPr>
        <w:t>1.1.1门诊分诊管理系统</w:t>
      </w:r>
      <w:bookmarkEnd w:id="33"/>
      <w:bookmarkEnd w:id="34"/>
      <w:r>
        <w:rPr>
          <w:color w:val="000000" w:themeColor="text1"/>
          <w:sz w:val="28"/>
          <w:szCs w:val="28"/>
          <w:highlight w:val="none"/>
          <w14:textFill>
            <w14:solidFill>
              <w14:schemeClr w14:val="tx1"/>
            </w14:solidFill>
          </w14:textFill>
        </w:rPr>
        <w:t xml:space="preserve">  </w:t>
      </w:r>
    </w:p>
    <w:p>
      <w:pPr>
        <w:spacing w:line="348"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门诊分诊管理系统是帮助护士实现诊区分诊，让患者有序就医、轻松就医、提升医疗服务水平重要组成部分。门诊分诊管理系统适用于多种分诊场合，如门诊分诊、急诊分诊、专科分诊等，分诊模式分为诊区分诊、诊间分诊。</w:t>
      </w:r>
    </w:p>
    <w:p>
      <w:pPr>
        <w:spacing w:line="348"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功能要求：需实现门诊患者诊区分诊、诊间分诊、危急值提醒、患者体征</w:t>
      </w:r>
      <w:r>
        <w:rPr>
          <w:rFonts w:hint="eastAsia" w:ascii="宋体" w:hAnsi="宋体"/>
          <w:color w:val="000000" w:themeColor="text1"/>
          <w:highlight w:val="none"/>
          <w14:textFill>
            <w14:solidFill>
              <w14:schemeClr w14:val="tx1"/>
            </w14:solidFill>
          </w14:textFill>
        </w:rPr>
        <w:t>采集</w:t>
      </w:r>
      <w:r>
        <w:rPr>
          <w:rFonts w:ascii="宋体" w:hAnsi="宋体"/>
          <w:color w:val="000000" w:themeColor="text1"/>
          <w:highlight w:val="none"/>
          <w14:textFill>
            <w14:solidFill>
              <w14:schemeClr w14:val="tx1"/>
            </w14:solidFill>
          </w14:textFill>
        </w:rPr>
        <w:t>功能。</w:t>
      </w:r>
    </w:p>
    <w:p>
      <w:pPr>
        <w:pStyle w:val="5"/>
        <w:spacing w:beforeAutospacing="0" w:after="0" w:afterAutospacing="0" w:line="348" w:lineRule="auto"/>
        <w:ind w:firstLine="562" w:firstLineChars="200"/>
        <w:rPr>
          <w:rFonts w:hint="default"/>
          <w:color w:val="000000" w:themeColor="text1"/>
          <w:sz w:val="28"/>
          <w:szCs w:val="28"/>
          <w:highlight w:val="none"/>
          <w14:textFill>
            <w14:solidFill>
              <w14:schemeClr w14:val="tx1"/>
            </w14:solidFill>
          </w14:textFill>
        </w:rPr>
      </w:pPr>
      <w:bookmarkStart w:id="35" w:name="_Toc10069"/>
      <w:bookmarkStart w:id="36" w:name="_Toc18680"/>
      <w:r>
        <w:rPr>
          <w:color w:val="000000" w:themeColor="text1"/>
          <w:sz w:val="28"/>
          <w:szCs w:val="28"/>
          <w:highlight w:val="none"/>
          <w14:textFill>
            <w14:solidFill>
              <w14:schemeClr w14:val="tx1"/>
            </w14:solidFill>
          </w14:textFill>
        </w:rPr>
        <w:t>1.1.2医技收费管理系统</w:t>
      </w:r>
      <w:bookmarkEnd w:id="35"/>
      <w:bookmarkEnd w:id="36"/>
    </w:p>
    <w:p>
      <w:pPr>
        <w:autoSpaceDE w:val="0"/>
        <w:autoSpaceDN w:val="0"/>
        <w:adjustRightInd w:val="0"/>
        <w:spacing w:line="348" w:lineRule="auto"/>
        <w:ind w:firstLine="420" w:firstLineChars="200"/>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医技收费管理完成门诊、住院医技项目确认和确认查询，实现患者收费、确费信息的即时共享。</w:t>
      </w:r>
    </w:p>
    <w:p>
      <w:pPr>
        <w:autoSpaceDE w:val="0"/>
        <w:autoSpaceDN w:val="0"/>
        <w:adjustRightInd w:val="0"/>
        <w:spacing w:line="348" w:lineRule="auto"/>
        <w:ind w:firstLine="420" w:firstLineChars="200"/>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功能要求：实现医技确认、医技收费、医技退费、补记账、查询统计功能，支持门诊和住院。</w:t>
      </w:r>
    </w:p>
    <w:p>
      <w:pPr>
        <w:pStyle w:val="5"/>
        <w:spacing w:beforeAutospacing="0" w:after="0" w:afterAutospacing="0" w:line="348" w:lineRule="auto"/>
        <w:ind w:firstLine="562" w:firstLineChars="200"/>
        <w:rPr>
          <w:rFonts w:hint="default"/>
          <w:color w:val="000000" w:themeColor="text1"/>
          <w:sz w:val="28"/>
          <w:szCs w:val="28"/>
          <w:highlight w:val="none"/>
          <w14:textFill>
            <w14:solidFill>
              <w14:schemeClr w14:val="tx1"/>
            </w14:solidFill>
          </w14:textFill>
        </w:rPr>
      </w:pPr>
      <w:bookmarkStart w:id="37" w:name="_Toc7513"/>
      <w:bookmarkStart w:id="38" w:name="_Toc10806"/>
      <w:r>
        <w:rPr>
          <w:color w:val="000000" w:themeColor="text1"/>
          <w:sz w:val="28"/>
          <w:szCs w:val="28"/>
          <w:highlight w:val="none"/>
          <w14:textFill>
            <w14:solidFill>
              <w14:schemeClr w14:val="tx1"/>
            </w14:solidFill>
          </w14:textFill>
        </w:rPr>
        <w:t>1.1.3自助服务管理系统</w:t>
      </w:r>
      <w:bookmarkEnd w:id="37"/>
      <w:bookmarkEnd w:id="38"/>
    </w:p>
    <w:p>
      <w:pPr>
        <w:spacing w:line="348"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智能自助服务系统致力于解决医院患者就医过程长期存在的“三长一短”中的“三长”问题，努力提高医院就医环境。实现门诊住院自助全业务覆盖，提供给患者易于使用的交互界面，提供给医院管理人员集中管理、运维便捷的后台管理工具。</w:t>
      </w:r>
    </w:p>
    <w:p>
      <w:pPr>
        <w:spacing w:line="348"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功能要求：实现患者就医时使用自助机能进行门诊自助预约、挂号、缴费、查询、发卡、充值，住院自助入院登记、预交金续缴、出院结算，自助打印发票、检查检验报告、病历报告，初诊患者在自助机上实现智能导诊挂号等功能。</w:t>
      </w:r>
    </w:p>
    <w:p>
      <w:pPr>
        <w:pStyle w:val="5"/>
        <w:spacing w:beforeAutospacing="0" w:after="0" w:afterAutospacing="0" w:line="348" w:lineRule="auto"/>
        <w:ind w:firstLine="562" w:firstLineChars="200"/>
        <w:rPr>
          <w:rFonts w:hint="default"/>
          <w:color w:val="000000" w:themeColor="text1"/>
          <w:sz w:val="28"/>
          <w:szCs w:val="28"/>
          <w:highlight w:val="none"/>
          <w14:textFill>
            <w14:solidFill>
              <w14:schemeClr w14:val="tx1"/>
            </w14:solidFill>
          </w14:textFill>
        </w:rPr>
      </w:pPr>
      <w:bookmarkStart w:id="39" w:name="_Toc12144"/>
      <w:bookmarkStart w:id="40" w:name="_Toc12010"/>
      <w:r>
        <w:rPr>
          <w:color w:val="000000" w:themeColor="text1"/>
          <w:sz w:val="28"/>
          <w:szCs w:val="28"/>
          <w:highlight w:val="none"/>
          <w14:textFill>
            <w14:solidFill>
              <w14:schemeClr w14:val="tx1"/>
            </w14:solidFill>
          </w14:textFill>
        </w:rPr>
        <w:t>1.1.4床旁结算系统</w:t>
      </w:r>
      <w:bookmarkEnd w:id="39"/>
      <w:bookmarkEnd w:id="40"/>
    </w:p>
    <w:p>
      <w:pPr>
        <w:pStyle w:val="7"/>
        <w:spacing w:after="0" w:line="348" w:lineRule="auto"/>
        <w:ind w:firstLine="562" w:firstLineChars="200"/>
        <w:rPr>
          <w:rFonts w:ascii="宋体" w:hAnsi="宋体"/>
          <w:color w:val="000000" w:themeColor="text1"/>
          <w:highlight w:val="none"/>
          <w14:textFill>
            <w14:solidFill>
              <w14:schemeClr w14:val="tx1"/>
            </w14:solidFill>
          </w14:textFill>
        </w:rPr>
      </w:pPr>
      <w:bookmarkStart w:id="41" w:name="_Toc29348"/>
      <w:bookmarkStart w:id="42" w:name="_Toc10094"/>
      <w:bookmarkStart w:id="43" w:name="_Toc6838"/>
      <w:r>
        <w:rPr>
          <w:rFonts w:hint="eastAsia" w:ascii="宋体" w:hAnsi="宋体"/>
          <w:color w:val="000000" w:themeColor="text1"/>
          <w:highlight w:val="none"/>
          <w14:textFill>
            <w14:solidFill>
              <w14:schemeClr w14:val="tx1"/>
            </w14:solidFill>
          </w14:textFill>
        </w:rPr>
        <w:t>床旁腕带扫码支付</w:t>
      </w:r>
      <w:bookmarkEnd w:id="41"/>
      <w:bookmarkEnd w:id="42"/>
      <w:bookmarkEnd w:id="43"/>
    </w:p>
    <w:p>
      <w:pPr>
        <w:numPr>
          <w:ilvl w:val="0"/>
          <w:numId w:val="5"/>
        </w:numPr>
        <w:spacing w:line="348" w:lineRule="auto"/>
        <w:ind w:left="0"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为住院患者提供专属腕带住院支付二维码，住院患者只需通过手机“扫一扫”腕带上的二维码，即可自主选择充值住院预交金的金额。免去住院患者排队缴费的繁琐，便于住院患者及其家属随时随地完成住院预交金的缴纳。</w:t>
      </w:r>
    </w:p>
    <w:p>
      <w:pPr>
        <w:pStyle w:val="7"/>
        <w:spacing w:after="0" w:line="348" w:lineRule="auto"/>
        <w:ind w:firstLine="562" w:firstLineChars="200"/>
        <w:rPr>
          <w:rFonts w:ascii="宋体" w:hAnsi="宋体"/>
          <w:color w:val="000000" w:themeColor="text1"/>
          <w:highlight w:val="none"/>
          <w14:textFill>
            <w14:solidFill>
              <w14:schemeClr w14:val="tx1"/>
            </w14:solidFill>
          </w14:textFill>
        </w:rPr>
      </w:pPr>
      <w:bookmarkStart w:id="44" w:name="_Toc14843"/>
      <w:bookmarkStart w:id="45" w:name="_Toc27151"/>
      <w:bookmarkStart w:id="46" w:name="_Toc1383"/>
      <w:r>
        <w:rPr>
          <w:rFonts w:hint="eastAsia" w:ascii="宋体" w:hAnsi="宋体"/>
          <w:color w:val="000000" w:themeColor="text1"/>
          <w:highlight w:val="none"/>
          <w14:textFill>
            <w14:solidFill>
              <w14:schemeClr w14:val="tx1"/>
            </w14:solidFill>
          </w14:textFill>
        </w:rPr>
        <w:t>催款单床旁结算</w:t>
      </w:r>
      <w:bookmarkEnd w:id="44"/>
      <w:bookmarkEnd w:id="45"/>
      <w:bookmarkEnd w:id="46"/>
    </w:p>
    <w:p>
      <w:pPr>
        <w:numPr>
          <w:ilvl w:val="0"/>
          <w:numId w:val="5"/>
        </w:numPr>
        <w:spacing w:line="348" w:lineRule="auto"/>
        <w:ind w:left="0"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为住院患者催款单据上生成支付二维码，住院患者只需通过手机扫一扫催款单上的</w:t>
      </w:r>
      <w:r>
        <w:rPr>
          <w:rFonts w:hint="eastAsia" w:ascii="宋体" w:hAnsi="宋体"/>
          <w:color w:val="000000" w:themeColor="text1"/>
          <w:highlight w:val="none"/>
          <w14:textFill>
            <w14:solidFill>
              <w14:schemeClr w14:val="tx1"/>
            </w14:solidFill>
          </w14:textFill>
        </w:rPr>
        <w:t>二维码</w:t>
      </w:r>
      <w:r>
        <w:rPr>
          <w:rFonts w:ascii="宋体" w:hAnsi="宋体"/>
          <w:color w:val="000000" w:themeColor="text1"/>
          <w:highlight w:val="none"/>
          <w14:textFill>
            <w14:solidFill>
              <w14:schemeClr w14:val="tx1"/>
            </w14:solidFill>
          </w14:textFill>
        </w:rPr>
        <w:t>，即可</w:t>
      </w:r>
      <w:r>
        <w:rPr>
          <w:rFonts w:hint="eastAsia" w:ascii="宋体" w:hAnsi="宋体"/>
          <w:color w:val="000000" w:themeColor="text1"/>
          <w:highlight w:val="none"/>
          <w14:textFill>
            <w14:solidFill>
              <w14:schemeClr w14:val="tx1"/>
            </w14:solidFill>
          </w14:textFill>
        </w:rPr>
        <w:t>自主选择充值住院预交金的金额。</w:t>
      </w:r>
      <w:r>
        <w:rPr>
          <w:rFonts w:ascii="宋体" w:hAnsi="宋体"/>
          <w:color w:val="000000" w:themeColor="text1"/>
          <w:highlight w:val="none"/>
          <w14:textFill>
            <w14:solidFill>
              <w14:schemeClr w14:val="tx1"/>
            </w14:solidFill>
          </w14:textFill>
        </w:rPr>
        <w:t>免去住院患者排队缴费的繁琐，便于住院患者及其家属随时随地完成住院费用的缴纳。</w:t>
      </w:r>
    </w:p>
    <w:p>
      <w:pPr>
        <w:pStyle w:val="7"/>
        <w:spacing w:after="0" w:line="348" w:lineRule="auto"/>
        <w:ind w:firstLine="562" w:firstLineChars="200"/>
        <w:rPr>
          <w:rFonts w:ascii="宋体" w:hAnsi="宋体"/>
          <w:color w:val="000000" w:themeColor="text1"/>
          <w:highlight w:val="none"/>
          <w14:textFill>
            <w14:solidFill>
              <w14:schemeClr w14:val="tx1"/>
            </w14:solidFill>
          </w14:textFill>
        </w:rPr>
      </w:pPr>
      <w:bookmarkStart w:id="47" w:name="_Toc21414"/>
      <w:bookmarkStart w:id="48" w:name="_Toc27025"/>
      <w:bookmarkStart w:id="49" w:name="_Toc7345"/>
      <w:r>
        <w:rPr>
          <w:rFonts w:hint="eastAsia" w:ascii="宋体" w:hAnsi="宋体"/>
          <w:color w:val="000000" w:themeColor="text1"/>
          <w:highlight w:val="none"/>
          <w14:textFill>
            <w14:solidFill>
              <w14:schemeClr w14:val="tx1"/>
            </w14:solidFill>
          </w14:textFill>
        </w:rPr>
        <w:t>对账平台</w:t>
      </w:r>
      <w:bookmarkEnd w:id="47"/>
      <w:bookmarkEnd w:id="48"/>
      <w:bookmarkEnd w:id="49"/>
    </w:p>
    <w:p>
      <w:pPr>
        <w:numPr>
          <w:ilvl w:val="0"/>
          <w:numId w:val="5"/>
        </w:numPr>
        <w:spacing w:line="348" w:lineRule="auto"/>
        <w:ind w:left="0"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驾驶舱。支持微信、支付宝等支付渠道所占金额、笔数、交易金额、趋势、占比等相关数据指标统计分析。</w:t>
      </w:r>
    </w:p>
    <w:p>
      <w:pPr>
        <w:numPr>
          <w:ilvl w:val="0"/>
          <w:numId w:val="5"/>
        </w:numPr>
        <w:spacing w:line="348" w:lineRule="auto"/>
        <w:ind w:left="0"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对账总览。自动展示昨日资金对账情况，并直观显示对账结果，包括单边账、跨日账等。可提供对账数据对比情况以及昨日对账结果展示。</w:t>
      </w:r>
    </w:p>
    <w:p>
      <w:pPr>
        <w:numPr>
          <w:ilvl w:val="0"/>
          <w:numId w:val="5"/>
        </w:numPr>
        <w:spacing w:line="348" w:lineRule="auto"/>
        <w:ind w:left="0"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对账平台既可分院区，也可合并进行统计使用，统计数据均可支持导出。</w:t>
      </w:r>
    </w:p>
    <w:p>
      <w:pPr>
        <w:numPr>
          <w:ilvl w:val="0"/>
          <w:numId w:val="5"/>
        </w:numPr>
        <w:spacing w:line="348" w:lineRule="auto"/>
        <w:ind w:left="0"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对账历史查询。对历史对账记录进行查询。</w:t>
      </w:r>
    </w:p>
    <w:p>
      <w:pPr>
        <w:numPr>
          <w:ilvl w:val="0"/>
          <w:numId w:val="5"/>
        </w:numPr>
        <w:spacing w:line="348" w:lineRule="auto"/>
        <w:ind w:left="0"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交易明细查询。对HIS或第三方账单单笔交易明细详情进行查询。</w:t>
      </w:r>
    </w:p>
    <w:p>
      <w:pPr>
        <w:numPr>
          <w:ilvl w:val="0"/>
          <w:numId w:val="5"/>
        </w:numPr>
        <w:spacing w:line="348" w:lineRule="auto"/>
        <w:ind w:left="0"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单边账处理，单边账日期提醒、单边账原因说明以及单边账处理机制。能够记录对账人员最后一次对账时间、登录对账操作员、待处理单边账起始日期。</w:t>
      </w:r>
    </w:p>
    <w:p>
      <w:pPr>
        <w:numPr>
          <w:ilvl w:val="0"/>
          <w:numId w:val="5"/>
        </w:numPr>
        <w:spacing w:line="348" w:lineRule="auto"/>
        <w:ind w:left="0"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未处理单边账汇总。提供全周期的未处理单边账汇总，可进行退费、挂账操作。</w:t>
      </w:r>
    </w:p>
    <w:p>
      <w:pPr>
        <w:numPr>
          <w:ilvl w:val="0"/>
          <w:numId w:val="5"/>
        </w:numPr>
        <w:spacing w:line="348" w:lineRule="auto"/>
        <w:ind w:left="0"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单边账报表。对段时间单边账订单产生及处理金额进行汇总统计，对单边账明细进行查看导出。</w:t>
      </w:r>
    </w:p>
    <w:p>
      <w:pPr>
        <w:numPr>
          <w:ilvl w:val="0"/>
          <w:numId w:val="5"/>
        </w:numPr>
        <w:spacing w:line="348" w:lineRule="auto"/>
        <w:ind w:left="0"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第三方账单报表核对。支持对HIS账单、HIS报表进行二次核对，以此确认是否存在第三方账单金额差异。</w:t>
      </w:r>
    </w:p>
    <w:p>
      <w:pPr>
        <w:pStyle w:val="4"/>
        <w:spacing w:beforeAutospacing="0" w:after="0" w:afterAutospacing="0" w:line="348" w:lineRule="auto"/>
        <w:ind w:firstLine="643" w:firstLineChars="200"/>
        <w:rPr>
          <w:rFonts w:hint="default"/>
          <w:color w:val="000000" w:themeColor="text1"/>
          <w:highlight w:val="none"/>
          <w14:textFill>
            <w14:solidFill>
              <w14:schemeClr w14:val="tx1"/>
            </w14:solidFill>
          </w14:textFill>
        </w:rPr>
      </w:pPr>
      <w:bookmarkStart w:id="50" w:name="_Toc13708"/>
      <w:r>
        <w:rPr>
          <w:color w:val="000000" w:themeColor="text1"/>
          <w:highlight w:val="none"/>
          <w14:textFill>
            <w14:solidFill>
              <w14:schemeClr w14:val="tx1"/>
            </w14:solidFill>
          </w14:textFill>
        </w:rPr>
        <w:t>临床诊疗</w:t>
      </w:r>
      <w:bookmarkEnd w:id="50"/>
    </w:p>
    <w:p>
      <w:pPr>
        <w:pStyle w:val="5"/>
        <w:spacing w:beforeAutospacing="0" w:after="0" w:afterAutospacing="0" w:line="348" w:lineRule="auto"/>
        <w:ind w:firstLine="562" w:firstLineChars="200"/>
        <w:rPr>
          <w:rFonts w:hint="default"/>
          <w:color w:val="000000" w:themeColor="text1"/>
          <w:sz w:val="28"/>
          <w:szCs w:val="28"/>
          <w:highlight w:val="none"/>
          <w14:textFill>
            <w14:solidFill>
              <w14:schemeClr w14:val="tx1"/>
            </w14:solidFill>
          </w14:textFill>
        </w:rPr>
      </w:pPr>
      <w:bookmarkStart w:id="51" w:name="_Toc31059"/>
      <w:bookmarkStart w:id="52" w:name="_Toc343"/>
      <w:r>
        <w:rPr>
          <w:color w:val="000000" w:themeColor="text1"/>
          <w:sz w:val="28"/>
          <w:szCs w:val="28"/>
          <w:highlight w:val="none"/>
          <w14:textFill>
            <w14:solidFill>
              <w14:schemeClr w14:val="tx1"/>
            </w14:solidFill>
          </w14:textFill>
        </w:rPr>
        <w:t>1.2.1护理管理系统</w:t>
      </w:r>
      <w:bookmarkEnd w:id="51"/>
    </w:p>
    <w:p>
      <w:pPr>
        <w:spacing w:line="348" w:lineRule="auto"/>
        <w:ind w:firstLine="492" w:firstLineChars="200"/>
        <w:rPr>
          <w:rFonts w:ascii="宋体" w:hAnsi="宋体"/>
          <w:color w:val="000000" w:themeColor="text1"/>
          <w:highlight w:val="none"/>
          <w14:textFill>
            <w14:solidFill>
              <w14:schemeClr w14:val="tx1"/>
            </w14:solidFill>
          </w14:textFill>
        </w:rPr>
      </w:pPr>
      <w:r>
        <w:rPr>
          <w:rFonts w:ascii="宋体" w:hAnsi="宋体" w:cs="宋体"/>
          <w:color w:val="000000" w:themeColor="text1"/>
          <w:spacing w:val="18"/>
          <w:highlight w:val="none"/>
          <w14:textFill>
            <w14:solidFill>
              <w14:schemeClr w14:val="tx1"/>
            </w14:solidFill>
          </w14:textFill>
        </w:rPr>
        <w:t>护理</w:t>
      </w:r>
      <w:r>
        <w:rPr>
          <w:rFonts w:ascii="宋体" w:hAnsi="宋体" w:cs="宋体"/>
          <w:color w:val="000000" w:themeColor="text1"/>
          <w:spacing w:val="10"/>
          <w:highlight w:val="none"/>
          <w14:textFill>
            <w14:solidFill>
              <w14:schemeClr w14:val="tx1"/>
            </w14:solidFill>
          </w14:textFill>
        </w:rPr>
        <w:t>部</w:t>
      </w:r>
      <w:r>
        <w:rPr>
          <w:rFonts w:ascii="宋体" w:hAnsi="宋体" w:cs="宋体"/>
          <w:color w:val="000000" w:themeColor="text1"/>
          <w:spacing w:val="9"/>
          <w:highlight w:val="none"/>
          <w14:textFill>
            <w14:solidFill>
              <w14:schemeClr w14:val="tx1"/>
            </w14:solidFill>
          </w14:textFill>
        </w:rPr>
        <w:t>管理系统应通过对对全院病区护士进行综合的人力资源、绩效、质量、排班等</w:t>
      </w:r>
      <w:r>
        <w:rPr>
          <w:rFonts w:ascii="宋体" w:hAnsi="宋体" w:cs="宋体"/>
          <w:color w:val="000000" w:themeColor="text1"/>
          <w:highlight w:val="none"/>
          <w14:textFill>
            <w14:solidFill>
              <w14:schemeClr w14:val="tx1"/>
            </w14:solidFill>
          </w14:textFill>
        </w:rPr>
        <w:t xml:space="preserve"> </w:t>
      </w:r>
      <w:r>
        <w:rPr>
          <w:rFonts w:ascii="宋体" w:hAnsi="宋体" w:cs="宋体"/>
          <w:color w:val="000000" w:themeColor="text1"/>
          <w:spacing w:val="9"/>
          <w:highlight w:val="none"/>
          <w14:textFill>
            <w14:solidFill>
              <w14:schemeClr w14:val="tx1"/>
            </w14:solidFill>
          </w14:textFill>
        </w:rPr>
        <w:t>进行统一管理。主要功能应包括</w:t>
      </w:r>
      <w:r>
        <w:rPr>
          <w:rFonts w:hint="eastAsia" w:ascii="宋体" w:hAnsi="宋体" w:cs="宋体"/>
          <w:color w:val="000000" w:themeColor="text1"/>
          <w:spacing w:val="9"/>
          <w:highlight w:val="none"/>
          <w14:textFill>
            <w14:solidFill>
              <w14:schemeClr w14:val="tx1"/>
            </w14:solidFill>
          </w14:textFill>
        </w:rPr>
        <w:t>：</w:t>
      </w:r>
      <w:r>
        <w:rPr>
          <w:rFonts w:ascii="宋体" w:hAnsi="宋体" w:cs="宋体"/>
          <w:color w:val="000000" w:themeColor="text1"/>
          <w:spacing w:val="19"/>
          <w:highlight w:val="none"/>
          <w14:textFill>
            <w14:solidFill>
              <w14:schemeClr w14:val="tx1"/>
            </w14:solidFill>
          </w14:textFill>
        </w:rPr>
        <w:t>护士长手册管理</w:t>
      </w:r>
      <w:r>
        <w:rPr>
          <w:rFonts w:hint="eastAsia" w:ascii="宋体" w:hAnsi="宋体" w:cs="宋体"/>
          <w:color w:val="000000" w:themeColor="text1"/>
          <w:spacing w:val="19"/>
          <w:highlight w:val="none"/>
          <w14:textFill>
            <w14:solidFill>
              <w14:schemeClr w14:val="tx1"/>
            </w14:solidFill>
          </w14:textFill>
        </w:rPr>
        <w:t>、护理</w:t>
      </w:r>
      <w:r>
        <w:rPr>
          <w:rFonts w:ascii="宋体" w:hAnsi="宋体" w:cs="宋体"/>
          <w:color w:val="000000" w:themeColor="text1"/>
          <w:spacing w:val="21"/>
          <w:highlight w:val="none"/>
          <w14:textFill>
            <w14:solidFill>
              <w14:schemeClr w14:val="tx1"/>
            </w14:solidFill>
          </w14:textFill>
        </w:rPr>
        <w:t>质控管</w:t>
      </w:r>
      <w:r>
        <w:rPr>
          <w:rFonts w:ascii="宋体" w:hAnsi="宋体" w:cs="宋体"/>
          <w:color w:val="000000" w:themeColor="text1"/>
          <w:spacing w:val="19"/>
          <w:highlight w:val="none"/>
          <w14:textFill>
            <w14:solidFill>
              <w14:schemeClr w14:val="tx1"/>
            </w14:solidFill>
          </w14:textFill>
        </w:rPr>
        <w:t>理</w:t>
      </w:r>
      <w:r>
        <w:rPr>
          <w:rFonts w:hint="eastAsia" w:ascii="宋体" w:hAnsi="宋体" w:cs="宋体"/>
          <w:color w:val="000000" w:themeColor="text1"/>
          <w:spacing w:val="19"/>
          <w:highlight w:val="none"/>
          <w14:textFill>
            <w14:solidFill>
              <w14:schemeClr w14:val="tx1"/>
            </w14:solidFill>
          </w14:textFill>
        </w:rPr>
        <w:t>、</w:t>
      </w:r>
      <w:r>
        <w:rPr>
          <w:rFonts w:ascii="宋体" w:hAnsi="宋体" w:cs="宋体"/>
          <w:color w:val="000000" w:themeColor="text1"/>
          <w:spacing w:val="21"/>
          <w:highlight w:val="none"/>
          <w14:textFill>
            <w14:solidFill>
              <w14:schemeClr w14:val="tx1"/>
            </w14:solidFill>
          </w14:textFill>
        </w:rPr>
        <w:t>安全管</w:t>
      </w:r>
      <w:r>
        <w:rPr>
          <w:rFonts w:ascii="宋体" w:hAnsi="宋体" w:cs="宋体"/>
          <w:color w:val="000000" w:themeColor="text1"/>
          <w:spacing w:val="19"/>
          <w:highlight w:val="none"/>
          <w14:textFill>
            <w14:solidFill>
              <w14:schemeClr w14:val="tx1"/>
            </w14:solidFill>
          </w14:textFill>
        </w:rPr>
        <w:t>理</w:t>
      </w:r>
      <w:r>
        <w:rPr>
          <w:rFonts w:hint="eastAsia" w:ascii="宋体" w:hAnsi="宋体" w:cs="宋体"/>
          <w:color w:val="000000" w:themeColor="text1"/>
          <w:spacing w:val="19"/>
          <w:highlight w:val="none"/>
          <w14:textFill>
            <w14:solidFill>
              <w14:schemeClr w14:val="tx1"/>
            </w14:solidFill>
          </w14:textFill>
        </w:rPr>
        <w:t>、</w:t>
      </w:r>
      <w:r>
        <w:rPr>
          <w:rFonts w:ascii="宋体" w:hAnsi="宋体" w:cs="宋体"/>
          <w:color w:val="000000" w:themeColor="text1"/>
          <w:spacing w:val="21"/>
          <w:highlight w:val="none"/>
          <w14:textFill>
            <w14:solidFill>
              <w14:schemeClr w14:val="tx1"/>
            </w14:solidFill>
          </w14:textFill>
        </w:rPr>
        <w:t>查房管</w:t>
      </w:r>
      <w:r>
        <w:rPr>
          <w:rFonts w:ascii="宋体" w:hAnsi="宋体" w:cs="宋体"/>
          <w:color w:val="000000" w:themeColor="text1"/>
          <w:spacing w:val="19"/>
          <w:highlight w:val="none"/>
          <w14:textFill>
            <w14:solidFill>
              <w14:schemeClr w14:val="tx1"/>
            </w14:solidFill>
          </w14:textFill>
        </w:rPr>
        <w:t>理</w:t>
      </w:r>
      <w:r>
        <w:rPr>
          <w:rFonts w:hint="eastAsia" w:ascii="宋体" w:hAnsi="宋体" w:cs="宋体"/>
          <w:color w:val="000000" w:themeColor="text1"/>
          <w:spacing w:val="19"/>
          <w:highlight w:val="none"/>
          <w14:textFill>
            <w14:solidFill>
              <w14:schemeClr w14:val="tx1"/>
            </w14:solidFill>
          </w14:textFill>
        </w:rPr>
        <w:t>、</w:t>
      </w:r>
      <w:r>
        <w:rPr>
          <w:rFonts w:ascii="宋体" w:hAnsi="宋体" w:cs="宋体"/>
          <w:color w:val="000000" w:themeColor="text1"/>
          <w:spacing w:val="21"/>
          <w:highlight w:val="none"/>
          <w14:textFill>
            <w14:solidFill>
              <w14:schemeClr w14:val="tx1"/>
            </w14:solidFill>
          </w14:textFill>
        </w:rPr>
        <w:t>档案管</w:t>
      </w:r>
      <w:r>
        <w:rPr>
          <w:rFonts w:ascii="宋体" w:hAnsi="宋体" w:cs="宋体"/>
          <w:color w:val="000000" w:themeColor="text1"/>
          <w:spacing w:val="19"/>
          <w:highlight w:val="none"/>
          <w14:textFill>
            <w14:solidFill>
              <w14:schemeClr w14:val="tx1"/>
            </w14:solidFill>
          </w14:textFill>
        </w:rPr>
        <w:t>理</w:t>
      </w:r>
      <w:r>
        <w:rPr>
          <w:rFonts w:hint="eastAsia" w:ascii="宋体" w:hAnsi="宋体" w:cs="宋体"/>
          <w:color w:val="000000" w:themeColor="text1"/>
          <w:spacing w:val="19"/>
          <w:highlight w:val="none"/>
          <w14:textFill>
            <w14:solidFill>
              <w14:schemeClr w14:val="tx1"/>
            </w14:solidFill>
          </w14:textFill>
        </w:rPr>
        <w:t>、制度管理、绩效管理等。</w:t>
      </w:r>
    </w:p>
    <w:bookmarkEnd w:id="52"/>
    <w:p>
      <w:pPr>
        <w:pStyle w:val="5"/>
        <w:spacing w:beforeAutospacing="0" w:after="0" w:afterAutospacing="0" w:line="348" w:lineRule="auto"/>
        <w:ind w:firstLine="562" w:firstLineChars="200"/>
        <w:rPr>
          <w:rFonts w:hint="default"/>
          <w:color w:val="000000" w:themeColor="text1"/>
          <w:sz w:val="28"/>
          <w:szCs w:val="28"/>
          <w:highlight w:val="none"/>
          <w14:textFill>
            <w14:solidFill>
              <w14:schemeClr w14:val="tx1"/>
            </w14:solidFill>
          </w14:textFill>
        </w:rPr>
      </w:pPr>
      <w:bookmarkStart w:id="53" w:name="_Toc16897"/>
      <w:bookmarkStart w:id="54" w:name="_Toc18922"/>
      <w:r>
        <w:rPr>
          <w:color w:val="000000" w:themeColor="text1"/>
          <w:sz w:val="28"/>
          <w:szCs w:val="28"/>
          <w:highlight w:val="none"/>
          <w14:textFill>
            <w14:solidFill>
              <w14:schemeClr w14:val="tx1"/>
            </w14:solidFill>
          </w14:textFill>
        </w:rPr>
        <w:t>1.2.2护理病历信息系统</w:t>
      </w:r>
      <w:bookmarkEnd w:id="53"/>
      <w:bookmarkEnd w:id="54"/>
    </w:p>
    <w:p>
      <w:pPr>
        <w:spacing w:line="348"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护理病历信息系统需具备护理文书录入、生命体征管理、护理文书查询统计分析、护理病历阅改等功能。</w:t>
      </w:r>
    </w:p>
    <w:p>
      <w:pPr>
        <w:spacing w:line="348"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护理文书录入需具备</w:t>
      </w:r>
      <w:r>
        <w:rPr>
          <w:rFonts w:ascii="宋体" w:hAnsi="宋体"/>
          <w:color w:val="000000" w:themeColor="text1"/>
          <w:highlight w:val="none"/>
          <w14:textFill>
            <w14:solidFill>
              <w14:schemeClr w14:val="tx1"/>
            </w14:solidFill>
          </w14:textFill>
        </w:rPr>
        <w:t>一体化护理平台框架</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护理病历、病区日常、住院病历和医技报告内容功能</w:t>
      </w:r>
      <w:r>
        <w:rPr>
          <w:rFonts w:hint="eastAsia" w:ascii="宋体" w:hAnsi="宋体"/>
          <w:color w:val="000000" w:themeColor="text1"/>
          <w:highlight w:val="none"/>
          <w14:textFill>
            <w14:solidFill>
              <w14:schemeClr w14:val="tx1"/>
            </w14:solidFill>
          </w14:textFill>
        </w:rPr>
        <w:t>。</w:t>
      </w:r>
    </w:p>
    <w:p>
      <w:pPr>
        <w:spacing w:line="348"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生命体征管理需具备</w:t>
      </w:r>
      <w:r>
        <w:rPr>
          <w:rFonts w:ascii="宋体" w:hAnsi="宋体"/>
          <w:color w:val="000000" w:themeColor="text1"/>
          <w:highlight w:val="none"/>
          <w14:textFill>
            <w14:solidFill>
              <w14:schemeClr w14:val="tx1"/>
            </w14:solidFill>
          </w14:textFill>
        </w:rPr>
        <w:t>体温单的绘制和展示</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体征体征异常警示范围上下限设定功能</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根据规则查询相应待测患者列表</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范围</w:t>
      </w:r>
      <w:r>
        <w:rPr>
          <w:rFonts w:hint="eastAsia" w:ascii="宋体" w:hAnsi="宋体"/>
          <w:color w:val="000000" w:themeColor="text1"/>
          <w:highlight w:val="none"/>
          <w14:textFill>
            <w14:solidFill>
              <w14:schemeClr w14:val="tx1"/>
            </w14:solidFill>
          </w14:textFill>
        </w:rPr>
        <w:t>可</w:t>
      </w:r>
      <w:r>
        <w:rPr>
          <w:rFonts w:ascii="宋体" w:hAnsi="宋体"/>
          <w:color w:val="000000" w:themeColor="text1"/>
          <w:highlight w:val="none"/>
          <w14:textFill>
            <w14:solidFill>
              <w14:schemeClr w14:val="tx1"/>
            </w14:solidFill>
          </w14:textFill>
        </w:rPr>
        <w:t>包括：新病人、发烧患者、房颤患者、连续三天无大便患者、体重漏测</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中医体温单的录入、打印及图形展示功能</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体温单满页时提醒功能</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 xml:space="preserve"> </w:t>
      </w:r>
    </w:p>
    <w:p>
      <w:pPr>
        <w:spacing w:line="348"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护理文书查询统计分析</w:t>
      </w:r>
      <w:r>
        <w:rPr>
          <w:rFonts w:hint="eastAsia" w:ascii="宋体" w:hAnsi="宋体"/>
          <w:color w:val="000000" w:themeColor="text1"/>
          <w:highlight w:val="none"/>
          <w14:textFill>
            <w14:solidFill>
              <w14:schemeClr w14:val="tx1"/>
            </w14:solidFill>
          </w14:textFill>
        </w:rPr>
        <w:t>需具备</w:t>
      </w:r>
      <w:r>
        <w:rPr>
          <w:rFonts w:ascii="宋体" w:hAnsi="宋体"/>
          <w:color w:val="000000" w:themeColor="text1"/>
          <w:highlight w:val="none"/>
          <w14:textFill>
            <w14:solidFill>
              <w14:schemeClr w14:val="tx1"/>
            </w14:solidFill>
          </w14:textFill>
        </w:rPr>
        <w:t>压疮、跌倒、导管数量统计功能</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根据自定义条件进行查询功能</w:t>
      </w:r>
      <w:r>
        <w:rPr>
          <w:rFonts w:hint="eastAsia" w:ascii="宋体" w:hAnsi="宋体"/>
          <w:color w:val="000000" w:themeColor="text1"/>
          <w:highlight w:val="none"/>
          <w14:textFill>
            <w14:solidFill>
              <w14:schemeClr w14:val="tx1"/>
            </w14:solidFill>
          </w14:textFill>
        </w:rPr>
        <w:t>。</w:t>
      </w:r>
    </w:p>
    <w:p>
      <w:pPr>
        <w:spacing w:line="348"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护理病历阅改需具备</w:t>
      </w:r>
      <w:r>
        <w:rPr>
          <w:rFonts w:ascii="宋体" w:hAnsi="宋体"/>
          <w:color w:val="000000" w:themeColor="text1"/>
          <w:highlight w:val="none"/>
          <w14:textFill>
            <w14:solidFill>
              <w14:schemeClr w14:val="tx1"/>
            </w14:solidFill>
          </w14:textFill>
        </w:rPr>
        <w:t>护理部主任、科护士长、病区护士长病历阅改、并记录修改痕迹功能</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护理部主任、科护士长、病区护士长查看护理病历、医嘱、住院病历、医技报告信息，辅助进行病历阅改功能</w:t>
      </w:r>
      <w:r>
        <w:rPr>
          <w:rFonts w:hint="eastAsia" w:ascii="宋体" w:hAnsi="宋体"/>
          <w:color w:val="000000" w:themeColor="text1"/>
          <w:highlight w:val="none"/>
          <w14:textFill>
            <w14:solidFill>
              <w14:schemeClr w14:val="tx1"/>
            </w14:solidFill>
          </w14:textFill>
        </w:rPr>
        <w:t>。</w:t>
      </w:r>
    </w:p>
    <w:p>
      <w:pPr>
        <w:pStyle w:val="5"/>
        <w:spacing w:beforeAutospacing="0" w:after="0" w:afterAutospacing="0" w:line="348" w:lineRule="auto"/>
        <w:ind w:firstLine="562" w:firstLineChars="200"/>
        <w:rPr>
          <w:rFonts w:hint="default"/>
          <w:color w:val="000000" w:themeColor="text1"/>
          <w:sz w:val="28"/>
          <w:szCs w:val="28"/>
          <w:highlight w:val="none"/>
          <w14:textFill>
            <w14:solidFill>
              <w14:schemeClr w14:val="tx1"/>
            </w14:solidFill>
          </w14:textFill>
        </w:rPr>
      </w:pPr>
      <w:bookmarkStart w:id="55" w:name="_Toc19782"/>
      <w:bookmarkStart w:id="56" w:name="_Toc23441"/>
      <w:r>
        <w:rPr>
          <w:color w:val="000000" w:themeColor="text1"/>
          <w:sz w:val="28"/>
          <w:szCs w:val="28"/>
          <w:highlight w:val="none"/>
          <w14:textFill>
            <w14:solidFill>
              <w14:schemeClr w14:val="tx1"/>
            </w14:solidFill>
          </w14:textFill>
        </w:rPr>
        <w:t>1.2.3护理计划管理系统</w:t>
      </w:r>
      <w:bookmarkEnd w:id="55"/>
      <w:bookmarkEnd w:id="56"/>
    </w:p>
    <w:p>
      <w:pPr>
        <w:spacing w:line="348"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护理计划管理系统支持护理计划管理、护理计划统计分析。</w:t>
      </w:r>
    </w:p>
    <w:p>
      <w:pPr>
        <w:pStyle w:val="5"/>
        <w:spacing w:beforeAutospacing="0" w:after="0" w:afterAutospacing="0" w:line="348" w:lineRule="auto"/>
        <w:ind w:firstLine="562" w:firstLineChars="200"/>
        <w:rPr>
          <w:rFonts w:hint="default"/>
          <w:color w:val="000000" w:themeColor="text1"/>
          <w:sz w:val="28"/>
          <w:szCs w:val="28"/>
          <w:highlight w:val="none"/>
          <w14:textFill>
            <w14:solidFill>
              <w14:schemeClr w14:val="tx1"/>
            </w14:solidFill>
          </w14:textFill>
        </w:rPr>
      </w:pPr>
      <w:bookmarkStart w:id="57" w:name="_Toc22215"/>
      <w:bookmarkStart w:id="58" w:name="_Toc63"/>
      <w:r>
        <w:rPr>
          <w:color w:val="000000" w:themeColor="text1"/>
          <w:sz w:val="28"/>
          <w:szCs w:val="28"/>
          <w:highlight w:val="none"/>
          <w14:textFill>
            <w14:solidFill>
              <w14:schemeClr w14:val="tx1"/>
            </w14:solidFill>
          </w14:textFill>
        </w:rPr>
        <w:t>1.2.4移动护理系统</w:t>
      </w:r>
      <w:bookmarkEnd w:id="57"/>
      <w:bookmarkEnd w:id="58"/>
    </w:p>
    <w:p>
      <w:pPr>
        <w:spacing w:line="348"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移动护理系统通过无线局域网技术、条码技术和移动计算等先进技术应用，摆脱固定的电脑端核对、记录。借助移动扫码设备，实现护士在床边实施各项治疗（如：输液、注射、口服药物、标本采集、输血等）的有效核对、记录，闭环管理流程有效保证护理工作的安全性和可追溯性。</w:t>
      </w:r>
    </w:p>
    <w:p>
      <w:pPr>
        <w:spacing w:line="348"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功能要求：需在移动端实现患者信息查询、扫码执行医嘱、护理临床监控、临床辅助工具、病区患者体征采集、移动护理危急值应用、移动护理文书录入等功能。</w:t>
      </w:r>
    </w:p>
    <w:p>
      <w:pPr>
        <w:pStyle w:val="5"/>
        <w:spacing w:beforeAutospacing="0" w:after="0" w:afterAutospacing="0" w:line="348" w:lineRule="auto"/>
        <w:ind w:firstLine="562" w:firstLineChars="200"/>
        <w:rPr>
          <w:rFonts w:hint="default"/>
          <w:color w:val="000000" w:themeColor="text1"/>
          <w:sz w:val="28"/>
          <w:szCs w:val="28"/>
          <w:highlight w:val="none"/>
          <w14:textFill>
            <w14:solidFill>
              <w14:schemeClr w14:val="tx1"/>
            </w14:solidFill>
          </w14:textFill>
        </w:rPr>
      </w:pPr>
      <w:bookmarkStart w:id="59" w:name="_Toc25936"/>
      <w:bookmarkStart w:id="60" w:name="_Toc18347"/>
      <w:r>
        <w:rPr>
          <w:color w:val="000000" w:themeColor="text1"/>
          <w:sz w:val="28"/>
          <w:szCs w:val="28"/>
          <w:highlight w:val="none"/>
          <w14:textFill>
            <w14:solidFill>
              <w14:schemeClr w14:val="tx1"/>
            </w14:solidFill>
          </w14:textFill>
        </w:rPr>
        <w:t>1.2.5临床辅助决策支持信息系统（CDSS）</w:t>
      </w:r>
      <w:bookmarkEnd w:id="59"/>
      <w:bookmarkEnd w:id="60"/>
      <w:r>
        <w:rPr>
          <w:color w:val="000000" w:themeColor="text1"/>
          <w:sz w:val="28"/>
          <w:szCs w:val="28"/>
          <w:highlight w:val="none"/>
          <w14:textFill>
            <w14:solidFill>
              <w14:schemeClr w14:val="tx1"/>
            </w14:solidFill>
          </w14:textFill>
        </w:rPr>
        <w:t xml:space="preserve"> </w:t>
      </w:r>
    </w:p>
    <w:p>
      <w:pPr>
        <w:spacing w:line="348" w:lineRule="auto"/>
        <w:ind w:firstLine="420" w:firstLineChars="200"/>
        <w:rPr>
          <w:rFonts w:ascii="宋体" w:hAnsi="宋体"/>
          <w:i/>
          <w:iCs/>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系统基于权威的医学知识体系，</w:t>
      </w:r>
      <w:r>
        <w:rPr>
          <w:rFonts w:ascii="宋体" w:hAnsi="宋体" w:cs="宋体"/>
          <w:color w:val="000000" w:themeColor="text1"/>
          <w:highlight w:val="none"/>
          <w14:textFill>
            <w14:solidFill>
              <w14:schemeClr w14:val="tx1"/>
            </w14:solidFill>
          </w14:textFill>
        </w:rPr>
        <w:t>利用自然语言处理、知识图谱、机器学习等人工智能技术，</w:t>
      </w:r>
      <w:r>
        <w:rPr>
          <w:rFonts w:hint="eastAsia" w:ascii="宋体" w:hAnsi="宋体" w:cs="宋体"/>
          <w:color w:val="000000" w:themeColor="text1"/>
          <w:highlight w:val="none"/>
          <w14:textFill>
            <w14:solidFill>
              <w14:schemeClr w14:val="tx1"/>
            </w14:solidFill>
          </w14:textFill>
        </w:rPr>
        <w:t>形成面向医生的临床辅助决策支持系统，</w:t>
      </w:r>
      <w:r>
        <w:rPr>
          <w:rFonts w:ascii="宋体" w:hAnsi="宋体" w:cs="宋体"/>
          <w:color w:val="000000" w:themeColor="text1"/>
          <w:highlight w:val="none"/>
          <w14:textFill>
            <w14:solidFill>
              <w14:schemeClr w14:val="tx1"/>
            </w14:solidFill>
          </w14:textFill>
        </w:rPr>
        <w:t>全面提高医院各项工作效率和质量、医疗服务能力和水平</w:t>
      </w:r>
      <w:r>
        <w:rPr>
          <w:rFonts w:hint="eastAsia" w:ascii="宋体" w:hAnsi="宋体" w:cs="宋体"/>
          <w:color w:val="000000" w:themeColor="text1"/>
          <w:highlight w:val="none"/>
          <w14:textFill>
            <w14:solidFill>
              <w14:schemeClr w14:val="tx1"/>
            </w14:solidFill>
          </w14:textFill>
        </w:rPr>
        <w:t>。</w:t>
      </w:r>
    </w:p>
    <w:p>
      <w:pPr>
        <w:spacing w:line="348" w:lineRule="auto"/>
        <w:ind w:firstLine="420" w:firstLineChars="200"/>
        <w:rPr>
          <w:rFonts w:ascii="宋体" w:hAnsi="宋体"/>
          <w:iCs/>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功能要求：</w:t>
      </w:r>
      <w:r>
        <w:rPr>
          <w:rFonts w:hint="eastAsia" w:ascii="宋体" w:hAnsi="宋体" w:cs="宋体"/>
          <w:color w:val="000000" w:themeColor="text1"/>
          <w:highlight w:val="none"/>
          <w14:textFill>
            <w14:solidFill>
              <w14:schemeClr w14:val="tx1"/>
            </w14:solidFill>
          </w14:textFill>
        </w:rPr>
        <w:t>系统涵盖临床知识查询、智能医嘱提醒（包含知识提示</w:t>
      </w:r>
      <w:r>
        <w:rPr>
          <w:rFonts w:ascii="宋体" w:hAnsi="宋体" w:cs="宋体"/>
          <w:color w:val="000000" w:themeColor="text1"/>
          <w:highlight w:val="none"/>
          <w14:textFill>
            <w14:solidFill>
              <w14:schemeClr w14:val="tx1"/>
            </w14:solidFill>
          </w14:textFill>
        </w:rPr>
        <w:t>,医嘱合理性校验）</w:t>
      </w:r>
      <w:r>
        <w:rPr>
          <w:rFonts w:hint="eastAsia" w:ascii="宋体" w:hAnsi="宋体" w:cs="宋体"/>
          <w:color w:val="000000" w:themeColor="text1"/>
          <w:highlight w:val="none"/>
          <w14:textFill>
            <w14:solidFill>
              <w14:schemeClr w14:val="tx1"/>
            </w14:solidFill>
          </w14:textFill>
        </w:rPr>
        <w:t>、智能诊疗推荐（疑似疾病、漏诊误诊、治疗方案）、相似病例推荐等临床决策支持智慧应用，同时结合知识管理应用和诊疗规范依从性分析应用。</w:t>
      </w:r>
    </w:p>
    <w:p>
      <w:pPr>
        <w:pStyle w:val="5"/>
        <w:spacing w:beforeAutospacing="0" w:after="0" w:afterAutospacing="0" w:line="348" w:lineRule="auto"/>
        <w:ind w:firstLine="562" w:firstLineChars="200"/>
        <w:rPr>
          <w:rFonts w:hint="default"/>
          <w:color w:val="000000" w:themeColor="text1"/>
          <w:sz w:val="28"/>
          <w:szCs w:val="28"/>
          <w:highlight w:val="none"/>
          <w14:textFill>
            <w14:solidFill>
              <w14:schemeClr w14:val="tx1"/>
            </w14:solidFill>
          </w14:textFill>
        </w:rPr>
      </w:pPr>
      <w:bookmarkStart w:id="61" w:name="_Toc18215"/>
      <w:bookmarkStart w:id="62" w:name="_Toc14815"/>
      <w:r>
        <w:rPr>
          <w:color w:val="000000" w:themeColor="text1"/>
          <w:sz w:val="28"/>
          <w:szCs w:val="28"/>
          <w:highlight w:val="none"/>
          <w14:textFill>
            <w14:solidFill>
              <w14:schemeClr w14:val="tx1"/>
            </w14:solidFill>
          </w14:textFill>
        </w:rPr>
        <w:t>1.2.6康复信息管理系统</w:t>
      </w:r>
      <w:bookmarkEnd w:id="61"/>
      <w:bookmarkEnd w:id="62"/>
    </w:p>
    <w:p>
      <w:pPr>
        <w:spacing w:line="348" w:lineRule="auto"/>
        <w:ind w:firstLine="420" w:firstLineChars="200"/>
        <w:rPr>
          <w:rFonts w:ascii="宋体" w:hAnsi="宋体"/>
          <w:b/>
          <w:bCs/>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康复信息管理系统覆盖了全院6大类角色用户，服务各类业务场景。其中为管理者提供实时报告推送、质控管理等服务应用，为护理人员提供康复医嘱审核、特殊情况标记、24小时病房康复管理等服务应用，为康复治疗师提供精细化排班、操作指导、全媒体治疗记录等服务应用，为医生提供专业康复医嘱、快速评估、自动生成报告等服务应用，为评估师提供康复文书功能，为患者提供日程安排等服务应用。</w:t>
      </w:r>
    </w:p>
    <w:p>
      <w:pPr>
        <w:spacing w:line="348"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功能要求：需实现康复项目管理、康复文书、康复评估、康复预约管理、方案推荐、等功能。</w:t>
      </w:r>
    </w:p>
    <w:p>
      <w:pPr>
        <w:pStyle w:val="4"/>
        <w:spacing w:beforeAutospacing="0" w:after="0" w:afterAutospacing="0" w:line="348" w:lineRule="auto"/>
        <w:ind w:firstLine="643" w:firstLineChars="200"/>
        <w:rPr>
          <w:rFonts w:hint="default"/>
          <w:color w:val="000000" w:themeColor="text1"/>
          <w:highlight w:val="none"/>
          <w14:textFill>
            <w14:solidFill>
              <w14:schemeClr w14:val="tx1"/>
            </w14:solidFill>
          </w14:textFill>
        </w:rPr>
      </w:pPr>
      <w:bookmarkStart w:id="63" w:name="_Toc13349"/>
      <w:bookmarkStart w:id="64" w:name="_Toc3969"/>
      <w:r>
        <w:rPr>
          <w:color w:val="000000" w:themeColor="text1"/>
          <w:highlight w:val="none"/>
          <w14:textFill>
            <w14:solidFill>
              <w14:schemeClr w14:val="tx1"/>
            </w14:solidFill>
          </w14:textFill>
        </w:rPr>
        <w:t>医技业务</w:t>
      </w:r>
      <w:bookmarkEnd w:id="63"/>
      <w:bookmarkEnd w:id="64"/>
    </w:p>
    <w:p>
      <w:pPr>
        <w:pStyle w:val="5"/>
        <w:spacing w:beforeAutospacing="0" w:after="0" w:afterAutospacing="0" w:line="348" w:lineRule="auto"/>
        <w:ind w:firstLine="562" w:firstLineChars="200"/>
        <w:rPr>
          <w:rFonts w:hint="default"/>
          <w:color w:val="000000" w:themeColor="text1"/>
          <w:sz w:val="28"/>
          <w:szCs w:val="28"/>
          <w:highlight w:val="none"/>
          <w14:textFill>
            <w14:solidFill>
              <w14:schemeClr w14:val="tx1"/>
            </w14:solidFill>
          </w14:textFill>
        </w:rPr>
      </w:pPr>
      <w:bookmarkStart w:id="65" w:name="_Toc27200"/>
      <w:bookmarkStart w:id="66" w:name="_Toc2403"/>
      <w:r>
        <w:rPr>
          <w:color w:val="000000" w:themeColor="text1"/>
          <w:sz w:val="28"/>
          <w:szCs w:val="28"/>
          <w:highlight w:val="none"/>
          <w14:textFill>
            <w14:solidFill>
              <w14:schemeClr w14:val="tx1"/>
            </w14:solidFill>
          </w14:textFill>
        </w:rPr>
        <w:t>1.3.1全院输血流程管理系统</w:t>
      </w:r>
      <w:bookmarkEnd w:id="65"/>
      <w:bookmarkEnd w:id="66"/>
      <w:r>
        <w:rPr>
          <w:color w:val="000000" w:themeColor="text1"/>
          <w:sz w:val="28"/>
          <w:szCs w:val="28"/>
          <w:highlight w:val="none"/>
          <w14:textFill>
            <w14:solidFill>
              <w14:schemeClr w14:val="tx1"/>
            </w14:solidFill>
          </w14:textFill>
        </w:rPr>
        <w:t xml:space="preserve">   </w:t>
      </w:r>
    </w:p>
    <w:p>
      <w:pPr>
        <w:spacing w:line="348"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全院输血管理系统是基于数据库的输血科全面计算机信息管理软件,其目的是加强输血科管理，提高血液用血安全,保证输血科数据安全。系统从医生开输血申请单，申请单审核、血液出入库管理、血站对接管理均采用标准化、规范化、信息化、智能化，实现患者信息和输血项目识别的惟一性，确保输血用血的准确、及时、安全，促进输血科的服务质量和管理迈上新台阶。</w:t>
      </w:r>
    </w:p>
    <w:p>
      <w:pPr>
        <w:spacing w:line="348"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功能要求：需实现输血科管理、输血申请单管理、</w:t>
      </w:r>
      <w:r>
        <w:rPr>
          <w:rFonts w:hint="eastAsia" w:ascii="宋体" w:hAnsi="宋体"/>
          <w:color w:val="000000" w:themeColor="text1"/>
          <w:highlight w:val="none"/>
          <w14:textFill>
            <w14:solidFill>
              <w14:schemeClr w14:val="tx1"/>
            </w14:solidFill>
          </w14:textFill>
        </w:rPr>
        <w:t>输血联动审批</w:t>
      </w:r>
      <w:r>
        <w:rPr>
          <w:rFonts w:ascii="宋体" w:hAnsi="宋体"/>
          <w:color w:val="000000" w:themeColor="text1"/>
          <w:highlight w:val="none"/>
          <w14:textFill>
            <w14:solidFill>
              <w14:schemeClr w14:val="tx1"/>
            </w14:solidFill>
          </w14:textFill>
        </w:rPr>
        <w:t>功能。</w:t>
      </w:r>
    </w:p>
    <w:p>
      <w:pPr>
        <w:pStyle w:val="5"/>
        <w:spacing w:beforeAutospacing="0" w:after="0" w:afterAutospacing="0" w:line="348" w:lineRule="auto"/>
        <w:ind w:firstLine="562" w:firstLineChars="200"/>
        <w:rPr>
          <w:rFonts w:hint="default"/>
          <w:color w:val="000000" w:themeColor="text1"/>
          <w:sz w:val="28"/>
          <w:szCs w:val="28"/>
          <w:highlight w:val="none"/>
          <w14:textFill>
            <w14:solidFill>
              <w14:schemeClr w14:val="tx1"/>
            </w14:solidFill>
          </w14:textFill>
        </w:rPr>
      </w:pPr>
      <w:bookmarkStart w:id="67" w:name="_Toc7976"/>
      <w:bookmarkStart w:id="68" w:name="_Toc1609"/>
      <w:r>
        <w:rPr>
          <w:color w:val="000000" w:themeColor="text1"/>
          <w:sz w:val="28"/>
          <w:szCs w:val="28"/>
          <w:highlight w:val="none"/>
          <w14:textFill>
            <w14:solidFill>
              <w14:schemeClr w14:val="tx1"/>
            </w14:solidFill>
          </w14:textFill>
        </w:rPr>
        <w:t>1.3.2放射报告管理信息系统</w:t>
      </w:r>
      <w:bookmarkEnd w:id="67"/>
      <w:bookmarkEnd w:id="68"/>
    </w:p>
    <w:p>
      <w:pPr>
        <w:spacing w:line="348"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放射报告管理信息系统需实现帮助放射科登记人员完成预约登记及条码流程管理工作，帮助放射科技师完成分诊叫号工作，帮助放射医生完成报告管理及科室管理工作。</w:t>
      </w:r>
    </w:p>
    <w:p>
      <w:pPr>
        <w:spacing w:line="348"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功能要求：需具备病人检查</w:t>
      </w:r>
      <w:r>
        <w:rPr>
          <w:rFonts w:ascii="宋体" w:hAnsi="宋体"/>
          <w:color w:val="000000" w:themeColor="text1"/>
          <w:highlight w:val="none"/>
          <w:lang w:val="zh-CN"/>
          <w14:textFill>
            <w14:solidFill>
              <w14:schemeClr w14:val="tx1"/>
            </w14:solidFill>
          </w14:textFill>
        </w:rPr>
        <w:t>预约登记、条码流程管理、技师工作站、报告管理</w:t>
      </w:r>
      <w:r>
        <w:rPr>
          <w:rFonts w:ascii="宋体" w:hAnsi="宋体"/>
          <w:color w:val="000000" w:themeColor="text1"/>
          <w:highlight w:val="none"/>
          <w14:textFill>
            <w14:solidFill>
              <w14:schemeClr w14:val="tx1"/>
            </w14:solidFill>
          </w14:textFill>
        </w:rPr>
        <w:t>等功能。</w:t>
      </w:r>
    </w:p>
    <w:p>
      <w:pPr>
        <w:pStyle w:val="5"/>
        <w:spacing w:beforeAutospacing="0" w:after="0" w:afterAutospacing="0" w:line="348" w:lineRule="auto"/>
        <w:ind w:firstLine="562" w:firstLineChars="200"/>
        <w:rPr>
          <w:rFonts w:hint="default"/>
          <w:color w:val="000000" w:themeColor="text1"/>
          <w:sz w:val="28"/>
          <w:szCs w:val="28"/>
          <w:highlight w:val="none"/>
          <w14:textFill>
            <w14:solidFill>
              <w14:schemeClr w14:val="tx1"/>
            </w14:solidFill>
          </w14:textFill>
        </w:rPr>
      </w:pPr>
      <w:bookmarkStart w:id="69" w:name="_Toc29087"/>
      <w:bookmarkStart w:id="70" w:name="_Toc5711"/>
      <w:r>
        <w:rPr>
          <w:color w:val="000000" w:themeColor="text1"/>
          <w:sz w:val="28"/>
          <w:szCs w:val="28"/>
          <w:highlight w:val="none"/>
          <w14:textFill>
            <w14:solidFill>
              <w14:schemeClr w14:val="tx1"/>
            </w14:solidFill>
          </w14:textFill>
        </w:rPr>
        <w:t>1.3.3手术管理软件</w:t>
      </w:r>
      <w:bookmarkEnd w:id="69"/>
      <w:bookmarkEnd w:id="70"/>
    </w:p>
    <w:p>
      <w:pPr>
        <w:spacing w:line="348"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手术管理软件主要提供医院门诊、住院手术的预约安排，费用管理等功能。</w:t>
      </w:r>
    </w:p>
    <w:p>
      <w:pPr>
        <w:spacing w:line="348"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功能要求：需实现门诊手术安排、门诊手术计费、住院手术安排、住院手术计费、住院手术汇总领药和手术情况录入功能。</w:t>
      </w:r>
    </w:p>
    <w:p>
      <w:pPr>
        <w:pStyle w:val="5"/>
        <w:spacing w:beforeAutospacing="0" w:after="0" w:afterAutospacing="0" w:line="348" w:lineRule="auto"/>
        <w:ind w:firstLine="562" w:firstLineChars="200"/>
        <w:rPr>
          <w:rFonts w:hint="default"/>
          <w:color w:val="000000" w:themeColor="text1"/>
          <w:sz w:val="28"/>
          <w:szCs w:val="28"/>
          <w:highlight w:val="none"/>
          <w14:textFill>
            <w14:solidFill>
              <w14:schemeClr w14:val="tx1"/>
            </w14:solidFill>
          </w14:textFill>
        </w:rPr>
      </w:pPr>
      <w:bookmarkStart w:id="71" w:name="_Toc4468"/>
      <w:bookmarkStart w:id="72" w:name="_Toc16142"/>
      <w:r>
        <w:rPr>
          <w:color w:val="000000" w:themeColor="text1"/>
          <w:sz w:val="28"/>
          <w:szCs w:val="28"/>
          <w:highlight w:val="none"/>
          <w14:textFill>
            <w14:solidFill>
              <w14:schemeClr w14:val="tx1"/>
            </w14:solidFill>
          </w14:textFill>
        </w:rPr>
        <w:t>1.3.4手术麻醉管理系统</w:t>
      </w:r>
      <w:bookmarkEnd w:id="71"/>
      <w:bookmarkEnd w:id="72"/>
    </w:p>
    <w:p>
      <w:pPr>
        <w:spacing w:line="348"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手术室与麻醉科作为医院各个专业科室交叉汇集进行外科手术治疗的重要平台和资源中心，在临床、效率、设备、药品、耗材、人员都需要科学管理和高效调配。手术管理软件旨在服务麻醉医生、手术室护士，以保障患者整个围术期安全质量为核心，为手术室及麻醉科提供了覆盖从手术排程、麻醉前访视与评估、麻醉方案与计划、麻醉诱导、术中麻醉记录、手术护理记录、安全核查、术中医嘱、术后手术麻醉计费等全过程支持，提供流程化、数字化、智能化的手术麻醉临床业务管理平台，有效地规范手术室及麻醉科工作流程、仪器设备数据自动采集、麻醉及护理文书无纸化、备用药与耗材库存管理等问题，保障医疗安全与高质量，提升手术周转率及医护人员工作效率，提高手术室麻醉科的管理水平。</w:t>
      </w:r>
    </w:p>
    <w:p>
      <w:pPr>
        <w:spacing w:line="348"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功能要求：需实现患者术前麻醉方式、术中麻醉管理、术中医嘱管理、术后复苏管理、等功能。</w:t>
      </w:r>
    </w:p>
    <w:p>
      <w:pPr>
        <w:pStyle w:val="5"/>
        <w:spacing w:beforeAutospacing="0" w:after="0" w:afterAutospacing="0" w:line="348" w:lineRule="auto"/>
        <w:ind w:firstLine="562" w:firstLineChars="200"/>
        <w:rPr>
          <w:rFonts w:hint="default"/>
          <w:color w:val="000000" w:themeColor="text1"/>
          <w:sz w:val="28"/>
          <w:szCs w:val="28"/>
          <w:highlight w:val="none"/>
          <w14:textFill>
            <w14:solidFill>
              <w14:schemeClr w14:val="tx1"/>
            </w14:solidFill>
          </w14:textFill>
        </w:rPr>
      </w:pPr>
      <w:bookmarkStart w:id="73" w:name="_Toc27340"/>
      <w:bookmarkStart w:id="74" w:name="_Toc12521"/>
      <w:r>
        <w:rPr>
          <w:color w:val="000000" w:themeColor="text1"/>
          <w:sz w:val="28"/>
          <w:szCs w:val="28"/>
          <w:highlight w:val="none"/>
          <w14:textFill>
            <w14:solidFill>
              <w14:schemeClr w14:val="tx1"/>
            </w14:solidFill>
          </w14:textFill>
        </w:rPr>
        <w:t>1.3.5重症监护信息系统</w:t>
      </w:r>
      <w:bookmarkEnd w:id="73"/>
      <w:bookmarkEnd w:id="74"/>
    </w:p>
    <w:p>
      <w:pPr>
        <w:spacing w:line="348"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重症监护管理信息系统以重症患者监护数据为核心，通过仪器自动获取、医嘱执行、护嘱执行、模板辅助录入等方式，将患者从转入重症病区到转出病区期间的诊疗、护理、监测信息进行有效记录和存储，并提供相应的汇总、统计、分析功能，提高重症病区护理工作效率。与医院信息系统、检查检验、电子病历等信息系统进行对接，实现数据互联互通，消除信息孤岛，实现重症病区全面信息化管理，从而有效提高重症病区整体管理水平。</w:t>
      </w:r>
    </w:p>
    <w:p>
      <w:pPr>
        <w:spacing w:line="348"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功能要求：实现通过监护仪、呼吸机等设备自动获取患者生命体征信息，患者观察项的记录，护嘱执行，医嘱执行，出入量管理，患者导管管理和皮肤管理，检验检查结果查看，床旁检测管理，患者评估，以及重症监护记录单的自动生成、提供相关质控指标统计等功能。</w:t>
      </w:r>
    </w:p>
    <w:p>
      <w:pPr>
        <w:pStyle w:val="5"/>
        <w:spacing w:beforeAutospacing="0" w:after="0" w:afterAutospacing="0" w:line="348" w:lineRule="auto"/>
        <w:ind w:firstLine="562" w:firstLineChars="200"/>
        <w:rPr>
          <w:rFonts w:hint="default"/>
          <w:color w:val="000000" w:themeColor="text1"/>
          <w:sz w:val="28"/>
          <w:szCs w:val="28"/>
          <w:highlight w:val="none"/>
          <w14:textFill>
            <w14:solidFill>
              <w14:schemeClr w14:val="tx1"/>
            </w14:solidFill>
          </w14:textFill>
        </w:rPr>
      </w:pPr>
      <w:bookmarkStart w:id="75" w:name="_Toc6946"/>
      <w:bookmarkStart w:id="76" w:name="_Toc9296"/>
      <w:r>
        <w:rPr>
          <w:color w:val="000000" w:themeColor="text1"/>
          <w:sz w:val="28"/>
          <w:szCs w:val="28"/>
          <w:highlight w:val="none"/>
          <w14:textFill>
            <w14:solidFill>
              <w14:schemeClr w14:val="tx1"/>
            </w14:solidFill>
          </w14:textFill>
        </w:rPr>
        <w:t>1.3.6血液透析中心智能管理系统</w:t>
      </w:r>
      <w:bookmarkEnd w:id="75"/>
      <w:bookmarkEnd w:id="76"/>
    </w:p>
    <w:p>
      <w:pPr>
        <w:spacing w:line="348" w:lineRule="auto"/>
        <w:ind w:firstLine="420" w:firstLineChars="200"/>
        <w:rPr>
          <w:rFonts w:ascii="宋体" w:hAnsi="宋体" w:cs="Arial"/>
          <w:bCs/>
          <w:color w:val="000000" w:themeColor="text1"/>
          <w:highlight w:val="none"/>
          <w14:textFill>
            <w14:solidFill>
              <w14:schemeClr w14:val="tx1"/>
            </w14:solidFill>
          </w14:textFill>
        </w:rPr>
      </w:pPr>
      <w:r>
        <w:rPr>
          <w:rFonts w:hint="eastAsia" w:ascii="宋体" w:hAnsi="宋体" w:cs="Arial"/>
          <w:bCs/>
          <w:color w:val="000000" w:themeColor="text1"/>
          <w:highlight w:val="none"/>
          <w14:textFill>
            <w14:solidFill>
              <w14:schemeClr w14:val="tx1"/>
            </w14:solidFill>
          </w14:textFill>
        </w:rPr>
        <w:t>符合SOP标准工作流程概念，避免交叉感染和操作失误，</w:t>
      </w:r>
      <w:r>
        <w:rPr>
          <w:rFonts w:hint="eastAsia" w:ascii="宋体" w:hAnsi="宋体"/>
          <w:color w:val="000000" w:themeColor="text1"/>
          <w:highlight w:val="none"/>
          <w14:textFill>
            <w14:solidFill>
              <w14:schemeClr w14:val="tx1"/>
            </w14:solidFill>
          </w14:textFill>
        </w:rPr>
        <w:t>血液透析中心智能管理系统因按照以下流程：</w:t>
      </w:r>
      <w:r>
        <w:rPr>
          <w:rFonts w:hint="eastAsia" w:ascii="宋体" w:hAnsi="宋体" w:cs="Arial"/>
          <w:bCs/>
          <w:color w:val="000000" w:themeColor="text1"/>
          <w:highlight w:val="none"/>
          <w14:textFill>
            <w14:solidFill>
              <w14:schemeClr w14:val="tx1"/>
            </w14:solidFill>
          </w14:textFill>
        </w:rPr>
        <w:t>新患者建档→完善病历、处方、医嘱、排班信息→打印</w:t>
      </w:r>
      <w:r>
        <w:rPr>
          <w:rFonts w:ascii="宋体" w:hAnsi="宋体" w:cs="Arial"/>
          <w:bCs/>
          <w:color w:val="000000" w:themeColor="text1"/>
          <w:highlight w:val="none"/>
          <w14:textFill>
            <w14:solidFill>
              <w14:schemeClr w14:val="tx1"/>
            </w14:solidFill>
          </w14:textFill>
        </w:rPr>
        <w:t>条码</w:t>
      </w:r>
      <w:r>
        <w:rPr>
          <w:rFonts w:hint="eastAsia" w:ascii="宋体" w:hAnsi="宋体" w:cs="Arial"/>
          <w:bCs/>
          <w:color w:val="000000" w:themeColor="text1"/>
          <w:highlight w:val="none"/>
          <w14:textFill>
            <w14:solidFill>
              <w14:schemeClr w14:val="tx1"/>
            </w14:solidFill>
          </w14:textFill>
        </w:rPr>
        <w:t>→患者刷码，体重数据自动采集进入系统（签到）→患者刷码，血压值自动采集进入系统→患者等候进入透析室→医生确认治疗方案并下达透析中医嘱→透前评估→护士移动终端确认医嘱→护士移动终端执行交叉核对→护士移动终端上机</w:t>
      </w:r>
      <w:r>
        <w:rPr>
          <w:rFonts w:ascii="宋体" w:hAnsi="宋体" w:cs="Arial"/>
          <w:bCs/>
          <w:color w:val="000000" w:themeColor="text1"/>
          <w:highlight w:val="none"/>
          <w14:textFill>
            <w14:solidFill>
              <w14:schemeClr w14:val="tx1"/>
            </w14:solidFill>
          </w14:textFill>
        </w:rPr>
        <w:t>、</w:t>
      </w:r>
      <w:r>
        <w:rPr>
          <w:rFonts w:hint="eastAsia" w:ascii="宋体" w:hAnsi="宋体" w:cs="Arial"/>
          <w:bCs/>
          <w:color w:val="000000" w:themeColor="text1"/>
          <w:highlight w:val="none"/>
          <w14:textFill>
            <w14:solidFill>
              <w14:schemeClr w14:val="tx1"/>
            </w14:solidFill>
          </w14:textFill>
        </w:rPr>
        <w:t>进行床位监测记录/护士移动终端记录并发症、执行透析中医嘱→护士移动终端执行下机→患者下机后再自助称量体重，数据自动采集进入系统→患者下机后再测血压，数据自动采集进入系统→透后评价→患者离开→机器消毒→完善透析相关病历文书，</w:t>
      </w:r>
      <w:r>
        <w:rPr>
          <w:rFonts w:ascii="宋体" w:hAnsi="宋体" w:cs="Arial"/>
          <w:bCs/>
          <w:color w:val="000000" w:themeColor="text1"/>
          <w:highlight w:val="none"/>
          <w14:textFill>
            <w14:solidFill>
              <w14:schemeClr w14:val="tx1"/>
            </w14:solidFill>
          </w14:textFill>
        </w:rPr>
        <w:t>系统自动将护士执行医嘱及耗材关联费用及库房</w:t>
      </w:r>
      <w:r>
        <w:rPr>
          <w:rFonts w:hint="eastAsia" w:ascii="宋体" w:hAnsi="宋体" w:cs="Arial"/>
          <w:bCs/>
          <w:color w:val="000000" w:themeColor="text1"/>
          <w:highlight w:val="none"/>
          <w14:textFill>
            <w14:solidFill>
              <w14:schemeClr w14:val="tx1"/>
            </w14:solidFill>
          </w14:textFill>
        </w:rPr>
        <w:t>。</w:t>
      </w:r>
    </w:p>
    <w:p>
      <w:pPr>
        <w:spacing w:line="348"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s="Arial"/>
          <w:bCs/>
          <w:color w:val="000000" w:themeColor="text1"/>
          <w:highlight w:val="none"/>
          <w14:textFill>
            <w14:solidFill>
              <w14:schemeClr w14:val="tx1"/>
            </w14:solidFill>
          </w14:textFill>
        </w:rPr>
        <w:t>功能要求：具备质控管理；科室建设；医疗管理；设备管理；</w:t>
      </w:r>
      <w:r>
        <w:rPr>
          <w:rFonts w:ascii="宋体" w:hAnsi="宋体" w:cs="Arial"/>
          <w:bCs/>
          <w:color w:val="000000" w:themeColor="text1"/>
          <w:highlight w:val="none"/>
          <w14:textFill>
            <w14:solidFill>
              <w14:schemeClr w14:val="tx1"/>
            </w14:solidFill>
          </w14:textFill>
        </w:rPr>
        <w:t>与医院HIS、LIS信息系统对接</w:t>
      </w:r>
      <w:r>
        <w:rPr>
          <w:rFonts w:hint="eastAsia" w:ascii="宋体" w:hAnsi="宋体" w:cs="Arial"/>
          <w:bCs/>
          <w:color w:val="000000" w:themeColor="text1"/>
          <w:highlight w:val="none"/>
          <w14:textFill>
            <w14:solidFill>
              <w14:schemeClr w14:val="tx1"/>
            </w14:solidFill>
          </w14:textFill>
        </w:rPr>
        <w:t>；</w:t>
      </w:r>
      <w:r>
        <w:rPr>
          <w:rFonts w:ascii="宋体" w:hAnsi="宋体" w:cs="Arial"/>
          <w:bCs/>
          <w:color w:val="000000" w:themeColor="text1"/>
          <w:highlight w:val="none"/>
          <w14:textFill>
            <w14:solidFill>
              <w14:schemeClr w14:val="tx1"/>
            </w14:solidFill>
          </w14:textFill>
        </w:rPr>
        <w:t>透析机、血压计、</w:t>
      </w:r>
      <w:r>
        <w:rPr>
          <w:rFonts w:hint="eastAsia" w:ascii="宋体" w:hAnsi="宋体" w:cs="Arial"/>
          <w:bCs/>
          <w:color w:val="000000" w:themeColor="text1"/>
          <w:highlight w:val="none"/>
          <w14:textFill>
            <w14:solidFill>
              <w14:schemeClr w14:val="tx1"/>
            </w14:solidFill>
          </w14:textFill>
        </w:rPr>
        <w:t>透析</w:t>
      </w:r>
      <w:r>
        <w:rPr>
          <w:rFonts w:ascii="宋体" w:hAnsi="宋体" w:cs="Arial"/>
          <w:bCs/>
          <w:color w:val="000000" w:themeColor="text1"/>
          <w:highlight w:val="none"/>
          <w14:textFill>
            <w14:solidFill>
              <w14:schemeClr w14:val="tx1"/>
            </w14:solidFill>
          </w14:textFill>
        </w:rPr>
        <w:t>秤硬件联机</w:t>
      </w:r>
      <w:r>
        <w:rPr>
          <w:rFonts w:hint="eastAsia" w:ascii="宋体" w:hAnsi="宋体" w:cs="Arial"/>
          <w:bCs/>
          <w:color w:val="000000" w:themeColor="text1"/>
          <w:highlight w:val="none"/>
          <w14:textFill>
            <w14:solidFill>
              <w14:schemeClr w14:val="tx1"/>
            </w14:solidFill>
          </w14:textFill>
        </w:rPr>
        <w:t>；质控上报;质控管理；与</w:t>
      </w:r>
      <w:r>
        <w:rPr>
          <w:rFonts w:ascii="宋体" w:hAnsi="宋体"/>
          <w:color w:val="000000" w:themeColor="text1"/>
          <w:highlight w:val="none"/>
          <w14:textFill>
            <w14:solidFill>
              <w14:schemeClr w14:val="tx1"/>
            </w14:solidFill>
          </w14:textFill>
        </w:rPr>
        <w:t>透析机联机</w:t>
      </w:r>
      <w:r>
        <w:rPr>
          <w:rFonts w:hint="eastAsia" w:ascii="宋体" w:hAnsi="宋体" w:cs="Arial"/>
          <w:bCs/>
          <w:color w:val="000000" w:themeColor="text1"/>
          <w:highlight w:val="none"/>
          <w14:textFill>
            <w14:solidFill>
              <w14:schemeClr w14:val="tx1"/>
            </w14:solidFill>
          </w14:textFill>
        </w:rPr>
        <w:t>。</w:t>
      </w:r>
    </w:p>
    <w:p>
      <w:pPr>
        <w:pStyle w:val="5"/>
        <w:spacing w:beforeAutospacing="0" w:after="0" w:afterAutospacing="0" w:line="348" w:lineRule="auto"/>
        <w:ind w:firstLine="562" w:firstLineChars="200"/>
        <w:rPr>
          <w:rFonts w:hint="default"/>
          <w:color w:val="000000" w:themeColor="text1"/>
          <w:sz w:val="28"/>
          <w:szCs w:val="28"/>
          <w:highlight w:val="none"/>
          <w14:textFill>
            <w14:solidFill>
              <w14:schemeClr w14:val="tx1"/>
            </w14:solidFill>
          </w14:textFill>
        </w:rPr>
      </w:pPr>
      <w:bookmarkStart w:id="77" w:name="_Toc30077"/>
      <w:bookmarkStart w:id="78" w:name="_Toc29278"/>
      <w:r>
        <w:rPr>
          <w:color w:val="000000" w:themeColor="text1"/>
          <w:sz w:val="28"/>
          <w:szCs w:val="28"/>
          <w:highlight w:val="none"/>
          <w14:textFill>
            <w14:solidFill>
              <w14:schemeClr w14:val="tx1"/>
            </w14:solidFill>
          </w14:textFill>
        </w:rPr>
        <w:t>1.3.7微生物检验</w:t>
      </w:r>
      <w:bookmarkEnd w:id="77"/>
      <w:bookmarkEnd w:id="78"/>
    </w:p>
    <w:p>
      <w:pPr>
        <w:spacing w:line="348"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微生物检验需支持</w:t>
      </w:r>
      <w:r>
        <w:rPr>
          <w:rFonts w:ascii="宋体" w:hAnsi="宋体"/>
          <w:color w:val="000000" w:themeColor="text1"/>
          <w:highlight w:val="none"/>
          <w14:textFill>
            <w14:solidFill>
              <w14:schemeClr w14:val="tx1"/>
            </w14:solidFill>
          </w14:textFill>
        </w:rPr>
        <w:t>记录病人的细菌培养结果</w:t>
      </w:r>
      <w:r>
        <w:rPr>
          <w:rFonts w:hint="eastAsia" w:ascii="宋体" w:hAnsi="宋体"/>
          <w:color w:val="000000" w:themeColor="text1"/>
          <w:highlight w:val="none"/>
          <w14:textFill>
            <w14:solidFill>
              <w14:schemeClr w14:val="tx1"/>
            </w14:solidFill>
          </w14:textFill>
        </w:rPr>
        <w:t>及</w:t>
      </w:r>
      <w:r>
        <w:rPr>
          <w:rFonts w:ascii="宋体" w:hAnsi="宋体"/>
          <w:color w:val="000000" w:themeColor="text1"/>
          <w:highlight w:val="none"/>
          <w14:textFill>
            <w14:solidFill>
              <w14:schemeClr w14:val="tx1"/>
            </w14:solidFill>
          </w14:textFill>
        </w:rPr>
        <w:t>各细菌的药敏结果</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打印规范的细菌培养报告单</w:t>
      </w:r>
      <w:r>
        <w:rPr>
          <w:rFonts w:hint="eastAsia" w:ascii="宋体" w:hAnsi="宋体"/>
          <w:color w:val="000000" w:themeColor="text1"/>
          <w:highlight w:val="none"/>
          <w14:textFill>
            <w14:solidFill>
              <w14:schemeClr w14:val="tx1"/>
            </w14:solidFill>
          </w14:textFill>
        </w:rPr>
        <w:t>；支持提供</w:t>
      </w:r>
      <w:r>
        <w:rPr>
          <w:rFonts w:ascii="宋体" w:hAnsi="宋体"/>
          <w:color w:val="000000" w:themeColor="text1"/>
          <w:highlight w:val="none"/>
          <w14:textFill>
            <w14:solidFill>
              <w14:schemeClr w14:val="tx1"/>
            </w14:solidFill>
          </w14:textFill>
        </w:rPr>
        <w:t>查询病人的培养记录</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微生物学上的统计分析等一系列功能</w:t>
      </w:r>
      <w:r>
        <w:rPr>
          <w:rFonts w:hint="eastAsia" w:ascii="宋体" w:hAnsi="宋体"/>
          <w:color w:val="000000" w:themeColor="text1"/>
          <w:highlight w:val="none"/>
          <w14:textFill>
            <w14:solidFill>
              <w14:schemeClr w14:val="tx1"/>
            </w14:solidFill>
          </w14:textFill>
        </w:rPr>
        <w:t>。</w:t>
      </w:r>
    </w:p>
    <w:p>
      <w:pPr>
        <w:spacing w:line="348"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具体功能要求：实现微生物联机、报告管理、三级报告临床发布、实验流程电子化管理、微生物质控、超级细菌管理、查询统计及自定义方案、微生物</w:t>
      </w:r>
      <w:r>
        <w:rPr>
          <w:rFonts w:ascii="宋体" w:hAnsi="宋体"/>
          <w:color w:val="000000" w:themeColor="text1"/>
          <w:highlight w:val="none"/>
          <w14:textFill>
            <w14:solidFill>
              <w14:schemeClr w14:val="tx1"/>
            </w14:solidFill>
          </w14:textFill>
        </w:rPr>
        <w:t>WHONET接口</w:t>
      </w:r>
      <w:r>
        <w:rPr>
          <w:rFonts w:hint="eastAsia" w:ascii="宋体" w:hAnsi="宋体"/>
          <w:color w:val="000000" w:themeColor="text1"/>
          <w:highlight w:val="none"/>
          <w14:textFill>
            <w14:solidFill>
              <w14:schemeClr w14:val="tx1"/>
            </w14:solidFill>
          </w14:textFill>
        </w:rPr>
        <w:t>及第三方接口等内容。</w:t>
      </w:r>
    </w:p>
    <w:p>
      <w:pPr>
        <w:pStyle w:val="4"/>
        <w:spacing w:beforeAutospacing="0" w:after="0" w:afterAutospacing="0" w:line="348" w:lineRule="auto"/>
        <w:ind w:firstLine="643" w:firstLineChars="200"/>
        <w:rPr>
          <w:rFonts w:hint="default"/>
          <w:color w:val="000000" w:themeColor="text1"/>
          <w:highlight w:val="none"/>
          <w14:textFill>
            <w14:solidFill>
              <w14:schemeClr w14:val="tx1"/>
            </w14:solidFill>
          </w14:textFill>
        </w:rPr>
      </w:pPr>
      <w:bookmarkStart w:id="79" w:name="_Toc7138"/>
      <w:bookmarkStart w:id="80" w:name="_Toc11508"/>
      <w:r>
        <w:rPr>
          <w:color w:val="000000" w:themeColor="text1"/>
          <w:highlight w:val="none"/>
          <w14:textFill>
            <w14:solidFill>
              <w14:schemeClr w14:val="tx1"/>
            </w14:solidFill>
          </w14:textFill>
        </w:rPr>
        <w:t>药耗管理</w:t>
      </w:r>
      <w:bookmarkEnd w:id="79"/>
      <w:bookmarkEnd w:id="80"/>
    </w:p>
    <w:p>
      <w:pPr>
        <w:pStyle w:val="5"/>
        <w:spacing w:beforeAutospacing="0" w:after="0" w:afterAutospacing="0" w:line="348" w:lineRule="auto"/>
        <w:ind w:firstLine="562" w:firstLineChars="200"/>
        <w:rPr>
          <w:rFonts w:hint="default"/>
          <w:color w:val="000000" w:themeColor="text1"/>
          <w:sz w:val="28"/>
          <w:szCs w:val="28"/>
          <w:highlight w:val="none"/>
          <w14:textFill>
            <w14:solidFill>
              <w14:schemeClr w14:val="tx1"/>
            </w14:solidFill>
          </w14:textFill>
        </w:rPr>
      </w:pPr>
      <w:bookmarkStart w:id="81" w:name="_Toc9422"/>
      <w:bookmarkStart w:id="82" w:name="_Toc22789"/>
      <w:r>
        <w:rPr>
          <w:color w:val="000000" w:themeColor="text1"/>
          <w:sz w:val="28"/>
          <w:szCs w:val="28"/>
          <w:highlight w:val="none"/>
          <w14:textFill>
            <w14:solidFill>
              <w14:schemeClr w14:val="tx1"/>
            </w14:solidFill>
          </w14:textFill>
        </w:rPr>
        <w:t>1.4.1住院输液配置中心</w:t>
      </w:r>
      <w:bookmarkEnd w:id="81"/>
      <w:bookmarkEnd w:id="82"/>
    </w:p>
    <w:p>
      <w:pPr>
        <w:spacing w:line="348"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静脉用药调配管理系统是一款静脉用药集中调配型专业管理软件，助力医院住院输液的管理。</w:t>
      </w:r>
    </w:p>
    <w:p>
      <w:pPr>
        <w:spacing w:line="348"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功能要求：需实现药房基础的库存管理、输液审方、输液编批、输液发药等功能</w:t>
      </w:r>
      <w:r>
        <w:rPr>
          <w:rFonts w:ascii="宋体" w:hAnsi="宋体"/>
          <w:color w:val="000000" w:themeColor="text1"/>
          <w:highlight w:val="none"/>
          <w14:textFill>
            <w14:solidFill>
              <w14:schemeClr w14:val="tx1"/>
            </w14:solidFill>
          </w14:textFill>
        </w:rPr>
        <w:t>。</w:t>
      </w:r>
    </w:p>
    <w:p>
      <w:pPr>
        <w:pStyle w:val="4"/>
        <w:spacing w:beforeAutospacing="0" w:after="0" w:afterAutospacing="0" w:line="348" w:lineRule="auto"/>
        <w:ind w:firstLine="643" w:firstLineChars="200"/>
        <w:rPr>
          <w:rFonts w:hint="default"/>
          <w:color w:val="000000" w:themeColor="text1"/>
          <w:highlight w:val="none"/>
          <w14:textFill>
            <w14:solidFill>
              <w14:schemeClr w14:val="tx1"/>
            </w14:solidFill>
          </w14:textFill>
        </w:rPr>
      </w:pPr>
      <w:bookmarkStart w:id="83" w:name="_Toc8993"/>
      <w:bookmarkStart w:id="84" w:name="_Toc27682"/>
      <w:r>
        <w:rPr>
          <w:color w:val="000000" w:themeColor="text1"/>
          <w:highlight w:val="none"/>
          <w14:textFill>
            <w14:solidFill>
              <w14:schemeClr w14:val="tx1"/>
            </w14:solidFill>
          </w14:textFill>
        </w:rPr>
        <w:t>医疗管理</w:t>
      </w:r>
      <w:bookmarkEnd w:id="83"/>
      <w:bookmarkEnd w:id="84"/>
    </w:p>
    <w:p>
      <w:pPr>
        <w:pStyle w:val="5"/>
        <w:spacing w:beforeAutospacing="0" w:after="0" w:afterAutospacing="0" w:line="348" w:lineRule="auto"/>
        <w:ind w:firstLine="562" w:firstLineChars="200"/>
        <w:rPr>
          <w:rFonts w:hint="default"/>
          <w:color w:val="000000" w:themeColor="text1"/>
          <w:sz w:val="28"/>
          <w:szCs w:val="28"/>
          <w:highlight w:val="none"/>
          <w14:textFill>
            <w14:solidFill>
              <w14:schemeClr w14:val="tx1"/>
            </w14:solidFill>
          </w14:textFill>
        </w:rPr>
      </w:pPr>
      <w:bookmarkStart w:id="85" w:name="_Toc18640"/>
      <w:r>
        <w:rPr>
          <w:color w:val="000000" w:themeColor="text1"/>
          <w:sz w:val="28"/>
          <w:szCs w:val="28"/>
          <w:highlight w:val="none"/>
          <w14:textFill>
            <w14:solidFill>
              <w14:schemeClr w14:val="tx1"/>
            </w14:solidFill>
          </w14:textFill>
        </w:rPr>
        <w:t>1.5.1实时审方系统</w:t>
      </w:r>
      <w:bookmarkEnd w:id="85"/>
    </w:p>
    <w:p>
      <w:pPr>
        <w:spacing w:line="348"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系统”可以为药师提供专门的审方工作平台，帮助门诊药师在患者缴费前完成门诊处方实时审查、住院药师在护士领药前完成住院医嘱审查。“系统”先自动审查出问题处方（医嘱），再由药师人工审查，审查过程中药师可以与医生实时互动，直到处方（医嘱）通过。包括：审方干预、统计分析、药物信息查询、相关信息审查等。</w:t>
      </w:r>
    </w:p>
    <w:p>
      <w:pPr>
        <w:pStyle w:val="5"/>
        <w:spacing w:beforeAutospacing="0" w:after="0" w:afterAutospacing="0" w:line="348" w:lineRule="auto"/>
        <w:ind w:firstLine="562" w:firstLineChars="200"/>
        <w:rPr>
          <w:rFonts w:hint="default"/>
          <w:color w:val="000000" w:themeColor="text1"/>
          <w:highlight w:val="none"/>
          <w14:textFill>
            <w14:solidFill>
              <w14:schemeClr w14:val="tx1"/>
            </w14:solidFill>
          </w14:textFill>
        </w:rPr>
      </w:pPr>
      <w:bookmarkStart w:id="86" w:name="_Toc16107"/>
      <w:bookmarkStart w:id="87" w:name="_Toc3483"/>
      <w:r>
        <w:rPr>
          <w:color w:val="000000" w:themeColor="text1"/>
          <w:sz w:val="28"/>
          <w:szCs w:val="28"/>
          <w:highlight w:val="none"/>
          <w14:textFill>
            <w14:solidFill>
              <w14:schemeClr w14:val="tx1"/>
            </w14:solidFill>
          </w14:textFill>
        </w:rPr>
        <w:t>1.5.2不良事件管理软件</w:t>
      </w:r>
      <w:bookmarkEnd w:id="86"/>
      <w:bookmarkEnd w:id="87"/>
    </w:p>
    <w:p>
      <w:pPr>
        <w:spacing w:line="348"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不良事件管理系统旨在构建一个全院统一的医疗不良事件上报管理平台，实现各种类型事件的上报流程化、规范化管理，经审核的事件可通过就向上级管理平台直报，并为管理部门提供综合查询与多维度统计分析服务，提高医疗不良事件的管理效率、管理质量。</w:t>
      </w:r>
    </w:p>
    <w:p>
      <w:pPr>
        <w:spacing w:line="348"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功能要求：实现不同类型不良事件上报、审批流程管理，表单打印/导出、转送/驳回、跟踪/反馈。</w:t>
      </w:r>
    </w:p>
    <w:p>
      <w:pPr>
        <w:pStyle w:val="5"/>
        <w:spacing w:beforeAutospacing="0" w:after="0" w:afterAutospacing="0" w:line="348" w:lineRule="auto"/>
        <w:ind w:firstLine="562" w:firstLineChars="200"/>
        <w:rPr>
          <w:rFonts w:hint="default"/>
          <w:color w:val="000000" w:themeColor="text1"/>
          <w:sz w:val="28"/>
          <w:szCs w:val="28"/>
          <w:highlight w:val="none"/>
          <w14:textFill>
            <w14:solidFill>
              <w14:schemeClr w14:val="tx1"/>
            </w14:solidFill>
          </w14:textFill>
        </w:rPr>
      </w:pPr>
      <w:bookmarkStart w:id="88" w:name="_Toc22311"/>
      <w:bookmarkStart w:id="89" w:name="_Toc3477"/>
      <w:r>
        <w:rPr>
          <w:color w:val="000000" w:themeColor="text1"/>
          <w:sz w:val="28"/>
          <w:szCs w:val="28"/>
          <w:highlight w:val="none"/>
          <w14:textFill>
            <w14:solidFill>
              <w14:schemeClr w14:val="tx1"/>
            </w14:solidFill>
          </w14:textFill>
        </w:rPr>
        <w:t>1.5.3疾病监测报告管理系统</w:t>
      </w:r>
      <w:bookmarkEnd w:id="88"/>
      <w:bookmarkEnd w:id="89"/>
    </w:p>
    <w:p>
      <w:pPr>
        <w:spacing w:line="348" w:lineRule="auto"/>
        <w:ind w:firstLine="420" w:firstLineChars="200"/>
        <w:jc w:val="both"/>
        <w:rPr>
          <w:rFonts w:ascii="宋体" w:hAnsi="宋体"/>
          <w:color w:val="000000" w:themeColor="text1"/>
          <w:highlight w:val="none"/>
          <w:lang w:bidi="ar"/>
          <w14:textFill>
            <w14:solidFill>
              <w14:schemeClr w14:val="tx1"/>
            </w14:solidFill>
          </w14:textFill>
        </w:rPr>
      </w:pPr>
      <w:r>
        <w:rPr>
          <w:rFonts w:hint="eastAsia" w:ascii="宋体" w:hAnsi="宋体"/>
          <w:color w:val="000000" w:themeColor="text1"/>
          <w:highlight w:val="none"/>
          <w:lang w:bidi="ar"/>
          <w14:textFill>
            <w14:solidFill>
              <w14:schemeClr w14:val="tx1"/>
            </w14:solidFill>
          </w14:textFill>
        </w:rPr>
        <w:t>医院传染病上报提供统一的管理平台，提升疫情上报的准确性和及时性，使卫生决策和疾病控制部门更快、更准地掌握传染病疫情动态，以便及时有效地进行传染病的预防和控制，系统主要功能要求包括门诊传染病上报、院内传染病上报系统</w:t>
      </w:r>
      <w:r>
        <w:rPr>
          <w:rFonts w:ascii="宋体" w:hAnsi="宋体"/>
          <w:color w:val="000000" w:themeColor="text1"/>
          <w:highlight w:val="none"/>
          <w:lang w:bidi="ar"/>
          <w14:textFill>
            <w14:solidFill>
              <w14:schemeClr w14:val="tx1"/>
            </w14:solidFill>
          </w14:textFill>
        </w:rPr>
        <w:t>。</w:t>
      </w:r>
    </w:p>
    <w:p>
      <w:pPr>
        <w:pStyle w:val="5"/>
        <w:spacing w:beforeAutospacing="0" w:after="0" w:afterAutospacing="0" w:line="348" w:lineRule="auto"/>
        <w:ind w:firstLine="562" w:firstLineChars="200"/>
        <w:rPr>
          <w:rFonts w:hint="default"/>
          <w:color w:val="000000" w:themeColor="text1"/>
          <w:sz w:val="28"/>
          <w:szCs w:val="28"/>
          <w:highlight w:val="none"/>
          <w14:textFill>
            <w14:solidFill>
              <w14:schemeClr w14:val="tx1"/>
            </w14:solidFill>
          </w14:textFill>
        </w:rPr>
      </w:pPr>
      <w:bookmarkStart w:id="90" w:name="_Toc6998"/>
      <w:bookmarkStart w:id="91" w:name="_Toc12444"/>
      <w:r>
        <w:rPr>
          <w:color w:val="000000" w:themeColor="text1"/>
          <w:sz w:val="28"/>
          <w:szCs w:val="28"/>
          <w:highlight w:val="none"/>
          <w14:textFill>
            <w14:solidFill>
              <w14:schemeClr w14:val="tx1"/>
            </w14:solidFill>
          </w14:textFill>
        </w:rPr>
        <w:t>1.5.4 DRGS医保精细化管理系统</w:t>
      </w:r>
      <w:bookmarkEnd w:id="90"/>
      <w:bookmarkEnd w:id="91"/>
    </w:p>
    <w:p>
      <w:pPr>
        <w:numPr>
          <w:ilvl w:val="0"/>
          <w:numId w:val="6"/>
        </w:numPr>
        <w:spacing w:line="348" w:lineRule="auto"/>
        <w:ind w:left="0" w:firstLine="422" w:firstLineChars="200"/>
        <w:rPr>
          <w:rFonts w:ascii="宋体" w:hAnsi="宋体"/>
          <w:b/>
          <w:bCs/>
          <w:color w:val="000000" w:themeColor="text1"/>
          <w:highlight w:val="none"/>
          <w:lang w:bidi="ar"/>
          <w14:textFill>
            <w14:solidFill>
              <w14:schemeClr w14:val="tx1"/>
            </w14:solidFill>
          </w14:textFill>
        </w:rPr>
      </w:pPr>
      <w:bookmarkStart w:id="92" w:name="_Toc47966715"/>
      <w:bookmarkStart w:id="93" w:name="_Toc28307"/>
      <w:bookmarkStart w:id="94" w:name="_Toc6648_WPSOffice_Level1"/>
      <w:r>
        <w:rPr>
          <w:rFonts w:hint="eastAsia" w:ascii="宋体" w:hAnsi="宋体"/>
          <w:b/>
          <w:bCs/>
          <w:color w:val="000000" w:themeColor="text1"/>
          <w:highlight w:val="none"/>
          <w:lang w:bidi="ar"/>
          <w14:textFill>
            <w14:solidFill>
              <w14:schemeClr w14:val="tx1"/>
            </w14:solidFill>
          </w14:textFill>
        </w:rPr>
        <w:t>数据管理</w:t>
      </w:r>
      <w:bookmarkEnd w:id="92"/>
    </w:p>
    <w:p>
      <w:pPr>
        <w:numPr>
          <w:ilvl w:val="0"/>
          <w:numId w:val="7"/>
        </w:numPr>
        <w:spacing w:line="348" w:lineRule="auto"/>
        <w:ind w:left="0" w:firstLine="420" w:firstLineChars="200"/>
        <w:rPr>
          <w:rFonts w:ascii="宋体" w:hAnsi="宋体"/>
          <w:color w:val="000000" w:themeColor="text1"/>
          <w:highlight w:val="none"/>
          <w:lang w:bidi="ar"/>
          <w14:textFill>
            <w14:solidFill>
              <w14:schemeClr w14:val="tx1"/>
            </w14:solidFill>
          </w14:textFill>
        </w:rPr>
      </w:pPr>
      <w:r>
        <w:rPr>
          <w:rFonts w:hint="eastAsia" w:ascii="宋体" w:hAnsi="宋体"/>
          <w:color w:val="000000" w:themeColor="text1"/>
          <w:highlight w:val="none"/>
          <w:lang w:bidi="ar"/>
          <w14:textFill>
            <w14:solidFill>
              <w14:schemeClr w14:val="tx1"/>
            </w14:solidFill>
          </w14:textFill>
        </w:rPr>
        <w:t>数据集成质控</w:t>
      </w:r>
    </w:p>
    <w:p>
      <w:pPr>
        <w:spacing w:line="348" w:lineRule="auto"/>
        <w:ind w:firstLine="420" w:firstLineChars="20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功能要求：数据模型构建、数据映射导入、数据采集预览、数据基本校验、业务逻辑性校验。</w:t>
      </w:r>
    </w:p>
    <w:p>
      <w:pPr>
        <w:numPr>
          <w:ilvl w:val="0"/>
          <w:numId w:val="7"/>
        </w:numPr>
        <w:spacing w:line="348" w:lineRule="auto"/>
        <w:ind w:left="0" w:firstLine="420" w:firstLineChars="200"/>
        <w:rPr>
          <w:rFonts w:ascii="宋体" w:hAnsi="宋体"/>
          <w:bCs/>
          <w:color w:val="000000" w:themeColor="text1"/>
          <w:highlight w:val="none"/>
          <w:lang w:bidi="ar"/>
          <w14:textFill>
            <w14:solidFill>
              <w14:schemeClr w14:val="tx1"/>
            </w14:solidFill>
          </w14:textFill>
        </w:rPr>
      </w:pPr>
      <w:r>
        <w:rPr>
          <w:rFonts w:hint="eastAsia" w:ascii="宋体" w:hAnsi="宋体"/>
          <w:bCs/>
          <w:color w:val="000000" w:themeColor="text1"/>
          <w:highlight w:val="none"/>
          <w:lang w:bidi="ar"/>
          <w14:textFill>
            <w14:solidFill>
              <w14:schemeClr w14:val="tx1"/>
            </w14:solidFill>
          </w14:textFill>
        </w:rPr>
        <w:t>数据质控管理</w:t>
      </w:r>
    </w:p>
    <w:p>
      <w:pPr>
        <w:spacing w:line="348" w:lineRule="auto"/>
        <w:ind w:firstLine="420" w:firstLineChars="20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lang w:bidi="ar"/>
          <w14:textFill>
            <w14:solidFill>
              <w14:schemeClr w14:val="tx1"/>
            </w14:solidFill>
          </w14:textFill>
        </w:rPr>
        <w:t xml:space="preserve"> </w:t>
      </w:r>
      <w:r>
        <w:rPr>
          <w:rFonts w:ascii="宋体" w:hAnsi="宋体"/>
          <w:bCs/>
          <w:color w:val="000000" w:themeColor="text1"/>
          <w:highlight w:val="none"/>
          <w:lang w:bidi="ar"/>
          <w14:textFill>
            <w14:solidFill>
              <w14:schemeClr w14:val="tx1"/>
            </w14:solidFill>
          </w14:textFill>
        </w:rPr>
        <w:t xml:space="preserve">   </w:t>
      </w:r>
      <w:r>
        <w:rPr>
          <w:rFonts w:hint="eastAsia" w:ascii="宋体" w:hAnsi="宋体"/>
          <w:bCs/>
          <w:color w:val="000000" w:themeColor="text1"/>
          <w:highlight w:val="none"/>
          <w:lang w:bidi="ar"/>
          <w14:textFill>
            <w14:solidFill>
              <w14:schemeClr w14:val="tx1"/>
            </w14:solidFill>
          </w14:textFill>
        </w:rPr>
        <w:t>功能要求：</w:t>
      </w:r>
      <w:r>
        <w:rPr>
          <w:rFonts w:ascii="宋体" w:hAnsi="宋体"/>
          <w:bCs/>
          <w:color w:val="000000" w:themeColor="text1"/>
          <w:highlight w:val="none"/>
          <w14:textFill>
            <w14:solidFill>
              <w14:schemeClr w14:val="tx1"/>
            </w14:solidFill>
          </w14:textFill>
        </w:rPr>
        <w:t>ICD质控管理</w:t>
      </w:r>
      <w:r>
        <w:rPr>
          <w:rFonts w:hint="eastAsia" w:ascii="宋体" w:hAnsi="宋体"/>
          <w:bCs/>
          <w:color w:val="000000" w:themeColor="text1"/>
          <w:highlight w:val="none"/>
          <w14:textFill>
            <w14:solidFill>
              <w14:schemeClr w14:val="tx1"/>
            </w14:solidFill>
          </w14:textFill>
        </w:rPr>
        <w:t>、质控结果查询处理等。</w:t>
      </w:r>
    </w:p>
    <w:p>
      <w:pPr>
        <w:numPr>
          <w:ilvl w:val="0"/>
          <w:numId w:val="6"/>
        </w:numPr>
        <w:spacing w:line="348" w:lineRule="auto"/>
        <w:ind w:left="0" w:firstLine="422" w:firstLineChars="200"/>
        <w:rPr>
          <w:rFonts w:ascii="宋体" w:hAnsi="宋体"/>
          <w:b/>
          <w:bCs/>
          <w:color w:val="000000" w:themeColor="text1"/>
          <w:highlight w:val="none"/>
          <w:lang w:bidi="ar"/>
          <w14:textFill>
            <w14:solidFill>
              <w14:schemeClr w14:val="tx1"/>
            </w14:solidFill>
          </w14:textFill>
        </w:rPr>
      </w:pPr>
      <w:bookmarkStart w:id="95" w:name="_Toc47966716"/>
      <w:r>
        <w:rPr>
          <w:rFonts w:hint="eastAsia" w:ascii="宋体" w:hAnsi="宋体"/>
          <w:b/>
          <w:bCs/>
          <w:color w:val="000000" w:themeColor="text1"/>
          <w:highlight w:val="none"/>
          <w:lang w:bidi="ar"/>
          <w14:textFill>
            <w14:solidFill>
              <w14:schemeClr w14:val="tx1"/>
            </w14:solidFill>
          </w14:textFill>
        </w:rPr>
        <w:t>分组管理</w:t>
      </w:r>
      <w:bookmarkEnd w:id="95"/>
    </w:p>
    <w:p>
      <w:pPr>
        <w:numPr>
          <w:ilvl w:val="0"/>
          <w:numId w:val="8"/>
        </w:numPr>
        <w:spacing w:line="348" w:lineRule="auto"/>
        <w:ind w:left="0"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lang w:bidi="ar"/>
          <w14:textFill>
            <w14:solidFill>
              <w14:schemeClr w14:val="tx1"/>
            </w14:solidFill>
          </w14:textFill>
        </w:rPr>
        <w:t>分组规则管理 包含：</w:t>
      </w:r>
      <w:r>
        <w:rPr>
          <w:rFonts w:hint="eastAsia" w:ascii="宋体" w:hAnsi="宋体"/>
          <w:color w:val="000000" w:themeColor="text1"/>
          <w:highlight w:val="none"/>
          <w14:textFill>
            <w14:solidFill>
              <w14:schemeClr w14:val="tx1"/>
            </w14:solidFill>
          </w14:textFill>
        </w:rPr>
        <w:t>DRGs分组规则管理、重点病种规则管理。</w:t>
      </w:r>
    </w:p>
    <w:p>
      <w:pPr>
        <w:numPr>
          <w:ilvl w:val="0"/>
          <w:numId w:val="8"/>
        </w:numPr>
        <w:spacing w:line="348" w:lineRule="auto"/>
        <w:ind w:left="0"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lang w:bidi="ar"/>
          <w14:textFill>
            <w14:solidFill>
              <w14:schemeClr w14:val="tx1"/>
            </w14:solidFill>
          </w14:textFill>
        </w:rPr>
        <w:t>入组查询 包含：</w:t>
      </w:r>
      <w:r>
        <w:rPr>
          <w:rFonts w:hint="eastAsia" w:ascii="宋体" w:hAnsi="宋体"/>
          <w:color w:val="000000" w:themeColor="text1"/>
          <w:highlight w:val="none"/>
          <w14:textFill>
            <w14:solidFill>
              <w14:schemeClr w14:val="tx1"/>
            </w14:solidFill>
          </w14:textFill>
        </w:rPr>
        <w:t>D</w:t>
      </w:r>
      <w:r>
        <w:rPr>
          <w:rFonts w:ascii="宋体" w:hAnsi="宋体"/>
          <w:color w:val="000000" w:themeColor="text1"/>
          <w:highlight w:val="none"/>
          <w14:textFill>
            <w14:solidFill>
              <w14:schemeClr w14:val="tx1"/>
            </w14:solidFill>
          </w14:textFill>
        </w:rPr>
        <w:t>RGs</w:t>
      </w:r>
      <w:r>
        <w:rPr>
          <w:rFonts w:hint="eastAsia" w:ascii="宋体" w:hAnsi="宋体"/>
          <w:color w:val="000000" w:themeColor="text1"/>
          <w:highlight w:val="none"/>
          <w14:textFill>
            <w14:solidFill>
              <w14:schemeClr w14:val="tx1"/>
            </w14:solidFill>
          </w14:textFill>
        </w:rPr>
        <w:t>入组查询、重点病种入组查询等</w:t>
      </w:r>
    </w:p>
    <w:p>
      <w:pPr>
        <w:numPr>
          <w:ilvl w:val="0"/>
          <w:numId w:val="6"/>
        </w:numPr>
        <w:spacing w:line="348" w:lineRule="auto"/>
        <w:ind w:left="0" w:firstLine="422" w:firstLineChars="200"/>
        <w:rPr>
          <w:rFonts w:ascii="宋体" w:hAnsi="宋体"/>
          <w:b/>
          <w:bCs/>
          <w:color w:val="000000" w:themeColor="text1"/>
          <w:highlight w:val="none"/>
          <w:lang w:bidi="ar"/>
          <w14:textFill>
            <w14:solidFill>
              <w14:schemeClr w14:val="tx1"/>
            </w14:solidFill>
          </w14:textFill>
        </w:rPr>
      </w:pPr>
      <w:bookmarkStart w:id="96" w:name="_Toc47376084"/>
      <w:bookmarkStart w:id="97" w:name="_Toc47966717"/>
      <w:r>
        <w:rPr>
          <w:rFonts w:hint="eastAsia" w:ascii="宋体" w:hAnsi="宋体"/>
          <w:b/>
          <w:bCs/>
          <w:color w:val="000000" w:themeColor="text1"/>
          <w:highlight w:val="none"/>
          <w:lang w:bidi="ar"/>
          <w14:textFill>
            <w14:solidFill>
              <w14:schemeClr w14:val="tx1"/>
            </w14:solidFill>
          </w14:textFill>
        </w:rPr>
        <w:t>医保监管</w:t>
      </w:r>
      <w:bookmarkEnd w:id="96"/>
      <w:bookmarkEnd w:id="97"/>
    </w:p>
    <w:p>
      <w:pPr>
        <w:spacing w:line="348"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lang w:bidi="ar"/>
          <w14:textFill>
            <w14:solidFill>
              <w14:schemeClr w14:val="tx1"/>
            </w14:solidFill>
          </w14:textFill>
        </w:rPr>
        <w:t>包含：控费规则设置、事中提醒监管、医保基础分析（</w:t>
      </w:r>
      <w:r>
        <w:rPr>
          <w:rFonts w:hint="eastAsia" w:ascii="宋体" w:hAnsi="宋体"/>
          <w:color w:val="000000" w:themeColor="text1"/>
          <w:highlight w:val="none"/>
          <w14:textFill>
            <w14:solidFill>
              <w14:schemeClr w14:val="tx1"/>
            </w14:solidFill>
          </w14:textFill>
        </w:rPr>
        <w:t>门诊指标分析、住院指标分析</w:t>
      </w:r>
      <w:r>
        <w:rPr>
          <w:rFonts w:ascii="宋体" w:hAnsi="宋体"/>
          <w:color w:val="000000" w:themeColor="text1"/>
          <w:highlight w:val="none"/>
          <w14:textFill>
            <w14:solidFill>
              <w14:schemeClr w14:val="tx1"/>
            </w14:solidFill>
          </w14:textFill>
        </w:rPr>
        <w:t xml:space="preserve"> </w:t>
      </w:r>
    </w:p>
    <w:p>
      <w:pPr>
        <w:numPr>
          <w:ilvl w:val="0"/>
          <w:numId w:val="6"/>
        </w:numPr>
        <w:spacing w:line="348" w:lineRule="auto"/>
        <w:ind w:left="0" w:firstLine="422" w:firstLineChars="200"/>
        <w:rPr>
          <w:rFonts w:ascii="宋体" w:hAnsi="宋体"/>
          <w:b/>
          <w:bCs/>
          <w:color w:val="000000" w:themeColor="text1"/>
          <w:highlight w:val="none"/>
          <w:lang w:bidi="ar"/>
          <w14:textFill>
            <w14:solidFill>
              <w14:schemeClr w14:val="tx1"/>
            </w14:solidFill>
          </w14:textFill>
        </w:rPr>
      </w:pPr>
      <w:r>
        <w:rPr>
          <w:rFonts w:hint="eastAsia" w:ascii="宋体" w:hAnsi="宋体"/>
          <w:b/>
          <w:bCs/>
          <w:color w:val="000000" w:themeColor="text1"/>
          <w:highlight w:val="none"/>
          <w:lang w:bidi="ar"/>
          <w14:textFill>
            <w14:solidFill>
              <w14:schemeClr w14:val="tx1"/>
            </w14:solidFill>
          </w14:textFill>
        </w:rPr>
        <w:t>医疗服务评价</w:t>
      </w:r>
    </w:p>
    <w:p>
      <w:pPr>
        <w:spacing w:line="348" w:lineRule="auto"/>
        <w:ind w:firstLine="420" w:firstLineChars="200"/>
        <w:rPr>
          <w:rFonts w:ascii="宋体" w:hAnsi="宋体"/>
          <w:color w:val="000000" w:themeColor="text1"/>
          <w:highlight w:val="none"/>
          <w:lang w:bidi="ar"/>
          <w14:textFill>
            <w14:solidFill>
              <w14:schemeClr w14:val="tx1"/>
            </w14:solidFill>
          </w14:textFill>
        </w:rPr>
      </w:pPr>
      <w:r>
        <w:rPr>
          <w:rFonts w:hint="eastAsia" w:ascii="宋体" w:hAnsi="宋体"/>
          <w:color w:val="000000" w:themeColor="text1"/>
          <w:highlight w:val="none"/>
          <w:lang w:bidi="ar"/>
          <w14:textFill>
            <w14:solidFill>
              <w14:schemeClr w14:val="tx1"/>
            </w14:solidFill>
          </w14:textFill>
        </w:rPr>
        <w:t>包含：总览视图分析</w:t>
      </w:r>
      <w:r>
        <w:rPr>
          <w:rFonts w:hint="eastAsia"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bidi="ar"/>
          <w14:textFill>
            <w14:solidFill>
              <w14:schemeClr w14:val="tx1"/>
            </w14:solidFill>
          </w14:textFill>
        </w:rPr>
        <w:t>报表数据查询等</w:t>
      </w:r>
      <w:r>
        <w:rPr>
          <w:rFonts w:hint="eastAsia" w:ascii="宋体" w:hAnsi="宋体"/>
          <w:color w:val="000000" w:themeColor="text1"/>
          <w:highlight w:val="none"/>
          <w14:textFill>
            <w14:solidFill>
              <w14:schemeClr w14:val="tx1"/>
            </w14:solidFill>
          </w14:textFill>
        </w:rPr>
        <w:t>。</w:t>
      </w:r>
    </w:p>
    <w:bookmarkEnd w:id="93"/>
    <w:bookmarkEnd w:id="94"/>
    <w:p>
      <w:pPr>
        <w:pStyle w:val="5"/>
        <w:spacing w:beforeAutospacing="0" w:after="0" w:afterAutospacing="0" w:line="348" w:lineRule="auto"/>
        <w:ind w:firstLine="562" w:firstLineChars="200"/>
        <w:rPr>
          <w:rFonts w:hint="default"/>
          <w:color w:val="000000" w:themeColor="text1"/>
          <w:sz w:val="28"/>
          <w:szCs w:val="28"/>
          <w:highlight w:val="none"/>
          <w14:textFill>
            <w14:solidFill>
              <w14:schemeClr w14:val="tx1"/>
            </w14:solidFill>
          </w14:textFill>
        </w:rPr>
      </w:pPr>
      <w:bookmarkStart w:id="98" w:name="_Toc7881"/>
      <w:bookmarkStart w:id="99" w:name="_Toc32754"/>
      <w:r>
        <w:rPr>
          <w:color w:val="000000" w:themeColor="text1"/>
          <w:sz w:val="28"/>
          <w:szCs w:val="28"/>
          <w:highlight w:val="none"/>
          <w14:textFill>
            <w14:solidFill>
              <w14:schemeClr w14:val="tx1"/>
            </w14:solidFill>
          </w14:textFill>
        </w:rPr>
        <w:t>1.5.5危急值流转系统</w:t>
      </w:r>
      <w:bookmarkEnd w:id="98"/>
      <w:bookmarkEnd w:id="99"/>
    </w:p>
    <w:p>
      <w:pPr>
        <w:spacing w:line="348"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支持与检检系统、PACS系统，病理系统，输血系统，心电系统及医生站、护士站对接，进行危急值提醒和反馈处理信息推送。</w:t>
      </w:r>
    </w:p>
    <w:p>
      <w:pPr>
        <w:spacing w:line="348"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支持与微信、短信平台对接，将危急值以微信、短信的形式进行推送。</w:t>
      </w:r>
    </w:p>
    <w:p>
      <w:pPr>
        <w:pStyle w:val="5"/>
        <w:spacing w:beforeAutospacing="0" w:after="0" w:afterAutospacing="0" w:line="348" w:lineRule="auto"/>
        <w:ind w:firstLine="562" w:firstLineChars="200"/>
        <w:rPr>
          <w:rFonts w:hint="default"/>
          <w:color w:val="000000" w:themeColor="text1"/>
          <w:sz w:val="28"/>
          <w:szCs w:val="28"/>
          <w:highlight w:val="none"/>
          <w14:textFill>
            <w14:solidFill>
              <w14:schemeClr w14:val="tx1"/>
            </w14:solidFill>
          </w14:textFill>
        </w:rPr>
      </w:pPr>
      <w:bookmarkStart w:id="100" w:name="_Toc124"/>
      <w:bookmarkStart w:id="101" w:name="_Toc1698"/>
      <w:r>
        <w:rPr>
          <w:color w:val="000000" w:themeColor="text1"/>
          <w:sz w:val="28"/>
          <w:szCs w:val="28"/>
          <w:highlight w:val="none"/>
          <w14:textFill>
            <w14:solidFill>
              <w14:schemeClr w14:val="tx1"/>
            </w14:solidFill>
          </w14:textFill>
        </w:rPr>
        <w:t>1.5.6电子签名系统（CA）</w:t>
      </w:r>
      <w:bookmarkEnd w:id="100"/>
      <w:bookmarkEnd w:id="101"/>
    </w:p>
    <w:p>
      <w:pPr>
        <w:numPr>
          <w:ilvl w:val="0"/>
          <w:numId w:val="9"/>
        </w:numPr>
        <w:spacing w:line="348" w:lineRule="auto"/>
        <w:ind w:left="0" w:firstLine="422" w:firstLineChars="200"/>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数字签名验签服务</w:t>
      </w:r>
    </w:p>
    <w:p>
      <w:pPr>
        <w:spacing w:line="348" w:lineRule="auto"/>
        <w:ind w:firstLine="420" w:firstLineChars="200"/>
        <w:rPr>
          <w:rFonts w:ascii="宋体" w:hAnsi="宋体"/>
          <w:color w:val="000000" w:themeColor="text1"/>
          <w:highlight w:val="none"/>
          <w:lang w:bidi="ar"/>
          <w14:textFill>
            <w14:solidFill>
              <w14:schemeClr w14:val="tx1"/>
            </w14:solidFill>
          </w14:textFill>
        </w:rPr>
      </w:pPr>
      <w:r>
        <w:rPr>
          <w:rFonts w:hint="eastAsia" w:ascii="宋体" w:hAnsi="宋体"/>
          <w:color w:val="000000" w:themeColor="text1"/>
          <w:highlight w:val="none"/>
          <w:lang w:bidi="ar"/>
          <w14:textFill>
            <w14:solidFill>
              <w14:schemeClr w14:val="tx1"/>
            </w14:solidFill>
          </w14:textFill>
        </w:rPr>
        <w:t>数字签名验签服务模块提供数字签名/验签服务，保障关键操作和数据在交互过程中的信息完整性、不可否认性和事后可追溯性。具备以下功能：</w:t>
      </w:r>
    </w:p>
    <w:p>
      <w:pPr>
        <w:spacing w:line="348" w:lineRule="auto"/>
        <w:ind w:firstLine="420" w:firstLineChars="200"/>
        <w:rPr>
          <w:rFonts w:ascii="宋体" w:hAnsi="宋体"/>
          <w:color w:val="000000" w:themeColor="text1"/>
          <w:highlight w:val="none"/>
          <w:lang w:bidi="ar"/>
          <w14:textFill>
            <w14:solidFill>
              <w14:schemeClr w14:val="tx1"/>
            </w14:solidFill>
          </w14:textFill>
        </w:rPr>
      </w:pPr>
      <w:r>
        <w:rPr>
          <w:rFonts w:hint="eastAsia" w:ascii="宋体" w:hAnsi="宋体"/>
          <w:color w:val="000000" w:themeColor="text1"/>
          <w:highlight w:val="none"/>
          <w:lang w:bidi="ar"/>
          <w14:textFill>
            <w14:solidFill>
              <w14:schemeClr w14:val="tx1"/>
            </w14:solidFill>
          </w14:textFill>
        </w:rPr>
        <w:t>数据签名功能、签名验证功能、证书有效性效验功能、数字信封功能。</w:t>
      </w:r>
    </w:p>
    <w:p>
      <w:pPr>
        <w:numPr>
          <w:ilvl w:val="0"/>
          <w:numId w:val="9"/>
        </w:numPr>
        <w:spacing w:line="348" w:lineRule="auto"/>
        <w:ind w:left="0" w:firstLine="422" w:firstLineChars="200"/>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时间戳服务</w:t>
      </w:r>
    </w:p>
    <w:p>
      <w:pPr>
        <w:spacing w:line="348" w:lineRule="auto"/>
        <w:ind w:firstLine="420" w:firstLineChars="200"/>
        <w:rPr>
          <w:rFonts w:ascii="宋体" w:hAnsi="宋体"/>
          <w:color w:val="000000" w:themeColor="text1"/>
          <w:highlight w:val="none"/>
          <w:lang w:bidi="ar"/>
          <w14:textFill>
            <w14:solidFill>
              <w14:schemeClr w14:val="tx1"/>
            </w14:solidFill>
          </w14:textFill>
        </w:rPr>
      </w:pPr>
      <w:r>
        <w:rPr>
          <w:rFonts w:hint="eastAsia" w:ascii="宋体" w:hAnsi="宋体"/>
          <w:color w:val="000000" w:themeColor="text1"/>
          <w:highlight w:val="none"/>
          <w:lang w:bidi="ar"/>
          <w14:textFill>
            <w14:solidFill>
              <w14:schemeClr w14:val="tx1"/>
            </w14:solidFill>
          </w14:textFill>
        </w:rPr>
        <w:t>时间戳服务模块基于国家标准权威时间源为用户、信息系统提供时间戳的签发和验证功能，提供信息和操作的时效性的权威证明，提供时间抗抵赖服务。</w:t>
      </w:r>
    </w:p>
    <w:p>
      <w:pPr>
        <w:spacing w:line="348" w:lineRule="auto"/>
        <w:ind w:firstLine="420" w:firstLineChars="200"/>
        <w:rPr>
          <w:rFonts w:ascii="宋体" w:hAnsi="宋体"/>
          <w:color w:val="000000" w:themeColor="text1"/>
          <w:highlight w:val="none"/>
          <w:lang w:bidi="ar"/>
          <w14:textFill>
            <w14:solidFill>
              <w14:schemeClr w14:val="tx1"/>
            </w14:solidFill>
          </w14:textFill>
        </w:rPr>
      </w:pPr>
      <w:r>
        <w:rPr>
          <w:rFonts w:hint="eastAsia" w:ascii="宋体" w:hAnsi="宋体"/>
          <w:color w:val="000000" w:themeColor="text1"/>
          <w:highlight w:val="none"/>
          <w:lang w:bidi="ar"/>
          <w14:textFill>
            <w14:solidFill>
              <w14:schemeClr w14:val="tx1"/>
            </w14:solidFill>
          </w14:textFill>
        </w:rPr>
        <w:t>具备以下功能：标准时间服务、时间戳申请、时间戳签发、时间戳验证、时间戳解析等。</w:t>
      </w:r>
    </w:p>
    <w:p>
      <w:pPr>
        <w:numPr>
          <w:ilvl w:val="0"/>
          <w:numId w:val="9"/>
        </w:numPr>
        <w:spacing w:line="348" w:lineRule="auto"/>
        <w:ind w:left="0" w:firstLine="422" w:firstLineChars="200"/>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密码运算服务</w:t>
      </w:r>
    </w:p>
    <w:p>
      <w:pPr>
        <w:spacing w:line="348" w:lineRule="auto"/>
        <w:ind w:firstLine="420" w:firstLineChars="200"/>
        <w:rPr>
          <w:rFonts w:ascii="宋体" w:hAnsi="宋体"/>
          <w:color w:val="000000" w:themeColor="text1"/>
          <w:highlight w:val="none"/>
          <w:lang w:bidi="ar"/>
          <w14:textFill>
            <w14:solidFill>
              <w14:schemeClr w14:val="tx1"/>
            </w14:solidFill>
          </w14:textFill>
        </w:rPr>
      </w:pPr>
      <w:r>
        <w:rPr>
          <w:rFonts w:hint="eastAsia" w:ascii="宋体" w:hAnsi="宋体"/>
          <w:color w:val="000000" w:themeColor="text1"/>
          <w:highlight w:val="none"/>
          <w:lang w:bidi="ar"/>
          <w14:textFill>
            <w14:solidFill>
              <w14:schemeClr w14:val="tx1"/>
            </w14:solidFill>
          </w14:textFill>
        </w:rPr>
        <w:t>密码运算服务为用户和业务系统提供摘要运算、随机序列生成、对称加解密、非对称加解密、加解密数字信封、base64编解码操作等数据加解密功能。支持算法有RSA、3DES、DES、AES、MD2、MD5、SHA1、SHA256等，支持私钥管理、私钥加密/解密、PCKS#1签名等功能，并能支持国密最新算法。</w:t>
      </w:r>
    </w:p>
    <w:p>
      <w:pPr>
        <w:numPr>
          <w:ilvl w:val="0"/>
          <w:numId w:val="9"/>
        </w:numPr>
        <w:spacing w:line="348" w:lineRule="auto"/>
        <w:ind w:left="0" w:firstLine="422" w:firstLineChars="200"/>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身份认证服务</w:t>
      </w:r>
    </w:p>
    <w:p>
      <w:pPr>
        <w:spacing w:line="348"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lang w:bidi="ar"/>
          <w14:textFill>
            <w14:solidFill>
              <w14:schemeClr w14:val="tx1"/>
            </w14:solidFill>
          </w14:textFill>
        </w:rPr>
        <w:t>身份认证服务为用户和业务系统提供基于数字证书的强安全身份真实性认证服务。该身份认证服务基于数字证书和数字签名技术，通过CA根证书和证书链验证客户端证书签发者可信域、CRL验证客户端证书状态有效性、OCSP服务器验证客户端证书实时有效性，从而验证客户端数字签名真实、有效，从而确保接入身份的真实性，身份认证对象包含用户身份认证、服务器身份认证。</w:t>
      </w:r>
    </w:p>
    <w:p>
      <w:pPr>
        <w:pStyle w:val="4"/>
        <w:spacing w:beforeAutospacing="0" w:after="0" w:afterAutospacing="0" w:line="348" w:lineRule="auto"/>
        <w:ind w:firstLine="643" w:firstLineChars="200"/>
        <w:rPr>
          <w:rFonts w:hint="default"/>
          <w:color w:val="000000" w:themeColor="text1"/>
          <w:highlight w:val="none"/>
          <w14:textFill>
            <w14:solidFill>
              <w14:schemeClr w14:val="tx1"/>
            </w14:solidFill>
          </w14:textFill>
        </w:rPr>
      </w:pPr>
      <w:bookmarkStart w:id="102" w:name="_Toc177"/>
      <w:bookmarkStart w:id="103" w:name="_Toc2335"/>
      <w:r>
        <w:rPr>
          <w:color w:val="000000" w:themeColor="text1"/>
          <w:highlight w:val="none"/>
          <w14:textFill>
            <w14:solidFill>
              <w14:schemeClr w14:val="tx1"/>
            </w14:solidFill>
          </w14:textFill>
        </w:rPr>
        <w:t>急诊信息系统</w:t>
      </w:r>
      <w:bookmarkEnd w:id="102"/>
      <w:bookmarkEnd w:id="103"/>
    </w:p>
    <w:p>
      <w:pPr>
        <w:spacing w:line="348"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功能要求：急诊患者登记、预检分诊子系统、急诊患者管理、急诊医生工作站、急诊电子病历、急诊医嘱集成、急诊医嘱处理、急诊护士工作站、急诊护理文书、急诊输液管理、交班管理、会诊管理、质控管理子系统、管理中心、设备连接集成。</w:t>
      </w:r>
    </w:p>
    <w:p>
      <w:pPr>
        <w:pStyle w:val="4"/>
        <w:spacing w:beforeAutospacing="0" w:after="0" w:afterAutospacing="0" w:line="348" w:lineRule="auto"/>
        <w:ind w:firstLine="643" w:firstLineChars="200"/>
        <w:rPr>
          <w:rFonts w:hint="default"/>
          <w:color w:val="000000" w:themeColor="text1"/>
          <w:highlight w:val="none"/>
          <w14:textFill>
            <w14:solidFill>
              <w14:schemeClr w14:val="tx1"/>
            </w14:solidFill>
          </w14:textFill>
        </w:rPr>
      </w:pPr>
      <w:bookmarkStart w:id="104" w:name="_Toc5082"/>
      <w:bookmarkStart w:id="105" w:name="_Toc5704"/>
      <w:r>
        <w:rPr>
          <w:color w:val="000000" w:themeColor="text1"/>
          <w:highlight w:val="none"/>
          <w14:textFill>
            <w14:solidFill>
              <w14:schemeClr w14:val="tx1"/>
            </w14:solidFill>
          </w14:textFill>
        </w:rPr>
        <w:t>智慧护理大屏</w:t>
      </w:r>
      <w:bookmarkEnd w:id="104"/>
      <w:bookmarkEnd w:id="105"/>
    </w:p>
    <w:p>
      <w:pPr>
        <w:spacing w:line="348"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护士站智能交互系统通过智能交互大屏，与第三方系统数据互联互通，帮助护士快速获取护理重点，提高护士工作效率，实现无纸化交班、风险预警自动推送，优化护理工作流程；与HIS系统、L</w:t>
      </w:r>
      <w:r>
        <w:rPr>
          <w:rFonts w:ascii="宋体" w:hAnsi="宋体"/>
          <w:color w:val="000000" w:themeColor="text1"/>
          <w:highlight w:val="none"/>
          <w14:textFill>
            <w14:solidFill>
              <w14:schemeClr w14:val="tx1"/>
            </w14:solidFill>
          </w14:textFill>
        </w:rPr>
        <w:t>IS</w:t>
      </w:r>
      <w:r>
        <w:rPr>
          <w:rFonts w:hint="eastAsia" w:ascii="宋体" w:hAnsi="宋体"/>
          <w:color w:val="000000" w:themeColor="text1"/>
          <w:highlight w:val="none"/>
          <w14:textFill>
            <w14:solidFill>
              <w14:schemeClr w14:val="tx1"/>
            </w14:solidFill>
          </w14:textFill>
        </w:rPr>
        <w:t>系统等互联互通，可帮助护士快速获取病区概况、患者医嘱、检验检查报告等信息；与输液监控系统连接，可获取患者输液状态，输液结束或异常时自动发出警报；与病房智能交互系统连接，可接收病房呼叫系统信息；与移动护理信息系统连接，可获取患者的交班信息、护理记录，实时同步待办事项；与护理管理系统连接，看查看护理人员的排班情况。此外，智能交互大屏可支持触摸手写，生成电子备忘录，设置定时提醒，代替传统的手写白板。</w:t>
      </w:r>
    </w:p>
    <w:p>
      <w:pPr>
        <w:pStyle w:val="4"/>
        <w:spacing w:beforeAutospacing="0" w:after="0" w:afterAutospacing="0" w:line="348" w:lineRule="auto"/>
        <w:ind w:firstLine="643" w:firstLineChars="200"/>
        <w:rPr>
          <w:rFonts w:hint="default"/>
          <w:color w:val="000000" w:themeColor="text1"/>
          <w:highlight w:val="none"/>
          <w14:textFill>
            <w14:solidFill>
              <w14:schemeClr w14:val="tx1"/>
            </w14:solidFill>
          </w14:textFill>
        </w:rPr>
      </w:pPr>
      <w:bookmarkStart w:id="106" w:name="_Toc13539"/>
      <w:bookmarkStart w:id="107" w:name="_Toc21492"/>
      <w:r>
        <w:rPr>
          <w:color w:val="000000" w:themeColor="text1"/>
          <w:highlight w:val="none"/>
          <w14:textFill>
            <w14:solidFill>
              <w14:schemeClr w14:val="tx1"/>
            </w14:solidFill>
          </w14:textFill>
        </w:rPr>
        <w:t>医生资质授权</w:t>
      </w:r>
      <w:bookmarkEnd w:id="106"/>
      <w:bookmarkEnd w:id="107"/>
    </w:p>
    <w:p>
      <w:pPr>
        <w:spacing w:line="348" w:lineRule="auto"/>
        <w:ind w:firstLine="422" w:firstLineChars="200"/>
        <w:rPr>
          <w:rFonts w:ascii="宋体" w:hAnsi="宋体" w:cs="宋体"/>
          <w:color w:val="000000" w:themeColor="text1"/>
          <w:kern w:val="0"/>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 xml:space="preserve">  </w:t>
      </w:r>
      <w:r>
        <w:rPr>
          <w:rFonts w:ascii="宋体" w:hAnsi="宋体" w:cs="宋体"/>
          <w:color w:val="000000" w:themeColor="text1"/>
          <w:kern w:val="0"/>
          <w:highlight w:val="none"/>
          <w14:textFill>
            <w14:solidFill>
              <w14:schemeClr w14:val="tx1"/>
            </w14:solidFill>
          </w14:textFill>
        </w:rPr>
        <w:t>医生开立权的核心就是通过可配置制的诊疗附件属性及属性值域，然后将属性及属性值域设置到诊疗项目中，在开立规则设置中将附加属性及值域范围作为条件设置若干的控制规则，然后通过可视化的医生授权界面将控制规则分别授与给不同的医务人员，实现授权医生能够干什么或不能够干什么的控制目的，以满足用户依据政策法规及管理要求下的各种控制目的。</w:t>
      </w:r>
    </w:p>
    <w:p>
      <w:pPr>
        <w:pStyle w:val="4"/>
        <w:spacing w:beforeAutospacing="0" w:after="0" w:afterAutospacing="0" w:line="348" w:lineRule="auto"/>
        <w:ind w:firstLine="643" w:firstLineChars="200"/>
        <w:rPr>
          <w:rFonts w:hint="default"/>
          <w:color w:val="000000" w:themeColor="text1"/>
          <w:highlight w:val="none"/>
          <w14:textFill>
            <w14:solidFill>
              <w14:schemeClr w14:val="tx1"/>
            </w14:solidFill>
          </w14:textFill>
        </w:rPr>
      </w:pPr>
      <w:bookmarkStart w:id="108" w:name="_Toc18450"/>
      <w:bookmarkStart w:id="109" w:name="_Toc25276"/>
      <w:r>
        <w:rPr>
          <w:color w:val="000000" w:themeColor="text1"/>
          <w:highlight w:val="none"/>
          <w14:textFill>
            <w14:solidFill>
              <w14:schemeClr w14:val="tx1"/>
            </w14:solidFill>
          </w14:textFill>
        </w:rPr>
        <w:t>数字化病案管理系统</w:t>
      </w:r>
      <w:bookmarkEnd w:id="108"/>
      <w:bookmarkEnd w:id="109"/>
    </w:p>
    <w:p>
      <w:pPr>
        <w:pStyle w:val="5"/>
        <w:spacing w:beforeAutospacing="0" w:after="0" w:afterAutospacing="0" w:line="348" w:lineRule="auto"/>
        <w:ind w:firstLine="562" w:firstLineChars="200"/>
        <w:rPr>
          <w:rFonts w:hint="default"/>
          <w:color w:val="000000" w:themeColor="text1"/>
          <w:sz w:val="28"/>
          <w:szCs w:val="28"/>
          <w:highlight w:val="none"/>
          <w14:textFill>
            <w14:solidFill>
              <w14:schemeClr w14:val="tx1"/>
            </w14:solidFill>
          </w14:textFill>
        </w:rPr>
      </w:pPr>
      <w:bookmarkStart w:id="110" w:name="_Toc10979"/>
      <w:r>
        <w:rPr>
          <w:color w:val="000000" w:themeColor="text1"/>
          <w:sz w:val="28"/>
          <w:szCs w:val="28"/>
          <w:highlight w:val="none"/>
          <w14:textFill>
            <w14:solidFill>
              <w14:schemeClr w14:val="tx1"/>
            </w14:solidFill>
          </w14:textFill>
        </w:rPr>
        <w:t>1.9.1病案检索、借阅与浏览</w:t>
      </w:r>
      <w:bookmarkEnd w:id="110"/>
    </w:p>
    <w:p>
      <w:pPr>
        <w:spacing w:line="348"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支持病案首页任意数据，医嘱数据，全文检索等进行多方式组合检索。</w:t>
      </w:r>
    </w:p>
    <w:p>
      <w:pPr>
        <w:spacing w:line="348"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全文检索，类似百度搜索引擎，可以对所有病案进行任意内容关键字检索，支持多关键字联合检索，并且在病案页面中颜色提示处理。</w:t>
      </w:r>
    </w:p>
    <w:p>
      <w:pPr>
        <w:spacing w:line="348" w:lineRule="auto"/>
        <w:ind w:firstLine="420" w:firstLineChars="200"/>
        <w:rPr>
          <w:rFonts w:ascii="宋体" w:hAnsi="宋体"/>
          <w:color w:val="000000" w:themeColor="text1"/>
          <w:szCs w:val="28"/>
          <w:highlight w:val="none"/>
          <w14:textFill>
            <w14:solidFill>
              <w14:schemeClr w14:val="tx1"/>
            </w14:solidFill>
          </w14:textFill>
        </w:rPr>
      </w:pPr>
      <w:r>
        <w:rPr>
          <w:rFonts w:hint="eastAsia" w:ascii="宋体" w:hAnsi="宋体"/>
          <w:color w:val="000000" w:themeColor="text1"/>
          <w:szCs w:val="28"/>
          <w:highlight w:val="none"/>
          <w14:textFill>
            <w14:solidFill>
              <w14:schemeClr w14:val="tx1"/>
            </w14:solidFill>
          </w14:textFill>
        </w:rPr>
        <w:t>通过借阅审批的模式，在系统中浏览无纸化后的病历。内容包括，普通借阅、分类借阅、脱敏借阅。</w:t>
      </w:r>
    </w:p>
    <w:p>
      <w:pPr>
        <w:pStyle w:val="5"/>
        <w:spacing w:beforeAutospacing="0" w:after="0" w:afterAutospacing="0" w:line="348" w:lineRule="auto"/>
        <w:ind w:firstLine="562" w:firstLineChars="200"/>
        <w:rPr>
          <w:rFonts w:hint="default"/>
          <w:color w:val="000000" w:themeColor="text1"/>
          <w:sz w:val="28"/>
          <w:szCs w:val="28"/>
          <w:highlight w:val="none"/>
          <w14:textFill>
            <w14:solidFill>
              <w14:schemeClr w14:val="tx1"/>
            </w14:solidFill>
          </w14:textFill>
        </w:rPr>
      </w:pPr>
      <w:bookmarkStart w:id="111" w:name="_Toc28576"/>
      <w:r>
        <w:rPr>
          <w:color w:val="000000" w:themeColor="text1"/>
          <w:sz w:val="28"/>
          <w:szCs w:val="28"/>
          <w:highlight w:val="none"/>
          <w14:textFill>
            <w14:solidFill>
              <w14:schemeClr w14:val="tx1"/>
            </w14:solidFill>
          </w14:textFill>
        </w:rPr>
        <w:t>1.9.2病案打印</w:t>
      </w:r>
      <w:bookmarkEnd w:id="111"/>
    </w:p>
    <w:p>
      <w:pPr>
        <w:spacing w:line="348"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支</w:t>
      </w:r>
      <w:r>
        <w:rPr>
          <w:rFonts w:hint="eastAsia" w:ascii="宋体" w:hAnsi="宋体"/>
          <w:color w:val="000000" w:themeColor="text1"/>
          <w:szCs w:val="28"/>
          <w:highlight w:val="none"/>
          <w14:textFill>
            <w14:solidFill>
              <w14:schemeClr w14:val="tx1"/>
            </w14:solidFill>
          </w14:textFill>
        </w:rPr>
        <w:t>通过套餐的模式快速的打印出无纸化病历。内容包括：普通打印、费用计算、综合支付、邮寄登记、信息采集</w:t>
      </w:r>
      <w:r>
        <w:rPr>
          <w:rFonts w:hint="eastAsia" w:ascii="宋体" w:hAnsi="宋体"/>
          <w:color w:val="000000" w:themeColor="text1"/>
          <w:highlight w:val="none"/>
          <w14:textFill>
            <w14:solidFill>
              <w14:schemeClr w14:val="tx1"/>
            </w14:solidFill>
          </w14:textFill>
        </w:rPr>
        <w:t>。</w:t>
      </w:r>
    </w:p>
    <w:p>
      <w:pPr>
        <w:pStyle w:val="5"/>
        <w:spacing w:beforeAutospacing="0" w:after="0" w:afterAutospacing="0" w:line="348" w:lineRule="auto"/>
        <w:ind w:firstLine="562" w:firstLineChars="200"/>
        <w:rPr>
          <w:rFonts w:hint="default"/>
          <w:color w:val="000000" w:themeColor="text1"/>
          <w:sz w:val="28"/>
          <w:szCs w:val="28"/>
          <w:highlight w:val="none"/>
          <w14:textFill>
            <w14:solidFill>
              <w14:schemeClr w14:val="tx1"/>
            </w14:solidFill>
          </w14:textFill>
        </w:rPr>
      </w:pPr>
      <w:bookmarkStart w:id="112" w:name="_Toc6603"/>
      <w:r>
        <w:rPr>
          <w:color w:val="000000" w:themeColor="text1"/>
          <w:sz w:val="28"/>
          <w:szCs w:val="28"/>
          <w:highlight w:val="none"/>
          <w14:textFill>
            <w14:solidFill>
              <w14:schemeClr w14:val="tx1"/>
            </w14:solidFill>
          </w14:textFill>
        </w:rPr>
        <w:t>1.9.3病案锁定</w:t>
      </w:r>
      <w:bookmarkEnd w:id="112"/>
    </w:p>
    <w:p>
      <w:pPr>
        <w:spacing w:line="348"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对特殊的病案（例如：官司、患者要求等）进行锁定，锁定后不能进行其他的操作，如不能进行借阅，打印等操作。</w:t>
      </w:r>
    </w:p>
    <w:p>
      <w:pPr>
        <w:spacing w:line="348"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对锁定的病案提供两种封存模式，并明确两种封存模式。</w:t>
      </w:r>
    </w:p>
    <w:p>
      <w:pPr>
        <w:pStyle w:val="5"/>
        <w:spacing w:beforeAutospacing="0" w:after="0" w:afterAutospacing="0" w:line="348" w:lineRule="auto"/>
        <w:ind w:firstLine="562" w:firstLineChars="200"/>
        <w:rPr>
          <w:rFonts w:hint="default"/>
          <w:color w:val="000000" w:themeColor="text1"/>
          <w:sz w:val="28"/>
          <w:szCs w:val="28"/>
          <w:highlight w:val="none"/>
          <w14:textFill>
            <w14:solidFill>
              <w14:schemeClr w14:val="tx1"/>
            </w14:solidFill>
          </w14:textFill>
        </w:rPr>
      </w:pPr>
      <w:bookmarkStart w:id="113" w:name="_Toc12884"/>
      <w:r>
        <w:rPr>
          <w:color w:val="000000" w:themeColor="text1"/>
          <w:sz w:val="28"/>
          <w:szCs w:val="28"/>
          <w:highlight w:val="none"/>
          <w14:textFill>
            <w14:solidFill>
              <w14:schemeClr w14:val="tx1"/>
            </w14:solidFill>
          </w14:textFill>
        </w:rPr>
        <w:t>1.9.4病案导出</w:t>
      </w:r>
      <w:bookmarkEnd w:id="113"/>
    </w:p>
    <w:p>
      <w:pPr>
        <w:spacing w:line="348"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支持将无纸化的病案导出成PDF，并具有水印、数字签章等防伪造措施。内容包括，普通导出、加密导出、可信导出。</w:t>
      </w:r>
    </w:p>
    <w:p>
      <w:pPr>
        <w:pStyle w:val="5"/>
        <w:spacing w:beforeAutospacing="0" w:after="0" w:afterAutospacing="0" w:line="348" w:lineRule="auto"/>
        <w:ind w:firstLine="562" w:firstLineChars="200"/>
        <w:rPr>
          <w:rFonts w:hint="default"/>
          <w:color w:val="000000" w:themeColor="text1"/>
          <w:sz w:val="28"/>
          <w:szCs w:val="28"/>
          <w:highlight w:val="none"/>
          <w14:textFill>
            <w14:solidFill>
              <w14:schemeClr w14:val="tx1"/>
            </w14:solidFill>
          </w14:textFill>
        </w:rPr>
      </w:pPr>
      <w:bookmarkStart w:id="114" w:name="_Toc25357"/>
      <w:r>
        <w:rPr>
          <w:color w:val="000000" w:themeColor="text1"/>
          <w:sz w:val="28"/>
          <w:szCs w:val="28"/>
          <w:highlight w:val="none"/>
          <w14:textFill>
            <w14:solidFill>
              <w14:schemeClr w14:val="tx1"/>
            </w14:solidFill>
          </w14:textFill>
        </w:rPr>
        <w:t>1.9.5自助机服务系统</w:t>
      </w:r>
      <w:bookmarkEnd w:id="114"/>
    </w:p>
    <w:p>
      <w:pPr>
        <w:spacing w:line="348"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通过自助机患者可以自助打印病案。在打印病案前，需要对身份证和打印人进行人脸识别，确认操作人是身份证本人方可进行后续打印操作，支持根据套餐进行自动选择打印内容，并能自动计算页数和金额。支持通过支付宝和微信支付进行付款。</w:t>
      </w:r>
    </w:p>
    <w:p>
      <w:pPr>
        <w:pStyle w:val="4"/>
        <w:spacing w:beforeAutospacing="0" w:after="0" w:afterAutospacing="0" w:line="348" w:lineRule="auto"/>
        <w:ind w:firstLine="643" w:firstLineChars="200"/>
        <w:rPr>
          <w:rFonts w:hint="default"/>
          <w:color w:val="000000" w:themeColor="text1"/>
          <w:highlight w:val="none"/>
          <w14:textFill>
            <w14:solidFill>
              <w14:schemeClr w14:val="tx1"/>
            </w14:solidFill>
          </w14:textFill>
        </w:rPr>
      </w:pPr>
      <w:bookmarkStart w:id="115" w:name="_Toc22025"/>
      <w:bookmarkStart w:id="116" w:name="_Toc25493"/>
      <w:r>
        <w:rPr>
          <w:color w:val="000000" w:themeColor="text1"/>
          <w:highlight w:val="none"/>
          <w14:textFill>
            <w14:solidFill>
              <w14:schemeClr w14:val="tx1"/>
            </w14:solidFill>
          </w14:textFill>
        </w:rPr>
        <w:t>医院信息集成平台</w:t>
      </w:r>
      <w:bookmarkEnd w:id="115"/>
      <w:bookmarkEnd w:id="116"/>
    </w:p>
    <w:p>
      <w:pPr>
        <w:pStyle w:val="5"/>
        <w:spacing w:beforeAutospacing="0" w:after="0" w:afterAutospacing="0" w:line="348" w:lineRule="auto"/>
        <w:ind w:firstLine="643" w:firstLineChars="200"/>
        <w:rPr>
          <w:rFonts w:hint="default"/>
          <w:color w:val="000000" w:themeColor="text1"/>
          <w:highlight w:val="none"/>
          <w14:textFill>
            <w14:solidFill>
              <w14:schemeClr w14:val="tx1"/>
            </w14:solidFill>
          </w14:textFill>
        </w:rPr>
      </w:pPr>
      <w:bookmarkStart w:id="117" w:name="_Toc25815"/>
      <w:r>
        <w:rPr>
          <w:color w:val="000000" w:themeColor="text1"/>
          <w:highlight w:val="none"/>
          <w14:textFill>
            <w14:solidFill>
              <w14:schemeClr w14:val="tx1"/>
            </w14:solidFill>
          </w14:textFill>
        </w:rPr>
        <w:t>1.10.1</w:t>
      </w:r>
      <w:r>
        <w:rPr>
          <w:color w:val="000000" w:themeColor="text1"/>
          <w:szCs w:val="22"/>
          <w:highlight w:val="none"/>
          <w14:textFill>
            <w14:solidFill>
              <w14:schemeClr w14:val="tx1"/>
            </w14:solidFill>
          </w14:textFill>
        </w:rPr>
        <w:t xml:space="preserve"> </w:t>
      </w:r>
      <w:bookmarkStart w:id="118" w:name="_Toc102513417"/>
      <w:bookmarkStart w:id="119" w:name="_Toc28241"/>
      <w:r>
        <w:rPr>
          <w:color w:val="000000" w:themeColor="text1"/>
          <w:highlight w:val="none"/>
          <w14:textFill>
            <w14:solidFill>
              <w14:schemeClr w14:val="tx1"/>
            </w14:solidFill>
          </w14:textFill>
        </w:rPr>
        <w:t>信息资源中心</w:t>
      </w:r>
      <w:bookmarkEnd w:id="117"/>
      <w:bookmarkEnd w:id="118"/>
      <w:bookmarkEnd w:id="119"/>
    </w:p>
    <w:p>
      <w:pPr>
        <w:pStyle w:val="6"/>
        <w:spacing w:after="0" w:line="348" w:lineRule="auto"/>
        <w:ind w:firstLine="562"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元数据管理</w:t>
      </w:r>
    </w:p>
    <w:p>
      <w:pPr>
        <w:spacing w:line="348"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用于对医疗卫生信息结构体系中，不同业务领域之间信息交换和数据共享所需要基本数据单元的管理。主要功能包括：</w:t>
      </w:r>
    </w:p>
    <w:p>
      <w:pPr>
        <w:numPr>
          <w:ilvl w:val="0"/>
          <w:numId w:val="10"/>
        </w:numPr>
        <w:overflowPunct w:val="0"/>
        <w:autoSpaceDE w:val="0"/>
        <w:autoSpaceDN w:val="0"/>
        <w:adjustRightInd w:val="0"/>
        <w:spacing w:line="348" w:lineRule="auto"/>
        <w:ind w:left="0" w:firstLine="420" w:firstLineChars="200"/>
        <w:textAlignment w:val="baseline"/>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提供完整的医疗卫生信息结构体系中所需要的统一、无歧义的基本数据单元（包括数据元的名称、属性、标识、表示、值域等描述）</w:t>
      </w:r>
    </w:p>
    <w:p>
      <w:pPr>
        <w:numPr>
          <w:ilvl w:val="0"/>
          <w:numId w:val="10"/>
        </w:numPr>
        <w:overflowPunct w:val="0"/>
        <w:autoSpaceDE w:val="0"/>
        <w:autoSpaceDN w:val="0"/>
        <w:adjustRightInd w:val="0"/>
        <w:spacing w:line="348" w:lineRule="auto"/>
        <w:ind w:left="0" w:firstLine="420" w:firstLineChars="200"/>
        <w:textAlignment w:val="baseline"/>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依据临床服务、医院管理以及平台应用业务活动，对元数据进行组织，形成以活动为基础的数据集合</w:t>
      </w:r>
    </w:p>
    <w:p>
      <w:pPr>
        <w:pStyle w:val="6"/>
        <w:spacing w:after="0" w:line="348" w:lineRule="auto"/>
        <w:ind w:firstLine="562"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主数据管理</w:t>
      </w:r>
    </w:p>
    <w:p>
      <w:pPr>
        <w:spacing w:line="348"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用于对区域内各业务系统公共基础资源信息的注册、清洗、转换、发布以及数据关系管理。主要功能包括：</w:t>
      </w:r>
    </w:p>
    <w:p>
      <w:pPr>
        <w:numPr>
          <w:ilvl w:val="0"/>
          <w:numId w:val="10"/>
        </w:numPr>
        <w:overflowPunct w:val="0"/>
        <w:autoSpaceDE w:val="0"/>
        <w:autoSpaceDN w:val="0"/>
        <w:adjustRightInd w:val="0"/>
        <w:spacing w:line="348" w:lineRule="auto"/>
        <w:ind w:left="0" w:firstLine="420" w:firstLineChars="200"/>
        <w:textAlignment w:val="baseline"/>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预置医疗卫生信息相关的术语和字典（诊疗项目、药品目录、疾病名称、手术编码等）</w:t>
      </w:r>
    </w:p>
    <w:p>
      <w:pPr>
        <w:numPr>
          <w:ilvl w:val="0"/>
          <w:numId w:val="10"/>
        </w:numPr>
        <w:overflowPunct w:val="0"/>
        <w:autoSpaceDE w:val="0"/>
        <w:autoSpaceDN w:val="0"/>
        <w:adjustRightInd w:val="0"/>
        <w:spacing w:line="348" w:lineRule="auto"/>
        <w:ind w:left="0" w:firstLine="420" w:firstLineChars="200"/>
        <w:textAlignment w:val="baseline"/>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提供注册服务，包括：病人信息的注册，医院机构的注册、医护人员的注册、医疗卫生术语和字典的注册</w:t>
      </w:r>
    </w:p>
    <w:p>
      <w:pPr>
        <w:numPr>
          <w:ilvl w:val="0"/>
          <w:numId w:val="10"/>
        </w:numPr>
        <w:overflowPunct w:val="0"/>
        <w:autoSpaceDE w:val="0"/>
        <w:autoSpaceDN w:val="0"/>
        <w:adjustRightInd w:val="0"/>
        <w:spacing w:line="348" w:lineRule="auto"/>
        <w:ind w:left="0" w:firstLine="420" w:firstLineChars="200"/>
        <w:textAlignment w:val="baseline"/>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提供数据发布服务，实现不同应用系统间主数据同步，提供主动式数据发布服务，将主数据变更信息进行实时发布，供各业务系统进行同步与更新</w:t>
      </w:r>
    </w:p>
    <w:p>
      <w:pPr>
        <w:numPr>
          <w:ilvl w:val="0"/>
          <w:numId w:val="10"/>
        </w:numPr>
        <w:overflowPunct w:val="0"/>
        <w:autoSpaceDE w:val="0"/>
        <w:autoSpaceDN w:val="0"/>
        <w:adjustRightInd w:val="0"/>
        <w:spacing w:line="348" w:lineRule="auto"/>
        <w:ind w:left="0" w:firstLine="420" w:firstLineChars="200"/>
        <w:textAlignment w:val="baseline"/>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提供主数据的访问服务，提供通用的主数据访问控制接口</w:t>
      </w:r>
    </w:p>
    <w:p>
      <w:pPr>
        <w:pStyle w:val="6"/>
        <w:spacing w:after="0" w:line="348" w:lineRule="auto"/>
        <w:ind w:firstLine="562"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数据交换定义及转换</w:t>
      </w:r>
    </w:p>
    <w:p>
      <w:pPr>
        <w:spacing w:line="348"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采用数据表方式描述HL7的任意版本且和基础数据对应，实现业务数据到HL7消息的智能转换。提供基础数据与国家卫计委CDA文件的对照工具，实现基于界面数据、Json对象、HL7、CDA等数据实例的相互自动转换。</w:t>
      </w:r>
    </w:p>
    <w:p>
      <w:pPr>
        <w:pStyle w:val="6"/>
        <w:spacing w:after="0" w:line="348" w:lineRule="auto"/>
        <w:ind w:firstLine="562"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指标字典管理</w:t>
      </w:r>
    </w:p>
    <w:p>
      <w:pPr>
        <w:spacing w:line="348"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用于统计分析所需数据指标的集中统一管理。主要功能包括：</w:t>
      </w:r>
    </w:p>
    <w:p>
      <w:pPr>
        <w:numPr>
          <w:ilvl w:val="0"/>
          <w:numId w:val="10"/>
        </w:numPr>
        <w:overflowPunct w:val="0"/>
        <w:autoSpaceDE w:val="0"/>
        <w:autoSpaceDN w:val="0"/>
        <w:adjustRightInd w:val="0"/>
        <w:spacing w:line="348" w:lineRule="auto"/>
        <w:ind w:left="0" w:firstLine="420" w:firstLineChars="200"/>
        <w:textAlignment w:val="baseline"/>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预置医院常用的统计指标字典（包括：指标名称、用途、业务规则、统计口径等），并支持指标信息的修改维护</w:t>
      </w:r>
    </w:p>
    <w:p>
      <w:pPr>
        <w:numPr>
          <w:ilvl w:val="0"/>
          <w:numId w:val="10"/>
        </w:numPr>
        <w:overflowPunct w:val="0"/>
        <w:autoSpaceDE w:val="0"/>
        <w:autoSpaceDN w:val="0"/>
        <w:adjustRightInd w:val="0"/>
        <w:spacing w:line="348" w:lineRule="auto"/>
        <w:ind w:left="0" w:firstLine="420" w:firstLineChars="200"/>
        <w:textAlignment w:val="baseline"/>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提供基于ODR的指标数据组织模型，并根据指标的数据统计口径，自动计算指标结果数据</w:t>
      </w:r>
    </w:p>
    <w:p>
      <w:pPr>
        <w:numPr>
          <w:ilvl w:val="0"/>
          <w:numId w:val="10"/>
        </w:numPr>
        <w:overflowPunct w:val="0"/>
        <w:autoSpaceDE w:val="0"/>
        <w:autoSpaceDN w:val="0"/>
        <w:adjustRightInd w:val="0"/>
        <w:spacing w:line="348" w:lineRule="auto"/>
        <w:ind w:left="0" w:firstLine="420" w:firstLineChars="200"/>
        <w:textAlignment w:val="baseline"/>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提供指标的访问服务，提供通用的指标访问控制接口供各应用系统使用</w:t>
      </w:r>
    </w:p>
    <w:p>
      <w:pPr>
        <w:pStyle w:val="5"/>
        <w:spacing w:beforeAutospacing="0" w:after="0" w:afterAutospacing="0" w:line="348" w:lineRule="auto"/>
        <w:ind w:firstLine="643" w:firstLineChars="200"/>
        <w:rPr>
          <w:rFonts w:hint="default"/>
          <w:color w:val="000000" w:themeColor="text1"/>
          <w:highlight w:val="none"/>
          <w14:textFill>
            <w14:solidFill>
              <w14:schemeClr w14:val="tx1"/>
            </w14:solidFill>
          </w14:textFill>
        </w:rPr>
      </w:pPr>
      <w:bookmarkStart w:id="120" w:name="_Toc102513418"/>
      <w:bookmarkStart w:id="121" w:name="_Toc26546"/>
      <w:bookmarkStart w:id="122" w:name="_Toc10924"/>
      <w:r>
        <w:rPr>
          <w:color w:val="000000" w:themeColor="text1"/>
          <w:highlight w:val="none"/>
          <w14:textFill>
            <w14:solidFill>
              <w14:schemeClr w14:val="tx1"/>
            </w14:solidFill>
          </w14:textFill>
        </w:rPr>
        <w:t>1.10.2 信息集成平台</w:t>
      </w:r>
      <w:bookmarkEnd w:id="120"/>
      <w:bookmarkEnd w:id="121"/>
      <w:bookmarkEnd w:id="122"/>
    </w:p>
    <w:p>
      <w:pPr>
        <w:pStyle w:val="6"/>
        <w:spacing w:after="0" w:line="348" w:lineRule="auto"/>
        <w:ind w:firstLine="562"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服务总线</w:t>
      </w:r>
    </w:p>
    <w:p>
      <w:pPr>
        <w:spacing w:line="348"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服务总线（ESB，EnterpriseServiceBus）用于消息处理、路由和转换功能，从而使服务能够在开发时或运行时实现集成。主要功能包括：</w:t>
      </w:r>
    </w:p>
    <w:p>
      <w:pPr>
        <w:numPr>
          <w:ilvl w:val="0"/>
          <w:numId w:val="10"/>
        </w:numPr>
        <w:overflowPunct w:val="0"/>
        <w:autoSpaceDE w:val="0"/>
        <w:autoSpaceDN w:val="0"/>
        <w:adjustRightInd w:val="0"/>
        <w:spacing w:line="348" w:lineRule="auto"/>
        <w:ind w:left="0" w:firstLine="420" w:firstLineChars="200"/>
        <w:textAlignment w:val="baseline"/>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支持请求/响应、点对点、发布/订阅和事件等多种集成模式</w:t>
      </w:r>
    </w:p>
    <w:p>
      <w:pPr>
        <w:numPr>
          <w:ilvl w:val="0"/>
          <w:numId w:val="10"/>
        </w:numPr>
        <w:overflowPunct w:val="0"/>
        <w:autoSpaceDE w:val="0"/>
        <w:autoSpaceDN w:val="0"/>
        <w:adjustRightInd w:val="0"/>
        <w:spacing w:line="348" w:lineRule="auto"/>
        <w:ind w:left="0" w:firstLine="420" w:firstLineChars="200"/>
        <w:textAlignment w:val="baseline"/>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支持利用XSLT或XQuery转换、业务规则、系统交叉参考和域值映射进行数据转换和文档扩充</w:t>
      </w:r>
    </w:p>
    <w:p>
      <w:pPr>
        <w:numPr>
          <w:ilvl w:val="0"/>
          <w:numId w:val="10"/>
        </w:numPr>
        <w:overflowPunct w:val="0"/>
        <w:autoSpaceDE w:val="0"/>
        <w:autoSpaceDN w:val="0"/>
        <w:adjustRightInd w:val="0"/>
        <w:spacing w:line="348" w:lineRule="auto"/>
        <w:ind w:left="0" w:firstLine="420" w:firstLineChars="200"/>
        <w:textAlignment w:val="baseline"/>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支持基于内容的路由和内容过滤</w:t>
      </w:r>
    </w:p>
    <w:p>
      <w:pPr>
        <w:numPr>
          <w:ilvl w:val="0"/>
          <w:numId w:val="10"/>
        </w:numPr>
        <w:overflowPunct w:val="0"/>
        <w:autoSpaceDE w:val="0"/>
        <w:autoSpaceDN w:val="0"/>
        <w:adjustRightInd w:val="0"/>
        <w:spacing w:line="348" w:lineRule="auto"/>
        <w:ind w:left="0" w:firstLine="420" w:firstLineChars="200"/>
        <w:textAlignment w:val="baseline"/>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支持XML、JMS、MQ、SOAP等基础消息格式和医疗卫生行业的HIPPAEDI、HL7V2/V3Message等消息格式的转化，以及支持HTTP、HTTPs、MLLP、TCP/IP等通信协议切换</w:t>
      </w:r>
    </w:p>
    <w:p>
      <w:pPr>
        <w:pStyle w:val="6"/>
        <w:spacing w:after="0" w:line="348" w:lineRule="auto"/>
        <w:ind w:firstLine="562"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平台运行管理</w:t>
      </w:r>
    </w:p>
    <w:p>
      <w:pPr>
        <w:spacing w:line="348"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用于平台、数据中心的运行信息监控、系统运行状态监测和维护操作管理。主要功能包括：</w:t>
      </w:r>
    </w:p>
    <w:p>
      <w:pPr>
        <w:numPr>
          <w:ilvl w:val="0"/>
          <w:numId w:val="10"/>
        </w:numPr>
        <w:overflowPunct w:val="0"/>
        <w:autoSpaceDE w:val="0"/>
        <w:autoSpaceDN w:val="0"/>
        <w:adjustRightInd w:val="0"/>
        <w:spacing w:line="348" w:lineRule="auto"/>
        <w:ind w:left="0" w:firstLine="420" w:firstLineChars="200"/>
        <w:textAlignment w:val="baseline"/>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提供统一可视化工具进行管理，监控和分析</w:t>
      </w:r>
    </w:p>
    <w:p>
      <w:pPr>
        <w:numPr>
          <w:ilvl w:val="0"/>
          <w:numId w:val="10"/>
        </w:numPr>
        <w:overflowPunct w:val="0"/>
        <w:autoSpaceDE w:val="0"/>
        <w:autoSpaceDN w:val="0"/>
        <w:adjustRightInd w:val="0"/>
        <w:spacing w:line="348" w:lineRule="auto"/>
        <w:ind w:left="0" w:firstLine="420" w:firstLineChars="200"/>
        <w:textAlignment w:val="baseline"/>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监控业务流程和服务，以及从流程和服务中跟踪关键性能指标，提供更丰富的、交互式个性化操作信息面板，可通过Web浏览器方式展现业务活动实时数据和个性化报表</w:t>
      </w:r>
    </w:p>
    <w:p>
      <w:pPr>
        <w:numPr>
          <w:ilvl w:val="0"/>
          <w:numId w:val="10"/>
        </w:numPr>
        <w:overflowPunct w:val="0"/>
        <w:autoSpaceDE w:val="0"/>
        <w:autoSpaceDN w:val="0"/>
        <w:adjustRightInd w:val="0"/>
        <w:spacing w:line="348" w:lineRule="auto"/>
        <w:ind w:left="0" w:firstLine="420" w:firstLineChars="200"/>
        <w:textAlignment w:val="baseline"/>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可以设置个性化的警告条件，实现对重要事件（如：通讯点或基础服务故障）发生时，通过电子邮件、短信等方式发送给指定的用户</w:t>
      </w:r>
    </w:p>
    <w:p>
      <w:pPr>
        <w:numPr>
          <w:ilvl w:val="0"/>
          <w:numId w:val="10"/>
        </w:numPr>
        <w:overflowPunct w:val="0"/>
        <w:autoSpaceDE w:val="0"/>
        <w:autoSpaceDN w:val="0"/>
        <w:adjustRightInd w:val="0"/>
        <w:spacing w:line="348" w:lineRule="auto"/>
        <w:ind w:left="0" w:firstLine="420" w:firstLineChars="200"/>
        <w:textAlignment w:val="baseline"/>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提供日志审计，能够记录平台系统管理员的操作，发现违规行为</w:t>
      </w:r>
    </w:p>
    <w:p>
      <w:pPr>
        <w:pStyle w:val="6"/>
        <w:spacing w:after="0" w:line="348" w:lineRule="auto"/>
        <w:ind w:firstLine="562"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工作流引擎</w:t>
      </w:r>
    </w:p>
    <w:p>
      <w:pPr>
        <w:spacing w:line="348"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用于创建、部署和管理跨应用程序的业务流程管理功能。主要功能包括：</w:t>
      </w:r>
    </w:p>
    <w:p>
      <w:pPr>
        <w:numPr>
          <w:ilvl w:val="0"/>
          <w:numId w:val="10"/>
        </w:numPr>
        <w:overflowPunct w:val="0"/>
        <w:autoSpaceDE w:val="0"/>
        <w:autoSpaceDN w:val="0"/>
        <w:adjustRightInd w:val="0"/>
        <w:spacing w:line="348" w:lineRule="auto"/>
        <w:ind w:left="0" w:firstLine="420" w:firstLineChars="200"/>
        <w:textAlignment w:val="baseline"/>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提供图形化的流程设计器，提供可视化的设置向导，以简化常见的任务（如：与IT系统连接和设置人工工作流步骤）</w:t>
      </w:r>
    </w:p>
    <w:p>
      <w:pPr>
        <w:numPr>
          <w:ilvl w:val="0"/>
          <w:numId w:val="10"/>
        </w:numPr>
        <w:overflowPunct w:val="0"/>
        <w:autoSpaceDE w:val="0"/>
        <w:autoSpaceDN w:val="0"/>
        <w:adjustRightInd w:val="0"/>
        <w:spacing w:line="348" w:lineRule="auto"/>
        <w:ind w:left="0" w:firstLine="420" w:firstLineChars="200"/>
        <w:textAlignment w:val="baseline"/>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提供用可视化的、基于Web的控制台，用于管理和调试部署的流程</w:t>
      </w:r>
    </w:p>
    <w:p>
      <w:pPr>
        <w:pStyle w:val="6"/>
        <w:spacing w:after="0" w:line="348" w:lineRule="auto"/>
        <w:ind w:firstLine="562"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规则引擎</w:t>
      </w:r>
    </w:p>
    <w:p>
      <w:pPr>
        <w:spacing w:line="348"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用于对医疗业务活动中的各类规则的抽取、分类，快速实现医院业务的变化而带来的规则动态定义。主要功能包括：</w:t>
      </w:r>
    </w:p>
    <w:p>
      <w:pPr>
        <w:numPr>
          <w:ilvl w:val="0"/>
          <w:numId w:val="10"/>
        </w:numPr>
        <w:overflowPunct w:val="0"/>
        <w:autoSpaceDE w:val="0"/>
        <w:autoSpaceDN w:val="0"/>
        <w:adjustRightInd w:val="0"/>
        <w:spacing w:line="348" w:lineRule="auto"/>
        <w:ind w:left="0" w:firstLine="420" w:firstLineChars="200"/>
        <w:textAlignment w:val="baseline"/>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提供业务规则定义工具，并预置医院业务的常见规则</w:t>
      </w:r>
    </w:p>
    <w:p>
      <w:pPr>
        <w:numPr>
          <w:ilvl w:val="0"/>
          <w:numId w:val="10"/>
        </w:numPr>
        <w:overflowPunct w:val="0"/>
        <w:autoSpaceDE w:val="0"/>
        <w:autoSpaceDN w:val="0"/>
        <w:adjustRightInd w:val="0"/>
        <w:spacing w:line="348" w:lineRule="auto"/>
        <w:ind w:left="0" w:firstLine="420" w:firstLineChars="200"/>
        <w:textAlignment w:val="baseline"/>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提供业务规则的发布，管理和维护功能</w:t>
      </w:r>
    </w:p>
    <w:p>
      <w:pPr>
        <w:numPr>
          <w:ilvl w:val="0"/>
          <w:numId w:val="10"/>
        </w:numPr>
        <w:overflowPunct w:val="0"/>
        <w:autoSpaceDE w:val="0"/>
        <w:autoSpaceDN w:val="0"/>
        <w:adjustRightInd w:val="0"/>
        <w:spacing w:line="348" w:lineRule="auto"/>
        <w:ind w:left="0" w:firstLine="420" w:firstLineChars="200"/>
        <w:textAlignment w:val="baseline"/>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提供业务规则执行引擎</w:t>
      </w:r>
    </w:p>
    <w:p>
      <w:pPr>
        <w:numPr>
          <w:ilvl w:val="0"/>
          <w:numId w:val="10"/>
        </w:numPr>
        <w:overflowPunct w:val="0"/>
        <w:autoSpaceDE w:val="0"/>
        <w:autoSpaceDN w:val="0"/>
        <w:adjustRightInd w:val="0"/>
        <w:spacing w:line="348" w:lineRule="auto"/>
        <w:ind w:left="0" w:firstLine="420" w:firstLineChars="200"/>
        <w:textAlignment w:val="baseline"/>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支持通过图形方式操作规则，用户也可以使用工具自行编写规则</w:t>
      </w:r>
    </w:p>
    <w:p>
      <w:pPr>
        <w:numPr>
          <w:ilvl w:val="0"/>
          <w:numId w:val="10"/>
        </w:numPr>
        <w:overflowPunct w:val="0"/>
        <w:autoSpaceDE w:val="0"/>
        <w:autoSpaceDN w:val="0"/>
        <w:adjustRightInd w:val="0"/>
        <w:spacing w:line="348" w:lineRule="auto"/>
        <w:ind w:left="0" w:firstLine="420" w:firstLineChars="200"/>
        <w:textAlignment w:val="baseline"/>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提供标准的业务规则服务，支持各应用系统集成</w:t>
      </w:r>
    </w:p>
    <w:p>
      <w:pPr>
        <w:pStyle w:val="5"/>
        <w:spacing w:beforeAutospacing="0" w:after="0" w:afterAutospacing="0" w:line="348" w:lineRule="auto"/>
        <w:ind w:firstLine="643" w:firstLineChars="200"/>
        <w:rPr>
          <w:rFonts w:hint="default"/>
          <w:color w:val="000000" w:themeColor="text1"/>
          <w:highlight w:val="none"/>
          <w14:textFill>
            <w14:solidFill>
              <w14:schemeClr w14:val="tx1"/>
            </w14:solidFill>
          </w14:textFill>
        </w:rPr>
      </w:pPr>
      <w:bookmarkStart w:id="123" w:name="_Toc102513419"/>
      <w:bookmarkStart w:id="124" w:name="_Toc1582696979"/>
      <w:bookmarkStart w:id="125" w:name="_Toc12466"/>
      <w:bookmarkStart w:id="126" w:name="_Toc23979"/>
      <w:r>
        <w:rPr>
          <w:color w:val="000000" w:themeColor="text1"/>
          <w:highlight w:val="none"/>
          <w14:textFill>
            <w14:solidFill>
              <w14:schemeClr w14:val="tx1"/>
            </w14:solidFill>
          </w14:textFill>
        </w:rPr>
        <w:t>1.10.3 业务数据中心（ODR）</w:t>
      </w:r>
      <w:bookmarkEnd w:id="123"/>
      <w:bookmarkEnd w:id="124"/>
      <w:bookmarkEnd w:id="125"/>
      <w:bookmarkEnd w:id="126"/>
    </w:p>
    <w:p>
      <w:pPr>
        <w:spacing w:line="348" w:lineRule="auto"/>
        <w:ind w:firstLine="420" w:firstLineChars="200"/>
        <w:rPr>
          <w:rFonts w:ascii="宋体" w:hAnsi="宋体" w:cs="仿宋"/>
          <w:color w:val="000000" w:themeColor="text1"/>
          <w:highlight w:val="none"/>
          <w14:textFill>
            <w14:solidFill>
              <w14:schemeClr w14:val="tx1"/>
            </w14:solidFill>
          </w14:textFill>
        </w:rPr>
      </w:pPr>
      <w:r>
        <w:rPr>
          <w:rFonts w:hint="eastAsia" w:ascii="宋体" w:hAnsi="宋体" w:cs="仿宋"/>
          <w:color w:val="000000" w:themeColor="text1"/>
          <w:highlight w:val="none"/>
          <w14:textFill>
            <w14:solidFill>
              <w14:schemeClr w14:val="tx1"/>
            </w14:solidFill>
          </w14:textFill>
        </w:rPr>
        <w:t>业务数据中心相关功能要求：</w:t>
      </w:r>
    </w:p>
    <w:p>
      <w:pPr>
        <w:numPr>
          <w:ilvl w:val="1"/>
          <w:numId w:val="6"/>
        </w:numPr>
        <w:tabs>
          <w:tab w:val="left" w:pos="993"/>
          <w:tab w:val="clear" w:pos="1440"/>
        </w:tabs>
        <w:spacing w:line="348" w:lineRule="auto"/>
        <w:ind w:left="0" w:firstLine="420" w:firstLineChars="200"/>
        <w:rPr>
          <w:rFonts w:ascii="宋体" w:hAnsi="宋体" w:cs="仿宋"/>
          <w:color w:val="000000" w:themeColor="text1"/>
          <w:highlight w:val="none"/>
          <w14:textFill>
            <w14:solidFill>
              <w14:schemeClr w14:val="tx1"/>
            </w14:solidFill>
          </w14:textFill>
        </w:rPr>
      </w:pPr>
      <w:r>
        <w:rPr>
          <w:rFonts w:hint="eastAsia" w:ascii="宋体" w:hAnsi="宋体" w:cs="仿宋"/>
          <w:color w:val="000000" w:themeColor="text1"/>
          <w:highlight w:val="none"/>
          <w14:textFill>
            <w14:solidFill>
              <w14:schemeClr w14:val="tx1"/>
            </w14:solidFill>
          </w14:textFill>
        </w:rPr>
        <w:t>提供业务数据管理驾驶舱</w:t>
      </w:r>
    </w:p>
    <w:p>
      <w:pPr>
        <w:numPr>
          <w:ilvl w:val="1"/>
          <w:numId w:val="6"/>
        </w:numPr>
        <w:tabs>
          <w:tab w:val="left" w:pos="993"/>
          <w:tab w:val="clear" w:pos="1440"/>
        </w:tabs>
        <w:spacing w:line="348" w:lineRule="auto"/>
        <w:ind w:left="0" w:firstLine="420" w:firstLineChars="200"/>
        <w:rPr>
          <w:rFonts w:ascii="宋体" w:hAnsi="宋体" w:cs="仿宋"/>
          <w:color w:val="000000" w:themeColor="text1"/>
          <w:highlight w:val="none"/>
          <w14:textFill>
            <w14:solidFill>
              <w14:schemeClr w14:val="tx1"/>
            </w14:solidFill>
          </w14:textFill>
        </w:rPr>
      </w:pPr>
      <w:r>
        <w:rPr>
          <w:rFonts w:hint="eastAsia" w:ascii="宋体" w:hAnsi="宋体" w:cs="仿宋"/>
          <w:color w:val="000000" w:themeColor="text1"/>
          <w:highlight w:val="none"/>
          <w14:textFill>
            <w14:solidFill>
              <w14:schemeClr w14:val="tx1"/>
            </w14:solidFill>
          </w14:textFill>
        </w:rPr>
        <w:t>提供相关数据分析包括：财务</w:t>
      </w:r>
      <w:r>
        <w:rPr>
          <w:rFonts w:ascii="宋体" w:hAnsi="宋体" w:cs="仿宋"/>
          <w:color w:val="000000" w:themeColor="text1"/>
          <w:highlight w:val="none"/>
          <w14:textFill>
            <w14:solidFill>
              <w14:schemeClr w14:val="tx1"/>
            </w14:solidFill>
          </w14:textFill>
        </w:rPr>
        <w:t>运营</w:t>
      </w:r>
      <w:r>
        <w:rPr>
          <w:rFonts w:hint="eastAsia" w:ascii="宋体" w:hAnsi="宋体" w:cs="仿宋"/>
          <w:color w:val="000000" w:themeColor="text1"/>
          <w:highlight w:val="none"/>
          <w14:textFill>
            <w14:solidFill>
              <w14:schemeClr w14:val="tx1"/>
            </w14:solidFill>
          </w14:textFill>
        </w:rPr>
        <w:t>分析、医疗质量分析、门诊综合分析、住院综合分析、医技业务分析、护理业务分析、手麻业务分析、医保监控分析、药品业务分析、</w:t>
      </w:r>
      <w:r>
        <w:rPr>
          <w:rFonts w:ascii="宋体" w:hAnsi="宋体" w:cs="仿宋"/>
          <w:color w:val="000000" w:themeColor="text1"/>
          <w:highlight w:val="none"/>
          <w14:textFill>
            <w14:solidFill>
              <w14:schemeClr w14:val="tx1"/>
            </w14:solidFill>
          </w14:textFill>
        </w:rPr>
        <w:t>病案管理分析</w:t>
      </w:r>
      <w:r>
        <w:rPr>
          <w:rFonts w:hint="eastAsia" w:ascii="宋体" w:hAnsi="宋体" w:cs="仿宋"/>
          <w:color w:val="000000" w:themeColor="text1"/>
          <w:highlight w:val="none"/>
          <w14:textFill>
            <w14:solidFill>
              <w14:schemeClr w14:val="tx1"/>
            </w14:solidFill>
          </w14:textFill>
        </w:rPr>
        <w:t>、</w:t>
      </w:r>
      <w:r>
        <w:rPr>
          <w:rFonts w:ascii="宋体" w:hAnsi="宋体" w:cs="仿宋"/>
          <w:color w:val="000000" w:themeColor="text1"/>
          <w:highlight w:val="none"/>
          <w14:textFill>
            <w14:solidFill>
              <w14:schemeClr w14:val="tx1"/>
            </w14:solidFill>
          </w14:textFill>
        </w:rPr>
        <w:t>医院感染分析</w:t>
      </w:r>
      <w:r>
        <w:rPr>
          <w:rFonts w:hint="eastAsia" w:ascii="宋体" w:hAnsi="宋体" w:cs="仿宋"/>
          <w:color w:val="000000" w:themeColor="text1"/>
          <w:highlight w:val="none"/>
          <w14:textFill>
            <w14:solidFill>
              <w14:schemeClr w14:val="tx1"/>
            </w14:solidFill>
          </w14:textFill>
        </w:rPr>
        <w:t>、</w:t>
      </w:r>
      <w:r>
        <w:rPr>
          <w:rFonts w:ascii="宋体" w:hAnsi="宋体" w:cs="仿宋"/>
          <w:color w:val="000000" w:themeColor="text1"/>
          <w:highlight w:val="none"/>
          <w14:textFill>
            <w14:solidFill>
              <w14:schemeClr w14:val="tx1"/>
            </w14:solidFill>
          </w14:textFill>
        </w:rPr>
        <w:t>人力资源分析</w:t>
      </w:r>
      <w:r>
        <w:rPr>
          <w:rFonts w:hint="eastAsia" w:ascii="宋体" w:hAnsi="宋体" w:cs="仿宋"/>
          <w:color w:val="000000" w:themeColor="text1"/>
          <w:highlight w:val="none"/>
          <w14:textFill>
            <w14:solidFill>
              <w14:schemeClr w14:val="tx1"/>
            </w14:solidFill>
          </w14:textFill>
        </w:rPr>
        <w:t>、</w:t>
      </w:r>
      <w:r>
        <w:rPr>
          <w:rFonts w:ascii="宋体" w:hAnsi="宋体" w:cs="仿宋"/>
          <w:color w:val="000000" w:themeColor="text1"/>
          <w:highlight w:val="none"/>
          <w14:textFill>
            <w14:solidFill>
              <w14:schemeClr w14:val="tx1"/>
            </w14:solidFill>
          </w14:textFill>
        </w:rPr>
        <w:t>临床路径管理</w:t>
      </w:r>
      <w:r>
        <w:rPr>
          <w:rFonts w:hint="eastAsia" w:ascii="宋体" w:hAnsi="宋体" w:cs="仿宋"/>
          <w:color w:val="000000" w:themeColor="text1"/>
          <w:highlight w:val="none"/>
          <w14:textFill>
            <w14:solidFill>
              <w14:schemeClr w14:val="tx1"/>
            </w14:solidFill>
          </w14:textFill>
        </w:rPr>
        <w:t>分析、固定资产分析、物质业务分析、卫材业务分析、医联体医院基本运营情况展示。</w:t>
      </w:r>
    </w:p>
    <w:p>
      <w:pPr>
        <w:pStyle w:val="5"/>
        <w:spacing w:beforeAutospacing="0" w:after="0" w:afterAutospacing="0" w:line="348" w:lineRule="auto"/>
        <w:ind w:firstLine="643" w:firstLineChars="200"/>
        <w:rPr>
          <w:rFonts w:hint="default"/>
          <w:color w:val="000000" w:themeColor="text1"/>
          <w:highlight w:val="none"/>
          <w14:textFill>
            <w14:solidFill>
              <w14:schemeClr w14:val="tx1"/>
            </w14:solidFill>
          </w14:textFill>
        </w:rPr>
      </w:pPr>
      <w:bookmarkStart w:id="127" w:name="_Toc2259"/>
      <w:bookmarkStart w:id="128" w:name="_Toc12519"/>
      <w:r>
        <w:rPr>
          <w:color w:val="000000" w:themeColor="text1"/>
          <w:highlight w:val="none"/>
          <w14:textFill>
            <w14:solidFill>
              <w14:schemeClr w14:val="tx1"/>
            </w14:solidFill>
          </w14:textFill>
        </w:rPr>
        <w:t>1.10.4 临床数据中心（CDR）</w:t>
      </w:r>
      <w:bookmarkEnd w:id="127"/>
      <w:bookmarkEnd w:id="128"/>
    </w:p>
    <w:p>
      <w:pPr>
        <w:spacing w:line="348" w:lineRule="auto"/>
        <w:ind w:firstLine="420" w:firstLineChars="200"/>
        <w:rPr>
          <w:rFonts w:ascii="宋体" w:hAnsi="宋体" w:cs="仿宋"/>
          <w:color w:val="000000" w:themeColor="text1"/>
          <w:highlight w:val="none"/>
          <w14:textFill>
            <w14:solidFill>
              <w14:schemeClr w14:val="tx1"/>
            </w14:solidFill>
          </w14:textFill>
        </w:rPr>
      </w:pPr>
      <w:r>
        <w:rPr>
          <w:rFonts w:hint="eastAsia" w:ascii="宋体" w:hAnsi="宋体" w:cs="仿宋"/>
          <w:color w:val="000000" w:themeColor="text1"/>
          <w:highlight w:val="none"/>
          <w14:textFill>
            <w14:solidFill>
              <w14:schemeClr w14:val="tx1"/>
            </w14:solidFill>
          </w14:textFill>
        </w:rPr>
        <w:t xml:space="preserve"> </w:t>
      </w:r>
      <w:r>
        <w:rPr>
          <w:rFonts w:ascii="宋体" w:hAnsi="宋体" w:cs="仿宋"/>
          <w:color w:val="000000" w:themeColor="text1"/>
          <w:highlight w:val="none"/>
          <w14:textFill>
            <w14:solidFill>
              <w14:schemeClr w14:val="tx1"/>
            </w14:solidFill>
          </w14:textFill>
        </w:rPr>
        <w:t xml:space="preserve">   </w:t>
      </w:r>
      <w:r>
        <w:rPr>
          <w:rFonts w:hint="eastAsia" w:ascii="宋体" w:hAnsi="宋体" w:cs="仿宋"/>
          <w:color w:val="000000" w:themeColor="text1"/>
          <w:highlight w:val="none"/>
          <w14:textFill>
            <w14:solidFill>
              <w14:schemeClr w14:val="tx1"/>
            </w14:solidFill>
          </w14:textFill>
        </w:rPr>
        <w:t>CDR用于临床电子病历数据和临床文档数据的集中存储与管理。将分散在不同临床业务系统、以不同形式表示和存储的数据，按照统一的标准格式汇集，并进行统一的建模，形成一个面向临床，以患者为中心的数据存储。主要功能包括：</w:t>
      </w:r>
    </w:p>
    <w:p>
      <w:pPr>
        <w:pStyle w:val="46"/>
        <w:numPr>
          <w:ilvl w:val="0"/>
          <w:numId w:val="11"/>
        </w:numPr>
        <w:overflowPunct w:val="0"/>
        <w:autoSpaceDE w:val="0"/>
        <w:autoSpaceDN w:val="0"/>
        <w:adjustRightInd w:val="0"/>
        <w:spacing w:line="348" w:lineRule="auto"/>
        <w:ind w:left="0" w:firstLine="480"/>
        <w:textAlignment w:val="baseline"/>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添加或取消文档原型定义的CDA的Header节点和XDS的数据元的对照关系，将CDA文档中的节点同XDS元数据进行映射，用于封装ebXML文档时使用</w:t>
      </w:r>
    </w:p>
    <w:p>
      <w:pPr>
        <w:pStyle w:val="46"/>
        <w:numPr>
          <w:ilvl w:val="0"/>
          <w:numId w:val="11"/>
        </w:numPr>
        <w:overflowPunct w:val="0"/>
        <w:autoSpaceDE w:val="0"/>
        <w:autoSpaceDN w:val="0"/>
        <w:adjustRightInd w:val="0"/>
        <w:spacing w:line="348" w:lineRule="auto"/>
        <w:ind w:left="0" w:firstLine="480"/>
        <w:textAlignment w:val="baseline"/>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添加或取消来源于文档中的值域值和XDS数据元的值域值的对照关系，将文档值域中的值同XDS元数据的值域值进行映射，用于封装ebXML文档时使用</w:t>
      </w:r>
    </w:p>
    <w:p>
      <w:pPr>
        <w:pStyle w:val="46"/>
        <w:numPr>
          <w:ilvl w:val="0"/>
          <w:numId w:val="11"/>
        </w:numPr>
        <w:overflowPunct w:val="0"/>
        <w:autoSpaceDE w:val="0"/>
        <w:autoSpaceDN w:val="0"/>
        <w:adjustRightInd w:val="0"/>
        <w:spacing w:line="348" w:lineRule="auto"/>
        <w:ind w:left="0" w:firstLine="480"/>
        <w:textAlignment w:val="baseline"/>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对注册到平台上的文档进行相应的管理和维护，文档可以通过自动采集或手动注册到平台上，用于采集成功的正确文档的审批和解析、采集成功的错误文档的作废和取消解析、采集失败的CDA文档的注册</w:t>
      </w:r>
    </w:p>
    <w:p>
      <w:pPr>
        <w:pStyle w:val="46"/>
        <w:numPr>
          <w:ilvl w:val="0"/>
          <w:numId w:val="11"/>
        </w:numPr>
        <w:overflowPunct w:val="0"/>
        <w:autoSpaceDE w:val="0"/>
        <w:autoSpaceDN w:val="0"/>
        <w:adjustRightInd w:val="0"/>
        <w:spacing w:line="348" w:lineRule="auto"/>
        <w:ind w:left="0" w:firstLine="480"/>
        <w:textAlignment w:val="baseline"/>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按IHE的规范，对文档内容进行查询，支持将文档下载到本地进行查看</w:t>
      </w:r>
    </w:p>
    <w:p>
      <w:pPr>
        <w:pStyle w:val="46"/>
        <w:numPr>
          <w:ilvl w:val="0"/>
          <w:numId w:val="11"/>
        </w:numPr>
        <w:overflowPunct w:val="0"/>
        <w:autoSpaceDE w:val="0"/>
        <w:autoSpaceDN w:val="0"/>
        <w:adjustRightInd w:val="0"/>
        <w:spacing w:line="348" w:lineRule="auto"/>
        <w:ind w:left="0" w:firstLine="480"/>
        <w:textAlignment w:val="baseline"/>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根据文档编码、文档分类、解析修改时间等，对文档解析的修改记录进行查看</w:t>
      </w:r>
    </w:p>
    <w:p>
      <w:pPr>
        <w:pStyle w:val="6"/>
        <w:spacing w:after="0" w:line="348" w:lineRule="auto"/>
        <w:ind w:firstLine="562" w:firstLineChars="200"/>
        <w:rPr>
          <w:rFonts w:ascii="宋体" w:hAnsi="宋体" w:cs="仿宋"/>
          <w:color w:val="000000" w:themeColor="text1"/>
          <w:szCs w:val="24"/>
          <w:highlight w:val="none"/>
          <w14:textFill>
            <w14:solidFill>
              <w14:schemeClr w14:val="tx1"/>
            </w14:solidFill>
          </w14:textFill>
        </w:rPr>
      </w:pPr>
      <w:r>
        <w:rPr>
          <w:rFonts w:hint="eastAsia" w:ascii="宋体" w:hAnsi="宋体" w:cs="仿宋"/>
          <w:color w:val="000000" w:themeColor="text1"/>
          <w:szCs w:val="24"/>
          <w:highlight w:val="none"/>
          <w14:textFill>
            <w14:solidFill>
              <w14:schemeClr w14:val="tx1"/>
            </w14:solidFill>
          </w14:textFill>
        </w:rPr>
        <w:t>数据仓库工具</w:t>
      </w:r>
    </w:p>
    <w:p>
      <w:pPr>
        <w:spacing w:line="348" w:lineRule="auto"/>
        <w:ind w:firstLine="420" w:firstLineChars="200"/>
        <w:rPr>
          <w:rFonts w:ascii="宋体" w:hAnsi="宋体" w:cs="仿宋"/>
          <w:color w:val="000000" w:themeColor="text1"/>
          <w:highlight w:val="none"/>
          <w14:textFill>
            <w14:solidFill>
              <w14:schemeClr w14:val="tx1"/>
            </w14:solidFill>
          </w14:textFill>
        </w:rPr>
      </w:pPr>
      <w:r>
        <w:rPr>
          <w:rFonts w:hint="eastAsia" w:ascii="宋体" w:hAnsi="宋体" w:cs="仿宋"/>
          <w:color w:val="000000" w:themeColor="text1"/>
          <w:highlight w:val="none"/>
          <w14:textFill>
            <w14:solidFill>
              <w14:schemeClr w14:val="tx1"/>
            </w14:solidFill>
          </w14:textFill>
        </w:rPr>
        <w:t>采用数据仓库技术ETL（Extract-Transform-Load）工具，实现将各业务系统中的生产数据自动抽取转换到数据中心，并经过数据清洗，保证数据的正确性和唯一性，主要功能包括：</w:t>
      </w:r>
    </w:p>
    <w:p>
      <w:pPr>
        <w:pStyle w:val="46"/>
        <w:numPr>
          <w:ilvl w:val="0"/>
          <w:numId w:val="11"/>
        </w:numPr>
        <w:overflowPunct w:val="0"/>
        <w:autoSpaceDE w:val="0"/>
        <w:autoSpaceDN w:val="0"/>
        <w:adjustRightInd w:val="0"/>
        <w:spacing w:line="348" w:lineRule="auto"/>
        <w:ind w:left="0" w:firstLine="480"/>
        <w:textAlignment w:val="baseline"/>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对平台的支持：数据抽取工具面对的要求往往是将几十上百个GB的数据在有限的几个小时内完成抽取转换和装载，这种挑战势必要求抽取工具对高性能的硬件和主机提供支持。目前主流的平台包括：Windows、Linux、SUN-Solaris、HP-UX、IBM-AIX、AS/400、OS/390、ScoUnix等</w:t>
      </w:r>
    </w:p>
    <w:p>
      <w:pPr>
        <w:pStyle w:val="46"/>
        <w:numPr>
          <w:ilvl w:val="0"/>
          <w:numId w:val="11"/>
        </w:numPr>
        <w:overflowPunct w:val="0"/>
        <w:autoSpaceDE w:val="0"/>
        <w:autoSpaceDN w:val="0"/>
        <w:adjustRightInd w:val="0"/>
        <w:spacing w:line="348" w:lineRule="auto"/>
        <w:ind w:left="0" w:firstLine="480"/>
        <w:textAlignment w:val="baseline"/>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对数据源的支持：需要对项目中可能会遇到的各种数据源及数据源接口类型进行分析，如，针对同一种数据库，使用通用的接口（如ODBC/JDBC）还是原厂商自己的专用接口，数据抽取效率会有很大差别。常见的数据源包括：Oracle、SQLServer、DB2、Informix、Sybase、SAS、Text、Excel、SAP、Peoplesoft等</w:t>
      </w:r>
    </w:p>
    <w:p>
      <w:pPr>
        <w:pStyle w:val="46"/>
        <w:numPr>
          <w:ilvl w:val="0"/>
          <w:numId w:val="11"/>
        </w:numPr>
        <w:overflowPunct w:val="0"/>
        <w:autoSpaceDE w:val="0"/>
        <w:autoSpaceDN w:val="0"/>
        <w:adjustRightInd w:val="0"/>
        <w:spacing w:line="348" w:lineRule="auto"/>
        <w:ind w:left="0" w:firstLine="480"/>
        <w:textAlignment w:val="baseline"/>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数据转换功能：对抽取到的数据能进行灵活的计算、合并、拆分等，包括：字段映射，映射的自动匹配，字段的拆分，多字段的混合运算，跨异构数据库的关联，自定义函数，多数据类型支持，复杂条件过滤，支持脏读，数据的批量装载，时间类型的转换，对各种码表的支持，环境变量是否可以动态修改，去重复记录，抽取断点，记录间合并或计算，记录拆分、抽取的字段等</w:t>
      </w:r>
    </w:p>
    <w:p>
      <w:pPr>
        <w:pStyle w:val="46"/>
        <w:numPr>
          <w:ilvl w:val="0"/>
          <w:numId w:val="11"/>
        </w:numPr>
        <w:overflowPunct w:val="0"/>
        <w:autoSpaceDE w:val="0"/>
        <w:autoSpaceDN w:val="0"/>
        <w:adjustRightInd w:val="0"/>
        <w:spacing w:line="348" w:lineRule="auto"/>
        <w:ind w:left="0" w:firstLine="480"/>
        <w:textAlignment w:val="baseline"/>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管理和调度功能：采用多线程、分布式、负载均衡、集中管理等高性能高可靠性与易管理和扩展的多层体系架构，包括：抽取过程的备份与恢复、升级，版本管理，开发和发布，支持统一以及自定义的管理平台，支持时间触发方式，支持事件触发方式，支持命令行执行方式，支持用户对计算机资源的管理和分配，负载均衡，文档的自动生成，调度过程中能否执行其他任务等</w:t>
      </w:r>
    </w:p>
    <w:p>
      <w:pPr>
        <w:pStyle w:val="4"/>
        <w:spacing w:beforeAutospacing="0" w:after="0" w:afterAutospacing="0" w:line="348" w:lineRule="auto"/>
        <w:ind w:firstLine="643" w:firstLineChars="200"/>
        <w:rPr>
          <w:rFonts w:hint="default"/>
          <w:color w:val="000000" w:themeColor="text1"/>
          <w:highlight w:val="none"/>
          <w14:textFill>
            <w14:solidFill>
              <w14:schemeClr w14:val="tx1"/>
            </w14:solidFill>
          </w14:textFill>
        </w:rPr>
      </w:pPr>
      <w:bookmarkStart w:id="129" w:name="_Toc29523"/>
      <w:bookmarkStart w:id="130" w:name="_Toc1560"/>
      <w:r>
        <w:rPr>
          <w:color w:val="000000" w:themeColor="text1"/>
          <w:highlight w:val="none"/>
          <w14:textFill>
            <w14:solidFill>
              <w14:schemeClr w14:val="tx1"/>
            </w14:solidFill>
          </w14:textFill>
        </w:rPr>
        <w:t>互联网医院平台</w:t>
      </w:r>
      <w:bookmarkEnd w:id="129"/>
      <w:bookmarkEnd w:id="130"/>
    </w:p>
    <w:p>
      <w:pPr>
        <w:spacing w:line="348"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功能要求：预约挂号、图文咨询、视频问诊、医嘱查看、医生评价、在线支付、查看物流、消息中心、知情同意书、就诊人管理、医生搜索、订单管理、诊室列表、医生介绍、图文咨询接诊、视频问诊接诊、子处方、处方签名、处方审核、医生登录、排班查询、患者信息查看、消息提醒、推送治疗方案、医生账户录入、患者账户管理、订单管理、退费管理（申请、查询）、评价管理、基础数据统、支付账户管理、权限管理、科室分类、基础字典、用户协议、出诊医生管理。</w:t>
      </w:r>
    </w:p>
    <w:p>
      <w:pPr>
        <w:pStyle w:val="4"/>
        <w:spacing w:beforeAutospacing="0" w:after="0" w:afterAutospacing="0" w:line="348" w:lineRule="auto"/>
        <w:ind w:firstLine="643" w:firstLineChars="200"/>
        <w:rPr>
          <w:rFonts w:hint="default"/>
          <w:color w:val="000000" w:themeColor="text1"/>
          <w:highlight w:val="none"/>
          <w14:textFill>
            <w14:solidFill>
              <w14:schemeClr w14:val="tx1"/>
            </w14:solidFill>
          </w14:textFill>
        </w:rPr>
      </w:pPr>
      <w:bookmarkStart w:id="131" w:name="_Toc30096"/>
      <w:bookmarkStart w:id="132" w:name="_Toc24638"/>
      <w:r>
        <w:rPr>
          <w:color w:val="000000" w:themeColor="text1"/>
          <w:highlight w:val="none"/>
          <w14:textFill>
            <w14:solidFill>
              <w14:schemeClr w14:val="tx1"/>
            </w14:solidFill>
          </w14:textFill>
        </w:rPr>
        <w:t>慢病管理平台</w:t>
      </w:r>
      <w:bookmarkEnd w:id="131"/>
      <w:bookmarkEnd w:id="132"/>
    </w:p>
    <w:p>
      <w:pPr>
        <w:tabs>
          <w:tab w:val="left" w:pos="312"/>
        </w:tabs>
        <w:spacing w:line="348"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功能要求：账号密码登录、图形拼接校验、基本资料、个人登录信息展示、组织管理、角色管理、患者账户管理、医护人员账户管理、菜单管理、医疗账户管理、预警值配置、设备管理、日志管理、配置管理、药品库、食材库、实时数据标签栏、我的排班、我的患者、我的随访任务、监测预警、发送问卷、管理方案维、表格维护、健康宣教知识库、随访提醒短信发送、随访提醒微信消息发送、个人基本信息表、门诊病历、住院病历、体检报告、用药记录、血糖数据、血压数据、运动数据、饮食数据、问卷记录、随访记录、课件、学分、科研数据概览、查看调查记录、管理数据概览、监测预警、数据列表、患者列表、课程列表、我的排班。</w:t>
      </w:r>
    </w:p>
    <w:p>
      <w:pPr>
        <w:pStyle w:val="4"/>
        <w:spacing w:beforeAutospacing="0" w:after="0" w:afterAutospacing="0" w:line="348" w:lineRule="auto"/>
        <w:ind w:firstLine="643" w:firstLineChars="200"/>
        <w:rPr>
          <w:rFonts w:hint="default"/>
          <w:color w:val="000000" w:themeColor="text1"/>
          <w:highlight w:val="none"/>
          <w14:textFill>
            <w14:solidFill>
              <w14:schemeClr w14:val="tx1"/>
            </w14:solidFill>
          </w14:textFill>
        </w:rPr>
      </w:pPr>
      <w:bookmarkStart w:id="133" w:name="_Toc12632"/>
      <w:r>
        <w:rPr>
          <w:color w:val="000000" w:themeColor="text1"/>
          <w:highlight w:val="none"/>
          <w14:textFill>
            <w14:solidFill>
              <w14:schemeClr w14:val="tx1"/>
            </w14:solidFill>
          </w14:textFill>
        </w:rPr>
        <w:t>1</w:t>
      </w:r>
      <w:r>
        <w:rPr>
          <w:rFonts w:cs="仿宋"/>
          <w:color w:val="000000" w:themeColor="text1"/>
          <w:highlight w:val="none"/>
          <w14:textFill>
            <w14:solidFill>
              <w14:schemeClr w14:val="tx1"/>
            </w14:solidFill>
          </w14:textFill>
        </w:rPr>
        <w:t>20急救指挥中心平台</w:t>
      </w:r>
      <w:bookmarkEnd w:id="133"/>
    </w:p>
    <w:p>
      <w:pPr>
        <w:tabs>
          <w:tab w:val="left" w:pos="312"/>
        </w:tabs>
        <w:spacing w:line="348"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功能要求：120电话呼叫中心、车辆指挥调度-调度指挥、车辆指挥调度-调度监控、院前信息大屏、院前移动工作站</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领导首页、互联网地图子系统、站点管理子系统、院前后台管理站、院前移动工作站-急救司机、院前移动工作站-院前护理、院前移动工作站-院前医生、院前移动工作站-告知信息发布、院前移动工作站-远程专家会诊、急救车载医疗设备接入。</w:t>
      </w:r>
    </w:p>
    <w:p>
      <w:pPr>
        <w:pStyle w:val="4"/>
        <w:spacing w:beforeAutospacing="0" w:after="0" w:afterAutospacing="0" w:line="348" w:lineRule="auto"/>
        <w:ind w:firstLine="643" w:firstLineChars="200"/>
        <w:rPr>
          <w:rFonts w:hint="default"/>
          <w:color w:val="000000" w:themeColor="text1"/>
          <w:highlight w:val="none"/>
          <w14:textFill>
            <w14:solidFill>
              <w14:schemeClr w14:val="tx1"/>
            </w14:solidFill>
          </w14:textFill>
        </w:rPr>
      </w:pPr>
      <w:bookmarkStart w:id="134" w:name="_Toc20521"/>
      <w:bookmarkStart w:id="135" w:name="_Toc24343"/>
      <w:bookmarkStart w:id="136" w:name="_Toc12438"/>
      <w:r>
        <w:rPr>
          <w:color w:val="000000" w:themeColor="text1"/>
          <w:highlight w:val="none"/>
          <w14:textFill>
            <w14:solidFill>
              <w14:schemeClr w14:val="tx1"/>
            </w14:solidFill>
          </w14:textFill>
        </w:rPr>
        <w:t>院内卒中急救管理平台</w:t>
      </w:r>
      <w:bookmarkEnd w:id="134"/>
      <w:bookmarkEnd w:id="135"/>
    </w:p>
    <w:p>
      <w:pPr>
        <w:tabs>
          <w:tab w:val="left" w:pos="312"/>
        </w:tabs>
        <w:spacing w:line="348"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院内卒中急救管理平台支持对卒中中心全工作流进行信息的管理，包括卒中急救流程的定义、患者列表、单个患者诊疗时间轴。详细完整地记录卒中患者在各流程节点的相关信息，全方位立体地对卒中患者全流程诊疗过程进行监控；同时对医护人员的医疗行为进行监管和约束，进而更好地确保卒中患者的生命安全。</w:t>
      </w:r>
    </w:p>
    <w:p>
      <w:pPr>
        <w:tabs>
          <w:tab w:val="left" w:pos="312"/>
        </w:tabs>
        <w:spacing w:line="348"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功能要求：</w:t>
      </w:r>
      <w:bookmarkStart w:id="137" w:name="_Toc1823429219"/>
      <w:bookmarkStart w:id="138" w:name="_Toc103114048"/>
      <w:bookmarkStart w:id="139" w:name="_Toc27414"/>
      <w:bookmarkStart w:id="140" w:name="_Toc1379668395"/>
      <w:bookmarkStart w:id="141" w:name="_Toc27541"/>
      <w:bookmarkStart w:id="142" w:name="_Toc14992"/>
      <w:bookmarkStart w:id="143" w:name="_Toc2183"/>
      <w:bookmarkStart w:id="144" w:name="_Toc31610"/>
      <w:bookmarkStart w:id="145" w:name="_Toc103114622"/>
      <w:r>
        <w:rPr>
          <w:rFonts w:hint="eastAsia" w:ascii="宋体" w:hAnsi="宋体"/>
          <w:color w:val="000000" w:themeColor="text1"/>
          <w:highlight w:val="none"/>
          <w14:textFill>
            <w14:solidFill>
              <w14:schemeClr w14:val="tx1"/>
            </w14:solidFill>
          </w14:textFill>
        </w:rPr>
        <w:t>卒中急救质控平台</w:t>
      </w:r>
      <w:bookmarkEnd w:id="137"/>
      <w:bookmarkEnd w:id="138"/>
      <w:bookmarkEnd w:id="139"/>
      <w:bookmarkEnd w:id="140"/>
      <w:bookmarkEnd w:id="141"/>
      <w:bookmarkEnd w:id="142"/>
      <w:bookmarkEnd w:id="143"/>
      <w:bookmarkEnd w:id="144"/>
      <w:bookmarkEnd w:id="145"/>
      <w:r>
        <w:rPr>
          <w:rFonts w:hint="eastAsia" w:ascii="宋体" w:hAnsi="宋体"/>
          <w:color w:val="000000" w:themeColor="text1"/>
          <w:highlight w:val="none"/>
          <w14:textFill>
            <w14:solidFill>
              <w14:schemeClr w14:val="tx1"/>
            </w14:solidFill>
          </w14:textFill>
        </w:rPr>
        <w:t>、</w:t>
      </w:r>
      <w:bookmarkStart w:id="146" w:name="_Toc11079"/>
      <w:bookmarkStart w:id="147" w:name="_Toc1783241043"/>
      <w:bookmarkStart w:id="148" w:name="_Toc103114049"/>
      <w:bookmarkStart w:id="149" w:name="_Toc12114"/>
      <w:bookmarkStart w:id="150" w:name="_Toc11599"/>
      <w:bookmarkStart w:id="151" w:name="_Toc103114623"/>
      <w:bookmarkStart w:id="152" w:name="_Toc18346"/>
      <w:bookmarkStart w:id="153" w:name="_Toc2675"/>
      <w:bookmarkStart w:id="154" w:name="_Toc1705778106"/>
      <w:r>
        <w:rPr>
          <w:rFonts w:hint="eastAsia" w:ascii="宋体" w:hAnsi="宋体"/>
          <w:color w:val="000000" w:themeColor="text1"/>
          <w:highlight w:val="none"/>
          <w14:textFill>
            <w14:solidFill>
              <w14:schemeClr w14:val="tx1"/>
            </w14:solidFill>
          </w14:textFill>
        </w:rPr>
        <w:t>卒中绿色通道流程管理平台</w:t>
      </w:r>
      <w:bookmarkEnd w:id="146"/>
      <w:bookmarkEnd w:id="147"/>
      <w:bookmarkEnd w:id="148"/>
      <w:bookmarkEnd w:id="149"/>
      <w:bookmarkEnd w:id="150"/>
      <w:bookmarkEnd w:id="151"/>
      <w:bookmarkEnd w:id="152"/>
      <w:bookmarkEnd w:id="153"/>
      <w:bookmarkEnd w:id="154"/>
      <w:r>
        <w:rPr>
          <w:rFonts w:hint="eastAsia" w:ascii="宋体" w:hAnsi="宋体"/>
          <w:color w:val="000000" w:themeColor="text1"/>
          <w:highlight w:val="none"/>
          <w14:textFill>
            <w14:solidFill>
              <w14:schemeClr w14:val="tx1"/>
            </w14:solidFill>
          </w14:textFill>
        </w:rPr>
        <w:t>、</w:t>
      </w:r>
      <w:bookmarkStart w:id="155" w:name="_Toc650432169"/>
      <w:bookmarkStart w:id="156" w:name="_Toc1134"/>
      <w:bookmarkStart w:id="157" w:name="_Toc8279"/>
      <w:bookmarkStart w:id="158" w:name="_Toc105940092"/>
      <w:bookmarkStart w:id="159" w:name="_Toc103114624"/>
      <w:bookmarkStart w:id="160" w:name="_Toc103114050"/>
      <w:bookmarkStart w:id="161" w:name="_Toc31937"/>
      <w:bookmarkStart w:id="162" w:name="_Toc28681"/>
      <w:bookmarkStart w:id="163" w:name="_Toc11937"/>
      <w:r>
        <w:rPr>
          <w:rFonts w:hint="eastAsia" w:ascii="宋体" w:hAnsi="宋体"/>
          <w:color w:val="000000" w:themeColor="text1"/>
          <w:highlight w:val="none"/>
          <w14:textFill>
            <w14:solidFill>
              <w14:schemeClr w14:val="tx1"/>
            </w14:solidFill>
          </w14:textFill>
        </w:rPr>
        <w:t>卒中患者智能化时间采集平台</w:t>
      </w:r>
      <w:bookmarkEnd w:id="155"/>
      <w:bookmarkEnd w:id="156"/>
      <w:bookmarkEnd w:id="157"/>
      <w:bookmarkEnd w:id="158"/>
      <w:bookmarkEnd w:id="159"/>
      <w:bookmarkEnd w:id="160"/>
      <w:bookmarkEnd w:id="161"/>
      <w:bookmarkEnd w:id="162"/>
      <w:bookmarkEnd w:id="163"/>
      <w:r>
        <w:rPr>
          <w:rFonts w:hint="eastAsia" w:ascii="宋体" w:hAnsi="宋体"/>
          <w:color w:val="000000" w:themeColor="text1"/>
          <w:highlight w:val="none"/>
          <w14:textFill>
            <w14:solidFill>
              <w14:schemeClr w14:val="tx1"/>
            </w14:solidFill>
          </w14:textFill>
        </w:rPr>
        <w:t>、</w:t>
      </w:r>
      <w:bookmarkStart w:id="164" w:name="_Toc16740"/>
      <w:bookmarkStart w:id="165" w:name="_Toc18758"/>
      <w:bookmarkStart w:id="166" w:name="_Toc271182881"/>
      <w:bookmarkStart w:id="167" w:name="_Toc103114625"/>
      <w:bookmarkStart w:id="168" w:name="_Toc1121701153"/>
      <w:bookmarkStart w:id="169" w:name="_Toc22895"/>
      <w:bookmarkStart w:id="170" w:name="_Toc103114051"/>
      <w:bookmarkStart w:id="171" w:name="_Toc31359"/>
      <w:bookmarkStart w:id="172" w:name="_Toc25393"/>
      <w:r>
        <w:rPr>
          <w:rFonts w:hint="eastAsia" w:ascii="宋体" w:hAnsi="宋体"/>
          <w:color w:val="000000" w:themeColor="text1"/>
          <w:highlight w:val="none"/>
          <w14:textFill>
            <w14:solidFill>
              <w14:schemeClr w14:val="tx1"/>
            </w14:solidFill>
          </w14:textFill>
        </w:rPr>
        <w:t>卒中急救工作流集成平台</w:t>
      </w:r>
      <w:bookmarkEnd w:id="164"/>
      <w:bookmarkEnd w:id="165"/>
      <w:bookmarkEnd w:id="166"/>
      <w:bookmarkEnd w:id="167"/>
      <w:bookmarkEnd w:id="168"/>
      <w:bookmarkEnd w:id="169"/>
      <w:bookmarkEnd w:id="170"/>
      <w:bookmarkEnd w:id="171"/>
      <w:bookmarkEnd w:id="172"/>
      <w:r>
        <w:rPr>
          <w:rFonts w:hint="eastAsia" w:ascii="宋体" w:hAnsi="宋体"/>
          <w:color w:val="000000" w:themeColor="text1"/>
          <w:highlight w:val="none"/>
          <w14:textFill>
            <w14:solidFill>
              <w14:schemeClr w14:val="tx1"/>
            </w14:solidFill>
          </w14:textFill>
        </w:rPr>
        <w:t>、</w:t>
      </w:r>
      <w:bookmarkStart w:id="173" w:name="_Toc364"/>
      <w:bookmarkStart w:id="174" w:name="_Toc3139"/>
      <w:bookmarkStart w:id="175" w:name="_Toc103114052"/>
      <w:bookmarkStart w:id="176" w:name="_Toc1504"/>
      <w:bookmarkStart w:id="177" w:name="_Toc103114626"/>
      <w:bookmarkStart w:id="178" w:name="_Toc810382033"/>
      <w:bookmarkStart w:id="179" w:name="_Toc1819825105"/>
      <w:bookmarkStart w:id="180" w:name="_Toc26180"/>
      <w:bookmarkStart w:id="181" w:name="_Toc29145"/>
      <w:r>
        <w:rPr>
          <w:rFonts w:hint="eastAsia" w:ascii="宋体" w:hAnsi="宋体"/>
          <w:color w:val="000000" w:themeColor="text1"/>
          <w:highlight w:val="none"/>
          <w14:textFill>
            <w14:solidFill>
              <w14:schemeClr w14:val="tx1"/>
            </w14:solidFill>
          </w14:textFill>
        </w:rPr>
        <w:t>卒中中心认证数据采集上报</w:t>
      </w:r>
      <w:bookmarkEnd w:id="173"/>
      <w:bookmarkEnd w:id="174"/>
      <w:bookmarkEnd w:id="175"/>
      <w:bookmarkEnd w:id="176"/>
      <w:bookmarkEnd w:id="177"/>
      <w:bookmarkEnd w:id="178"/>
      <w:bookmarkEnd w:id="179"/>
      <w:bookmarkEnd w:id="180"/>
      <w:bookmarkEnd w:id="181"/>
      <w:r>
        <w:rPr>
          <w:rFonts w:hint="eastAsia" w:ascii="宋体" w:hAnsi="宋体"/>
          <w:color w:val="000000" w:themeColor="text1"/>
          <w:highlight w:val="none"/>
          <w14:textFill>
            <w14:solidFill>
              <w14:schemeClr w14:val="tx1"/>
            </w14:solidFill>
          </w14:textFill>
        </w:rPr>
        <w:t>。</w:t>
      </w:r>
    </w:p>
    <w:p>
      <w:pPr>
        <w:pStyle w:val="4"/>
        <w:spacing w:beforeAutospacing="0" w:after="0" w:afterAutospacing="0" w:line="348" w:lineRule="auto"/>
        <w:ind w:firstLine="643" w:firstLineChars="200"/>
        <w:rPr>
          <w:rFonts w:hint="default"/>
          <w:color w:val="000000" w:themeColor="text1"/>
          <w:highlight w:val="none"/>
          <w14:textFill>
            <w14:solidFill>
              <w14:schemeClr w14:val="tx1"/>
            </w14:solidFill>
          </w14:textFill>
        </w:rPr>
      </w:pPr>
      <w:bookmarkStart w:id="182" w:name="_Toc4602"/>
      <w:bookmarkStart w:id="183" w:name="_Toc29607"/>
      <w:r>
        <w:rPr>
          <w:color w:val="000000" w:themeColor="text1"/>
          <w:highlight w:val="none"/>
          <w14:textFill>
            <w14:solidFill>
              <w14:schemeClr w14:val="tx1"/>
            </w14:solidFill>
          </w14:textFill>
        </w:rPr>
        <w:t>院内胸痛急救管理平台</w:t>
      </w:r>
      <w:bookmarkEnd w:id="182"/>
      <w:bookmarkEnd w:id="183"/>
    </w:p>
    <w:p>
      <w:pPr>
        <w:tabs>
          <w:tab w:val="left" w:pos="312"/>
        </w:tabs>
        <w:spacing w:line="348"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院内胸痛急救管理平台支持对胸痛中心全工作流进行信息的管理，包括胸痛急救流程的定义、患者列表、单个患者诊疗时间轴。详细完整地记录胸痛患者在各流程节点的相关信息，全方位立体地对胸痛患者全流程诊疗过程进行监控；同时对医护人员的医疗行为进行监管和约束，进而更好地确保胸痛患者的生命安全。</w:t>
      </w:r>
    </w:p>
    <w:p>
      <w:pPr>
        <w:tabs>
          <w:tab w:val="left" w:pos="312"/>
        </w:tabs>
        <w:spacing w:line="348"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功能要求：</w:t>
      </w:r>
      <w:bookmarkStart w:id="184" w:name="_Toc368899797"/>
      <w:bookmarkStart w:id="185" w:name="_Toc103114628"/>
      <w:bookmarkStart w:id="186" w:name="_Toc996"/>
      <w:bookmarkStart w:id="187" w:name="_Toc22326"/>
      <w:bookmarkStart w:id="188" w:name="_Toc24433"/>
      <w:bookmarkStart w:id="189" w:name="_Toc255776602"/>
      <w:bookmarkStart w:id="190" w:name="_Toc954"/>
      <w:bookmarkStart w:id="191" w:name="_Toc532829637"/>
      <w:bookmarkStart w:id="192" w:name="_Toc11119"/>
      <w:bookmarkStart w:id="193" w:name="_Toc103114054"/>
      <w:r>
        <w:rPr>
          <w:rFonts w:hint="eastAsia" w:ascii="宋体" w:hAnsi="宋体"/>
          <w:color w:val="000000" w:themeColor="text1"/>
          <w:highlight w:val="none"/>
          <w14:textFill>
            <w14:solidFill>
              <w14:schemeClr w14:val="tx1"/>
            </w14:solidFill>
          </w14:textFill>
        </w:rPr>
        <w:t>胸痛急救质控平台</w:t>
      </w:r>
      <w:bookmarkEnd w:id="184"/>
      <w:bookmarkEnd w:id="185"/>
      <w:bookmarkEnd w:id="186"/>
      <w:bookmarkEnd w:id="187"/>
      <w:bookmarkEnd w:id="188"/>
      <w:bookmarkEnd w:id="189"/>
      <w:bookmarkEnd w:id="190"/>
      <w:bookmarkEnd w:id="191"/>
      <w:bookmarkEnd w:id="192"/>
      <w:bookmarkEnd w:id="193"/>
      <w:r>
        <w:rPr>
          <w:rFonts w:hint="eastAsia" w:ascii="宋体" w:hAnsi="宋体"/>
          <w:color w:val="000000" w:themeColor="text1"/>
          <w:highlight w:val="none"/>
          <w14:textFill>
            <w14:solidFill>
              <w14:schemeClr w14:val="tx1"/>
            </w14:solidFill>
          </w14:textFill>
        </w:rPr>
        <w:t>、</w:t>
      </w:r>
      <w:bookmarkStart w:id="194" w:name="_Toc103114055"/>
      <w:bookmarkStart w:id="195" w:name="_Toc26013"/>
      <w:bookmarkStart w:id="196" w:name="_Toc11799"/>
      <w:bookmarkStart w:id="197" w:name="_Toc532829638"/>
      <w:bookmarkStart w:id="198" w:name="_Toc103114629"/>
      <w:bookmarkStart w:id="199" w:name="_Toc13330"/>
      <w:bookmarkStart w:id="200" w:name="_Toc13319"/>
      <w:bookmarkStart w:id="201" w:name="_Toc20984"/>
      <w:bookmarkStart w:id="202" w:name="_Toc1722572167"/>
      <w:bookmarkStart w:id="203" w:name="_Toc313599290"/>
      <w:r>
        <w:rPr>
          <w:rFonts w:hint="eastAsia" w:ascii="宋体" w:hAnsi="宋体"/>
          <w:color w:val="000000" w:themeColor="text1"/>
          <w:highlight w:val="none"/>
          <w14:textFill>
            <w14:solidFill>
              <w14:schemeClr w14:val="tx1"/>
            </w14:solidFill>
          </w14:textFill>
        </w:rPr>
        <w:t>胸痛绿色通道流程管理平台</w:t>
      </w:r>
      <w:bookmarkEnd w:id="194"/>
      <w:bookmarkEnd w:id="195"/>
      <w:bookmarkEnd w:id="196"/>
      <w:bookmarkEnd w:id="197"/>
      <w:bookmarkEnd w:id="198"/>
      <w:bookmarkEnd w:id="199"/>
      <w:bookmarkEnd w:id="200"/>
      <w:bookmarkEnd w:id="201"/>
      <w:bookmarkEnd w:id="202"/>
      <w:bookmarkEnd w:id="203"/>
      <w:bookmarkStart w:id="204" w:name="_Toc4149"/>
      <w:bookmarkStart w:id="205" w:name="_Toc103114056"/>
      <w:bookmarkStart w:id="206" w:name="_Toc12140"/>
      <w:bookmarkStart w:id="207" w:name="_Toc27571"/>
      <w:bookmarkStart w:id="208" w:name="_Toc1043365562"/>
      <w:bookmarkStart w:id="209" w:name="_Toc103114630"/>
      <w:bookmarkStart w:id="210" w:name="_Toc13118"/>
      <w:bookmarkStart w:id="211" w:name="_Toc738397292"/>
      <w:bookmarkStart w:id="212" w:name="_Toc532829639"/>
      <w:bookmarkStart w:id="213" w:name="_Toc23730"/>
      <w:r>
        <w:rPr>
          <w:rFonts w:hint="eastAsia" w:ascii="宋体" w:hAnsi="宋体"/>
          <w:color w:val="000000" w:themeColor="text1"/>
          <w:highlight w:val="none"/>
          <w14:textFill>
            <w14:solidFill>
              <w14:schemeClr w14:val="tx1"/>
            </w14:solidFill>
          </w14:textFill>
        </w:rPr>
        <w:t>、胸痛患者智能化时间采集平台</w:t>
      </w:r>
      <w:bookmarkEnd w:id="204"/>
      <w:bookmarkEnd w:id="205"/>
      <w:bookmarkEnd w:id="206"/>
      <w:bookmarkEnd w:id="207"/>
      <w:bookmarkEnd w:id="208"/>
      <w:bookmarkEnd w:id="209"/>
      <w:bookmarkEnd w:id="210"/>
      <w:bookmarkEnd w:id="211"/>
      <w:bookmarkEnd w:id="212"/>
      <w:bookmarkEnd w:id="213"/>
      <w:r>
        <w:rPr>
          <w:rFonts w:hint="eastAsia" w:ascii="宋体" w:hAnsi="宋体"/>
          <w:color w:val="000000" w:themeColor="text1"/>
          <w:highlight w:val="none"/>
          <w14:textFill>
            <w14:solidFill>
              <w14:schemeClr w14:val="tx1"/>
            </w14:solidFill>
          </w14:textFill>
        </w:rPr>
        <w:t>、</w:t>
      </w:r>
      <w:bookmarkStart w:id="214" w:name="_Toc4458"/>
      <w:bookmarkStart w:id="215" w:name="_Toc14358"/>
      <w:bookmarkStart w:id="216" w:name="_Toc27763"/>
      <w:bookmarkStart w:id="217" w:name="_Toc31837"/>
      <w:bookmarkStart w:id="218" w:name="_Toc1735"/>
      <w:bookmarkStart w:id="219" w:name="_Toc1641022779"/>
      <w:bookmarkStart w:id="220" w:name="_Toc2082774278"/>
      <w:bookmarkStart w:id="221" w:name="_Toc103114057"/>
      <w:bookmarkStart w:id="222" w:name="_Toc103114631"/>
      <w:bookmarkStart w:id="223" w:name="_Toc532829640"/>
      <w:r>
        <w:rPr>
          <w:rFonts w:hint="eastAsia" w:ascii="宋体" w:hAnsi="宋体"/>
          <w:color w:val="000000" w:themeColor="text1"/>
          <w:highlight w:val="none"/>
          <w14:textFill>
            <w14:solidFill>
              <w14:schemeClr w14:val="tx1"/>
            </w14:solidFill>
          </w14:textFill>
        </w:rPr>
        <w:t>胸痛急救工作流集成平台</w:t>
      </w:r>
      <w:bookmarkEnd w:id="214"/>
      <w:bookmarkEnd w:id="215"/>
      <w:bookmarkEnd w:id="216"/>
      <w:bookmarkEnd w:id="217"/>
      <w:bookmarkEnd w:id="218"/>
      <w:bookmarkEnd w:id="219"/>
      <w:bookmarkEnd w:id="220"/>
      <w:bookmarkEnd w:id="221"/>
      <w:bookmarkEnd w:id="222"/>
      <w:bookmarkEnd w:id="223"/>
      <w:r>
        <w:rPr>
          <w:rFonts w:hint="eastAsia" w:ascii="宋体" w:hAnsi="宋体"/>
          <w:color w:val="000000" w:themeColor="text1"/>
          <w:highlight w:val="none"/>
          <w14:textFill>
            <w14:solidFill>
              <w14:schemeClr w14:val="tx1"/>
            </w14:solidFill>
          </w14:textFill>
        </w:rPr>
        <w:t>、</w:t>
      </w:r>
      <w:bookmarkStart w:id="224" w:name="_Toc532829675"/>
      <w:bookmarkStart w:id="225" w:name="_Toc537368232"/>
      <w:bookmarkStart w:id="226" w:name="_Toc17640"/>
      <w:bookmarkStart w:id="227" w:name="_Toc103114058"/>
      <w:bookmarkStart w:id="228" w:name="_Toc13196"/>
      <w:bookmarkStart w:id="229" w:name="_Toc30448"/>
      <w:bookmarkStart w:id="230" w:name="_Toc1203844246"/>
      <w:bookmarkStart w:id="231" w:name="_Toc2583"/>
      <w:bookmarkStart w:id="232" w:name="_Toc103114632"/>
      <w:bookmarkStart w:id="233" w:name="_Toc14710"/>
      <w:r>
        <w:rPr>
          <w:rFonts w:hint="eastAsia" w:ascii="宋体" w:hAnsi="宋体"/>
          <w:color w:val="000000" w:themeColor="text1"/>
          <w:highlight w:val="none"/>
          <w14:textFill>
            <w14:solidFill>
              <w14:schemeClr w14:val="tx1"/>
            </w14:solidFill>
          </w14:textFill>
        </w:rPr>
        <w:t>胸痛中心认证数据采集上报</w:t>
      </w:r>
      <w:bookmarkEnd w:id="224"/>
      <w:bookmarkEnd w:id="225"/>
      <w:bookmarkEnd w:id="226"/>
      <w:bookmarkEnd w:id="227"/>
      <w:bookmarkEnd w:id="228"/>
      <w:bookmarkEnd w:id="229"/>
      <w:bookmarkEnd w:id="230"/>
      <w:bookmarkEnd w:id="231"/>
      <w:bookmarkEnd w:id="232"/>
      <w:bookmarkEnd w:id="233"/>
      <w:r>
        <w:rPr>
          <w:rFonts w:hint="eastAsia" w:ascii="宋体" w:hAnsi="宋体"/>
          <w:color w:val="000000" w:themeColor="text1"/>
          <w:highlight w:val="none"/>
          <w14:textFill>
            <w14:solidFill>
              <w14:schemeClr w14:val="tx1"/>
            </w14:solidFill>
          </w14:textFill>
        </w:rPr>
        <w:t>。</w:t>
      </w:r>
    </w:p>
    <w:p>
      <w:pPr>
        <w:pStyle w:val="4"/>
        <w:spacing w:beforeAutospacing="0" w:after="0" w:afterAutospacing="0" w:line="348" w:lineRule="auto"/>
        <w:ind w:firstLine="643" w:firstLineChars="200"/>
        <w:rPr>
          <w:rFonts w:cs="仿宋"/>
          <w:color w:val="000000" w:themeColor="text1"/>
          <w:highlight w:val="none"/>
          <w14:textFill>
            <w14:solidFill>
              <w14:schemeClr w14:val="tx1"/>
            </w14:solidFill>
          </w14:textFill>
        </w:rPr>
      </w:pPr>
      <w:bookmarkStart w:id="234" w:name="_Toc6590"/>
    </w:p>
    <w:p>
      <w:pPr>
        <w:pStyle w:val="4"/>
        <w:spacing w:beforeAutospacing="0" w:after="0" w:afterAutospacing="0" w:line="348" w:lineRule="auto"/>
        <w:ind w:firstLine="643" w:firstLineChars="200"/>
        <w:rPr>
          <w:rFonts w:hint="default" w:cs="仿宋"/>
          <w:color w:val="000000" w:themeColor="text1"/>
          <w:highlight w:val="none"/>
          <w14:textFill>
            <w14:solidFill>
              <w14:schemeClr w14:val="tx1"/>
            </w14:solidFill>
          </w14:textFill>
        </w:rPr>
      </w:pPr>
      <w:r>
        <w:rPr>
          <w:rFonts w:cs="仿宋"/>
          <w:color w:val="000000" w:themeColor="text1"/>
          <w:highlight w:val="none"/>
          <w14:textFill>
            <w14:solidFill>
              <w14:schemeClr w14:val="tx1"/>
            </w14:solidFill>
          </w14:textFill>
        </w:rPr>
        <w:t>医保智能检测</w:t>
      </w:r>
      <w:bookmarkEnd w:id="136"/>
      <w:r>
        <w:rPr>
          <w:rFonts w:cs="仿宋"/>
          <w:color w:val="000000" w:themeColor="text1"/>
          <w:highlight w:val="none"/>
          <w14:textFill>
            <w14:solidFill>
              <w14:schemeClr w14:val="tx1"/>
            </w14:solidFill>
          </w14:textFill>
        </w:rPr>
        <w:t>系统</w:t>
      </w:r>
      <w:bookmarkEnd w:id="234"/>
    </w:p>
    <w:p>
      <w:pPr>
        <w:spacing w:line="348"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相关要求：</w:t>
      </w:r>
    </w:p>
    <w:p>
      <w:pPr>
        <w:numPr>
          <w:ilvl w:val="0"/>
          <w:numId w:val="12"/>
        </w:numPr>
        <w:spacing w:line="348" w:lineRule="auto"/>
        <w:ind w:left="0"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建设知识库：以本地医保审核部门的审核规范为标准，实现对各类超规范情况的智能审核，以达到加快医保管理政策在全院的落地、规范医疗行为和减少医保扣款的目的。</w:t>
      </w:r>
    </w:p>
    <w:p>
      <w:pPr>
        <w:numPr>
          <w:ilvl w:val="0"/>
          <w:numId w:val="12"/>
        </w:numPr>
        <w:spacing w:line="348" w:lineRule="auto"/>
        <w:ind w:left="0"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建设智能审核系统：功能包含门诊处方实时审核、门特处方实时审核、门特治疗方案审核、治疗方案医保办审核、住院医嘱实时审核、住院费用实时审核、医师出院预审、规则内涵查询、事前提醒监控、相关分析等。</w:t>
      </w:r>
    </w:p>
    <w:p>
      <w:pPr>
        <w:pageBreakBefore w:val="0"/>
        <w:widowControl/>
        <w:numPr>
          <w:ilvl w:val="0"/>
          <w:numId w:val="0"/>
        </w:numPr>
        <w:kinsoku/>
        <w:wordWrap/>
        <w:topLinePunct w:val="0"/>
        <w:bidi w:val="0"/>
        <w:snapToGrid/>
        <w:spacing w:beforeAutospacing="0" w:afterAutospacing="0" w:line="348" w:lineRule="auto"/>
        <w:ind w:leftChars="200"/>
        <w:rPr>
          <w:rFonts w:hint="eastAsia" w:ascii="宋体" w:hAnsi="宋体" w:eastAsia="宋体"/>
          <w:color w:val="000000" w:themeColor="text1"/>
          <w:szCs w:val="24"/>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系统接口对接：医院智能审核平台将与医院</w:t>
      </w:r>
      <w:r>
        <w:rPr>
          <w:rFonts w:ascii="宋体" w:hAnsi="宋体"/>
          <w:color w:val="000000" w:themeColor="text1"/>
          <w:highlight w:val="none"/>
          <w14:textFill>
            <w14:solidFill>
              <w14:schemeClr w14:val="tx1"/>
            </w14:solidFill>
          </w14:textFill>
        </w:rPr>
        <w:t>HIS系统建立数据对接，由医院HIS系统将患者基础信息、诊断、处方、治疗方案、医嘱、费用等各类信息提供给医院智能审核平台，并实时获取系统返回的审核结果。接口包含两个部分：WebService接口和视图接口。WebService接口由医院智能审核平台提供，由HIS调用与医院智能审核平台进行业务数据交互，交互的数据格式为XML格式的字符串。</w:t>
      </w:r>
      <w:r>
        <w:rPr>
          <w:rFonts w:hint="eastAsia" w:ascii="宋体" w:hAnsi="宋体"/>
          <w:color w:val="000000" w:themeColor="text1"/>
          <w:highlight w:val="none"/>
          <w14:textFill>
            <w14:solidFill>
              <w14:schemeClr w14:val="tx1"/>
            </w14:solidFill>
          </w14:textFill>
        </w:rPr>
        <w:t>视图接口由</w:t>
      </w:r>
      <w:r>
        <w:rPr>
          <w:rFonts w:ascii="宋体" w:hAnsi="宋体"/>
          <w:color w:val="000000" w:themeColor="text1"/>
          <w:highlight w:val="none"/>
          <w14:textFill>
            <w14:solidFill>
              <w14:schemeClr w14:val="tx1"/>
            </w14:solidFill>
          </w14:textFill>
        </w:rPr>
        <w:t>HIS按照固定格式要求提供，由医院智能审核平台自由获取所需医院业务数据，包括住院患者基本信息、住院费用明细、疾病诊断等</w:t>
      </w:r>
      <w:r>
        <w:rPr>
          <w:rFonts w:hint="eastAsia" w:ascii="宋体" w:hAnsi="宋体"/>
          <w:color w:val="000000" w:themeColor="text1"/>
          <w:highlight w:val="none"/>
          <w14:textFill>
            <w14:solidFill>
              <w14:schemeClr w14:val="tx1"/>
            </w14:solidFill>
          </w14:textFill>
        </w:rPr>
        <w:t>。</w:t>
      </w:r>
    </w:p>
    <w:p>
      <w:pPr>
        <w:pStyle w:val="8"/>
        <w:pageBreakBefore w:val="0"/>
        <w:widowControl/>
        <w:kinsoku/>
        <w:wordWrap/>
        <w:topLinePunct w:val="0"/>
        <w:bidi w:val="0"/>
        <w:snapToGrid/>
        <w:spacing w:before="0" w:beforeAutospacing="0" w:after="0" w:afterAutospacing="0" w:line="360" w:lineRule="auto"/>
        <w:ind w:left="0" w:leftChars="0" w:firstLine="482" w:firstLineChars="200"/>
        <w:rPr>
          <w:rFonts w:hint="default"/>
          <w:color w:val="000000" w:themeColor="text1"/>
          <w:highlight w:val="none"/>
          <w:lang w:val="en-US" w:eastAsia="zh-CN"/>
          <w14:textFill>
            <w14:solidFill>
              <w14:schemeClr w14:val="tx1"/>
            </w14:solidFill>
          </w14:textFill>
        </w:rPr>
      </w:pPr>
    </w:p>
    <w:p>
      <w:pPr>
        <w:pStyle w:val="9"/>
        <w:snapToGrid w:val="0"/>
        <w:spacing w:line="420" w:lineRule="atLeast"/>
        <w:ind w:firstLine="0"/>
        <w:jc w:val="center"/>
        <w:outlineLvl w:val="0"/>
        <w:rPr>
          <w:rFonts w:ascii="Tahoma" w:hAnsi="Tahoma" w:eastAsia="黑体" w:cs="Tahoma"/>
          <w:b/>
          <w:bCs/>
          <w:color w:val="000000" w:themeColor="text1"/>
          <w:sz w:val="44"/>
          <w:highlight w:val="none"/>
          <w14:textFill>
            <w14:solidFill>
              <w14:schemeClr w14:val="tx1"/>
            </w14:solidFill>
          </w14:textFill>
        </w:rPr>
      </w:pPr>
      <w:bookmarkStart w:id="235" w:name="_Toc362"/>
      <w:bookmarkStart w:id="236" w:name="_Toc26727"/>
    </w:p>
    <w:p>
      <w:pPr>
        <w:pStyle w:val="9"/>
        <w:snapToGrid w:val="0"/>
        <w:spacing w:line="420" w:lineRule="atLeast"/>
        <w:ind w:firstLine="0"/>
        <w:jc w:val="center"/>
        <w:outlineLvl w:val="0"/>
        <w:rPr>
          <w:rFonts w:ascii="Tahoma" w:hAnsi="Tahoma" w:eastAsia="黑体" w:cs="Tahoma"/>
          <w:b/>
          <w:bCs/>
          <w:color w:val="000000" w:themeColor="text1"/>
          <w:sz w:val="44"/>
          <w:highlight w:val="none"/>
          <w14:textFill>
            <w14:solidFill>
              <w14:schemeClr w14:val="tx1"/>
            </w14:solidFill>
          </w14:textFill>
        </w:rPr>
      </w:pPr>
    </w:p>
    <w:p>
      <w:pPr>
        <w:pStyle w:val="9"/>
        <w:snapToGrid w:val="0"/>
        <w:spacing w:line="420" w:lineRule="atLeast"/>
        <w:ind w:firstLine="0"/>
        <w:jc w:val="center"/>
        <w:outlineLvl w:val="0"/>
        <w:rPr>
          <w:rFonts w:ascii="Tahoma" w:hAnsi="Tahoma" w:eastAsia="黑体" w:cs="Tahoma"/>
          <w:b/>
          <w:bCs/>
          <w:color w:val="000000" w:themeColor="text1"/>
          <w:sz w:val="44"/>
          <w:highlight w:val="none"/>
          <w14:textFill>
            <w14:solidFill>
              <w14:schemeClr w14:val="tx1"/>
            </w14:solidFill>
          </w14:textFill>
        </w:rPr>
      </w:pPr>
    </w:p>
    <w:p>
      <w:pPr>
        <w:pStyle w:val="9"/>
        <w:snapToGrid w:val="0"/>
        <w:spacing w:line="420" w:lineRule="atLeast"/>
        <w:ind w:firstLine="0"/>
        <w:jc w:val="center"/>
        <w:outlineLvl w:val="0"/>
        <w:rPr>
          <w:rFonts w:ascii="Tahoma" w:hAnsi="Tahoma" w:eastAsia="黑体" w:cs="Tahoma"/>
          <w:b/>
          <w:bCs/>
          <w:color w:val="000000" w:themeColor="text1"/>
          <w:sz w:val="44"/>
          <w:highlight w:val="none"/>
          <w14:textFill>
            <w14:solidFill>
              <w14:schemeClr w14:val="tx1"/>
            </w14:solidFill>
          </w14:textFill>
        </w:rPr>
      </w:pPr>
    </w:p>
    <w:p>
      <w:pPr>
        <w:pStyle w:val="9"/>
        <w:snapToGrid w:val="0"/>
        <w:spacing w:line="420" w:lineRule="atLeast"/>
        <w:ind w:firstLine="0"/>
        <w:jc w:val="center"/>
        <w:outlineLvl w:val="0"/>
        <w:rPr>
          <w:rFonts w:ascii="Tahoma" w:hAnsi="Tahoma" w:eastAsia="黑体" w:cs="Tahoma"/>
          <w:b/>
          <w:bCs/>
          <w:color w:val="000000" w:themeColor="text1"/>
          <w:sz w:val="44"/>
          <w:highlight w:val="none"/>
          <w14:textFill>
            <w14:solidFill>
              <w14:schemeClr w14:val="tx1"/>
            </w14:solidFill>
          </w14:textFill>
        </w:rPr>
      </w:pPr>
    </w:p>
    <w:p>
      <w:pPr>
        <w:pStyle w:val="9"/>
        <w:snapToGrid w:val="0"/>
        <w:spacing w:line="420" w:lineRule="atLeast"/>
        <w:ind w:firstLine="0"/>
        <w:jc w:val="center"/>
        <w:outlineLvl w:val="0"/>
        <w:rPr>
          <w:rFonts w:ascii="Tahoma" w:hAnsi="Tahoma" w:eastAsia="黑体" w:cs="Tahoma"/>
          <w:b/>
          <w:bCs/>
          <w:color w:val="000000" w:themeColor="text1"/>
          <w:sz w:val="44"/>
          <w:highlight w:val="none"/>
          <w14:textFill>
            <w14:solidFill>
              <w14:schemeClr w14:val="tx1"/>
            </w14:solidFill>
          </w14:textFill>
        </w:rPr>
      </w:pPr>
    </w:p>
    <w:p>
      <w:pPr>
        <w:pStyle w:val="9"/>
        <w:snapToGrid w:val="0"/>
        <w:spacing w:line="420" w:lineRule="atLeast"/>
        <w:ind w:firstLine="0"/>
        <w:jc w:val="center"/>
        <w:outlineLvl w:val="0"/>
        <w:rPr>
          <w:rFonts w:ascii="Tahoma" w:hAnsi="Tahoma" w:eastAsia="黑体" w:cs="Tahoma"/>
          <w:b/>
          <w:bCs/>
          <w:color w:val="000000" w:themeColor="text1"/>
          <w:sz w:val="44"/>
          <w:highlight w:val="none"/>
          <w14:textFill>
            <w14:solidFill>
              <w14:schemeClr w14:val="tx1"/>
            </w14:solidFill>
          </w14:textFill>
        </w:rPr>
      </w:pPr>
    </w:p>
    <w:p>
      <w:pPr>
        <w:pStyle w:val="9"/>
        <w:snapToGrid w:val="0"/>
        <w:spacing w:line="420" w:lineRule="atLeast"/>
        <w:ind w:firstLine="0"/>
        <w:jc w:val="center"/>
        <w:outlineLvl w:val="0"/>
        <w:rPr>
          <w:rFonts w:ascii="Tahoma" w:hAnsi="Tahoma" w:eastAsia="黑体" w:cs="Tahoma"/>
          <w:b/>
          <w:bCs/>
          <w:color w:val="000000" w:themeColor="text1"/>
          <w:sz w:val="44"/>
          <w:highlight w:val="none"/>
          <w14:textFill>
            <w14:solidFill>
              <w14:schemeClr w14:val="tx1"/>
            </w14:solidFill>
          </w14:textFill>
        </w:rPr>
      </w:pPr>
    </w:p>
    <w:p>
      <w:pPr>
        <w:pStyle w:val="9"/>
        <w:snapToGrid w:val="0"/>
        <w:spacing w:line="420" w:lineRule="atLeast"/>
        <w:ind w:firstLine="0"/>
        <w:jc w:val="center"/>
        <w:outlineLvl w:val="0"/>
        <w:rPr>
          <w:rFonts w:ascii="Tahoma" w:hAnsi="Tahoma" w:eastAsia="黑体" w:cs="Tahoma"/>
          <w:b/>
          <w:bCs/>
          <w:color w:val="000000" w:themeColor="text1"/>
          <w:sz w:val="44"/>
          <w:highlight w:val="none"/>
          <w14:textFill>
            <w14:solidFill>
              <w14:schemeClr w14:val="tx1"/>
            </w14:solidFill>
          </w14:textFill>
        </w:rPr>
      </w:pPr>
    </w:p>
    <w:p>
      <w:pPr>
        <w:pStyle w:val="9"/>
        <w:snapToGrid w:val="0"/>
        <w:spacing w:line="420" w:lineRule="atLeast"/>
        <w:ind w:firstLine="0"/>
        <w:jc w:val="center"/>
        <w:outlineLvl w:val="0"/>
        <w:rPr>
          <w:rFonts w:ascii="Tahoma" w:hAnsi="Tahoma" w:eastAsia="黑体" w:cs="Tahoma"/>
          <w:b/>
          <w:bCs/>
          <w:color w:val="000000" w:themeColor="text1"/>
          <w:sz w:val="44"/>
          <w:highlight w:val="none"/>
          <w14:textFill>
            <w14:solidFill>
              <w14:schemeClr w14:val="tx1"/>
            </w14:solidFill>
          </w14:textFill>
        </w:rPr>
      </w:pPr>
    </w:p>
    <w:p>
      <w:pPr>
        <w:pStyle w:val="9"/>
        <w:snapToGrid w:val="0"/>
        <w:spacing w:line="420" w:lineRule="atLeast"/>
        <w:ind w:firstLine="0"/>
        <w:jc w:val="center"/>
        <w:outlineLvl w:val="0"/>
        <w:rPr>
          <w:rFonts w:ascii="Tahoma" w:hAnsi="Tahoma" w:eastAsia="黑体" w:cs="Tahoma"/>
          <w:b/>
          <w:bCs/>
          <w:color w:val="000000" w:themeColor="text1"/>
          <w:sz w:val="44"/>
          <w:highlight w:val="none"/>
          <w14:textFill>
            <w14:solidFill>
              <w14:schemeClr w14:val="tx1"/>
            </w14:solidFill>
          </w14:textFill>
        </w:rPr>
      </w:pPr>
    </w:p>
    <w:p>
      <w:pPr>
        <w:pStyle w:val="9"/>
        <w:snapToGrid w:val="0"/>
        <w:spacing w:line="420" w:lineRule="atLeast"/>
        <w:ind w:firstLine="0"/>
        <w:jc w:val="center"/>
        <w:outlineLvl w:val="0"/>
        <w:rPr>
          <w:rFonts w:ascii="Tahoma" w:hAnsi="Tahoma" w:eastAsia="黑体" w:cs="Tahoma"/>
          <w:b/>
          <w:bCs/>
          <w:color w:val="000000" w:themeColor="text1"/>
          <w:sz w:val="44"/>
          <w:highlight w:val="none"/>
          <w14:textFill>
            <w14:solidFill>
              <w14:schemeClr w14:val="tx1"/>
            </w14:solidFill>
          </w14:textFill>
        </w:rPr>
      </w:pPr>
    </w:p>
    <w:p>
      <w:pPr>
        <w:pStyle w:val="9"/>
        <w:snapToGrid w:val="0"/>
        <w:spacing w:line="420" w:lineRule="atLeast"/>
        <w:ind w:firstLine="0"/>
        <w:jc w:val="center"/>
        <w:outlineLvl w:val="0"/>
        <w:rPr>
          <w:rFonts w:ascii="Tahoma" w:hAnsi="Tahoma" w:eastAsia="黑体" w:cs="Tahoma"/>
          <w:b/>
          <w:bCs/>
          <w:color w:val="000000" w:themeColor="text1"/>
          <w:sz w:val="44"/>
          <w:highlight w:val="none"/>
          <w14:textFill>
            <w14:solidFill>
              <w14:schemeClr w14:val="tx1"/>
            </w14:solidFill>
          </w14:textFill>
        </w:rPr>
      </w:pPr>
    </w:p>
    <w:p>
      <w:pPr>
        <w:pStyle w:val="9"/>
        <w:snapToGrid w:val="0"/>
        <w:spacing w:line="420" w:lineRule="atLeast"/>
        <w:ind w:firstLine="0"/>
        <w:jc w:val="center"/>
        <w:outlineLvl w:val="0"/>
        <w:rPr>
          <w:rFonts w:ascii="Tahoma" w:hAnsi="Tahoma" w:eastAsia="黑体" w:cs="Tahoma"/>
          <w:b/>
          <w:bCs/>
          <w:color w:val="000000" w:themeColor="text1"/>
          <w:sz w:val="44"/>
          <w:highlight w:val="none"/>
          <w14:textFill>
            <w14:solidFill>
              <w14:schemeClr w14:val="tx1"/>
            </w14:solidFill>
          </w14:textFill>
        </w:rPr>
      </w:pPr>
    </w:p>
    <w:p>
      <w:pPr>
        <w:pStyle w:val="9"/>
        <w:snapToGrid w:val="0"/>
        <w:spacing w:line="420" w:lineRule="atLeast"/>
        <w:ind w:firstLine="0"/>
        <w:jc w:val="center"/>
        <w:outlineLvl w:val="0"/>
        <w:rPr>
          <w:rFonts w:ascii="Tahoma" w:hAnsi="Tahoma" w:eastAsia="黑体" w:cs="Tahoma"/>
          <w:b/>
          <w:bCs/>
          <w:color w:val="000000" w:themeColor="text1"/>
          <w:sz w:val="44"/>
          <w:highlight w:val="none"/>
          <w14:textFill>
            <w14:solidFill>
              <w14:schemeClr w14:val="tx1"/>
            </w14:solidFill>
          </w14:textFill>
        </w:rPr>
      </w:pPr>
    </w:p>
    <w:p>
      <w:pPr>
        <w:pStyle w:val="9"/>
        <w:snapToGrid w:val="0"/>
        <w:spacing w:line="420" w:lineRule="atLeast"/>
        <w:ind w:firstLine="0"/>
        <w:jc w:val="center"/>
        <w:outlineLvl w:val="0"/>
        <w:rPr>
          <w:rFonts w:ascii="Tahoma" w:hAnsi="Tahoma" w:eastAsia="黑体" w:cs="Tahoma"/>
          <w:b/>
          <w:bCs/>
          <w:color w:val="000000" w:themeColor="text1"/>
          <w:sz w:val="44"/>
          <w:highlight w:val="none"/>
          <w14:textFill>
            <w14:solidFill>
              <w14:schemeClr w14:val="tx1"/>
            </w14:solidFill>
          </w14:textFill>
        </w:rPr>
      </w:pPr>
    </w:p>
    <w:p>
      <w:pPr>
        <w:pStyle w:val="9"/>
        <w:snapToGrid w:val="0"/>
        <w:spacing w:line="420" w:lineRule="atLeast"/>
        <w:ind w:firstLine="0"/>
        <w:jc w:val="center"/>
        <w:outlineLvl w:val="0"/>
        <w:rPr>
          <w:rFonts w:ascii="Tahoma" w:hAnsi="Tahoma" w:eastAsia="黑体" w:cs="Tahoma"/>
          <w:b/>
          <w:bCs/>
          <w:color w:val="000000" w:themeColor="text1"/>
          <w:sz w:val="44"/>
          <w:highlight w:val="none"/>
          <w14:textFill>
            <w14:solidFill>
              <w14:schemeClr w14:val="tx1"/>
            </w14:solidFill>
          </w14:textFill>
        </w:rPr>
      </w:pPr>
    </w:p>
    <w:p>
      <w:pPr>
        <w:pStyle w:val="9"/>
        <w:snapToGrid w:val="0"/>
        <w:spacing w:line="420" w:lineRule="atLeast"/>
        <w:ind w:firstLine="0"/>
        <w:jc w:val="center"/>
        <w:outlineLvl w:val="0"/>
        <w:rPr>
          <w:rFonts w:ascii="Tahoma" w:hAnsi="Tahoma" w:eastAsia="黑体" w:cs="Tahoma"/>
          <w:b/>
          <w:bCs/>
          <w:color w:val="000000" w:themeColor="text1"/>
          <w:sz w:val="44"/>
          <w:highlight w:val="none"/>
          <w14:textFill>
            <w14:solidFill>
              <w14:schemeClr w14:val="tx1"/>
            </w14:solidFill>
          </w14:textFill>
        </w:rPr>
      </w:pPr>
    </w:p>
    <w:p>
      <w:pPr>
        <w:pStyle w:val="9"/>
        <w:snapToGrid w:val="0"/>
        <w:spacing w:line="420" w:lineRule="atLeast"/>
        <w:ind w:firstLine="0"/>
        <w:jc w:val="center"/>
        <w:outlineLvl w:val="0"/>
        <w:rPr>
          <w:rFonts w:ascii="Tahoma" w:hAnsi="Tahoma" w:eastAsia="黑体" w:cs="Tahoma"/>
          <w:b/>
          <w:bCs/>
          <w:color w:val="000000" w:themeColor="text1"/>
          <w:sz w:val="44"/>
          <w:highlight w:val="none"/>
          <w14:textFill>
            <w14:solidFill>
              <w14:schemeClr w14:val="tx1"/>
            </w14:solidFill>
          </w14:textFill>
        </w:rPr>
      </w:pPr>
    </w:p>
    <w:p>
      <w:pPr>
        <w:pStyle w:val="9"/>
        <w:snapToGrid w:val="0"/>
        <w:spacing w:line="420" w:lineRule="atLeast"/>
        <w:ind w:firstLine="0"/>
        <w:jc w:val="center"/>
        <w:outlineLvl w:val="0"/>
        <w:rPr>
          <w:rFonts w:ascii="Tahoma" w:hAnsi="Tahoma" w:eastAsia="黑体" w:cs="Tahoma"/>
          <w:b/>
          <w:bCs/>
          <w:color w:val="000000" w:themeColor="text1"/>
          <w:sz w:val="44"/>
          <w:highlight w:val="none"/>
          <w14:textFill>
            <w14:solidFill>
              <w14:schemeClr w14:val="tx1"/>
            </w14:solidFill>
          </w14:textFill>
        </w:rPr>
      </w:pPr>
    </w:p>
    <w:p>
      <w:pPr>
        <w:pStyle w:val="9"/>
        <w:snapToGrid w:val="0"/>
        <w:spacing w:line="420" w:lineRule="atLeast"/>
        <w:ind w:firstLine="0"/>
        <w:jc w:val="center"/>
        <w:outlineLvl w:val="0"/>
        <w:rPr>
          <w:rFonts w:ascii="Tahoma" w:hAnsi="Tahoma" w:eastAsia="黑体" w:cs="Tahoma"/>
          <w:b/>
          <w:bCs/>
          <w:color w:val="000000" w:themeColor="text1"/>
          <w:sz w:val="44"/>
          <w:highlight w:val="none"/>
          <w14:textFill>
            <w14:solidFill>
              <w14:schemeClr w14:val="tx1"/>
            </w14:solidFill>
          </w14:textFill>
        </w:rPr>
      </w:pPr>
    </w:p>
    <w:p>
      <w:pPr>
        <w:pStyle w:val="9"/>
        <w:snapToGrid w:val="0"/>
        <w:spacing w:line="420" w:lineRule="atLeast"/>
        <w:ind w:firstLine="0"/>
        <w:jc w:val="center"/>
        <w:outlineLvl w:val="0"/>
        <w:rPr>
          <w:rFonts w:ascii="Tahoma" w:hAnsi="Tahoma" w:eastAsia="黑体" w:cs="Tahoma"/>
          <w:b/>
          <w:bCs/>
          <w:color w:val="000000" w:themeColor="text1"/>
          <w:sz w:val="44"/>
          <w:highlight w:val="none"/>
          <w14:textFill>
            <w14:solidFill>
              <w14:schemeClr w14:val="tx1"/>
            </w14:solidFill>
          </w14:textFill>
        </w:rPr>
      </w:pPr>
    </w:p>
    <w:p>
      <w:pPr>
        <w:pStyle w:val="9"/>
        <w:snapToGrid w:val="0"/>
        <w:spacing w:line="420" w:lineRule="atLeast"/>
        <w:ind w:firstLine="0"/>
        <w:jc w:val="center"/>
        <w:outlineLvl w:val="0"/>
        <w:rPr>
          <w:rFonts w:ascii="Tahoma" w:hAnsi="Tahoma" w:eastAsia="黑体" w:cs="Tahoma"/>
          <w:b/>
          <w:bCs/>
          <w:color w:val="000000" w:themeColor="text1"/>
          <w:sz w:val="44"/>
          <w:highlight w:val="none"/>
          <w14:textFill>
            <w14:solidFill>
              <w14:schemeClr w14:val="tx1"/>
            </w14:solidFill>
          </w14:textFill>
        </w:rPr>
      </w:pPr>
    </w:p>
    <w:p>
      <w:pPr>
        <w:pStyle w:val="9"/>
        <w:snapToGrid w:val="0"/>
        <w:spacing w:line="420" w:lineRule="atLeast"/>
        <w:ind w:firstLine="0"/>
        <w:jc w:val="center"/>
        <w:outlineLvl w:val="0"/>
        <w:rPr>
          <w:rFonts w:ascii="Tahoma" w:hAnsi="Tahoma" w:eastAsia="黑体" w:cs="Tahoma"/>
          <w:b/>
          <w:bCs/>
          <w:color w:val="000000" w:themeColor="text1"/>
          <w:sz w:val="44"/>
          <w:highlight w:val="none"/>
          <w14:textFill>
            <w14:solidFill>
              <w14:schemeClr w14:val="tx1"/>
            </w14:solidFill>
          </w14:textFill>
        </w:rPr>
      </w:pPr>
      <w:r>
        <w:rPr>
          <w:rFonts w:ascii="Tahoma" w:hAnsi="Tahoma" w:eastAsia="黑体" w:cs="Tahoma"/>
          <w:b/>
          <w:bCs/>
          <w:color w:val="000000" w:themeColor="text1"/>
          <w:sz w:val="44"/>
          <w:highlight w:val="none"/>
          <w14:textFill>
            <w14:solidFill>
              <w14:schemeClr w14:val="tx1"/>
            </w14:solidFill>
          </w14:textFill>
        </w:rPr>
        <w:t>第七章  投标文件格式</w:t>
      </w:r>
      <w:bookmarkEnd w:id="235"/>
      <w:bookmarkEnd w:id="236"/>
    </w:p>
    <w:p>
      <w:pPr>
        <w:pStyle w:val="2"/>
        <w:rPr>
          <w:rFonts w:ascii="Tahoma" w:hAnsi="Tahoma" w:cs="Tahoma"/>
          <w:color w:val="000000" w:themeColor="text1"/>
          <w:highlight w:val="none"/>
          <w14:textFill>
            <w14:solidFill>
              <w14:schemeClr w14:val="tx1"/>
            </w14:solidFill>
          </w14:textFill>
        </w:rPr>
      </w:pPr>
    </w:p>
    <w:p>
      <w:pPr>
        <w:pStyle w:val="2"/>
        <w:rPr>
          <w:rFonts w:ascii="Tahoma" w:hAnsi="Tahoma" w:cs="Tahoma"/>
          <w:color w:val="000000" w:themeColor="text1"/>
          <w:highlight w:val="none"/>
          <w14:textFill>
            <w14:solidFill>
              <w14:schemeClr w14:val="tx1"/>
            </w14:solidFill>
          </w14:textFill>
        </w:rPr>
      </w:pPr>
    </w:p>
    <w:p>
      <w:pPr>
        <w:pStyle w:val="2"/>
        <w:rPr>
          <w:rFonts w:ascii="Tahoma" w:hAnsi="Tahoma" w:cs="Tahoma"/>
          <w:color w:val="000000" w:themeColor="text1"/>
          <w:highlight w:val="none"/>
          <w14:textFill>
            <w14:solidFill>
              <w14:schemeClr w14:val="tx1"/>
            </w14:solidFill>
          </w14:textFill>
        </w:rPr>
      </w:pPr>
    </w:p>
    <w:p>
      <w:pPr>
        <w:pStyle w:val="2"/>
        <w:rPr>
          <w:rFonts w:ascii="Tahoma" w:hAnsi="Tahoma" w:cs="Tahoma"/>
          <w:color w:val="000000" w:themeColor="text1"/>
          <w:highlight w:val="none"/>
          <w14:textFill>
            <w14:solidFill>
              <w14:schemeClr w14:val="tx1"/>
            </w14:solidFill>
          </w14:textFill>
        </w:rPr>
      </w:pPr>
    </w:p>
    <w:p>
      <w:pPr>
        <w:pStyle w:val="2"/>
        <w:rPr>
          <w:rFonts w:ascii="Tahoma" w:hAnsi="Tahoma" w:cs="Tahoma"/>
          <w:color w:val="000000" w:themeColor="text1"/>
          <w:highlight w:val="none"/>
          <w14:textFill>
            <w14:solidFill>
              <w14:schemeClr w14:val="tx1"/>
            </w14:solidFill>
          </w14:textFill>
        </w:rPr>
      </w:pPr>
    </w:p>
    <w:p>
      <w:pPr>
        <w:pStyle w:val="2"/>
        <w:rPr>
          <w:rFonts w:ascii="Tahoma" w:hAnsi="Tahoma" w:cs="Tahoma"/>
          <w:color w:val="000000" w:themeColor="text1"/>
          <w:highlight w:val="none"/>
          <w14:textFill>
            <w14:solidFill>
              <w14:schemeClr w14:val="tx1"/>
            </w14:solidFill>
          </w14:textFill>
        </w:rPr>
      </w:pPr>
    </w:p>
    <w:p>
      <w:pPr>
        <w:pStyle w:val="2"/>
        <w:rPr>
          <w:rFonts w:ascii="Tahoma" w:hAnsi="Tahoma" w:cs="Tahoma"/>
          <w:color w:val="000000" w:themeColor="text1"/>
          <w:highlight w:val="none"/>
          <w14:textFill>
            <w14:solidFill>
              <w14:schemeClr w14:val="tx1"/>
            </w14:solidFill>
          </w14:textFill>
        </w:rPr>
      </w:pPr>
    </w:p>
    <w:p>
      <w:pPr>
        <w:pStyle w:val="2"/>
        <w:rPr>
          <w:rFonts w:ascii="Tahoma" w:hAnsi="Tahoma" w:cs="Tahoma"/>
          <w:color w:val="000000" w:themeColor="text1"/>
          <w:highlight w:val="none"/>
          <w14:textFill>
            <w14:solidFill>
              <w14:schemeClr w14:val="tx1"/>
            </w14:solidFill>
          </w14:textFill>
        </w:rPr>
      </w:pPr>
    </w:p>
    <w:p>
      <w:pPr>
        <w:pStyle w:val="2"/>
        <w:rPr>
          <w:rFonts w:ascii="Tahoma" w:hAnsi="Tahoma" w:cs="Tahoma"/>
          <w:color w:val="000000" w:themeColor="text1"/>
          <w:highlight w:val="none"/>
          <w14:textFill>
            <w14:solidFill>
              <w14:schemeClr w14:val="tx1"/>
            </w14:solidFill>
          </w14:textFill>
        </w:rPr>
      </w:pPr>
    </w:p>
    <w:p>
      <w:pPr>
        <w:pStyle w:val="2"/>
        <w:rPr>
          <w:rFonts w:ascii="Tahoma" w:hAnsi="Tahoma" w:cs="Tahoma"/>
          <w:color w:val="000000" w:themeColor="text1"/>
          <w:highlight w:val="none"/>
          <w14:textFill>
            <w14:solidFill>
              <w14:schemeClr w14:val="tx1"/>
            </w14:solidFill>
          </w14:textFill>
        </w:rPr>
      </w:pPr>
    </w:p>
    <w:p>
      <w:pPr>
        <w:pStyle w:val="2"/>
        <w:rPr>
          <w:rFonts w:ascii="Tahoma" w:hAnsi="Tahoma" w:cs="Tahoma"/>
          <w:color w:val="000000" w:themeColor="text1"/>
          <w:highlight w:val="none"/>
          <w14:textFill>
            <w14:solidFill>
              <w14:schemeClr w14:val="tx1"/>
            </w14:solidFill>
          </w14:textFill>
        </w:rPr>
      </w:pPr>
    </w:p>
    <w:p>
      <w:pPr>
        <w:pStyle w:val="2"/>
        <w:rPr>
          <w:rFonts w:ascii="Tahoma" w:hAnsi="Tahoma" w:cs="Tahoma"/>
          <w:color w:val="000000" w:themeColor="text1"/>
          <w:highlight w:val="none"/>
          <w14:textFill>
            <w14:solidFill>
              <w14:schemeClr w14:val="tx1"/>
            </w14:solidFill>
          </w14:textFill>
        </w:rPr>
      </w:pPr>
    </w:p>
    <w:p>
      <w:pPr>
        <w:pStyle w:val="2"/>
        <w:rPr>
          <w:rFonts w:ascii="Tahoma" w:hAnsi="Tahoma" w:cs="Tahoma"/>
          <w:color w:val="000000" w:themeColor="text1"/>
          <w:highlight w:val="none"/>
          <w14:textFill>
            <w14:solidFill>
              <w14:schemeClr w14:val="tx1"/>
            </w14:solidFill>
          </w14:textFill>
        </w:rPr>
      </w:pPr>
    </w:p>
    <w:p>
      <w:pPr>
        <w:pStyle w:val="2"/>
        <w:rPr>
          <w:rFonts w:ascii="Tahoma" w:hAnsi="Tahoma" w:cs="Tahoma"/>
          <w:color w:val="000000" w:themeColor="text1"/>
          <w:highlight w:val="none"/>
          <w14:textFill>
            <w14:solidFill>
              <w14:schemeClr w14:val="tx1"/>
            </w14:solidFill>
          </w14:textFill>
        </w:rPr>
      </w:pPr>
    </w:p>
    <w:p>
      <w:pPr>
        <w:pStyle w:val="2"/>
        <w:rPr>
          <w:rFonts w:ascii="Tahoma" w:hAnsi="Tahoma" w:cs="Tahoma"/>
          <w:color w:val="000000" w:themeColor="text1"/>
          <w:highlight w:val="none"/>
          <w14:textFill>
            <w14:solidFill>
              <w14:schemeClr w14:val="tx1"/>
            </w14:solidFill>
          </w14:textFill>
        </w:rPr>
      </w:pPr>
    </w:p>
    <w:p>
      <w:pPr>
        <w:pStyle w:val="2"/>
        <w:rPr>
          <w:rFonts w:ascii="Tahoma" w:hAnsi="Tahoma" w:cs="Tahoma"/>
          <w:color w:val="000000" w:themeColor="text1"/>
          <w:highlight w:val="none"/>
          <w14:textFill>
            <w14:solidFill>
              <w14:schemeClr w14:val="tx1"/>
            </w14:solidFill>
          </w14:textFill>
        </w:rPr>
      </w:pPr>
    </w:p>
    <w:p>
      <w:pPr>
        <w:pStyle w:val="2"/>
        <w:rPr>
          <w:rFonts w:ascii="Tahoma" w:hAnsi="Tahoma" w:cs="Tahoma"/>
          <w:color w:val="000000" w:themeColor="text1"/>
          <w:highlight w:val="none"/>
          <w14:textFill>
            <w14:solidFill>
              <w14:schemeClr w14:val="tx1"/>
            </w14:solidFill>
          </w14:textFill>
        </w:rPr>
      </w:pPr>
    </w:p>
    <w:p>
      <w:pPr>
        <w:pStyle w:val="2"/>
        <w:rPr>
          <w:rFonts w:ascii="Tahoma" w:hAnsi="Tahoma" w:cs="Tahoma"/>
          <w:color w:val="000000" w:themeColor="text1"/>
          <w:highlight w:val="none"/>
          <w14:textFill>
            <w14:solidFill>
              <w14:schemeClr w14:val="tx1"/>
            </w14:solidFill>
          </w14:textFill>
        </w:rPr>
      </w:pPr>
    </w:p>
    <w:p>
      <w:pPr>
        <w:tabs>
          <w:tab w:val="left" w:pos="1701"/>
        </w:tabs>
        <w:spacing w:line="360" w:lineRule="auto"/>
        <w:jc w:val="center"/>
        <w:rPr>
          <w:rFonts w:hint="eastAsia" w:ascii="Tahoma" w:hAnsi="黑体" w:eastAsia="黑体" w:cs="Tahoma"/>
          <w:b/>
          <w:color w:val="000000" w:themeColor="text1"/>
          <w:sz w:val="48"/>
          <w:szCs w:val="48"/>
          <w:highlight w:val="none"/>
          <w:lang w:eastAsia="zh-CN"/>
          <w14:textFill>
            <w14:solidFill>
              <w14:schemeClr w14:val="tx1"/>
            </w14:solidFill>
          </w14:textFill>
        </w:rPr>
      </w:pPr>
    </w:p>
    <w:p>
      <w:pPr>
        <w:spacing w:line="276" w:lineRule="auto"/>
        <w:jc w:val="center"/>
        <w:rPr>
          <w:rFonts w:hint="eastAsia" w:ascii="Tahoma" w:hAnsi="Tahoma" w:eastAsia="黑体" w:cs="Tahoma"/>
          <w:b/>
          <w:color w:val="000000" w:themeColor="text1"/>
          <w:sz w:val="40"/>
          <w:szCs w:val="40"/>
          <w:highlight w:val="none"/>
          <w:lang w:eastAsia="zh-CN"/>
          <w14:textFill>
            <w14:solidFill>
              <w14:schemeClr w14:val="tx1"/>
            </w14:solidFill>
          </w14:textFill>
        </w:rPr>
      </w:pPr>
      <w:r>
        <w:rPr>
          <w:rFonts w:hint="eastAsia" w:ascii="Tahoma" w:hAnsi="黑体" w:eastAsia="黑体" w:cs="Tahoma"/>
          <w:b/>
          <w:color w:val="000000" w:themeColor="text1"/>
          <w:sz w:val="52"/>
          <w:szCs w:val="52"/>
          <w:highlight w:val="none"/>
          <w:lang w:val="en-US" w:eastAsia="zh-CN"/>
          <w14:textFill>
            <w14:solidFill>
              <w14:schemeClr w14:val="tx1"/>
            </w14:solidFill>
          </w14:textFill>
        </w:rPr>
        <w:t>和田地区</w:t>
      </w:r>
      <w:r>
        <w:rPr>
          <w:rFonts w:hint="eastAsia" w:ascii="Tahoma" w:hAnsi="黑体" w:eastAsia="黑体" w:cs="Tahoma"/>
          <w:b/>
          <w:color w:val="000000" w:themeColor="text1"/>
          <w:sz w:val="52"/>
          <w:szCs w:val="52"/>
          <w:highlight w:val="none"/>
          <w:lang w:eastAsia="zh-CN"/>
          <w14:textFill>
            <w14:solidFill>
              <w14:schemeClr w14:val="tx1"/>
            </w14:solidFill>
          </w14:textFill>
        </w:rPr>
        <w:t>和田县人民医院综合能力提升及信息化建设项目</w:t>
      </w:r>
    </w:p>
    <w:p>
      <w:pPr>
        <w:spacing w:line="400" w:lineRule="exact"/>
        <w:jc w:val="center"/>
        <w:rPr>
          <w:rFonts w:ascii="Tahoma" w:hAnsi="Tahoma" w:cs="Tahoma"/>
          <w:b/>
          <w:bCs/>
          <w:color w:val="000000" w:themeColor="text1"/>
          <w:sz w:val="84"/>
          <w:highlight w:val="none"/>
          <w14:textFill>
            <w14:solidFill>
              <w14:schemeClr w14:val="tx1"/>
            </w14:solidFill>
          </w14:textFill>
        </w:rPr>
      </w:pPr>
    </w:p>
    <w:p>
      <w:pPr>
        <w:spacing w:line="400" w:lineRule="exact"/>
        <w:jc w:val="center"/>
        <w:rPr>
          <w:rFonts w:ascii="Tahoma" w:hAnsi="Tahoma" w:eastAsia="黑体" w:cs="Tahoma"/>
          <w:color w:val="000000" w:themeColor="text1"/>
          <w:sz w:val="96"/>
          <w:highlight w:val="none"/>
          <w14:textFill>
            <w14:solidFill>
              <w14:schemeClr w14:val="tx1"/>
            </w14:solidFill>
          </w14:textFill>
        </w:rPr>
      </w:pPr>
    </w:p>
    <w:p>
      <w:pPr>
        <w:spacing w:line="400" w:lineRule="exact"/>
        <w:jc w:val="center"/>
        <w:rPr>
          <w:rFonts w:ascii="Tahoma" w:hAnsi="Tahoma" w:eastAsia="黑体" w:cs="Tahoma"/>
          <w:color w:val="000000" w:themeColor="text1"/>
          <w:sz w:val="96"/>
          <w:highlight w:val="none"/>
          <w14:textFill>
            <w14:solidFill>
              <w14:schemeClr w14:val="tx1"/>
            </w14:solidFill>
          </w14:textFill>
        </w:rPr>
      </w:pPr>
    </w:p>
    <w:p>
      <w:pPr>
        <w:spacing w:line="400" w:lineRule="exact"/>
        <w:jc w:val="center"/>
        <w:rPr>
          <w:rFonts w:ascii="Tahoma" w:hAnsi="Tahoma" w:eastAsia="黑体" w:cs="Tahoma"/>
          <w:color w:val="000000" w:themeColor="text1"/>
          <w:sz w:val="96"/>
          <w:highlight w:val="none"/>
          <w14:textFill>
            <w14:solidFill>
              <w14:schemeClr w14:val="tx1"/>
            </w14:solidFill>
          </w14:textFill>
        </w:rPr>
      </w:pPr>
    </w:p>
    <w:p>
      <w:pPr>
        <w:spacing w:line="400" w:lineRule="exact"/>
        <w:jc w:val="center"/>
        <w:rPr>
          <w:rFonts w:ascii="Tahoma" w:hAnsi="Tahoma" w:eastAsia="黑体" w:cs="Tahoma"/>
          <w:color w:val="000000" w:themeColor="text1"/>
          <w:sz w:val="96"/>
          <w:highlight w:val="none"/>
          <w14:textFill>
            <w14:solidFill>
              <w14:schemeClr w14:val="tx1"/>
            </w14:solidFill>
          </w14:textFill>
        </w:rPr>
      </w:pPr>
    </w:p>
    <w:p>
      <w:pPr>
        <w:spacing w:line="400" w:lineRule="exact"/>
        <w:jc w:val="center"/>
        <w:rPr>
          <w:rFonts w:ascii="Tahoma" w:hAnsi="Tahoma" w:eastAsia="黑体" w:cs="Tahoma"/>
          <w:color w:val="000000" w:themeColor="text1"/>
          <w:sz w:val="96"/>
          <w:highlight w:val="none"/>
          <w14:textFill>
            <w14:solidFill>
              <w14:schemeClr w14:val="tx1"/>
            </w14:solidFill>
          </w14:textFill>
        </w:rPr>
      </w:pPr>
    </w:p>
    <w:p>
      <w:pPr>
        <w:spacing w:line="400" w:lineRule="exact"/>
        <w:jc w:val="center"/>
        <w:rPr>
          <w:rFonts w:ascii="Tahoma" w:hAnsi="Tahoma" w:eastAsia="黑体" w:cs="Tahoma"/>
          <w:color w:val="000000" w:themeColor="text1"/>
          <w:sz w:val="96"/>
          <w:highlight w:val="none"/>
          <w14:textFill>
            <w14:solidFill>
              <w14:schemeClr w14:val="tx1"/>
            </w14:solidFill>
          </w14:textFill>
        </w:rPr>
      </w:pPr>
    </w:p>
    <w:p>
      <w:pPr>
        <w:spacing w:line="400" w:lineRule="exact"/>
        <w:jc w:val="center"/>
        <w:rPr>
          <w:rFonts w:ascii="Tahoma" w:hAnsi="Tahoma" w:eastAsia="黑体" w:cs="Tahoma"/>
          <w:color w:val="000000" w:themeColor="text1"/>
          <w:sz w:val="96"/>
          <w:highlight w:val="none"/>
          <w14:textFill>
            <w14:solidFill>
              <w14:schemeClr w14:val="tx1"/>
            </w14:solidFill>
          </w14:textFill>
        </w:rPr>
      </w:pPr>
    </w:p>
    <w:p>
      <w:pPr>
        <w:jc w:val="center"/>
        <w:rPr>
          <w:rFonts w:ascii="Tahoma" w:hAnsi="Tahoma" w:cs="Tahoma"/>
          <w:b/>
          <w:bCs/>
          <w:color w:val="000000" w:themeColor="text1"/>
          <w:sz w:val="84"/>
          <w:highlight w:val="none"/>
          <w14:textFill>
            <w14:solidFill>
              <w14:schemeClr w14:val="tx1"/>
            </w14:solidFill>
          </w14:textFill>
        </w:rPr>
      </w:pPr>
      <w:bookmarkStart w:id="237" w:name="_Toc27595"/>
      <w:r>
        <w:rPr>
          <w:rFonts w:ascii="Tahoma" w:hAnsi="Tahoma" w:eastAsia="黑体" w:cs="Tahoma"/>
          <w:b/>
          <w:bCs/>
          <w:color w:val="000000" w:themeColor="text1"/>
          <w:sz w:val="96"/>
          <w:highlight w:val="none"/>
          <w14:textFill>
            <w14:solidFill>
              <w14:schemeClr w14:val="tx1"/>
            </w14:solidFill>
          </w14:textFill>
        </w:rPr>
        <w:t>投标文件</w:t>
      </w:r>
      <w:bookmarkEnd w:id="237"/>
    </w:p>
    <w:p>
      <w:pPr>
        <w:pStyle w:val="13"/>
        <w:pBdr>
          <w:top w:val="none" w:color="auto" w:sz="0" w:space="0"/>
          <w:left w:val="none" w:color="auto" w:sz="0" w:space="0"/>
          <w:bottom w:val="none" w:color="auto" w:sz="0" w:space="0"/>
          <w:right w:val="none" w:color="auto" w:sz="0" w:space="0"/>
          <w:between w:val="none" w:color="auto" w:sz="0" w:space="0"/>
        </w:pBdr>
        <w:shd w:val="clear"/>
        <w:snapToGrid w:val="0"/>
        <w:spacing w:line="400" w:lineRule="exact"/>
        <w:jc w:val="center"/>
        <w:rPr>
          <w:rFonts w:hint="eastAsia" w:ascii="Tahoma" w:hAnsi="Tahoma" w:eastAsia="黑体" w:cs="Tahoma"/>
          <w:b/>
          <w:color w:val="000000" w:themeColor="text1"/>
          <w:sz w:val="32"/>
          <w:szCs w:val="32"/>
          <w:highlight w:val="none"/>
          <w:lang w:eastAsia="zh-CN"/>
          <w14:textFill>
            <w14:solidFill>
              <w14:schemeClr w14:val="tx1"/>
            </w14:solidFill>
          </w14:textFill>
        </w:rPr>
      </w:pPr>
      <w:r>
        <w:rPr>
          <w:rFonts w:ascii="Tahoma" w:hAnsi="Tahoma" w:eastAsia="黑体" w:cs="Tahoma"/>
          <w:b/>
          <w:bCs/>
          <w:color w:val="000000" w:themeColor="text1"/>
          <w:sz w:val="32"/>
          <w:szCs w:val="32"/>
          <w:highlight w:val="none"/>
          <w14:textFill>
            <w14:solidFill>
              <w14:schemeClr w14:val="tx1"/>
            </w14:solidFill>
          </w14:textFill>
        </w:rPr>
        <w:t>项目编号：</w:t>
      </w:r>
      <w:r>
        <w:rPr>
          <w:rFonts w:hint="eastAsia" w:ascii="Tahoma" w:hAnsi="Tahoma" w:eastAsia="黑体" w:cs="Tahoma"/>
          <w:b/>
          <w:bCs/>
          <w:color w:val="000000" w:themeColor="text1"/>
          <w:sz w:val="32"/>
          <w:szCs w:val="32"/>
          <w:highlight w:val="none"/>
          <w:lang w:eastAsia="zh-CN"/>
          <w14:textFill>
            <w14:solidFill>
              <w14:schemeClr w14:val="tx1"/>
            </w14:solidFill>
          </w14:textFill>
        </w:rPr>
        <w:t>HTXZFCG（2022FS）039号</w:t>
      </w:r>
    </w:p>
    <w:p>
      <w:pPr>
        <w:pStyle w:val="9"/>
        <w:snapToGrid w:val="0"/>
        <w:spacing w:line="420" w:lineRule="atLeast"/>
        <w:ind w:firstLine="0"/>
        <w:jc w:val="center"/>
        <w:rPr>
          <w:rFonts w:ascii="Tahoma" w:hAnsi="Tahoma" w:cs="Tahoma"/>
          <w:b/>
          <w:bCs/>
          <w:color w:val="000000" w:themeColor="text1"/>
          <w:sz w:val="36"/>
          <w:highlight w:val="none"/>
          <w14:textFill>
            <w14:solidFill>
              <w14:schemeClr w14:val="tx1"/>
            </w14:solidFill>
          </w14:textFill>
        </w:rPr>
      </w:pPr>
    </w:p>
    <w:p>
      <w:pPr>
        <w:pStyle w:val="9"/>
        <w:snapToGrid w:val="0"/>
        <w:spacing w:line="420" w:lineRule="atLeast"/>
        <w:ind w:firstLine="0"/>
        <w:jc w:val="center"/>
        <w:rPr>
          <w:rFonts w:ascii="Tahoma" w:hAnsi="Tahoma" w:cs="Tahoma"/>
          <w:b/>
          <w:bCs/>
          <w:color w:val="000000" w:themeColor="text1"/>
          <w:sz w:val="36"/>
          <w:highlight w:val="none"/>
          <w14:textFill>
            <w14:solidFill>
              <w14:schemeClr w14:val="tx1"/>
            </w14:solidFill>
          </w14:textFill>
        </w:rPr>
      </w:pPr>
    </w:p>
    <w:p>
      <w:pPr>
        <w:pStyle w:val="9"/>
        <w:snapToGrid w:val="0"/>
        <w:spacing w:line="420" w:lineRule="atLeast"/>
        <w:ind w:firstLine="0"/>
        <w:jc w:val="center"/>
        <w:rPr>
          <w:rFonts w:ascii="Tahoma" w:hAnsi="Tahoma" w:cs="Tahoma"/>
          <w:b/>
          <w:bCs/>
          <w:color w:val="000000" w:themeColor="text1"/>
          <w:sz w:val="36"/>
          <w:highlight w:val="none"/>
          <w14:textFill>
            <w14:solidFill>
              <w14:schemeClr w14:val="tx1"/>
            </w14:solidFill>
          </w14:textFill>
        </w:rPr>
      </w:pPr>
    </w:p>
    <w:p>
      <w:pPr>
        <w:pStyle w:val="9"/>
        <w:snapToGrid w:val="0"/>
        <w:spacing w:line="420" w:lineRule="atLeast"/>
        <w:ind w:firstLine="0"/>
        <w:jc w:val="center"/>
        <w:rPr>
          <w:rFonts w:ascii="Tahoma" w:hAnsi="Tahoma" w:cs="Tahoma"/>
          <w:b/>
          <w:bCs/>
          <w:color w:val="000000" w:themeColor="text1"/>
          <w:sz w:val="36"/>
          <w:highlight w:val="none"/>
          <w14:textFill>
            <w14:solidFill>
              <w14:schemeClr w14:val="tx1"/>
            </w14:solidFill>
          </w14:textFill>
        </w:rPr>
      </w:pPr>
    </w:p>
    <w:p>
      <w:pPr>
        <w:pStyle w:val="9"/>
        <w:snapToGrid w:val="0"/>
        <w:spacing w:line="420" w:lineRule="atLeast"/>
        <w:ind w:firstLine="0"/>
        <w:jc w:val="center"/>
        <w:rPr>
          <w:rFonts w:ascii="Tahoma" w:hAnsi="Tahoma" w:cs="Tahoma"/>
          <w:b/>
          <w:bCs/>
          <w:color w:val="000000" w:themeColor="text1"/>
          <w:sz w:val="36"/>
          <w:highlight w:val="none"/>
          <w14:textFill>
            <w14:solidFill>
              <w14:schemeClr w14:val="tx1"/>
            </w14:solidFill>
          </w14:textFill>
        </w:rPr>
      </w:pPr>
    </w:p>
    <w:p>
      <w:pPr>
        <w:pStyle w:val="9"/>
        <w:snapToGrid w:val="0"/>
        <w:spacing w:line="420" w:lineRule="atLeast"/>
        <w:ind w:firstLine="0"/>
        <w:jc w:val="center"/>
        <w:rPr>
          <w:rFonts w:ascii="Tahoma" w:hAnsi="Tahoma" w:cs="Tahoma"/>
          <w:b/>
          <w:bCs/>
          <w:color w:val="000000" w:themeColor="text1"/>
          <w:sz w:val="36"/>
          <w:highlight w:val="none"/>
          <w14:textFill>
            <w14:solidFill>
              <w14:schemeClr w14:val="tx1"/>
            </w14:solidFill>
          </w14:textFill>
        </w:rPr>
      </w:pPr>
    </w:p>
    <w:p>
      <w:pPr>
        <w:pStyle w:val="9"/>
        <w:snapToGrid w:val="0"/>
        <w:spacing w:line="420" w:lineRule="atLeast"/>
        <w:ind w:firstLine="0"/>
        <w:jc w:val="both"/>
        <w:rPr>
          <w:rFonts w:ascii="Tahoma" w:hAnsi="Tahoma" w:cs="Tahoma"/>
          <w:b/>
          <w:bCs/>
          <w:color w:val="000000" w:themeColor="text1"/>
          <w:sz w:val="36"/>
          <w:highlight w:val="none"/>
          <w14:textFill>
            <w14:solidFill>
              <w14:schemeClr w14:val="tx1"/>
            </w14:solidFill>
          </w14:textFill>
        </w:rPr>
      </w:pPr>
    </w:p>
    <w:p>
      <w:pPr>
        <w:pStyle w:val="9"/>
        <w:snapToGrid w:val="0"/>
        <w:spacing w:line="420" w:lineRule="atLeast"/>
        <w:ind w:firstLine="0"/>
        <w:jc w:val="center"/>
        <w:rPr>
          <w:rFonts w:ascii="Tahoma" w:hAnsi="Tahoma" w:cs="Tahoma"/>
          <w:b/>
          <w:bCs/>
          <w:color w:val="000000" w:themeColor="text1"/>
          <w:sz w:val="36"/>
          <w:highlight w:val="none"/>
          <w14:textFill>
            <w14:solidFill>
              <w14:schemeClr w14:val="tx1"/>
            </w14:solidFill>
          </w14:textFill>
        </w:rPr>
      </w:pPr>
    </w:p>
    <w:p>
      <w:pPr>
        <w:rPr>
          <w:rFonts w:ascii="Tahoma" w:hAnsi="Tahoma" w:cs="Tahoma"/>
          <w:color w:val="000000" w:themeColor="text1"/>
          <w:highlight w:val="none"/>
          <w14:textFill>
            <w14:solidFill>
              <w14:schemeClr w14:val="tx1"/>
            </w14:solidFill>
          </w14:textFill>
        </w:rPr>
      </w:pPr>
    </w:p>
    <w:p>
      <w:pPr>
        <w:spacing w:line="360" w:lineRule="auto"/>
        <w:ind w:firstLine="1795" w:firstLineChars="596"/>
        <w:rPr>
          <w:rFonts w:ascii="Tahoma" w:hAnsi="Tahoma" w:cs="Tahoma"/>
          <w:b/>
          <w:color w:val="000000" w:themeColor="text1"/>
          <w:sz w:val="72"/>
          <w:highlight w:val="none"/>
          <w14:textFill>
            <w14:solidFill>
              <w14:schemeClr w14:val="tx1"/>
            </w14:solidFill>
          </w14:textFill>
        </w:rPr>
      </w:pPr>
      <w:bookmarkStart w:id="238" w:name="_Toc20142"/>
      <w:r>
        <w:rPr>
          <w:rFonts w:ascii="Tahoma" w:hAnsi="Tahoma" w:eastAsia="黑体" w:cs="Tahoma"/>
          <w:b/>
          <w:color w:val="000000" w:themeColor="text1"/>
          <w:sz w:val="30"/>
          <w:szCs w:val="30"/>
          <w:highlight w:val="none"/>
          <w14:textFill>
            <w14:solidFill>
              <w14:schemeClr w14:val="tx1"/>
            </w14:solidFill>
          </w14:textFill>
        </w:rPr>
        <w:t>项 目 编 号：</w:t>
      </w:r>
      <w:bookmarkEnd w:id="238"/>
      <w:r>
        <w:rPr>
          <w:rFonts w:ascii="Tahoma" w:hAnsi="Tahoma" w:eastAsia="黑体" w:cs="Tahoma"/>
          <w:b/>
          <w:color w:val="000000" w:themeColor="text1"/>
          <w:sz w:val="30"/>
          <w:szCs w:val="30"/>
          <w:highlight w:val="none"/>
          <w:u w:val="single"/>
          <w14:textFill>
            <w14:solidFill>
              <w14:schemeClr w14:val="tx1"/>
            </w14:solidFill>
          </w14:textFill>
        </w:rPr>
        <w:t xml:space="preserve">                        </w:t>
      </w:r>
    </w:p>
    <w:p>
      <w:pPr>
        <w:spacing w:line="360" w:lineRule="auto"/>
        <w:ind w:firstLine="1795" w:firstLineChars="596"/>
        <w:rPr>
          <w:rFonts w:ascii="Tahoma" w:hAnsi="Tahoma" w:eastAsia="黑体" w:cs="Tahoma"/>
          <w:b/>
          <w:color w:val="000000" w:themeColor="text1"/>
          <w:sz w:val="30"/>
          <w:szCs w:val="30"/>
          <w:highlight w:val="none"/>
          <w:u w:val="single"/>
          <w14:textFill>
            <w14:solidFill>
              <w14:schemeClr w14:val="tx1"/>
            </w14:solidFill>
          </w14:textFill>
        </w:rPr>
      </w:pPr>
      <w:bookmarkStart w:id="239" w:name="_Toc28159"/>
      <w:r>
        <w:rPr>
          <w:rFonts w:ascii="Tahoma" w:hAnsi="Tahoma" w:eastAsia="黑体" w:cs="Tahoma"/>
          <w:b/>
          <w:color w:val="000000" w:themeColor="text1"/>
          <w:sz w:val="30"/>
          <w:szCs w:val="30"/>
          <w:highlight w:val="none"/>
          <w14:textFill>
            <w14:solidFill>
              <w14:schemeClr w14:val="tx1"/>
            </w14:solidFill>
          </w14:textFill>
        </w:rPr>
        <w:t>投标人名称 ：</w:t>
      </w:r>
      <w:bookmarkEnd w:id="239"/>
      <w:r>
        <w:rPr>
          <w:rFonts w:ascii="Tahoma" w:hAnsi="Tahoma" w:eastAsia="黑体" w:cs="Tahoma"/>
          <w:b/>
          <w:color w:val="000000" w:themeColor="text1"/>
          <w:sz w:val="30"/>
          <w:szCs w:val="30"/>
          <w:highlight w:val="none"/>
          <w:u w:val="single"/>
          <w14:textFill>
            <w14:solidFill>
              <w14:schemeClr w14:val="tx1"/>
            </w14:solidFill>
          </w14:textFill>
        </w:rPr>
        <w:t xml:space="preserve">                        </w:t>
      </w:r>
    </w:p>
    <w:p>
      <w:pPr>
        <w:spacing w:line="360" w:lineRule="auto"/>
        <w:ind w:firstLine="1795" w:firstLineChars="596"/>
        <w:rPr>
          <w:rFonts w:ascii="Tahoma" w:hAnsi="Tahoma" w:eastAsia="黑体" w:cs="Tahoma"/>
          <w:b/>
          <w:color w:val="000000" w:themeColor="text1"/>
          <w:sz w:val="30"/>
          <w:szCs w:val="30"/>
          <w:highlight w:val="none"/>
          <w14:textFill>
            <w14:solidFill>
              <w14:schemeClr w14:val="tx1"/>
            </w14:solidFill>
          </w14:textFill>
        </w:rPr>
      </w:pPr>
      <w:bookmarkStart w:id="240" w:name="_Toc7564"/>
      <w:r>
        <w:rPr>
          <w:rFonts w:ascii="Tahoma" w:hAnsi="Tahoma" w:eastAsia="黑体" w:cs="Tahoma"/>
          <w:b/>
          <w:color w:val="000000" w:themeColor="text1"/>
          <w:sz w:val="30"/>
          <w:szCs w:val="30"/>
          <w:highlight w:val="none"/>
          <w14:textFill>
            <w14:solidFill>
              <w14:schemeClr w14:val="tx1"/>
            </w14:solidFill>
          </w14:textFill>
        </w:rPr>
        <w:t>日      期 ：</w:t>
      </w:r>
      <w:bookmarkEnd w:id="240"/>
      <w:r>
        <w:rPr>
          <w:rFonts w:ascii="Tahoma" w:hAnsi="Tahoma" w:eastAsia="黑体" w:cs="Tahoma"/>
          <w:b/>
          <w:color w:val="000000" w:themeColor="text1"/>
          <w:sz w:val="30"/>
          <w:szCs w:val="30"/>
          <w:highlight w:val="none"/>
          <w:u w:val="single"/>
          <w14:textFill>
            <w14:solidFill>
              <w14:schemeClr w14:val="tx1"/>
            </w14:solidFill>
          </w14:textFill>
        </w:rPr>
        <w:t xml:space="preserve">                        </w:t>
      </w:r>
    </w:p>
    <w:p>
      <w:pPr>
        <w:spacing w:line="440" w:lineRule="exact"/>
        <w:jc w:val="center"/>
        <w:rPr>
          <w:rFonts w:ascii="Tahoma" w:hAnsi="Tahoma" w:eastAsia="黑体" w:cs="Tahoma"/>
          <w:b/>
          <w:bCs/>
          <w:color w:val="000000" w:themeColor="text1"/>
          <w:sz w:val="32"/>
          <w:szCs w:val="32"/>
          <w:highlight w:val="none"/>
          <w14:textFill>
            <w14:solidFill>
              <w14:schemeClr w14:val="tx1"/>
            </w14:solidFill>
          </w14:textFill>
        </w:rPr>
      </w:pPr>
      <w:bookmarkStart w:id="241" w:name="_Toc30229"/>
    </w:p>
    <w:p>
      <w:pPr>
        <w:spacing w:line="440" w:lineRule="exact"/>
        <w:jc w:val="center"/>
        <w:rPr>
          <w:rFonts w:ascii="Tahoma" w:hAnsi="Tahoma" w:eastAsia="黑体" w:cs="Tahoma"/>
          <w:b/>
          <w:bCs/>
          <w:color w:val="000000" w:themeColor="text1"/>
          <w:sz w:val="32"/>
          <w:szCs w:val="32"/>
          <w:highlight w:val="none"/>
          <w14:textFill>
            <w14:solidFill>
              <w14:schemeClr w14:val="tx1"/>
            </w14:solidFill>
          </w14:textFill>
        </w:rPr>
      </w:pPr>
      <w:r>
        <w:rPr>
          <w:rFonts w:ascii="Tahoma" w:hAnsi="Tahoma" w:eastAsia="黑体" w:cs="Tahoma"/>
          <w:b/>
          <w:bCs/>
          <w:color w:val="000000" w:themeColor="text1"/>
          <w:sz w:val="32"/>
          <w:szCs w:val="32"/>
          <w:highlight w:val="none"/>
          <w14:textFill>
            <w14:solidFill>
              <w14:schemeClr w14:val="tx1"/>
            </w14:solidFill>
          </w14:textFill>
        </w:rPr>
        <w:t>第一部分、投标主要文件</w:t>
      </w:r>
      <w:bookmarkEnd w:id="241"/>
    </w:p>
    <w:p>
      <w:pPr>
        <w:spacing w:line="440" w:lineRule="exact"/>
        <w:rPr>
          <w:rFonts w:ascii="Tahoma" w:hAnsi="Tahoma" w:cs="Tahoma"/>
          <w:color w:val="000000" w:themeColor="text1"/>
          <w:sz w:val="24"/>
          <w:highlight w:val="none"/>
          <w14:textFill>
            <w14:solidFill>
              <w14:schemeClr w14:val="tx1"/>
            </w14:solidFill>
          </w14:textFill>
        </w:rPr>
      </w:pPr>
    </w:p>
    <w:p>
      <w:pPr>
        <w:spacing w:line="480" w:lineRule="auto"/>
        <w:jc w:val="center"/>
        <w:rPr>
          <w:rFonts w:ascii="Tahoma" w:hAnsi="Tahoma" w:eastAsia="黑体" w:cs="Tahoma"/>
          <w:b/>
          <w:color w:val="000000" w:themeColor="text1"/>
          <w:sz w:val="28"/>
          <w:szCs w:val="28"/>
          <w:highlight w:val="none"/>
          <w14:textFill>
            <w14:solidFill>
              <w14:schemeClr w14:val="tx1"/>
            </w14:solidFill>
          </w14:textFill>
        </w:rPr>
      </w:pPr>
      <w:r>
        <w:rPr>
          <w:rFonts w:ascii="Tahoma" w:hAnsi="Tahoma" w:eastAsia="黑体" w:cs="Tahoma"/>
          <w:b/>
          <w:color w:val="000000" w:themeColor="text1"/>
          <w:sz w:val="28"/>
          <w:szCs w:val="28"/>
          <w:highlight w:val="none"/>
          <w14:textFill>
            <w14:solidFill>
              <w14:schemeClr w14:val="tx1"/>
            </w14:solidFill>
          </w14:textFill>
        </w:rPr>
        <w:t>目录</w:t>
      </w:r>
    </w:p>
    <w:p>
      <w:pPr>
        <w:spacing w:line="480" w:lineRule="auto"/>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（一）投标函；</w:t>
      </w:r>
    </w:p>
    <w:p>
      <w:pPr>
        <w:spacing w:line="480" w:lineRule="auto"/>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（二）开标一览表；</w:t>
      </w:r>
    </w:p>
    <w:p>
      <w:pPr>
        <w:spacing w:line="480" w:lineRule="auto"/>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（三）分项报价表；</w:t>
      </w:r>
    </w:p>
    <w:p>
      <w:pPr>
        <w:spacing w:line="480" w:lineRule="auto"/>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（四）货物（设备或产品）说明一览表；</w:t>
      </w:r>
    </w:p>
    <w:p>
      <w:pPr>
        <w:spacing w:line="480" w:lineRule="auto"/>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（五）技术规格和商务偏离表；</w:t>
      </w:r>
    </w:p>
    <w:p>
      <w:pPr>
        <w:spacing w:line="480" w:lineRule="auto"/>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（六）</w:t>
      </w:r>
      <w:r>
        <w:rPr>
          <w:rFonts w:hint="eastAsia" w:ascii="Tahoma" w:hAnsi="Tahoma" w:cs="Tahoma"/>
          <w:color w:val="000000" w:themeColor="text1"/>
          <w:szCs w:val="21"/>
          <w:highlight w:val="none"/>
          <w14:textFill>
            <w14:solidFill>
              <w14:schemeClr w14:val="tx1"/>
            </w14:solidFill>
          </w14:textFill>
        </w:rPr>
        <w:t>运输</w:t>
      </w:r>
      <w:r>
        <w:rPr>
          <w:rFonts w:ascii="Tahoma" w:hAnsi="Tahoma" w:cs="Tahoma"/>
          <w:color w:val="000000" w:themeColor="text1"/>
          <w:szCs w:val="21"/>
          <w:highlight w:val="none"/>
          <w14:textFill>
            <w14:solidFill>
              <w14:schemeClr w14:val="tx1"/>
            </w14:solidFill>
          </w14:textFill>
        </w:rPr>
        <w:t>、</w:t>
      </w:r>
      <w:r>
        <w:rPr>
          <w:rFonts w:hint="eastAsia" w:ascii="Tahoma" w:hAnsi="Tahoma" w:cs="Tahoma"/>
          <w:color w:val="000000" w:themeColor="text1"/>
          <w:szCs w:val="21"/>
          <w:highlight w:val="none"/>
          <w14:textFill>
            <w14:solidFill>
              <w14:schemeClr w14:val="tx1"/>
            </w14:solidFill>
          </w14:textFill>
        </w:rPr>
        <w:t>配送</w:t>
      </w:r>
      <w:r>
        <w:rPr>
          <w:rFonts w:ascii="Tahoma" w:hAnsi="Tahoma" w:cs="Tahoma"/>
          <w:color w:val="000000" w:themeColor="text1"/>
          <w:szCs w:val="21"/>
          <w:highlight w:val="none"/>
          <w14:textFill>
            <w14:solidFill>
              <w14:schemeClr w14:val="tx1"/>
            </w14:solidFill>
          </w14:textFill>
        </w:rPr>
        <w:t>及技术、质量保证组织措施；</w:t>
      </w:r>
    </w:p>
    <w:p>
      <w:pPr>
        <w:spacing w:line="480" w:lineRule="auto"/>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（七）质量保证、技术及售后服务承诺书；</w:t>
      </w:r>
    </w:p>
    <w:p>
      <w:pPr>
        <w:spacing w:line="480" w:lineRule="auto"/>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（八）供应商需要说明的其他内容及相关文件资料（产品出厂标准，质量检验、检测报告，产品合格证等）。</w:t>
      </w:r>
    </w:p>
    <w:p>
      <w:pPr>
        <w:spacing w:line="480" w:lineRule="auto"/>
        <w:ind w:firstLine="321" w:firstLineChars="100"/>
        <w:rPr>
          <w:rFonts w:ascii="Tahoma" w:hAnsi="Tahoma" w:cs="Tahoma"/>
          <w:b/>
          <w:bCs/>
          <w:color w:val="000000" w:themeColor="text1"/>
          <w:sz w:val="32"/>
          <w:highlight w:val="none"/>
          <w14:textFill>
            <w14:solidFill>
              <w14:schemeClr w14:val="tx1"/>
            </w14:solidFill>
          </w14:textFill>
        </w:rPr>
      </w:pPr>
    </w:p>
    <w:p>
      <w:pPr>
        <w:rPr>
          <w:rFonts w:ascii="Tahoma" w:hAnsi="Tahoma" w:cs="Tahoma"/>
          <w:color w:val="000000" w:themeColor="text1"/>
          <w:sz w:val="24"/>
          <w:highlight w:val="none"/>
          <w14:textFill>
            <w14:solidFill>
              <w14:schemeClr w14:val="tx1"/>
            </w14:solidFill>
          </w14:textFill>
        </w:rPr>
      </w:pPr>
    </w:p>
    <w:p>
      <w:pPr>
        <w:pStyle w:val="27"/>
        <w:spacing w:line="360" w:lineRule="auto"/>
        <w:jc w:val="center"/>
        <w:rPr>
          <w:rFonts w:ascii="Tahoma" w:hAnsi="Tahoma" w:eastAsia="黑体" w:cs="Tahoma"/>
          <w:color w:val="000000" w:themeColor="text1"/>
          <w:szCs w:val="28"/>
          <w:highlight w:val="none"/>
          <w14:textFill>
            <w14:solidFill>
              <w14:schemeClr w14:val="tx1"/>
            </w14:solidFill>
          </w14:textFill>
        </w:rPr>
      </w:pPr>
      <w:r>
        <w:rPr>
          <w:rFonts w:ascii="Tahoma" w:hAnsi="Tahoma" w:cs="Tahoma"/>
          <w:color w:val="000000" w:themeColor="text1"/>
          <w:highlight w:val="none"/>
          <w14:textFill>
            <w14:solidFill>
              <w14:schemeClr w14:val="tx1"/>
            </w14:solidFill>
          </w14:textFill>
        </w:rPr>
        <w:br w:type="page"/>
      </w:r>
      <w:bookmarkStart w:id="242" w:name="_Toc27930"/>
      <w:r>
        <w:rPr>
          <w:rFonts w:ascii="Tahoma" w:hAnsi="Tahoma" w:eastAsia="黑体" w:cs="Tahoma"/>
          <w:b/>
          <w:bCs/>
          <w:color w:val="000000" w:themeColor="text1"/>
          <w:szCs w:val="28"/>
          <w:highlight w:val="none"/>
          <w14:textFill>
            <w14:solidFill>
              <w14:schemeClr w14:val="tx1"/>
            </w14:solidFill>
          </w14:textFill>
        </w:rPr>
        <w:t>（一）、投标</w:t>
      </w:r>
      <w:r>
        <w:rPr>
          <w:rFonts w:ascii="Tahoma" w:hAnsi="Tahoma" w:eastAsia="黑体" w:cs="Tahoma"/>
          <w:b/>
          <w:color w:val="000000" w:themeColor="text1"/>
          <w:szCs w:val="28"/>
          <w:highlight w:val="none"/>
          <w14:textFill>
            <w14:solidFill>
              <w14:schemeClr w14:val="tx1"/>
            </w14:solidFill>
          </w14:textFill>
        </w:rPr>
        <w:t>函</w:t>
      </w:r>
      <w:bookmarkEnd w:id="242"/>
    </w:p>
    <w:p>
      <w:pPr>
        <w:spacing w:line="360" w:lineRule="auto"/>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致：</w:t>
      </w:r>
      <w:r>
        <w:rPr>
          <w:rFonts w:ascii="Tahoma" w:hAnsi="Tahoma" w:cs="Tahoma"/>
          <w:color w:val="000000" w:themeColor="text1"/>
          <w:szCs w:val="21"/>
          <w:highlight w:val="none"/>
          <w:u w:val="single"/>
          <w14:textFill>
            <w14:solidFill>
              <w14:schemeClr w14:val="tx1"/>
            </w14:solidFill>
          </w14:textFill>
        </w:rPr>
        <w:t xml:space="preserve">        采购人名称        </w:t>
      </w:r>
    </w:p>
    <w:p>
      <w:pPr>
        <w:spacing w:line="36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根据贵方为 </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 xml:space="preserve">项目的招标公告（项目编号）: </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，本签字代表</w:t>
      </w:r>
      <w:r>
        <w:rPr>
          <w:rFonts w:ascii="Tahoma" w:hAnsi="Tahoma" w:cs="Tahoma"/>
          <w:color w:val="000000" w:themeColor="text1"/>
          <w:szCs w:val="21"/>
          <w:highlight w:val="none"/>
          <w:u w:val="single"/>
          <w14:textFill>
            <w14:solidFill>
              <w14:schemeClr w14:val="tx1"/>
            </w14:solidFill>
          </w14:textFill>
        </w:rPr>
        <w:t xml:space="preserve">    （全名、职务）    </w:t>
      </w:r>
      <w:r>
        <w:rPr>
          <w:rFonts w:ascii="Tahoma" w:hAnsi="Tahoma" w:cs="Tahoma"/>
          <w:color w:val="000000" w:themeColor="text1"/>
          <w:szCs w:val="21"/>
          <w:highlight w:val="none"/>
          <w14:textFill>
            <w14:solidFill>
              <w14:schemeClr w14:val="tx1"/>
            </w14:solidFill>
          </w14:textFill>
        </w:rPr>
        <w:t>正式授权并代表投标供应商</w:t>
      </w:r>
      <w:r>
        <w:rPr>
          <w:rFonts w:ascii="Tahoma" w:hAnsi="Tahoma" w:cs="Tahoma"/>
          <w:color w:val="000000" w:themeColor="text1"/>
          <w:szCs w:val="21"/>
          <w:highlight w:val="none"/>
          <w:u w:val="single"/>
          <w14:textFill>
            <w14:solidFill>
              <w14:schemeClr w14:val="tx1"/>
            </w14:solidFill>
          </w14:textFill>
        </w:rPr>
        <w:t xml:space="preserve">        （供应商名称、地址）         </w:t>
      </w:r>
      <w:r>
        <w:rPr>
          <w:rFonts w:ascii="Tahoma" w:hAnsi="Tahoma" w:cs="Tahoma"/>
          <w:color w:val="000000" w:themeColor="text1"/>
          <w:szCs w:val="21"/>
          <w:highlight w:val="none"/>
          <w14:textFill>
            <w14:solidFill>
              <w14:schemeClr w14:val="tx1"/>
            </w14:solidFill>
          </w14:textFill>
        </w:rPr>
        <w:t>提交下述文件正本一份和副本四份。</w:t>
      </w:r>
    </w:p>
    <w:p>
      <w:pPr>
        <w:spacing w:line="360" w:lineRule="exact"/>
        <w:ind w:firstLine="210" w:firstLineChars="1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（1）开标一览表</w:t>
      </w:r>
    </w:p>
    <w:p>
      <w:pPr>
        <w:spacing w:line="360" w:lineRule="exact"/>
        <w:ind w:firstLine="210" w:firstLineChars="1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（2）分项报价表</w:t>
      </w:r>
    </w:p>
    <w:p>
      <w:pPr>
        <w:spacing w:line="360" w:lineRule="exact"/>
        <w:ind w:firstLine="210" w:firstLineChars="1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（3）货物说明一览表</w:t>
      </w:r>
    </w:p>
    <w:p>
      <w:pPr>
        <w:spacing w:line="360" w:lineRule="exact"/>
        <w:ind w:firstLine="210" w:firstLineChars="1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（4）供货范围清单 </w:t>
      </w:r>
    </w:p>
    <w:p>
      <w:pPr>
        <w:spacing w:line="360" w:lineRule="exact"/>
        <w:ind w:firstLine="210" w:firstLineChars="1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（5）技术规格和商务偏离表</w:t>
      </w:r>
    </w:p>
    <w:p>
      <w:pPr>
        <w:spacing w:line="36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（6）供应商资格证明文件</w:t>
      </w:r>
    </w:p>
    <w:p>
      <w:pPr>
        <w:spacing w:line="360" w:lineRule="exact"/>
        <w:ind w:firstLine="210" w:firstLineChars="1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（7）</w:t>
      </w:r>
      <w:r>
        <w:rPr>
          <w:rFonts w:ascii="Tahoma" w:hAnsi="Tahoma" w:cs="Tahoma"/>
          <w:color w:val="000000" w:themeColor="text1"/>
          <w:kern w:val="0"/>
          <w:szCs w:val="21"/>
          <w:highlight w:val="none"/>
          <w14:textFill>
            <w14:solidFill>
              <w14:schemeClr w14:val="tx1"/>
            </w14:solidFill>
          </w14:textFill>
        </w:rPr>
        <w:t>质量保证、技术及售后服务承诺书</w:t>
      </w:r>
    </w:p>
    <w:p>
      <w:pPr>
        <w:spacing w:line="360" w:lineRule="exact"/>
        <w:ind w:firstLine="210" w:firstLineChars="1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w:t>
      </w:r>
      <w:r>
        <w:rPr>
          <w:rFonts w:hint="eastAsia" w:ascii="Tahoma" w:hAnsi="Tahoma" w:cs="Tahoma"/>
          <w:color w:val="000000" w:themeColor="text1"/>
          <w:szCs w:val="21"/>
          <w:highlight w:val="none"/>
          <w14:textFill>
            <w14:solidFill>
              <w14:schemeClr w14:val="tx1"/>
            </w14:solidFill>
          </w14:textFill>
        </w:rPr>
        <w:t>8</w:t>
      </w:r>
      <w:r>
        <w:rPr>
          <w:rFonts w:ascii="Tahoma" w:hAnsi="Tahoma" w:cs="Tahoma"/>
          <w:color w:val="000000" w:themeColor="text1"/>
          <w:szCs w:val="21"/>
          <w:highlight w:val="none"/>
          <w14:textFill>
            <w14:solidFill>
              <w14:schemeClr w14:val="tx1"/>
            </w14:solidFill>
          </w14:textFill>
        </w:rPr>
        <w:t>）供应商提交的其它资料</w:t>
      </w:r>
    </w:p>
    <w:p>
      <w:pPr>
        <w:spacing w:line="360" w:lineRule="exact"/>
        <w:ind w:firstLine="210" w:firstLineChars="1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w:t>
      </w:r>
      <w:r>
        <w:rPr>
          <w:rFonts w:hint="eastAsia" w:ascii="Tahoma" w:hAnsi="Tahoma" w:cs="Tahoma"/>
          <w:color w:val="000000" w:themeColor="text1"/>
          <w:szCs w:val="21"/>
          <w:highlight w:val="none"/>
          <w14:textFill>
            <w14:solidFill>
              <w14:schemeClr w14:val="tx1"/>
            </w14:solidFill>
          </w14:textFill>
        </w:rPr>
        <w:t>9</w:t>
      </w:r>
      <w:r>
        <w:rPr>
          <w:rFonts w:ascii="Tahoma" w:hAnsi="Tahoma" w:cs="Tahoma"/>
          <w:color w:val="000000" w:themeColor="text1"/>
          <w:szCs w:val="21"/>
          <w:highlight w:val="none"/>
          <w14:textFill>
            <w14:solidFill>
              <w14:schemeClr w14:val="tx1"/>
            </w14:solidFill>
          </w14:textFill>
        </w:rPr>
        <w:t xml:space="preserve">）以 </w:t>
      </w:r>
      <w:r>
        <w:rPr>
          <w:rFonts w:ascii="Tahoma" w:hAnsi="Tahoma" w:cs="Tahoma"/>
          <w:color w:val="000000" w:themeColor="text1"/>
          <w:szCs w:val="21"/>
          <w:highlight w:val="none"/>
          <w:u w:val="single"/>
          <w14:textFill>
            <w14:solidFill>
              <w14:schemeClr w14:val="tx1"/>
            </w14:solidFill>
          </w14:textFill>
        </w:rPr>
        <w:t xml:space="preserve">     </w:t>
      </w:r>
      <w:r>
        <w:rPr>
          <w:rFonts w:hint="eastAsia" w:ascii="Tahoma" w:hAnsi="Tahoma" w:cs="Tahoma"/>
          <w:color w:val="000000" w:themeColor="text1"/>
          <w:szCs w:val="21"/>
          <w:highlight w:val="none"/>
          <w:u w:val="single"/>
          <w14:textFill>
            <w14:solidFill>
              <w14:schemeClr w14:val="tx1"/>
            </w14:solidFill>
          </w14:textFill>
        </w:rPr>
        <w:t>/</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方式提供的金额为人民币</w:t>
      </w:r>
      <w:r>
        <w:rPr>
          <w:rFonts w:ascii="Tahoma" w:hAnsi="Tahoma" w:cs="Tahoma"/>
          <w:color w:val="000000" w:themeColor="text1"/>
          <w:szCs w:val="21"/>
          <w:highlight w:val="none"/>
          <w:u w:val="single"/>
          <w14:textFill>
            <w14:solidFill>
              <w14:schemeClr w14:val="tx1"/>
            </w14:solidFill>
          </w14:textFill>
        </w:rPr>
        <w:t xml:space="preserve">    </w:t>
      </w:r>
      <w:r>
        <w:rPr>
          <w:rFonts w:hint="eastAsia" w:ascii="Tahoma" w:hAnsi="Tahoma" w:cs="Tahoma"/>
          <w:color w:val="000000" w:themeColor="text1"/>
          <w:szCs w:val="21"/>
          <w:highlight w:val="none"/>
          <w:u w:val="single"/>
          <w14:textFill>
            <w14:solidFill>
              <w14:schemeClr w14:val="tx1"/>
            </w14:solidFill>
          </w14:textFill>
        </w:rPr>
        <w:t>/</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元的投标保证金。</w:t>
      </w:r>
    </w:p>
    <w:p>
      <w:pPr>
        <w:spacing w:line="36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据此函，签字代表宣布同意并承诺如下：</w:t>
      </w:r>
    </w:p>
    <w:p>
      <w:pPr>
        <w:spacing w:line="36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1、所附投标报价表中的报价为规定的应提供和交付的货物及服务总价。</w:t>
      </w:r>
    </w:p>
    <w:p>
      <w:pPr>
        <w:spacing w:line="36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2、供应商已详细审查全部招标文件，包括修改文件（如有的话）和有关附件，将自行承担因对全部招标文件理解不正确或误解而产生的相应后果。</w:t>
      </w:r>
    </w:p>
    <w:p>
      <w:pPr>
        <w:spacing w:line="36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3、供应商保证遵守招标文件的全部规定，投标供应商所提交的材料中所含的信息均为真实、准确、完整，且不具有任何误导性。</w:t>
      </w:r>
    </w:p>
    <w:p>
      <w:pPr>
        <w:spacing w:line="36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4、供应商将按招标文件的规定履行合同责任和义务。</w:t>
      </w:r>
    </w:p>
    <w:p>
      <w:pPr>
        <w:spacing w:line="36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5、本投标文件自开标日起投标有效期为：</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内保持有效。</w:t>
      </w:r>
    </w:p>
    <w:p>
      <w:pPr>
        <w:spacing w:line="36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6、如果发生招标文件第二章投标人须知第3.9.9 条所述情况，则同意不予退还投标保证金。</w:t>
      </w:r>
    </w:p>
    <w:p>
      <w:pPr>
        <w:spacing w:line="360" w:lineRule="exact"/>
        <w:ind w:firstLine="315" w:firstLineChars="15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7、我方同意提供按照招标人可能要求的与其投标有关的一切数据或资料，完全理解贵方不一定要接受我方最低的报价，而是由评标委员会依据招标文件规定的评审要素所作出的评定。</w:t>
      </w:r>
    </w:p>
    <w:p>
      <w:pPr>
        <w:spacing w:line="36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8、与本次投标有关的一切正式往来通讯请寄：</w:t>
      </w:r>
    </w:p>
    <w:p>
      <w:pPr>
        <w:spacing w:line="360" w:lineRule="exact"/>
        <w:rPr>
          <w:rFonts w:ascii="Tahoma" w:hAnsi="Tahoma" w:cs="Tahoma"/>
          <w:color w:val="000000" w:themeColor="text1"/>
          <w:szCs w:val="21"/>
          <w:highlight w:val="none"/>
          <w:u w:val="singl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地址： </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 xml:space="preserve"> 邮编： </w:t>
      </w:r>
      <w:r>
        <w:rPr>
          <w:rFonts w:ascii="Tahoma" w:hAnsi="Tahoma" w:cs="Tahoma"/>
          <w:color w:val="000000" w:themeColor="text1"/>
          <w:szCs w:val="21"/>
          <w:highlight w:val="none"/>
          <w:u w:val="single"/>
          <w14:textFill>
            <w14:solidFill>
              <w14:schemeClr w14:val="tx1"/>
            </w14:solidFill>
          </w14:textFill>
        </w:rPr>
        <w:t xml:space="preserve">                       </w:t>
      </w:r>
    </w:p>
    <w:p>
      <w:pPr>
        <w:spacing w:line="360" w:lineRule="exact"/>
        <w:rPr>
          <w:rFonts w:ascii="Tahoma" w:hAnsi="Tahoma" w:cs="Tahoma"/>
          <w:color w:val="000000" w:themeColor="text1"/>
          <w:szCs w:val="21"/>
          <w:highlight w:val="none"/>
          <w:u w:val="singl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电话： </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 xml:space="preserve"> 传真： </w:t>
      </w:r>
      <w:r>
        <w:rPr>
          <w:rFonts w:ascii="Tahoma" w:hAnsi="Tahoma" w:cs="Tahoma"/>
          <w:color w:val="000000" w:themeColor="text1"/>
          <w:szCs w:val="21"/>
          <w:highlight w:val="none"/>
          <w:u w:val="single"/>
          <w14:textFill>
            <w14:solidFill>
              <w14:schemeClr w14:val="tx1"/>
            </w14:solidFill>
          </w14:textFill>
        </w:rPr>
        <w:t xml:space="preserve">                       </w:t>
      </w:r>
    </w:p>
    <w:p>
      <w:pPr>
        <w:spacing w:line="36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w:t>
      </w:r>
    </w:p>
    <w:p>
      <w:pPr>
        <w:spacing w:line="360" w:lineRule="exact"/>
        <w:rPr>
          <w:rFonts w:ascii="Tahoma" w:hAnsi="Tahoma" w:cs="Tahoma"/>
          <w:color w:val="000000" w:themeColor="text1"/>
          <w:szCs w:val="21"/>
          <w:highlight w:val="none"/>
          <w14:textFill>
            <w14:solidFill>
              <w14:schemeClr w14:val="tx1"/>
            </w14:solidFill>
          </w14:textFill>
        </w:rPr>
      </w:pPr>
    </w:p>
    <w:p>
      <w:pPr>
        <w:spacing w:line="360" w:lineRule="exact"/>
        <w:ind w:firstLine="3990" w:firstLineChars="1900"/>
        <w:rPr>
          <w:rFonts w:ascii="Tahoma" w:hAnsi="Tahoma" w:cs="Tahoma"/>
          <w:color w:val="000000" w:themeColor="text1"/>
          <w:szCs w:val="21"/>
          <w:highlight w:val="none"/>
          <w:u w:val="singl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投标供应商代表签字： </w:t>
      </w:r>
      <w:r>
        <w:rPr>
          <w:rFonts w:ascii="Tahoma" w:hAnsi="Tahoma" w:cs="Tahoma"/>
          <w:color w:val="000000" w:themeColor="text1"/>
          <w:szCs w:val="21"/>
          <w:highlight w:val="none"/>
          <w:u w:val="single"/>
          <w14:textFill>
            <w14:solidFill>
              <w14:schemeClr w14:val="tx1"/>
            </w14:solidFill>
          </w14:textFill>
        </w:rPr>
        <w:t xml:space="preserve">                       </w:t>
      </w:r>
    </w:p>
    <w:p>
      <w:pPr>
        <w:spacing w:line="36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w:t>
      </w:r>
    </w:p>
    <w:p>
      <w:pPr>
        <w:spacing w:line="360" w:lineRule="exact"/>
        <w:ind w:firstLine="3990" w:firstLineChars="19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投标供应商（加盖公章）：</w:t>
      </w:r>
      <w:r>
        <w:rPr>
          <w:rFonts w:ascii="Tahoma" w:hAnsi="Tahoma" w:cs="Tahoma"/>
          <w:color w:val="000000" w:themeColor="text1"/>
          <w:szCs w:val="21"/>
          <w:highlight w:val="none"/>
          <w:u w:val="single"/>
          <w14:textFill>
            <w14:solidFill>
              <w14:schemeClr w14:val="tx1"/>
            </w14:solidFill>
          </w14:textFill>
        </w:rPr>
        <w:t xml:space="preserve">                     </w:t>
      </w:r>
    </w:p>
    <w:p>
      <w:pPr>
        <w:spacing w:line="36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w:t>
      </w:r>
    </w:p>
    <w:p>
      <w:pPr>
        <w:spacing w:line="360" w:lineRule="exact"/>
        <w:ind w:firstLine="3990" w:firstLineChars="1900"/>
        <w:rPr>
          <w:rFonts w:ascii="Tahoma" w:hAnsi="Tahoma" w:cs="Tahoma"/>
          <w:color w:val="000000" w:themeColor="text1"/>
          <w:szCs w:val="21"/>
          <w:highlight w:val="none"/>
          <w14:textFill>
            <w14:solidFill>
              <w14:schemeClr w14:val="tx1"/>
            </w14:solidFill>
          </w14:textFill>
        </w:rPr>
        <w:sectPr>
          <w:footerReference r:id="rId10" w:type="default"/>
          <w:type w:val="nextColumn"/>
          <w:pgSz w:w="12240" w:h="15840"/>
          <w:pgMar w:top="1440" w:right="1440" w:bottom="1440" w:left="1440" w:header="720" w:footer="720" w:gutter="0"/>
          <w:pgBorders>
            <w:top w:val="none" w:sz="0" w:space="0"/>
            <w:left w:val="none" w:sz="0" w:space="0"/>
            <w:bottom w:val="none" w:sz="0" w:space="0"/>
            <w:right w:val="none" w:sz="0" w:space="0"/>
          </w:pgBorders>
          <w:pgNumType w:fmt="decimal"/>
          <w:cols w:space="720" w:num="1"/>
          <w:docGrid w:linePitch="323" w:charSpace="0"/>
        </w:sectPr>
      </w:pPr>
      <w:r>
        <w:rPr>
          <w:rFonts w:ascii="Tahoma" w:hAnsi="Tahoma" w:cs="Tahoma"/>
          <w:color w:val="000000" w:themeColor="text1"/>
          <w:szCs w:val="21"/>
          <w:highlight w:val="none"/>
          <w14:textFill>
            <w14:solidFill>
              <w14:schemeClr w14:val="tx1"/>
            </w14:solidFill>
          </w14:textFill>
        </w:rPr>
        <w:t>日  期：          年      月      日</w:t>
      </w:r>
    </w:p>
    <w:p>
      <w:pPr>
        <w:pStyle w:val="27"/>
        <w:spacing w:line="360" w:lineRule="auto"/>
        <w:jc w:val="center"/>
        <w:rPr>
          <w:rFonts w:ascii="Tahoma" w:hAnsi="Tahoma" w:cs="Tahoma"/>
          <w:b/>
          <w:color w:val="000000" w:themeColor="text1"/>
          <w:sz w:val="36"/>
          <w:highlight w:val="none"/>
          <w14:textFill>
            <w14:solidFill>
              <w14:schemeClr w14:val="tx1"/>
            </w14:solidFill>
          </w14:textFill>
        </w:rPr>
      </w:pPr>
      <w:bookmarkStart w:id="243" w:name="_Toc21326"/>
      <w:r>
        <w:rPr>
          <w:rFonts w:ascii="Tahoma" w:hAnsi="Tahoma" w:eastAsia="黑体" w:cs="Tahoma"/>
          <w:color w:val="000000" w:themeColor="text1"/>
          <w:szCs w:val="28"/>
          <w:highlight w:val="none"/>
          <w14:textFill>
            <w14:solidFill>
              <w14:schemeClr w14:val="tx1"/>
            </w14:solidFill>
          </w14:textFill>
        </w:rPr>
        <w:t>（二）</w:t>
      </w:r>
      <w:r>
        <w:rPr>
          <w:rFonts w:ascii="Tahoma" w:hAnsi="Tahoma" w:eastAsia="黑体" w:cs="Tahoma"/>
          <w:b/>
          <w:color w:val="000000" w:themeColor="text1"/>
          <w:szCs w:val="28"/>
          <w:highlight w:val="none"/>
          <w14:textFill>
            <w14:solidFill>
              <w14:schemeClr w14:val="tx1"/>
            </w14:solidFill>
          </w14:textFill>
        </w:rPr>
        <w:t>开标一览表</w:t>
      </w:r>
      <w:bookmarkEnd w:id="243"/>
    </w:p>
    <w:p>
      <w:pPr>
        <w:spacing w:line="380" w:lineRule="exact"/>
        <w:rPr>
          <w:rFonts w:ascii="Tahoma" w:hAnsi="Tahoma" w:cs="Tahoma"/>
          <w:color w:val="000000" w:themeColor="text1"/>
          <w:szCs w:val="21"/>
          <w:highlight w:val="none"/>
          <w14:textFill>
            <w14:solidFill>
              <w14:schemeClr w14:val="tx1"/>
            </w14:solidFill>
          </w14:textFill>
        </w:rPr>
      </w:pPr>
      <w:r>
        <w:rPr>
          <w:rFonts w:ascii="Tahoma" w:hAnsi="Tahoma" w:cs="Tahoma"/>
          <w:bCs/>
          <w:color w:val="000000" w:themeColor="text1"/>
          <w:szCs w:val="21"/>
          <w:highlight w:val="none"/>
          <w14:textFill>
            <w14:solidFill>
              <w14:schemeClr w14:val="tx1"/>
            </w14:solidFill>
          </w14:textFill>
        </w:rPr>
        <w:t>项目、包段</w:t>
      </w:r>
      <w:r>
        <w:rPr>
          <w:rFonts w:ascii="Tahoma" w:hAnsi="Tahoma" w:cs="Tahoma"/>
          <w:color w:val="000000" w:themeColor="text1"/>
          <w:szCs w:val="21"/>
          <w:highlight w:val="none"/>
          <w14:textFill>
            <w14:solidFill>
              <w14:schemeClr w14:val="tx1"/>
            </w14:solidFill>
          </w14:textFill>
        </w:rPr>
        <w:t>名称：                                                                                          货币单位：人民币元</w:t>
      </w:r>
    </w:p>
    <w:tbl>
      <w:tblPr>
        <w:tblStyle w:val="20"/>
        <w:tblW w:w="136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79"/>
        <w:gridCol w:w="2520"/>
        <w:gridCol w:w="1260"/>
        <w:gridCol w:w="2137"/>
        <w:gridCol w:w="1661"/>
        <w:gridCol w:w="1662"/>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序号</w:t>
            </w:r>
          </w:p>
        </w:tc>
        <w:tc>
          <w:tcPr>
            <w:tcW w:w="187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设备或产品名称</w:t>
            </w:r>
          </w:p>
        </w:tc>
        <w:tc>
          <w:tcPr>
            <w:tcW w:w="252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型号规格</w:t>
            </w:r>
            <w:r>
              <w:rPr>
                <w:rFonts w:hint="eastAsia" w:ascii="Tahoma" w:hAnsi="Tahoma" w:cs="Tahoma"/>
                <w:color w:val="000000" w:themeColor="text1"/>
                <w:szCs w:val="21"/>
                <w:highlight w:val="none"/>
                <w14:textFill>
                  <w14:solidFill>
                    <w14:schemeClr w14:val="tx1"/>
                  </w14:solidFill>
                </w14:textFill>
              </w:rPr>
              <w:t>、品牌产地</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数量</w:t>
            </w:r>
          </w:p>
        </w:tc>
        <w:tc>
          <w:tcPr>
            <w:tcW w:w="213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报价</w:t>
            </w:r>
          </w:p>
        </w:tc>
        <w:tc>
          <w:tcPr>
            <w:tcW w:w="166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交货期</w:t>
            </w:r>
          </w:p>
        </w:tc>
        <w:tc>
          <w:tcPr>
            <w:tcW w:w="166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质保期</w:t>
            </w:r>
          </w:p>
        </w:tc>
        <w:tc>
          <w:tcPr>
            <w:tcW w:w="171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187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213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166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166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171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187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213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166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166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171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187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213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166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166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171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187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213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166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166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171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187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213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166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166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171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187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213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166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166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171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187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213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166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166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171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187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213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166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166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171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3681" w:type="dxa"/>
            <w:gridSpan w:val="8"/>
            <w:tcBorders>
              <w:top w:val="single" w:color="auto" w:sz="4" w:space="0"/>
              <w:left w:val="single" w:color="auto" w:sz="4" w:space="0"/>
              <w:bottom w:val="single" w:color="auto" w:sz="4" w:space="0"/>
              <w:right w:val="single" w:color="auto" w:sz="4" w:space="0"/>
            </w:tcBorders>
            <w:vAlign w:val="center"/>
          </w:tcPr>
          <w:p>
            <w:pPr>
              <w:spacing w:line="38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投标总报价（大写）：</w:t>
            </w:r>
          </w:p>
        </w:tc>
      </w:tr>
    </w:tbl>
    <w:p>
      <w:pPr>
        <w:spacing w:line="320" w:lineRule="atLeast"/>
        <w:ind w:firstLine="316" w:firstLineChars="150"/>
        <w:rPr>
          <w:rFonts w:ascii="Tahoma" w:hAnsi="Tahoma" w:cs="Tahoma"/>
          <w:b/>
          <w:color w:val="000000" w:themeColor="text1"/>
          <w:highlight w:val="none"/>
          <w14:textFill>
            <w14:solidFill>
              <w14:schemeClr w14:val="tx1"/>
            </w14:solidFill>
          </w14:textFill>
        </w:rPr>
      </w:pPr>
      <w:r>
        <w:rPr>
          <w:rFonts w:ascii="Tahoma" w:hAnsi="Tahoma" w:cs="Tahoma"/>
          <w:b/>
          <w:color w:val="000000" w:themeColor="text1"/>
          <w:highlight w:val="none"/>
          <w14:textFill>
            <w14:solidFill>
              <w14:schemeClr w14:val="tx1"/>
            </w14:solidFill>
          </w14:textFill>
        </w:rPr>
        <w:t>1、每一设备或产品的详细报价清单应按《分项报价明细表》另表详列，且标明所报各种设备或产品的数量、品牌和金额，货物设备或产品的型号规格，并应与招标文件中一致。否则，给供应商带来的不利由供应商自行承担！每一设备或产品的详细报价清单应另表详列，且标明各种货物的数量、名称和金额。</w:t>
      </w:r>
      <w:r>
        <w:rPr>
          <w:rFonts w:ascii="Tahoma" w:hAnsi="Tahoma" w:cs="Tahoma"/>
          <w:b/>
          <w:color w:val="000000" w:themeColor="text1"/>
          <w:highlight w:val="none"/>
          <w14:textFill>
            <w14:solidFill>
              <w14:schemeClr w14:val="tx1"/>
            </w14:solidFill>
          </w14:textFill>
        </w:rPr>
        <w:tab/>
      </w:r>
      <w:r>
        <w:rPr>
          <w:rFonts w:ascii="Tahoma" w:hAnsi="Tahoma" w:cs="Tahoma"/>
          <w:b/>
          <w:color w:val="000000" w:themeColor="text1"/>
          <w:highlight w:val="none"/>
          <w14:textFill>
            <w14:solidFill>
              <w14:schemeClr w14:val="tx1"/>
            </w14:solidFill>
          </w14:textFill>
        </w:rPr>
        <w:tab/>
      </w:r>
    </w:p>
    <w:p>
      <w:pPr>
        <w:spacing w:line="320" w:lineRule="atLeast"/>
        <w:ind w:firstLine="314" w:firstLineChars="149"/>
        <w:rPr>
          <w:rFonts w:ascii="Tahoma" w:hAnsi="Tahoma" w:cs="Tahoma"/>
          <w:b/>
          <w:color w:val="000000" w:themeColor="text1"/>
          <w:highlight w:val="none"/>
          <w14:textFill>
            <w14:solidFill>
              <w14:schemeClr w14:val="tx1"/>
            </w14:solidFill>
          </w14:textFill>
        </w:rPr>
      </w:pPr>
      <w:r>
        <w:rPr>
          <w:rFonts w:ascii="Tahoma" w:hAnsi="Tahoma" w:cs="Tahoma"/>
          <w:b/>
          <w:color w:val="000000" w:themeColor="text1"/>
          <w:highlight w:val="none"/>
          <w14:textFill>
            <w14:solidFill>
              <w14:schemeClr w14:val="tx1"/>
            </w14:solidFill>
          </w14:textFill>
        </w:rPr>
        <w:t>2、若投标函中的投标总价与《开标一览表》不一致的，以《开标一览表》中的投标总报价大写为准。</w:t>
      </w:r>
    </w:p>
    <w:p>
      <w:pPr>
        <w:spacing w:line="320" w:lineRule="atLeast"/>
        <w:ind w:firstLine="314" w:firstLineChars="149"/>
        <w:rPr>
          <w:rFonts w:ascii="Tahoma" w:hAnsi="Tahoma" w:cs="Tahoma"/>
          <w:b/>
          <w:color w:val="000000" w:themeColor="text1"/>
          <w:highlight w:val="none"/>
          <w14:textFill>
            <w14:solidFill>
              <w14:schemeClr w14:val="tx1"/>
            </w14:solidFill>
          </w14:textFill>
        </w:rPr>
      </w:pPr>
      <w:r>
        <w:rPr>
          <w:rFonts w:ascii="Tahoma" w:hAnsi="Tahoma" w:cs="Tahoma"/>
          <w:b/>
          <w:color w:val="000000" w:themeColor="text1"/>
          <w:highlight w:val="none"/>
          <w14:textFill>
            <w14:solidFill>
              <w14:schemeClr w14:val="tx1"/>
            </w14:solidFill>
          </w14:textFill>
        </w:rPr>
        <w:t>3、交货期：是指开始供货直至验收合格交付使用的期限。供应商必须对本表中的“交货期”作出实质性响应并满足招标文件的规定，不得简单的以“响应招标文件要求”或 “按合同约定”等类似内容填报，否则给供应商带来的不利</w:t>
      </w:r>
      <w:r>
        <w:rPr>
          <w:rFonts w:ascii="Tahoma" w:hAnsi="Tahoma" w:cs="Tahoma"/>
          <w:b/>
          <w:color w:val="000000" w:themeColor="text1"/>
          <w:szCs w:val="21"/>
          <w:highlight w:val="none"/>
          <w14:textFill>
            <w14:solidFill>
              <w14:schemeClr w14:val="tx1"/>
            </w14:solidFill>
          </w14:textFill>
        </w:rPr>
        <w:t>或导致投标被拒绝</w:t>
      </w:r>
      <w:r>
        <w:rPr>
          <w:rFonts w:ascii="Tahoma" w:hAnsi="Tahoma" w:cs="Tahoma"/>
          <w:b/>
          <w:color w:val="000000" w:themeColor="text1"/>
          <w:highlight w:val="none"/>
          <w14:textFill>
            <w14:solidFill>
              <w14:schemeClr w14:val="tx1"/>
            </w14:solidFill>
          </w14:textFill>
        </w:rPr>
        <w:t>，由供应商自行承担。</w:t>
      </w:r>
    </w:p>
    <w:p>
      <w:pPr>
        <w:spacing w:line="380" w:lineRule="exact"/>
        <w:ind w:firstLine="7350" w:firstLineChars="35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w:t>
      </w:r>
    </w:p>
    <w:p>
      <w:pPr>
        <w:spacing w:line="380" w:lineRule="exact"/>
        <w:ind w:firstLine="420" w:firstLineChars="2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w:t>
      </w:r>
    </w:p>
    <w:p>
      <w:pPr>
        <w:spacing w:line="360" w:lineRule="auto"/>
        <w:ind w:firstLine="7875" w:firstLineChars="3750"/>
        <w:rPr>
          <w:rFonts w:ascii="Tahoma" w:hAnsi="Tahoma" w:cs="Tahoma"/>
          <w:color w:val="000000" w:themeColor="text1"/>
          <w:sz w:val="24"/>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投标供应商代表签名：</w:t>
      </w:r>
    </w:p>
    <w:p>
      <w:pPr>
        <w:spacing w:line="380" w:lineRule="exact"/>
        <w:rPr>
          <w:rFonts w:ascii="Tahoma" w:hAnsi="Tahoma" w:cs="Tahoma"/>
          <w:b/>
          <w:color w:val="000000" w:themeColor="text1"/>
          <w:sz w:val="24"/>
          <w:highlight w:val="none"/>
          <w14:textFill>
            <w14:solidFill>
              <w14:schemeClr w14:val="tx1"/>
            </w14:solidFill>
          </w14:textFill>
        </w:rPr>
        <w:sectPr>
          <w:pgSz w:w="15840" w:h="12240" w:orient="landscape"/>
          <w:pgMar w:top="1440" w:right="1440" w:bottom="1440" w:left="1440" w:header="720" w:footer="720" w:gutter="0"/>
          <w:pgBorders>
            <w:top w:val="none" w:sz="0" w:space="0"/>
            <w:left w:val="none" w:sz="0" w:space="0"/>
            <w:bottom w:val="none" w:sz="0" w:space="0"/>
            <w:right w:val="none" w:sz="0" w:space="0"/>
          </w:pgBorders>
          <w:pgNumType w:fmt="decimal"/>
          <w:cols w:space="720" w:num="1"/>
          <w:docGrid w:linePitch="323" w:charSpace="0"/>
        </w:sectPr>
      </w:pPr>
    </w:p>
    <w:p>
      <w:pPr>
        <w:jc w:val="center"/>
        <w:rPr>
          <w:rFonts w:ascii="Tahoma" w:hAnsi="Tahoma" w:eastAsia="黑体" w:cs="Tahoma"/>
          <w:color w:val="000000" w:themeColor="text1"/>
          <w:sz w:val="28"/>
          <w:szCs w:val="28"/>
          <w:highlight w:val="none"/>
          <w14:textFill>
            <w14:solidFill>
              <w14:schemeClr w14:val="tx1"/>
            </w14:solidFill>
          </w14:textFill>
        </w:rPr>
      </w:pPr>
      <w:r>
        <w:rPr>
          <w:rFonts w:ascii="Tahoma" w:hAnsi="Tahoma" w:eastAsia="黑体" w:cs="Tahoma"/>
          <w:b/>
          <w:color w:val="000000" w:themeColor="text1"/>
          <w:sz w:val="28"/>
          <w:szCs w:val="28"/>
          <w:highlight w:val="none"/>
          <w14:textFill>
            <w14:solidFill>
              <w14:schemeClr w14:val="tx1"/>
            </w14:solidFill>
          </w14:textFill>
        </w:rPr>
        <w:t>（三）、投标分项报价明细表</w:t>
      </w:r>
    </w:p>
    <w:p>
      <w:pPr>
        <w:rPr>
          <w:rFonts w:ascii="Tahoma" w:hAnsi="Tahoma" w:cs="Tahoma"/>
          <w:color w:val="000000" w:themeColor="text1"/>
          <w:highlight w:val="none"/>
          <w14:textFill>
            <w14:solidFill>
              <w14:schemeClr w14:val="tx1"/>
            </w14:solidFill>
          </w14:textFill>
        </w:rPr>
      </w:pPr>
    </w:p>
    <w:p>
      <w:pPr>
        <w:spacing w:line="38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投标供应商名称：                                                               货币单位：</w:t>
      </w:r>
    </w:p>
    <w:tbl>
      <w:tblPr>
        <w:tblStyle w:val="20"/>
        <w:tblW w:w="10259"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61"/>
        <w:gridCol w:w="2400"/>
        <w:gridCol w:w="1183"/>
        <w:gridCol w:w="1183"/>
        <w:gridCol w:w="1183"/>
        <w:gridCol w:w="1183"/>
        <w:gridCol w:w="1183"/>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4" w:hRule="atLeast"/>
        </w:trPr>
        <w:tc>
          <w:tcPr>
            <w:tcW w:w="76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w:t>
            </w:r>
          </w:p>
        </w:tc>
        <w:tc>
          <w:tcPr>
            <w:tcW w:w="240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项目、包段名称</w:t>
            </w:r>
          </w:p>
        </w:tc>
        <w:tc>
          <w:tcPr>
            <w:tcW w:w="7098"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4" w:hRule="atLeast"/>
        </w:trPr>
        <w:tc>
          <w:tcPr>
            <w:tcW w:w="76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2</w:t>
            </w:r>
          </w:p>
        </w:tc>
        <w:tc>
          <w:tcPr>
            <w:tcW w:w="240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货物</w:t>
            </w:r>
            <w:r>
              <w:rPr>
                <w:rFonts w:ascii="Tahoma" w:hAnsi="Tahoma" w:cs="Tahoma"/>
                <w:color w:val="000000" w:themeColor="text1"/>
                <w:szCs w:val="21"/>
                <w:highlight w:val="none"/>
                <w14:textFill>
                  <w14:solidFill>
                    <w14:schemeClr w14:val="tx1"/>
                  </w14:solidFill>
                </w14:textFill>
              </w:rPr>
              <w:t>或产品名称</w:t>
            </w: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4" w:hRule="atLeast"/>
        </w:trPr>
        <w:tc>
          <w:tcPr>
            <w:tcW w:w="76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3</w:t>
            </w:r>
          </w:p>
        </w:tc>
        <w:tc>
          <w:tcPr>
            <w:tcW w:w="240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原产地</w:t>
            </w: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4" w:hRule="atLeast"/>
        </w:trPr>
        <w:tc>
          <w:tcPr>
            <w:tcW w:w="76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4</w:t>
            </w:r>
          </w:p>
        </w:tc>
        <w:tc>
          <w:tcPr>
            <w:tcW w:w="240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数量、型号、规格</w:t>
            </w: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4" w:hRule="atLeast"/>
        </w:trPr>
        <w:tc>
          <w:tcPr>
            <w:tcW w:w="76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5</w:t>
            </w:r>
          </w:p>
        </w:tc>
        <w:tc>
          <w:tcPr>
            <w:tcW w:w="240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货物</w:t>
            </w:r>
            <w:r>
              <w:rPr>
                <w:rFonts w:ascii="Tahoma" w:hAnsi="Tahoma" w:cs="Tahoma"/>
                <w:color w:val="000000" w:themeColor="text1"/>
                <w:szCs w:val="21"/>
                <w:highlight w:val="none"/>
                <w14:textFill>
                  <w14:solidFill>
                    <w14:schemeClr w14:val="tx1"/>
                  </w14:solidFill>
                </w14:textFill>
              </w:rPr>
              <w:t>或产品费</w:t>
            </w: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4" w:hRule="atLeast"/>
        </w:trPr>
        <w:tc>
          <w:tcPr>
            <w:tcW w:w="76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6</w:t>
            </w:r>
          </w:p>
        </w:tc>
        <w:tc>
          <w:tcPr>
            <w:tcW w:w="240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标准附件费</w:t>
            </w: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4" w:hRule="atLeast"/>
        </w:trPr>
        <w:tc>
          <w:tcPr>
            <w:tcW w:w="76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7</w:t>
            </w:r>
          </w:p>
        </w:tc>
        <w:tc>
          <w:tcPr>
            <w:tcW w:w="240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附属产品</w:t>
            </w:r>
            <w:r>
              <w:rPr>
                <w:rFonts w:ascii="Tahoma" w:hAnsi="Tahoma" w:cs="Tahoma"/>
                <w:color w:val="000000" w:themeColor="text1"/>
                <w:szCs w:val="21"/>
                <w:highlight w:val="none"/>
                <w14:textFill>
                  <w14:solidFill>
                    <w14:schemeClr w14:val="tx1"/>
                  </w14:solidFill>
                </w14:textFill>
              </w:rPr>
              <w:t>费</w:t>
            </w: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4" w:hRule="atLeast"/>
        </w:trPr>
        <w:tc>
          <w:tcPr>
            <w:tcW w:w="76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8</w:t>
            </w:r>
          </w:p>
        </w:tc>
        <w:tc>
          <w:tcPr>
            <w:tcW w:w="240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专用工具费</w:t>
            </w: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5" w:hRule="atLeast"/>
        </w:trPr>
        <w:tc>
          <w:tcPr>
            <w:tcW w:w="76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9</w:t>
            </w:r>
          </w:p>
        </w:tc>
        <w:tc>
          <w:tcPr>
            <w:tcW w:w="240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技术服务费</w:t>
            </w: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4" w:hRule="atLeast"/>
        </w:trPr>
        <w:tc>
          <w:tcPr>
            <w:tcW w:w="76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10</w:t>
            </w:r>
          </w:p>
        </w:tc>
        <w:tc>
          <w:tcPr>
            <w:tcW w:w="240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检验、</w:t>
            </w:r>
            <w:r>
              <w:rPr>
                <w:rFonts w:hint="eastAsia" w:ascii="Tahoma" w:hAnsi="Tahoma" w:cs="Tahoma"/>
                <w:color w:val="000000" w:themeColor="text1"/>
                <w:szCs w:val="21"/>
                <w:highlight w:val="none"/>
                <w14:textFill>
                  <w14:solidFill>
                    <w14:schemeClr w14:val="tx1"/>
                  </w14:solidFill>
                </w14:textFill>
              </w:rPr>
              <w:t>检疫</w:t>
            </w:r>
            <w:r>
              <w:rPr>
                <w:rFonts w:ascii="Tahoma" w:hAnsi="Tahoma" w:cs="Tahoma"/>
                <w:color w:val="000000" w:themeColor="text1"/>
                <w:szCs w:val="21"/>
                <w:highlight w:val="none"/>
                <w14:textFill>
                  <w14:solidFill>
                    <w14:schemeClr w14:val="tx1"/>
                  </w14:solidFill>
                </w14:textFill>
              </w:rPr>
              <w:t>费</w:t>
            </w: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4" w:hRule="atLeast"/>
        </w:trPr>
        <w:tc>
          <w:tcPr>
            <w:tcW w:w="76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11</w:t>
            </w:r>
          </w:p>
        </w:tc>
        <w:tc>
          <w:tcPr>
            <w:tcW w:w="240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检验培训费</w:t>
            </w: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4" w:hRule="atLeast"/>
        </w:trPr>
        <w:tc>
          <w:tcPr>
            <w:tcW w:w="76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12</w:t>
            </w:r>
          </w:p>
        </w:tc>
        <w:tc>
          <w:tcPr>
            <w:tcW w:w="240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运输费用</w:t>
            </w: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4" w:hRule="atLeast"/>
        </w:trPr>
        <w:tc>
          <w:tcPr>
            <w:tcW w:w="76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13</w:t>
            </w:r>
          </w:p>
        </w:tc>
        <w:tc>
          <w:tcPr>
            <w:tcW w:w="240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保险费用</w:t>
            </w: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4" w:hRule="atLeast"/>
        </w:trPr>
        <w:tc>
          <w:tcPr>
            <w:tcW w:w="76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14</w:t>
            </w:r>
          </w:p>
        </w:tc>
        <w:tc>
          <w:tcPr>
            <w:tcW w:w="240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w:t>
            </w: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4" w:hRule="atLeast"/>
        </w:trPr>
        <w:tc>
          <w:tcPr>
            <w:tcW w:w="76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17</w:t>
            </w:r>
          </w:p>
        </w:tc>
        <w:tc>
          <w:tcPr>
            <w:tcW w:w="240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投标价格</w:t>
            </w: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4" w:hRule="atLeast"/>
        </w:trPr>
        <w:tc>
          <w:tcPr>
            <w:tcW w:w="316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投标报价</w:t>
            </w:r>
          </w:p>
        </w:tc>
        <w:tc>
          <w:tcPr>
            <w:tcW w:w="7098"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r>
    </w:tbl>
    <w:p>
      <w:pPr>
        <w:spacing w:line="320" w:lineRule="exact"/>
        <w:rPr>
          <w:rFonts w:ascii="Tahoma" w:hAnsi="Tahoma" w:cs="Tahoma"/>
          <w:b/>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注：</w:t>
      </w:r>
    </w:p>
    <w:p>
      <w:pPr>
        <w:spacing w:line="320" w:lineRule="exact"/>
        <w:rPr>
          <w:rFonts w:ascii="Tahoma" w:hAnsi="Tahoma" w:cs="Tahoma"/>
          <w:b/>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w:t>
      </w:r>
      <w:r>
        <w:rPr>
          <w:rFonts w:ascii="Tahoma" w:hAnsi="Tahoma" w:cs="Tahoma"/>
          <w:b/>
          <w:color w:val="000000" w:themeColor="text1"/>
          <w:szCs w:val="21"/>
          <w:highlight w:val="none"/>
          <w14:textFill>
            <w14:solidFill>
              <w14:schemeClr w14:val="tx1"/>
            </w14:solidFill>
          </w14:textFill>
        </w:rPr>
        <w:t xml:space="preserve"> 1、</w:t>
      </w:r>
      <w:r>
        <w:rPr>
          <w:rFonts w:ascii="宋体" w:hAnsi="宋体" w:cs="Tahoma"/>
          <w:b/>
          <w:color w:val="000000" w:themeColor="text1"/>
          <w:szCs w:val="21"/>
          <w:highlight w:val="none"/>
          <w14:textFill>
            <w14:solidFill>
              <w14:schemeClr w14:val="tx1"/>
            </w14:solidFill>
          </w14:textFill>
        </w:rPr>
        <w:t>本表中的“分项费用名称”系指“货物采购清单一览表”中某一</w:t>
      </w:r>
      <w:r>
        <w:rPr>
          <w:rFonts w:ascii="Tahoma" w:hAnsi="Tahoma" w:cs="Tahoma"/>
          <w:b/>
          <w:color w:val="000000" w:themeColor="text1"/>
          <w:szCs w:val="21"/>
          <w:highlight w:val="none"/>
          <w14:textFill>
            <w14:solidFill>
              <w14:schemeClr w14:val="tx1"/>
            </w14:solidFill>
          </w14:textFill>
        </w:rPr>
        <w:t>产品价格构成的分项费用。</w:t>
      </w:r>
    </w:p>
    <w:p>
      <w:pPr>
        <w:spacing w:line="320" w:lineRule="exact"/>
        <w:ind w:firstLine="211" w:firstLineChars="100"/>
        <w:rPr>
          <w:rFonts w:ascii="Tahoma" w:hAnsi="Tahoma" w:cs="Tahoma"/>
          <w:b/>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2、供应商应根据所供产品的具体情况，选择所供产品需要进行的分项名称或费用（分项费用名称包括：产品价格，标准附件费、</w:t>
      </w:r>
      <w:r>
        <w:rPr>
          <w:rFonts w:hint="eastAsia" w:ascii="Tahoma" w:hAnsi="Tahoma" w:cs="Tahoma"/>
          <w:b/>
          <w:color w:val="000000" w:themeColor="text1"/>
          <w:szCs w:val="21"/>
          <w:highlight w:val="none"/>
          <w14:textFill>
            <w14:solidFill>
              <w14:schemeClr w14:val="tx1"/>
            </w14:solidFill>
          </w14:textFill>
        </w:rPr>
        <w:t>附属产品</w:t>
      </w:r>
      <w:r>
        <w:rPr>
          <w:rFonts w:ascii="Tahoma" w:hAnsi="Tahoma" w:cs="Tahoma"/>
          <w:b/>
          <w:color w:val="000000" w:themeColor="text1"/>
          <w:szCs w:val="21"/>
          <w:highlight w:val="none"/>
          <w14:textFill>
            <w14:solidFill>
              <w14:schemeClr w14:val="tx1"/>
            </w14:solidFill>
          </w14:textFill>
        </w:rPr>
        <w:t>费、专用工具费、技术服务费、安装调试费、检验检测或费、培训费、运输费用、装卸费、保险费、税金等一切费用）。</w:t>
      </w:r>
    </w:p>
    <w:p>
      <w:pPr>
        <w:spacing w:line="320" w:lineRule="exact"/>
        <w:ind w:firstLine="211" w:firstLineChars="100"/>
        <w:rPr>
          <w:rFonts w:ascii="Tahoma" w:hAnsi="Tahoma" w:cs="Tahoma"/>
          <w:b/>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3、供应商未进行分项报价或分项报价未能准确全部反映产品价格构成或有所隐含，有可能致使在合同履行过程中引起纠纷（非正常的追加或索赔等）或不能诚信履约的，可作无效</w:t>
      </w:r>
      <w:r>
        <w:rPr>
          <w:rFonts w:hint="eastAsia" w:ascii="Tahoma" w:hAnsi="Tahoma" w:cs="Tahoma"/>
          <w:b/>
          <w:color w:val="000000" w:themeColor="text1"/>
          <w:szCs w:val="21"/>
          <w:highlight w:val="none"/>
          <w14:textFill>
            <w14:solidFill>
              <w14:schemeClr w14:val="tx1"/>
            </w14:solidFill>
          </w14:textFill>
        </w:rPr>
        <w:t>投标</w:t>
      </w:r>
      <w:r>
        <w:rPr>
          <w:rFonts w:ascii="Tahoma" w:hAnsi="Tahoma" w:cs="Tahoma"/>
          <w:b/>
          <w:color w:val="000000" w:themeColor="text1"/>
          <w:szCs w:val="21"/>
          <w:highlight w:val="none"/>
          <w14:textFill>
            <w14:solidFill>
              <w14:schemeClr w14:val="tx1"/>
            </w14:solidFill>
          </w14:textFill>
        </w:rPr>
        <w:t>处理。</w:t>
      </w:r>
    </w:p>
    <w:p>
      <w:pPr>
        <w:spacing w:line="320" w:lineRule="exact"/>
        <w:ind w:firstLine="211" w:firstLineChars="100"/>
        <w:rPr>
          <w:rFonts w:ascii="Tahoma" w:hAnsi="Tahoma" w:cs="Tahoma"/>
          <w:b/>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4、</w:t>
      </w:r>
      <w:r>
        <w:rPr>
          <w:rFonts w:hint="eastAsia" w:ascii="Tahoma" w:hAnsi="Tahoma" w:cs="Tahoma"/>
          <w:b/>
          <w:color w:val="000000" w:themeColor="text1"/>
          <w:szCs w:val="21"/>
          <w:highlight w:val="none"/>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20" w:lineRule="exact"/>
        <w:ind w:firstLine="211" w:firstLineChars="100"/>
        <w:rPr>
          <w:rFonts w:ascii="Tahoma" w:hAnsi="Tahoma" w:cs="Tahoma"/>
          <w:b/>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5、此表中的价格若与报价一览中所报的价格不一致的，以报价一览表中的价格为准。</w:t>
      </w:r>
    </w:p>
    <w:p>
      <w:pPr>
        <w:spacing w:line="380" w:lineRule="exact"/>
        <w:ind w:firstLine="5880" w:firstLineChars="2800"/>
        <w:rPr>
          <w:rFonts w:ascii="Tahoma" w:hAnsi="Tahoma" w:cs="Tahoma"/>
          <w:color w:val="000000" w:themeColor="text1"/>
          <w:szCs w:val="21"/>
          <w:highlight w:val="none"/>
          <w14:textFill>
            <w14:solidFill>
              <w14:schemeClr w14:val="tx1"/>
            </w14:solidFill>
          </w14:textFill>
        </w:rPr>
      </w:pPr>
    </w:p>
    <w:p>
      <w:pPr>
        <w:spacing w:line="360" w:lineRule="auto"/>
        <w:ind w:firstLine="5670" w:firstLineChars="2700"/>
        <w:rPr>
          <w:rFonts w:ascii="Tahoma" w:hAnsi="Tahoma" w:cs="Tahoma"/>
          <w:color w:val="000000" w:themeColor="text1"/>
          <w:sz w:val="24"/>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供应商代表签名：</w:t>
      </w:r>
    </w:p>
    <w:p>
      <w:pPr>
        <w:spacing w:line="380" w:lineRule="exact"/>
        <w:jc w:val="center"/>
        <w:rPr>
          <w:rFonts w:ascii="Tahoma" w:hAnsi="Tahoma" w:eastAsia="黑体" w:cs="Tahoma"/>
          <w:b/>
          <w:color w:val="000000" w:themeColor="text1"/>
          <w:sz w:val="28"/>
          <w:szCs w:val="28"/>
          <w:highlight w:val="none"/>
          <w14:textFill>
            <w14:solidFill>
              <w14:schemeClr w14:val="tx1"/>
            </w14:solidFill>
          </w14:textFill>
        </w:rPr>
      </w:pPr>
    </w:p>
    <w:p>
      <w:pPr>
        <w:spacing w:line="380" w:lineRule="exact"/>
        <w:jc w:val="center"/>
        <w:rPr>
          <w:rFonts w:ascii="Tahoma" w:hAnsi="Tahoma" w:eastAsia="黑体" w:cs="Tahoma"/>
          <w:b/>
          <w:color w:val="000000" w:themeColor="text1"/>
          <w:sz w:val="28"/>
          <w:szCs w:val="28"/>
          <w:highlight w:val="none"/>
          <w14:textFill>
            <w14:solidFill>
              <w14:schemeClr w14:val="tx1"/>
            </w14:solidFill>
          </w14:textFill>
        </w:rPr>
      </w:pPr>
    </w:p>
    <w:p>
      <w:pPr>
        <w:spacing w:line="380" w:lineRule="exact"/>
        <w:jc w:val="center"/>
        <w:rPr>
          <w:rFonts w:ascii="Tahoma" w:hAnsi="Tahoma" w:eastAsia="黑体" w:cs="Tahoma"/>
          <w:color w:val="000000" w:themeColor="text1"/>
          <w:sz w:val="28"/>
          <w:szCs w:val="28"/>
          <w:highlight w:val="none"/>
          <w14:textFill>
            <w14:solidFill>
              <w14:schemeClr w14:val="tx1"/>
            </w14:solidFill>
          </w14:textFill>
        </w:rPr>
      </w:pPr>
      <w:r>
        <w:rPr>
          <w:rFonts w:ascii="Tahoma" w:hAnsi="Tahoma" w:eastAsia="黑体" w:cs="Tahoma"/>
          <w:b/>
          <w:color w:val="000000" w:themeColor="text1"/>
          <w:sz w:val="28"/>
          <w:szCs w:val="28"/>
          <w:highlight w:val="none"/>
          <w14:textFill>
            <w14:solidFill>
              <w14:schemeClr w14:val="tx1"/>
            </w14:solidFill>
          </w14:textFill>
        </w:rPr>
        <w:t>（四）</w:t>
      </w:r>
      <w:r>
        <w:rPr>
          <w:rFonts w:hint="eastAsia" w:ascii="Tahoma" w:hAnsi="Tahoma" w:eastAsia="黑体" w:cs="Tahoma"/>
          <w:b/>
          <w:color w:val="000000" w:themeColor="text1"/>
          <w:sz w:val="28"/>
          <w:szCs w:val="28"/>
          <w:highlight w:val="none"/>
          <w14:textFill>
            <w14:solidFill>
              <w14:schemeClr w14:val="tx1"/>
            </w14:solidFill>
          </w14:textFill>
        </w:rPr>
        <w:t>、货物</w:t>
      </w:r>
      <w:r>
        <w:rPr>
          <w:rFonts w:ascii="Tahoma" w:hAnsi="Tahoma" w:eastAsia="黑体" w:cs="Tahoma"/>
          <w:b/>
          <w:color w:val="000000" w:themeColor="text1"/>
          <w:sz w:val="28"/>
          <w:szCs w:val="28"/>
          <w:highlight w:val="none"/>
          <w14:textFill>
            <w14:solidFill>
              <w14:schemeClr w14:val="tx1"/>
            </w14:solidFill>
          </w14:textFill>
        </w:rPr>
        <w:t>或产品说明一览表</w:t>
      </w:r>
    </w:p>
    <w:p>
      <w:pPr>
        <w:spacing w:line="380" w:lineRule="exact"/>
        <w:jc w:val="cente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（按所供货物合同包下品目号类别分别填写）</w:t>
      </w:r>
    </w:p>
    <w:p>
      <w:pPr>
        <w:pStyle w:val="27"/>
        <w:jc w:val="center"/>
        <w:rPr>
          <w:rFonts w:ascii="Tahoma" w:hAnsi="Tahoma" w:cs="Tahoma"/>
          <w:b/>
          <w:color w:val="000000" w:themeColor="text1"/>
          <w:sz w:val="21"/>
          <w:szCs w:val="21"/>
          <w:highlight w:val="none"/>
          <w14:textFill>
            <w14:solidFill>
              <w14:schemeClr w14:val="tx1"/>
            </w14:solidFill>
          </w14:textFill>
        </w:rPr>
      </w:pPr>
    </w:p>
    <w:p>
      <w:pPr>
        <w:pStyle w:val="27"/>
        <w:rPr>
          <w:rFonts w:ascii="Tahoma" w:hAnsi="Tahoma" w:cs="Tahoma"/>
          <w:color w:val="000000" w:themeColor="text1"/>
          <w:sz w:val="21"/>
          <w:szCs w:val="21"/>
          <w:highlight w:val="none"/>
          <w14:textFill>
            <w14:solidFill>
              <w14:schemeClr w14:val="tx1"/>
            </w14:solidFill>
          </w14:textFill>
        </w:rPr>
      </w:pPr>
      <w:bookmarkStart w:id="244" w:name="_Toc29686"/>
      <w:r>
        <w:rPr>
          <w:rFonts w:ascii="Tahoma" w:hAnsi="Tahoma" w:cs="Tahoma"/>
          <w:color w:val="000000" w:themeColor="text1"/>
          <w:sz w:val="21"/>
          <w:szCs w:val="21"/>
          <w:highlight w:val="none"/>
          <w14:textFill>
            <w14:solidFill>
              <w14:schemeClr w14:val="tx1"/>
            </w14:solidFill>
          </w14:textFill>
        </w:rPr>
        <w:t>项目编号：                                                                第  页共  页</w:t>
      </w:r>
      <w:bookmarkEnd w:id="244"/>
    </w:p>
    <w:tbl>
      <w:tblPr>
        <w:tblStyle w:val="20"/>
        <w:tblW w:w="1020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2"/>
        <w:gridCol w:w="7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662"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Tahoma" w:hAnsi="Tahoma" w:cs="Tahoma"/>
                <w:color w:val="000000" w:themeColor="text1"/>
                <w:sz w:val="21"/>
                <w:szCs w:val="21"/>
                <w:highlight w:val="none"/>
                <w14:textFill>
                  <w14:solidFill>
                    <w14:schemeClr w14:val="tx1"/>
                  </w14:solidFill>
                </w14:textFill>
              </w:rPr>
            </w:pPr>
            <w:bookmarkStart w:id="245" w:name="_Toc18336"/>
            <w:r>
              <w:rPr>
                <w:rFonts w:ascii="Tahoma" w:hAnsi="Tahoma" w:cs="Tahoma"/>
                <w:color w:val="000000" w:themeColor="text1"/>
                <w:sz w:val="21"/>
                <w:szCs w:val="21"/>
                <w:highlight w:val="none"/>
                <w14:textFill>
                  <w14:solidFill>
                    <w14:schemeClr w14:val="tx1"/>
                  </w14:solidFill>
                </w14:textFill>
              </w:rPr>
              <w:t>设备或产品名称</w:t>
            </w:r>
            <w:bookmarkEnd w:id="245"/>
          </w:p>
        </w:tc>
        <w:tc>
          <w:tcPr>
            <w:tcW w:w="7545" w:type="dxa"/>
            <w:tcBorders>
              <w:top w:val="single" w:color="auto" w:sz="4" w:space="0"/>
              <w:left w:val="single" w:color="auto" w:sz="4" w:space="0"/>
              <w:bottom w:val="single" w:color="auto" w:sz="4" w:space="0"/>
              <w:right w:val="single" w:color="auto" w:sz="4" w:space="0"/>
            </w:tcBorders>
          </w:tcPr>
          <w:p>
            <w:pPr>
              <w:pStyle w:val="27"/>
              <w:jc w:val="center"/>
              <w:rPr>
                <w:rFonts w:ascii="Tahoma" w:hAnsi="Tahoma" w:cs="Tahoma"/>
                <w:b/>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07" w:type="dxa"/>
            <w:gridSpan w:val="2"/>
            <w:tcBorders>
              <w:top w:val="single" w:color="auto" w:sz="4" w:space="0"/>
              <w:left w:val="single" w:color="auto" w:sz="4" w:space="0"/>
              <w:bottom w:val="single" w:color="auto" w:sz="4" w:space="0"/>
              <w:right w:val="single" w:color="auto" w:sz="4" w:space="0"/>
            </w:tcBorders>
            <w:vAlign w:val="center"/>
          </w:tcPr>
          <w:p>
            <w:pPr>
              <w:pStyle w:val="27"/>
              <w:jc w:val="center"/>
              <w:rPr>
                <w:rFonts w:ascii="Tahoma" w:hAnsi="Tahoma" w:cs="Tahoma"/>
                <w:b/>
                <w:color w:val="000000" w:themeColor="text1"/>
                <w:sz w:val="21"/>
                <w:szCs w:val="21"/>
                <w:highlight w:val="none"/>
                <w14:textFill>
                  <w14:solidFill>
                    <w14:schemeClr w14:val="tx1"/>
                  </w14:solidFill>
                </w14:textFill>
              </w:rPr>
            </w:pPr>
            <w:bookmarkStart w:id="246" w:name="_Toc23921"/>
            <w:r>
              <w:rPr>
                <w:rFonts w:hint="eastAsia" w:ascii="Tahoma" w:hAnsi="Tahoma" w:cs="Tahoma"/>
                <w:color w:val="000000" w:themeColor="text1"/>
                <w:sz w:val="21"/>
                <w:szCs w:val="21"/>
                <w:highlight w:val="none"/>
                <w14:textFill>
                  <w14:solidFill>
                    <w14:schemeClr w14:val="tx1"/>
                  </w14:solidFill>
                </w14:textFill>
              </w:rPr>
              <w:t>货物</w:t>
            </w:r>
            <w:r>
              <w:rPr>
                <w:rFonts w:ascii="Tahoma" w:hAnsi="Tahoma" w:cs="Tahoma"/>
                <w:color w:val="000000" w:themeColor="text1"/>
                <w:sz w:val="21"/>
                <w:szCs w:val="21"/>
                <w:highlight w:val="none"/>
                <w14:textFill>
                  <w14:solidFill>
                    <w14:schemeClr w14:val="tx1"/>
                  </w14:solidFill>
                </w14:textFill>
              </w:rPr>
              <w:t>或产品的详细技术指标、参数，性能或功能说明</w:t>
            </w:r>
            <w:bookmarkEnd w:id="24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2" w:hRule="atLeast"/>
        </w:trPr>
        <w:tc>
          <w:tcPr>
            <w:tcW w:w="10207" w:type="dxa"/>
            <w:gridSpan w:val="2"/>
            <w:tcBorders>
              <w:top w:val="single" w:color="auto" w:sz="4" w:space="0"/>
              <w:left w:val="single" w:color="auto" w:sz="4" w:space="0"/>
              <w:bottom w:val="single" w:color="auto" w:sz="4" w:space="0"/>
              <w:right w:val="single" w:color="auto" w:sz="4" w:space="0"/>
            </w:tcBorders>
          </w:tcPr>
          <w:p>
            <w:pPr>
              <w:pStyle w:val="27"/>
              <w:jc w:val="center"/>
              <w:rPr>
                <w:rFonts w:ascii="Tahoma" w:hAnsi="Tahoma" w:cs="Tahoma"/>
                <w:color w:val="000000" w:themeColor="text1"/>
                <w:sz w:val="21"/>
                <w:szCs w:val="21"/>
                <w:highlight w:val="none"/>
                <w14:textFill>
                  <w14:solidFill>
                    <w14:schemeClr w14:val="tx1"/>
                  </w14:solidFill>
                </w14:textFill>
              </w:rPr>
            </w:pPr>
          </w:p>
        </w:tc>
      </w:tr>
    </w:tbl>
    <w:p>
      <w:pPr>
        <w:pStyle w:val="27"/>
        <w:jc w:val="center"/>
        <w:rPr>
          <w:rFonts w:ascii="Tahoma" w:hAnsi="Tahoma" w:cs="Tahoma"/>
          <w:b/>
          <w:color w:val="000000" w:themeColor="text1"/>
          <w:sz w:val="21"/>
          <w:szCs w:val="21"/>
          <w:highlight w:val="none"/>
          <w14:textFill>
            <w14:solidFill>
              <w14:schemeClr w14:val="tx1"/>
            </w14:solidFill>
          </w14:textFill>
        </w:rPr>
      </w:pPr>
    </w:p>
    <w:p>
      <w:pPr>
        <w:spacing w:line="360" w:lineRule="exact"/>
        <w:rPr>
          <w:rFonts w:ascii="Tahoma" w:hAnsi="Tahoma" w:cs="Tahoma"/>
          <w:b/>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说明：为使评标委员会能准确理解及使评审工作顺利进行，请供应商针对所供产品的实际型号或规格，实际技术指标、参数，性能或功能，采用的质量标准等逐条进行说明</w:t>
      </w:r>
      <w:r>
        <w:rPr>
          <w:rFonts w:hint="eastAsia" w:ascii="Tahoma" w:hAnsi="Tahoma" w:cs="Tahoma"/>
          <w:b/>
          <w:color w:val="000000" w:themeColor="text1"/>
          <w:szCs w:val="21"/>
          <w:highlight w:val="none"/>
          <w14:textFill>
            <w14:solidFill>
              <w14:schemeClr w14:val="tx1"/>
            </w14:solidFill>
          </w14:textFill>
        </w:rPr>
        <w:t>并附直观、清晰的产品图片</w:t>
      </w:r>
      <w:r>
        <w:rPr>
          <w:rFonts w:ascii="Tahoma" w:hAnsi="Tahoma" w:cs="Tahoma"/>
          <w:b/>
          <w:color w:val="000000" w:themeColor="text1"/>
          <w:szCs w:val="21"/>
          <w:highlight w:val="none"/>
          <w14:textFill>
            <w14:solidFill>
              <w14:schemeClr w14:val="tx1"/>
            </w14:solidFill>
          </w14:textFill>
        </w:rPr>
        <w:t>，不可按招标文件提出的质量指标及技术要求进行简单复制，一旦经评标委员会认定，其所供产品的性能或质量指标、技术参数等与实际不符，有可能给供应商带来的不利或导致投标</w:t>
      </w:r>
      <w:r>
        <w:rPr>
          <w:rFonts w:hint="eastAsia" w:ascii="Tahoma" w:hAnsi="Tahoma" w:cs="Tahoma"/>
          <w:b/>
          <w:color w:val="000000" w:themeColor="text1"/>
          <w:szCs w:val="21"/>
          <w:highlight w:val="none"/>
          <w14:textFill>
            <w14:solidFill>
              <w14:schemeClr w14:val="tx1"/>
            </w14:solidFill>
          </w14:textFill>
        </w:rPr>
        <w:t>无效</w:t>
      </w:r>
      <w:r>
        <w:rPr>
          <w:rFonts w:ascii="Tahoma" w:hAnsi="Tahoma" w:cs="Tahoma"/>
          <w:b/>
          <w:color w:val="000000" w:themeColor="text1"/>
          <w:szCs w:val="21"/>
          <w:highlight w:val="none"/>
          <w14:textFill>
            <w14:solidFill>
              <w14:schemeClr w14:val="tx1"/>
            </w14:solidFill>
          </w14:textFill>
        </w:rPr>
        <w:t>，将由供应商自行承担，敬请供应商注意！</w:t>
      </w:r>
    </w:p>
    <w:p>
      <w:pPr>
        <w:spacing w:line="380" w:lineRule="exact"/>
        <w:rPr>
          <w:rFonts w:ascii="Tahoma" w:hAnsi="Tahoma" w:cs="Tahoma"/>
          <w:color w:val="000000" w:themeColor="text1"/>
          <w:sz w:val="24"/>
          <w:highlight w:val="none"/>
          <w14:textFill>
            <w14:solidFill>
              <w14:schemeClr w14:val="tx1"/>
            </w14:solidFill>
          </w14:textFill>
        </w:rPr>
      </w:pPr>
      <w:r>
        <w:rPr>
          <w:rFonts w:ascii="Tahoma" w:hAnsi="Tahoma" w:cs="Tahoma"/>
          <w:color w:val="000000" w:themeColor="text1"/>
          <w:sz w:val="24"/>
          <w:highlight w:val="none"/>
          <w14:textFill>
            <w14:solidFill>
              <w14:schemeClr w14:val="tx1"/>
            </w14:solidFill>
          </w14:textFill>
        </w:rPr>
        <w:t xml:space="preserve">                                       </w:t>
      </w:r>
    </w:p>
    <w:p>
      <w:pPr>
        <w:spacing w:line="380" w:lineRule="exact"/>
        <w:rPr>
          <w:rFonts w:ascii="Tahoma" w:hAnsi="Tahoma" w:cs="Tahoma"/>
          <w:color w:val="000000" w:themeColor="text1"/>
          <w:sz w:val="24"/>
          <w:highlight w:val="none"/>
          <w14:textFill>
            <w14:solidFill>
              <w14:schemeClr w14:val="tx1"/>
            </w14:solidFill>
          </w14:textFill>
        </w:rPr>
      </w:pPr>
    </w:p>
    <w:p>
      <w:pPr>
        <w:spacing w:line="380" w:lineRule="exact"/>
        <w:rPr>
          <w:rFonts w:ascii="Tahoma" w:hAnsi="Tahoma" w:cs="Tahoma"/>
          <w:color w:val="000000" w:themeColor="text1"/>
          <w:sz w:val="24"/>
          <w:highlight w:val="none"/>
          <w14:textFill>
            <w14:solidFill>
              <w14:schemeClr w14:val="tx1"/>
            </w14:solidFill>
          </w14:textFill>
        </w:rPr>
      </w:pPr>
    </w:p>
    <w:p>
      <w:pPr>
        <w:spacing w:line="360" w:lineRule="auto"/>
        <w:ind w:firstLine="5670" w:firstLineChars="2700"/>
        <w:rPr>
          <w:rFonts w:ascii="Tahoma" w:hAnsi="Tahoma" w:cs="Tahoma"/>
          <w:color w:val="000000" w:themeColor="text1"/>
          <w:sz w:val="24"/>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投标供应商代表签字:</w:t>
      </w:r>
    </w:p>
    <w:p>
      <w:pPr>
        <w:pStyle w:val="27"/>
        <w:jc w:val="both"/>
        <w:rPr>
          <w:rFonts w:ascii="Tahoma" w:hAnsi="Tahoma" w:eastAsia="黑体" w:cs="Tahoma"/>
          <w:b/>
          <w:bCs/>
          <w:color w:val="000000" w:themeColor="text1"/>
          <w:szCs w:val="28"/>
          <w:highlight w:val="none"/>
          <w14:textFill>
            <w14:solidFill>
              <w14:schemeClr w14:val="tx1"/>
            </w14:solidFill>
          </w14:textFill>
        </w:rPr>
      </w:pPr>
      <w:bookmarkStart w:id="247" w:name="_Toc5251"/>
    </w:p>
    <w:p>
      <w:pPr>
        <w:pStyle w:val="27"/>
        <w:jc w:val="center"/>
        <w:rPr>
          <w:rFonts w:ascii="Tahoma" w:hAnsi="Tahoma" w:eastAsia="黑体" w:cs="Tahoma"/>
          <w:color w:val="000000" w:themeColor="text1"/>
          <w:szCs w:val="28"/>
          <w:highlight w:val="none"/>
          <w14:textFill>
            <w14:solidFill>
              <w14:schemeClr w14:val="tx1"/>
            </w14:solidFill>
          </w14:textFill>
        </w:rPr>
      </w:pPr>
      <w:r>
        <w:rPr>
          <w:rFonts w:ascii="Tahoma" w:hAnsi="Tahoma" w:eastAsia="黑体" w:cs="Tahoma"/>
          <w:b/>
          <w:bCs/>
          <w:color w:val="000000" w:themeColor="text1"/>
          <w:szCs w:val="28"/>
          <w:highlight w:val="none"/>
          <w14:textFill>
            <w14:solidFill>
              <w14:schemeClr w14:val="tx1"/>
            </w14:solidFill>
          </w14:textFill>
        </w:rPr>
        <w:t>（五）</w:t>
      </w:r>
      <w:r>
        <w:rPr>
          <w:rFonts w:hint="eastAsia" w:ascii="Tahoma" w:hAnsi="Tahoma" w:eastAsia="黑体" w:cs="Tahoma"/>
          <w:b/>
          <w:bCs/>
          <w:color w:val="000000" w:themeColor="text1"/>
          <w:szCs w:val="28"/>
          <w:highlight w:val="none"/>
          <w14:textFill>
            <w14:solidFill>
              <w14:schemeClr w14:val="tx1"/>
            </w14:solidFill>
          </w14:textFill>
        </w:rPr>
        <w:t>、</w:t>
      </w:r>
      <w:bookmarkEnd w:id="247"/>
      <w:bookmarkStart w:id="248" w:name="_Toc17644"/>
      <w:r>
        <w:rPr>
          <w:rFonts w:ascii="Tahoma" w:hAnsi="Tahoma" w:eastAsia="黑体" w:cs="Tahoma"/>
          <w:b/>
          <w:color w:val="000000" w:themeColor="text1"/>
          <w:szCs w:val="28"/>
          <w:highlight w:val="none"/>
          <w14:textFill>
            <w14:solidFill>
              <w14:schemeClr w14:val="tx1"/>
            </w14:solidFill>
          </w14:textFill>
        </w:rPr>
        <w:t>技术规格偏离表</w:t>
      </w:r>
      <w:r>
        <w:rPr>
          <w:rFonts w:ascii="Tahoma" w:hAnsi="Tahoma" w:eastAsia="黑体" w:cs="Tahoma"/>
          <w:color w:val="000000" w:themeColor="text1"/>
          <w:szCs w:val="28"/>
          <w:highlight w:val="none"/>
          <w14:textFill>
            <w14:solidFill>
              <w14:schemeClr w14:val="tx1"/>
            </w14:solidFill>
          </w14:textFill>
        </w:rPr>
        <w:cr/>
      </w:r>
    </w:p>
    <w:p>
      <w:pPr>
        <w:spacing w:line="38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项目编号∶</w:t>
      </w:r>
      <w:r>
        <w:rPr>
          <w:rFonts w:ascii="Tahoma" w:hAnsi="Tahoma" w:cs="Tahoma"/>
          <w:color w:val="000000" w:themeColor="text1"/>
          <w:szCs w:val="21"/>
          <w:highlight w:val="none"/>
          <w14:textFill>
            <w14:solidFill>
              <w14:schemeClr w14:val="tx1"/>
            </w14:solidFill>
          </w14:textFill>
        </w:rPr>
        <w:tab/>
      </w:r>
      <w:r>
        <w:rPr>
          <w:rFonts w:ascii="Tahoma" w:hAnsi="Tahoma" w:cs="Tahoma"/>
          <w:color w:val="000000" w:themeColor="text1"/>
          <w:szCs w:val="21"/>
          <w:highlight w:val="none"/>
          <w14:textFill>
            <w14:solidFill>
              <w14:schemeClr w14:val="tx1"/>
            </w14:solidFill>
          </w14:textFill>
        </w:rPr>
        <w:t xml:space="preserve">                                                                      第  页共  页</w:t>
      </w:r>
    </w:p>
    <w:tbl>
      <w:tblPr>
        <w:tblStyle w:val="20"/>
        <w:tblW w:w="1020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401"/>
        <w:gridCol w:w="2429"/>
        <w:gridCol w:w="2557"/>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772" w:type="dxa"/>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序号</w:t>
            </w:r>
          </w:p>
        </w:tc>
        <w:tc>
          <w:tcPr>
            <w:tcW w:w="2401" w:type="dxa"/>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货物名称</w:t>
            </w:r>
          </w:p>
        </w:tc>
        <w:tc>
          <w:tcPr>
            <w:tcW w:w="2429" w:type="dxa"/>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招标文件要求</w:t>
            </w:r>
          </w:p>
        </w:tc>
        <w:tc>
          <w:tcPr>
            <w:tcW w:w="2557" w:type="dxa"/>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响应程度</w:t>
            </w:r>
          </w:p>
        </w:tc>
        <w:tc>
          <w:tcPr>
            <w:tcW w:w="2048" w:type="dxa"/>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72"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401"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429"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557"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048" w:type="dxa"/>
          </w:tcPr>
          <w:p>
            <w:pPr>
              <w:spacing w:line="380" w:lineRule="exact"/>
              <w:rPr>
                <w:rFonts w:ascii="Tahoma" w:hAnsi="Tahoma" w:cs="Tahom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72"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401"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429"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557"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048" w:type="dxa"/>
          </w:tcPr>
          <w:p>
            <w:pPr>
              <w:spacing w:line="380" w:lineRule="exact"/>
              <w:rPr>
                <w:rFonts w:ascii="Tahoma" w:hAnsi="Tahoma" w:cs="Tahom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72"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401"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429"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557"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048" w:type="dxa"/>
          </w:tcPr>
          <w:p>
            <w:pPr>
              <w:spacing w:line="380" w:lineRule="exact"/>
              <w:rPr>
                <w:rFonts w:ascii="Tahoma" w:hAnsi="Tahoma" w:cs="Tahom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72"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401"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429"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557"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048" w:type="dxa"/>
          </w:tcPr>
          <w:p>
            <w:pPr>
              <w:spacing w:line="380" w:lineRule="exact"/>
              <w:rPr>
                <w:rFonts w:ascii="Tahoma" w:hAnsi="Tahoma" w:cs="Tahom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72"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401"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429"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557"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048" w:type="dxa"/>
          </w:tcPr>
          <w:p>
            <w:pPr>
              <w:spacing w:line="380" w:lineRule="exact"/>
              <w:rPr>
                <w:rFonts w:ascii="Tahoma" w:hAnsi="Tahoma" w:cs="Tahom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72"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401"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429"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557"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048" w:type="dxa"/>
          </w:tcPr>
          <w:p>
            <w:pPr>
              <w:spacing w:line="380" w:lineRule="exact"/>
              <w:rPr>
                <w:rFonts w:ascii="Tahoma" w:hAnsi="Tahoma" w:cs="Tahom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72"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401"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429"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557"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048" w:type="dxa"/>
          </w:tcPr>
          <w:p>
            <w:pPr>
              <w:spacing w:line="380" w:lineRule="exact"/>
              <w:rPr>
                <w:rFonts w:ascii="Tahoma" w:hAnsi="Tahoma" w:cs="Tahom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72"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401"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429"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557"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048" w:type="dxa"/>
          </w:tcPr>
          <w:p>
            <w:pPr>
              <w:spacing w:line="380" w:lineRule="exact"/>
              <w:rPr>
                <w:rFonts w:ascii="Tahoma" w:hAnsi="Tahoma" w:cs="Tahom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72"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401"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429"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557"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048" w:type="dxa"/>
          </w:tcPr>
          <w:p>
            <w:pPr>
              <w:spacing w:line="380" w:lineRule="exact"/>
              <w:rPr>
                <w:rFonts w:ascii="Tahoma" w:hAnsi="Tahoma" w:cs="Tahom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72"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401"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429"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557"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048" w:type="dxa"/>
          </w:tcPr>
          <w:p>
            <w:pPr>
              <w:spacing w:line="380" w:lineRule="exact"/>
              <w:rPr>
                <w:rFonts w:ascii="Tahoma" w:hAnsi="Tahoma" w:cs="Tahoma"/>
                <w:color w:val="000000" w:themeColor="text1"/>
                <w:szCs w:val="21"/>
                <w:highlight w:val="none"/>
                <w14:textFill>
                  <w14:solidFill>
                    <w14:schemeClr w14:val="tx1"/>
                  </w14:solidFill>
                </w14:textFill>
              </w:rPr>
            </w:pPr>
          </w:p>
        </w:tc>
      </w:tr>
    </w:tbl>
    <w:p>
      <w:pPr>
        <w:spacing w:line="380" w:lineRule="exact"/>
        <w:rPr>
          <w:rFonts w:ascii="Tahoma" w:hAnsi="Tahoma" w:cs="Tahoma"/>
          <w:color w:val="000000" w:themeColor="text1"/>
          <w:szCs w:val="21"/>
          <w:highlight w:val="none"/>
          <w14:textFill>
            <w14:solidFill>
              <w14:schemeClr w14:val="tx1"/>
            </w14:solidFill>
          </w14:textFill>
        </w:rPr>
      </w:pPr>
    </w:p>
    <w:p>
      <w:pPr>
        <w:spacing w:line="380" w:lineRule="exact"/>
        <w:rPr>
          <w:rFonts w:ascii="Tahoma" w:hAnsi="Tahoma" w:cs="Tahoma"/>
          <w:b/>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注：为使评标委员会准确理解及保证评审工作顺利进行，请供应商针对招标文件的要求，结合所供货物的实际性能、技术指标、采用的质量标准等逐条进行说明，说明货物或产品的实际响应程度。如简单的以“无偏离、完全响应”等类似表述，有可能给投标供应商带来的不利或导致投标被否决，将由供应商自行承担，敬请供应商注意！</w:t>
      </w:r>
    </w:p>
    <w:p>
      <w:pPr>
        <w:spacing w:line="380" w:lineRule="exact"/>
        <w:rPr>
          <w:rFonts w:ascii="Tahoma" w:hAnsi="Tahoma" w:cs="Tahoma"/>
          <w:color w:val="000000" w:themeColor="text1"/>
          <w:sz w:val="24"/>
          <w:highlight w:val="none"/>
          <w14:textFill>
            <w14:solidFill>
              <w14:schemeClr w14:val="tx1"/>
            </w14:solidFill>
          </w14:textFill>
        </w:rPr>
      </w:pPr>
      <w:r>
        <w:rPr>
          <w:rFonts w:ascii="Tahoma" w:hAnsi="Tahoma" w:cs="Tahoma"/>
          <w:color w:val="000000" w:themeColor="text1"/>
          <w:sz w:val="24"/>
          <w:highlight w:val="none"/>
          <w14:textFill>
            <w14:solidFill>
              <w14:schemeClr w14:val="tx1"/>
            </w14:solidFill>
          </w14:textFill>
        </w:rPr>
        <w:t xml:space="preserve">                                       </w:t>
      </w:r>
    </w:p>
    <w:p>
      <w:pPr>
        <w:spacing w:line="380" w:lineRule="exact"/>
        <w:rPr>
          <w:rFonts w:ascii="Tahoma" w:hAnsi="Tahoma" w:cs="Tahoma"/>
          <w:color w:val="000000" w:themeColor="text1"/>
          <w:sz w:val="24"/>
          <w:highlight w:val="none"/>
          <w14:textFill>
            <w14:solidFill>
              <w14:schemeClr w14:val="tx1"/>
            </w14:solidFill>
          </w14:textFill>
        </w:rPr>
      </w:pPr>
    </w:p>
    <w:p>
      <w:pPr>
        <w:spacing w:line="380" w:lineRule="exact"/>
        <w:rPr>
          <w:rFonts w:ascii="Tahoma" w:hAnsi="Tahoma" w:cs="Tahoma"/>
          <w:color w:val="000000" w:themeColor="text1"/>
          <w:sz w:val="24"/>
          <w:highlight w:val="none"/>
          <w14:textFill>
            <w14:solidFill>
              <w14:schemeClr w14:val="tx1"/>
            </w14:solidFill>
          </w14:textFill>
        </w:rPr>
      </w:pPr>
    </w:p>
    <w:p>
      <w:pPr>
        <w:spacing w:line="380" w:lineRule="exact"/>
        <w:rPr>
          <w:rFonts w:ascii="Tahoma" w:hAnsi="Tahoma" w:cs="Tahoma"/>
          <w:color w:val="000000" w:themeColor="text1"/>
          <w:sz w:val="24"/>
          <w:highlight w:val="none"/>
          <w14:textFill>
            <w14:solidFill>
              <w14:schemeClr w14:val="tx1"/>
            </w14:solidFill>
          </w14:textFill>
        </w:rPr>
      </w:pPr>
    </w:p>
    <w:p>
      <w:pPr>
        <w:spacing w:line="380" w:lineRule="exact"/>
        <w:rPr>
          <w:rFonts w:ascii="Tahoma" w:hAnsi="Tahoma" w:cs="Tahoma"/>
          <w:color w:val="000000" w:themeColor="text1"/>
          <w:sz w:val="24"/>
          <w:highlight w:val="none"/>
          <w14:textFill>
            <w14:solidFill>
              <w14:schemeClr w14:val="tx1"/>
            </w14:solidFill>
          </w14:textFill>
        </w:rPr>
      </w:pPr>
    </w:p>
    <w:p>
      <w:pPr>
        <w:spacing w:line="380" w:lineRule="exact"/>
        <w:ind w:firstLine="5775" w:firstLineChars="275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投标供应商代表签字：</w:t>
      </w:r>
      <w:r>
        <w:rPr>
          <w:rFonts w:ascii="Tahoma" w:hAnsi="Tahoma" w:cs="Tahoma"/>
          <w:color w:val="000000" w:themeColor="text1"/>
          <w:szCs w:val="21"/>
          <w:highlight w:val="none"/>
          <w:u w:val="single"/>
          <w14:textFill>
            <w14:solidFill>
              <w14:schemeClr w14:val="tx1"/>
            </w14:solidFill>
          </w14:textFill>
        </w:rPr>
        <w:t xml:space="preserve">                  </w:t>
      </w:r>
    </w:p>
    <w:p>
      <w:pPr>
        <w:spacing w:line="380" w:lineRule="exact"/>
        <w:ind w:firstLine="5775" w:firstLineChars="2750"/>
        <w:rPr>
          <w:rFonts w:ascii="Tahoma" w:hAnsi="Tahoma" w:cs="Tahoma"/>
          <w:color w:val="000000" w:themeColor="text1"/>
          <w:szCs w:val="21"/>
          <w:highlight w:val="none"/>
          <w14:textFill>
            <w14:solidFill>
              <w14:schemeClr w14:val="tx1"/>
            </w14:solidFill>
          </w14:textFill>
        </w:rPr>
      </w:pPr>
    </w:p>
    <w:p>
      <w:pPr>
        <w:spacing w:line="380" w:lineRule="exact"/>
        <w:rPr>
          <w:rFonts w:ascii="Tahoma" w:hAnsi="Tahoma" w:cs="Tahoma"/>
          <w:color w:val="000000" w:themeColor="text1"/>
          <w:sz w:val="24"/>
          <w:highlight w:val="none"/>
          <w14:textFill>
            <w14:solidFill>
              <w14:schemeClr w14:val="tx1"/>
            </w14:solidFill>
          </w14:textFill>
        </w:rPr>
      </w:pPr>
    </w:p>
    <w:p>
      <w:pPr>
        <w:spacing w:line="380" w:lineRule="exact"/>
        <w:rPr>
          <w:rFonts w:ascii="Tahoma" w:hAnsi="Tahoma" w:cs="Tahoma"/>
          <w:color w:val="000000" w:themeColor="text1"/>
          <w:sz w:val="24"/>
          <w:highlight w:val="none"/>
          <w14:textFill>
            <w14:solidFill>
              <w14:schemeClr w14:val="tx1"/>
            </w14:solidFill>
          </w14:textFill>
        </w:rPr>
      </w:pPr>
    </w:p>
    <w:p>
      <w:pPr>
        <w:pStyle w:val="27"/>
        <w:rPr>
          <w:rFonts w:ascii="Tahoma" w:hAnsi="Tahoma" w:cs="Tahoma"/>
          <w:color w:val="000000" w:themeColor="text1"/>
          <w:sz w:val="21"/>
          <w:highlight w:val="none"/>
          <w14:textFill>
            <w14:solidFill>
              <w14:schemeClr w14:val="tx1"/>
            </w14:solidFill>
          </w14:textFill>
        </w:rPr>
      </w:pPr>
    </w:p>
    <w:p>
      <w:pPr>
        <w:pStyle w:val="27"/>
        <w:rPr>
          <w:rFonts w:ascii="Tahoma" w:hAnsi="Tahoma" w:cs="Tahoma"/>
          <w:color w:val="000000" w:themeColor="text1"/>
          <w:sz w:val="21"/>
          <w:highlight w:val="none"/>
          <w14:textFill>
            <w14:solidFill>
              <w14:schemeClr w14:val="tx1"/>
            </w14:solidFill>
          </w14:textFill>
        </w:rPr>
      </w:pPr>
      <w:r>
        <w:rPr>
          <w:rFonts w:ascii="Tahoma" w:hAnsi="Tahoma" w:cs="Tahoma"/>
          <w:color w:val="000000" w:themeColor="text1"/>
          <w:sz w:val="21"/>
          <w:highlight w:val="none"/>
          <w14:textFill>
            <w14:solidFill>
              <w14:schemeClr w14:val="tx1"/>
            </w14:solidFill>
          </w14:textFill>
        </w:rPr>
        <w:t xml:space="preserve">         </w:t>
      </w:r>
    </w:p>
    <w:p>
      <w:pPr>
        <w:pStyle w:val="27"/>
        <w:jc w:val="center"/>
        <w:rPr>
          <w:rFonts w:ascii="Tahoma" w:hAnsi="Tahoma" w:eastAsia="黑体" w:cs="Tahoma"/>
          <w:color w:val="000000" w:themeColor="text1"/>
          <w:szCs w:val="28"/>
          <w:highlight w:val="none"/>
          <w14:textFill>
            <w14:solidFill>
              <w14:schemeClr w14:val="tx1"/>
            </w14:solidFill>
          </w14:textFill>
        </w:rPr>
      </w:pPr>
      <w:r>
        <w:rPr>
          <w:rFonts w:hint="eastAsia" w:ascii="Tahoma" w:hAnsi="Tahoma" w:eastAsia="黑体" w:cs="Tahoma"/>
          <w:b/>
          <w:bCs/>
          <w:color w:val="000000" w:themeColor="text1"/>
          <w:szCs w:val="28"/>
          <w:highlight w:val="none"/>
          <w14:textFill>
            <w14:solidFill>
              <w14:schemeClr w14:val="tx1"/>
            </w14:solidFill>
          </w14:textFill>
        </w:rPr>
        <w:t>商务</w:t>
      </w:r>
      <w:r>
        <w:rPr>
          <w:rFonts w:ascii="Tahoma" w:hAnsi="Tahoma" w:eastAsia="黑体" w:cs="Tahoma"/>
          <w:b/>
          <w:color w:val="000000" w:themeColor="text1"/>
          <w:szCs w:val="28"/>
          <w:highlight w:val="none"/>
          <w14:textFill>
            <w14:solidFill>
              <w14:schemeClr w14:val="tx1"/>
            </w14:solidFill>
          </w14:textFill>
        </w:rPr>
        <w:t>规格偏离表</w:t>
      </w:r>
      <w:r>
        <w:rPr>
          <w:rFonts w:ascii="Tahoma" w:hAnsi="Tahoma" w:eastAsia="黑体" w:cs="Tahoma"/>
          <w:color w:val="000000" w:themeColor="text1"/>
          <w:szCs w:val="28"/>
          <w:highlight w:val="none"/>
          <w14:textFill>
            <w14:solidFill>
              <w14:schemeClr w14:val="tx1"/>
            </w14:solidFill>
          </w14:textFill>
        </w:rPr>
        <w:cr/>
      </w:r>
    </w:p>
    <w:p>
      <w:pPr>
        <w:spacing w:line="38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项目编号∶</w:t>
      </w:r>
      <w:r>
        <w:rPr>
          <w:rFonts w:ascii="Tahoma" w:hAnsi="Tahoma" w:cs="Tahoma"/>
          <w:color w:val="000000" w:themeColor="text1"/>
          <w:szCs w:val="21"/>
          <w:highlight w:val="none"/>
          <w14:textFill>
            <w14:solidFill>
              <w14:schemeClr w14:val="tx1"/>
            </w14:solidFill>
          </w14:textFill>
        </w:rPr>
        <w:tab/>
      </w:r>
      <w:r>
        <w:rPr>
          <w:rFonts w:ascii="Tahoma" w:hAnsi="Tahoma" w:cs="Tahoma"/>
          <w:color w:val="000000" w:themeColor="text1"/>
          <w:szCs w:val="21"/>
          <w:highlight w:val="none"/>
          <w14:textFill>
            <w14:solidFill>
              <w14:schemeClr w14:val="tx1"/>
            </w14:solidFill>
          </w14:textFill>
        </w:rPr>
        <w:t xml:space="preserve">                                                                      第  页共  页</w:t>
      </w:r>
    </w:p>
    <w:tbl>
      <w:tblPr>
        <w:tblStyle w:val="20"/>
        <w:tblW w:w="1020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401"/>
        <w:gridCol w:w="2429"/>
        <w:gridCol w:w="2557"/>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772" w:type="dxa"/>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序号</w:t>
            </w:r>
          </w:p>
        </w:tc>
        <w:tc>
          <w:tcPr>
            <w:tcW w:w="2401" w:type="dxa"/>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货物名称</w:t>
            </w:r>
          </w:p>
        </w:tc>
        <w:tc>
          <w:tcPr>
            <w:tcW w:w="2429" w:type="dxa"/>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招标文件要求</w:t>
            </w:r>
          </w:p>
        </w:tc>
        <w:tc>
          <w:tcPr>
            <w:tcW w:w="2557" w:type="dxa"/>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响应程度</w:t>
            </w:r>
          </w:p>
        </w:tc>
        <w:tc>
          <w:tcPr>
            <w:tcW w:w="2048" w:type="dxa"/>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72"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401"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429"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557"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048" w:type="dxa"/>
          </w:tcPr>
          <w:p>
            <w:pPr>
              <w:spacing w:line="380" w:lineRule="exact"/>
              <w:rPr>
                <w:rFonts w:ascii="Tahoma" w:hAnsi="Tahoma" w:cs="Tahom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72"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401"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429"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557"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048" w:type="dxa"/>
          </w:tcPr>
          <w:p>
            <w:pPr>
              <w:spacing w:line="380" w:lineRule="exact"/>
              <w:rPr>
                <w:rFonts w:ascii="Tahoma" w:hAnsi="Tahoma" w:cs="Tahom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72"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401"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429"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557"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048" w:type="dxa"/>
          </w:tcPr>
          <w:p>
            <w:pPr>
              <w:spacing w:line="380" w:lineRule="exact"/>
              <w:rPr>
                <w:rFonts w:ascii="Tahoma" w:hAnsi="Tahoma" w:cs="Tahom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72"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401"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429"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557"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048" w:type="dxa"/>
          </w:tcPr>
          <w:p>
            <w:pPr>
              <w:spacing w:line="380" w:lineRule="exact"/>
              <w:rPr>
                <w:rFonts w:ascii="Tahoma" w:hAnsi="Tahoma" w:cs="Tahom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72"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401"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429"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557"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048" w:type="dxa"/>
          </w:tcPr>
          <w:p>
            <w:pPr>
              <w:spacing w:line="380" w:lineRule="exact"/>
              <w:rPr>
                <w:rFonts w:ascii="Tahoma" w:hAnsi="Tahoma" w:cs="Tahom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72"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401"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429"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557"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048" w:type="dxa"/>
          </w:tcPr>
          <w:p>
            <w:pPr>
              <w:spacing w:line="380" w:lineRule="exact"/>
              <w:rPr>
                <w:rFonts w:ascii="Tahoma" w:hAnsi="Tahoma" w:cs="Tahom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72"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401"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429"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557"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048" w:type="dxa"/>
          </w:tcPr>
          <w:p>
            <w:pPr>
              <w:spacing w:line="380" w:lineRule="exact"/>
              <w:rPr>
                <w:rFonts w:ascii="Tahoma" w:hAnsi="Tahoma" w:cs="Tahom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72"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401"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429"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557"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048" w:type="dxa"/>
          </w:tcPr>
          <w:p>
            <w:pPr>
              <w:spacing w:line="380" w:lineRule="exact"/>
              <w:rPr>
                <w:rFonts w:ascii="Tahoma" w:hAnsi="Tahoma" w:cs="Tahom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72"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401"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429"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557"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048" w:type="dxa"/>
          </w:tcPr>
          <w:p>
            <w:pPr>
              <w:spacing w:line="380" w:lineRule="exact"/>
              <w:rPr>
                <w:rFonts w:ascii="Tahoma" w:hAnsi="Tahoma" w:cs="Tahom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72"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401"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429"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557"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048" w:type="dxa"/>
          </w:tcPr>
          <w:p>
            <w:pPr>
              <w:spacing w:line="380" w:lineRule="exact"/>
              <w:rPr>
                <w:rFonts w:ascii="Tahoma" w:hAnsi="Tahoma" w:cs="Tahoma"/>
                <w:color w:val="000000" w:themeColor="text1"/>
                <w:szCs w:val="21"/>
                <w:highlight w:val="none"/>
                <w14:textFill>
                  <w14:solidFill>
                    <w14:schemeClr w14:val="tx1"/>
                  </w14:solidFill>
                </w14:textFill>
              </w:rPr>
            </w:pPr>
          </w:p>
        </w:tc>
      </w:tr>
    </w:tbl>
    <w:p>
      <w:pPr>
        <w:spacing w:line="380" w:lineRule="exact"/>
        <w:rPr>
          <w:rFonts w:ascii="Tahoma" w:hAnsi="Tahoma" w:cs="Tahoma"/>
          <w:color w:val="000000" w:themeColor="text1"/>
          <w:szCs w:val="21"/>
          <w:highlight w:val="none"/>
          <w14:textFill>
            <w14:solidFill>
              <w14:schemeClr w14:val="tx1"/>
            </w14:solidFill>
          </w14:textFill>
        </w:rPr>
      </w:pPr>
    </w:p>
    <w:p>
      <w:pPr>
        <w:spacing w:line="380" w:lineRule="exact"/>
        <w:rPr>
          <w:rFonts w:ascii="Tahoma" w:hAnsi="Tahoma" w:cs="Tahoma"/>
          <w:b/>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注：为使评标委员会准确理解及保证评审工作顺利进行，请供应商针对招标文件的要求，说明</w:t>
      </w:r>
      <w:r>
        <w:rPr>
          <w:rFonts w:hint="eastAsia" w:ascii="Tahoma" w:hAnsi="Tahoma" w:cs="Tahoma"/>
          <w:b/>
          <w:color w:val="000000" w:themeColor="text1"/>
          <w:szCs w:val="21"/>
          <w:highlight w:val="none"/>
          <w14:textFill>
            <w14:solidFill>
              <w14:schemeClr w14:val="tx1"/>
            </w14:solidFill>
          </w14:textFill>
        </w:rPr>
        <w:t>商务部分</w:t>
      </w:r>
      <w:r>
        <w:rPr>
          <w:rFonts w:ascii="Tahoma" w:hAnsi="Tahoma" w:cs="Tahoma"/>
          <w:b/>
          <w:color w:val="000000" w:themeColor="text1"/>
          <w:szCs w:val="21"/>
          <w:highlight w:val="none"/>
          <w14:textFill>
            <w14:solidFill>
              <w14:schemeClr w14:val="tx1"/>
            </w14:solidFill>
          </w14:textFill>
        </w:rPr>
        <w:t>实际响应程度。如简单的以“无偏离、完全响应”等类似表述，有可能给投标供应商带来的不利或导致投标被否决，将由供应商自行承担，敬请供应商注意！</w:t>
      </w:r>
    </w:p>
    <w:p>
      <w:pPr>
        <w:spacing w:line="380" w:lineRule="exact"/>
        <w:rPr>
          <w:rFonts w:ascii="Tahoma" w:hAnsi="Tahoma" w:cs="Tahoma"/>
          <w:color w:val="000000" w:themeColor="text1"/>
          <w:sz w:val="24"/>
          <w:highlight w:val="none"/>
          <w14:textFill>
            <w14:solidFill>
              <w14:schemeClr w14:val="tx1"/>
            </w14:solidFill>
          </w14:textFill>
        </w:rPr>
      </w:pPr>
      <w:r>
        <w:rPr>
          <w:rFonts w:ascii="Tahoma" w:hAnsi="Tahoma" w:cs="Tahoma"/>
          <w:color w:val="000000" w:themeColor="text1"/>
          <w:sz w:val="24"/>
          <w:highlight w:val="none"/>
          <w14:textFill>
            <w14:solidFill>
              <w14:schemeClr w14:val="tx1"/>
            </w14:solidFill>
          </w14:textFill>
        </w:rPr>
        <w:t xml:space="preserve">                                       </w:t>
      </w:r>
    </w:p>
    <w:p>
      <w:pPr>
        <w:spacing w:line="380" w:lineRule="exact"/>
        <w:rPr>
          <w:rFonts w:ascii="Tahoma" w:hAnsi="Tahoma" w:cs="Tahoma"/>
          <w:color w:val="000000" w:themeColor="text1"/>
          <w:sz w:val="24"/>
          <w:highlight w:val="none"/>
          <w14:textFill>
            <w14:solidFill>
              <w14:schemeClr w14:val="tx1"/>
            </w14:solidFill>
          </w14:textFill>
        </w:rPr>
      </w:pPr>
    </w:p>
    <w:p>
      <w:pPr>
        <w:spacing w:line="380" w:lineRule="exact"/>
        <w:rPr>
          <w:rFonts w:ascii="Tahoma" w:hAnsi="Tahoma" w:cs="Tahoma"/>
          <w:color w:val="000000" w:themeColor="text1"/>
          <w:sz w:val="24"/>
          <w:highlight w:val="none"/>
          <w14:textFill>
            <w14:solidFill>
              <w14:schemeClr w14:val="tx1"/>
            </w14:solidFill>
          </w14:textFill>
        </w:rPr>
      </w:pPr>
    </w:p>
    <w:p>
      <w:pPr>
        <w:spacing w:line="380" w:lineRule="exact"/>
        <w:rPr>
          <w:rFonts w:ascii="Tahoma" w:hAnsi="Tahoma" w:cs="Tahoma"/>
          <w:color w:val="000000" w:themeColor="text1"/>
          <w:sz w:val="24"/>
          <w:highlight w:val="none"/>
          <w14:textFill>
            <w14:solidFill>
              <w14:schemeClr w14:val="tx1"/>
            </w14:solidFill>
          </w14:textFill>
        </w:rPr>
      </w:pPr>
    </w:p>
    <w:p>
      <w:pPr>
        <w:spacing w:line="380" w:lineRule="exact"/>
        <w:rPr>
          <w:rFonts w:ascii="Tahoma" w:hAnsi="Tahoma" w:cs="Tahoma"/>
          <w:color w:val="000000" w:themeColor="text1"/>
          <w:sz w:val="24"/>
          <w:highlight w:val="none"/>
          <w14:textFill>
            <w14:solidFill>
              <w14:schemeClr w14:val="tx1"/>
            </w14:solidFill>
          </w14:textFill>
        </w:rPr>
      </w:pPr>
    </w:p>
    <w:p>
      <w:pPr>
        <w:spacing w:line="360" w:lineRule="auto"/>
        <w:jc w:val="center"/>
        <w:rPr>
          <w:rFonts w:ascii="Tahoma" w:hAnsi="Tahoma" w:cs="Tahoma"/>
          <w:color w:val="000000" w:themeColor="text1"/>
          <w:szCs w:val="21"/>
          <w:highlight w:val="none"/>
          <w:u w:val="singl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投标供应商代表签字：</w:t>
      </w:r>
      <w:r>
        <w:rPr>
          <w:rFonts w:ascii="Tahoma" w:hAnsi="Tahoma" w:cs="Tahoma"/>
          <w:color w:val="000000" w:themeColor="text1"/>
          <w:szCs w:val="21"/>
          <w:highlight w:val="none"/>
          <w:u w:val="single"/>
          <w14:textFill>
            <w14:solidFill>
              <w14:schemeClr w14:val="tx1"/>
            </w14:solidFill>
          </w14:textFill>
        </w:rPr>
        <w:t xml:space="preserve">              </w:t>
      </w:r>
    </w:p>
    <w:p>
      <w:pPr>
        <w:spacing w:line="360" w:lineRule="auto"/>
        <w:jc w:val="center"/>
        <w:rPr>
          <w:rFonts w:ascii="Tahoma" w:hAnsi="Tahoma" w:cs="Tahoma"/>
          <w:color w:val="000000" w:themeColor="text1"/>
          <w:szCs w:val="21"/>
          <w:highlight w:val="none"/>
          <w:u w:val="single"/>
          <w14:textFill>
            <w14:solidFill>
              <w14:schemeClr w14:val="tx1"/>
            </w14:solidFill>
          </w14:textFill>
        </w:rPr>
      </w:pPr>
    </w:p>
    <w:p>
      <w:pPr>
        <w:spacing w:line="360" w:lineRule="auto"/>
        <w:jc w:val="center"/>
        <w:rPr>
          <w:rFonts w:ascii="Tahoma" w:hAnsi="Tahoma" w:cs="Tahoma"/>
          <w:color w:val="000000" w:themeColor="text1"/>
          <w:szCs w:val="21"/>
          <w:highlight w:val="none"/>
          <w:u w:val="single"/>
          <w14:textFill>
            <w14:solidFill>
              <w14:schemeClr w14:val="tx1"/>
            </w14:solidFill>
          </w14:textFill>
        </w:rPr>
      </w:pPr>
    </w:p>
    <w:p>
      <w:pPr>
        <w:spacing w:line="360" w:lineRule="auto"/>
        <w:jc w:val="center"/>
        <w:rPr>
          <w:rFonts w:ascii="Tahoma" w:hAnsi="Tahoma" w:cs="Tahoma"/>
          <w:color w:val="000000" w:themeColor="text1"/>
          <w:szCs w:val="21"/>
          <w:highlight w:val="none"/>
          <w:u w:val="single"/>
          <w14:textFill>
            <w14:solidFill>
              <w14:schemeClr w14:val="tx1"/>
            </w14:solidFill>
          </w14:textFill>
        </w:rPr>
      </w:pPr>
    </w:p>
    <w:p>
      <w:pPr>
        <w:spacing w:line="360" w:lineRule="auto"/>
        <w:jc w:val="center"/>
        <w:rPr>
          <w:rFonts w:ascii="Tahoma" w:hAnsi="Tahoma" w:cs="Tahoma"/>
          <w:color w:val="000000" w:themeColor="text1"/>
          <w:szCs w:val="21"/>
          <w:highlight w:val="none"/>
          <w:u w:val="single"/>
          <w14:textFill>
            <w14:solidFill>
              <w14:schemeClr w14:val="tx1"/>
            </w14:solidFill>
          </w14:textFill>
        </w:rPr>
      </w:pPr>
    </w:p>
    <w:p>
      <w:pPr>
        <w:spacing w:line="400" w:lineRule="exact"/>
        <w:jc w:val="center"/>
        <w:rPr>
          <w:rFonts w:ascii="Tahoma" w:hAnsi="Tahoma" w:eastAsia="黑体" w:cs="Tahoma"/>
          <w:b/>
          <w:color w:val="000000" w:themeColor="text1"/>
          <w:sz w:val="28"/>
          <w:szCs w:val="28"/>
          <w:highlight w:val="none"/>
          <w14:textFill>
            <w14:solidFill>
              <w14:schemeClr w14:val="tx1"/>
            </w14:solidFill>
          </w14:textFill>
        </w:rPr>
      </w:pPr>
    </w:p>
    <w:p>
      <w:pPr>
        <w:spacing w:line="400" w:lineRule="exact"/>
        <w:jc w:val="center"/>
        <w:rPr>
          <w:rFonts w:ascii="Tahoma" w:hAnsi="Tahoma" w:eastAsia="黑体" w:cs="Tahoma"/>
          <w:b/>
          <w:color w:val="000000" w:themeColor="text1"/>
          <w:sz w:val="28"/>
          <w:szCs w:val="28"/>
          <w:highlight w:val="none"/>
          <w14:textFill>
            <w14:solidFill>
              <w14:schemeClr w14:val="tx1"/>
            </w14:solidFill>
          </w14:textFill>
        </w:rPr>
      </w:pPr>
      <w:r>
        <w:rPr>
          <w:rFonts w:ascii="Tahoma" w:hAnsi="Tahoma" w:eastAsia="黑体" w:cs="Tahoma"/>
          <w:b/>
          <w:color w:val="000000" w:themeColor="text1"/>
          <w:sz w:val="28"/>
          <w:szCs w:val="28"/>
          <w:highlight w:val="none"/>
          <w14:textFill>
            <w14:solidFill>
              <w14:schemeClr w14:val="tx1"/>
            </w14:solidFill>
          </w14:textFill>
        </w:rPr>
        <w:t>（六）</w:t>
      </w:r>
      <w:r>
        <w:rPr>
          <w:rFonts w:hint="eastAsia" w:ascii="Tahoma" w:hAnsi="Tahoma" w:eastAsia="黑体" w:cs="Tahoma"/>
          <w:b/>
          <w:color w:val="000000" w:themeColor="text1"/>
          <w:sz w:val="28"/>
          <w:szCs w:val="28"/>
          <w:highlight w:val="none"/>
          <w14:textFill>
            <w14:solidFill>
              <w14:schemeClr w14:val="tx1"/>
            </w14:solidFill>
          </w14:textFill>
        </w:rPr>
        <w:t>、生产、运输</w:t>
      </w:r>
      <w:r>
        <w:rPr>
          <w:rFonts w:ascii="Tahoma" w:hAnsi="Tahoma" w:eastAsia="黑体" w:cs="Tahoma"/>
          <w:b/>
          <w:color w:val="000000" w:themeColor="text1"/>
          <w:sz w:val="28"/>
          <w:szCs w:val="28"/>
          <w:highlight w:val="none"/>
          <w14:textFill>
            <w14:solidFill>
              <w14:schemeClr w14:val="tx1"/>
            </w14:solidFill>
          </w14:textFill>
        </w:rPr>
        <w:t>、</w:t>
      </w:r>
      <w:r>
        <w:rPr>
          <w:rFonts w:hint="eastAsia" w:ascii="Tahoma" w:hAnsi="Tahoma" w:eastAsia="黑体" w:cs="Tahoma"/>
          <w:b/>
          <w:color w:val="000000" w:themeColor="text1"/>
          <w:sz w:val="28"/>
          <w:szCs w:val="28"/>
          <w:highlight w:val="none"/>
          <w14:textFill>
            <w14:solidFill>
              <w14:schemeClr w14:val="tx1"/>
            </w14:solidFill>
          </w14:textFill>
        </w:rPr>
        <w:t>配送</w:t>
      </w:r>
      <w:r>
        <w:rPr>
          <w:rFonts w:ascii="Tahoma" w:hAnsi="Tahoma" w:eastAsia="黑体" w:cs="Tahoma"/>
          <w:b/>
          <w:color w:val="000000" w:themeColor="text1"/>
          <w:sz w:val="28"/>
          <w:szCs w:val="28"/>
          <w:highlight w:val="none"/>
          <w14:textFill>
            <w14:solidFill>
              <w14:schemeClr w14:val="tx1"/>
            </w14:solidFill>
          </w14:textFill>
        </w:rPr>
        <w:t>及技术、质量保证组织措施</w:t>
      </w:r>
      <w:bookmarkEnd w:id="248"/>
    </w:p>
    <w:p>
      <w:pPr>
        <w:spacing w:line="240" w:lineRule="exact"/>
        <w:rPr>
          <w:rFonts w:ascii="Tahoma" w:hAnsi="Tahoma" w:cs="Tahoma"/>
          <w:color w:val="000000" w:themeColor="text1"/>
          <w:sz w:val="24"/>
          <w:highlight w:val="none"/>
          <w14:textFill>
            <w14:solidFill>
              <w14:schemeClr w14:val="tx1"/>
            </w14:solidFill>
          </w14:textFill>
        </w:rPr>
      </w:pPr>
    </w:p>
    <w:p>
      <w:pPr>
        <w:spacing w:line="380" w:lineRule="exact"/>
        <w:rPr>
          <w:rFonts w:ascii="Tahoma" w:hAnsi="Tahoma" w:cs="Tahoma"/>
          <w:color w:val="000000" w:themeColor="text1"/>
          <w:sz w:val="24"/>
          <w:highlight w:val="none"/>
          <w14:textFill>
            <w14:solidFill>
              <w14:schemeClr w14:val="tx1"/>
            </w14:solidFill>
          </w14:textFill>
        </w:rPr>
      </w:pPr>
    </w:p>
    <w:p>
      <w:pPr>
        <w:spacing w:line="380" w:lineRule="exact"/>
        <w:rPr>
          <w:rFonts w:ascii="Tahoma" w:hAnsi="Tahoma" w:cs="Tahoma"/>
          <w:color w:val="000000" w:themeColor="text1"/>
          <w:sz w:val="24"/>
          <w:highlight w:val="none"/>
          <w14:textFill>
            <w14:solidFill>
              <w14:schemeClr w14:val="tx1"/>
            </w14:solidFill>
          </w14:textFill>
        </w:rPr>
      </w:pPr>
    </w:p>
    <w:p>
      <w:pPr>
        <w:spacing w:line="380" w:lineRule="exact"/>
        <w:rPr>
          <w:rFonts w:ascii="Tahoma" w:hAnsi="Tahoma" w:cs="Tahoma"/>
          <w:color w:val="000000" w:themeColor="text1"/>
          <w:sz w:val="24"/>
          <w:highlight w:val="none"/>
          <w14:textFill>
            <w14:solidFill>
              <w14:schemeClr w14:val="tx1"/>
            </w14:solidFill>
          </w14:textFill>
        </w:rPr>
      </w:pPr>
    </w:p>
    <w:p>
      <w:pPr>
        <w:pStyle w:val="27"/>
        <w:rPr>
          <w:rFonts w:ascii="Tahoma" w:hAnsi="Tahoma" w:cs="Tahoma"/>
          <w:color w:val="000000" w:themeColor="text1"/>
          <w:sz w:val="21"/>
          <w:highlight w:val="none"/>
          <w14:textFill>
            <w14:solidFill>
              <w14:schemeClr w14:val="tx1"/>
            </w14:solidFill>
          </w14:textFill>
        </w:rPr>
      </w:pPr>
    </w:p>
    <w:p>
      <w:pPr>
        <w:pStyle w:val="27"/>
        <w:rPr>
          <w:rFonts w:ascii="Tahoma" w:hAnsi="Tahoma" w:cs="Tahoma"/>
          <w:color w:val="000000" w:themeColor="text1"/>
          <w:sz w:val="21"/>
          <w:highlight w:val="none"/>
          <w14:textFill>
            <w14:solidFill>
              <w14:schemeClr w14:val="tx1"/>
            </w14:solidFill>
          </w14:textFill>
        </w:rPr>
      </w:pPr>
      <w:r>
        <w:rPr>
          <w:rFonts w:ascii="Tahoma" w:hAnsi="Tahoma" w:cs="Tahoma"/>
          <w:color w:val="000000" w:themeColor="text1"/>
          <w:sz w:val="21"/>
          <w:highlight w:val="none"/>
          <w14:textFill>
            <w14:solidFill>
              <w14:schemeClr w14:val="tx1"/>
            </w14:solidFill>
          </w14:textFill>
        </w:rPr>
        <w:t xml:space="preserve">         </w:t>
      </w:r>
    </w:p>
    <w:p>
      <w:pPr>
        <w:spacing w:line="400" w:lineRule="exact"/>
        <w:jc w:val="center"/>
        <w:rPr>
          <w:rFonts w:ascii="Tahoma" w:hAnsi="Tahoma" w:eastAsia="黑体" w:cs="Tahoma"/>
          <w:b/>
          <w:color w:val="000000" w:themeColor="text1"/>
          <w:sz w:val="28"/>
          <w:szCs w:val="28"/>
          <w:highlight w:val="none"/>
          <w14:textFill>
            <w14:solidFill>
              <w14:schemeClr w14:val="tx1"/>
            </w14:solidFill>
          </w14:textFill>
        </w:rPr>
      </w:pPr>
      <w:r>
        <w:rPr>
          <w:rFonts w:ascii="Tahoma" w:hAnsi="Tahoma" w:cs="Tahoma"/>
          <w:color w:val="000000" w:themeColor="text1"/>
          <w:highlight w:val="none"/>
          <w14:textFill>
            <w14:solidFill>
              <w14:schemeClr w14:val="tx1"/>
            </w14:solidFill>
          </w14:textFill>
        </w:rPr>
        <w:br w:type="page"/>
      </w:r>
      <w:r>
        <w:rPr>
          <w:rFonts w:ascii="Tahoma" w:hAnsi="Tahoma" w:eastAsia="黑体" w:cs="Tahoma"/>
          <w:b/>
          <w:color w:val="000000" w:themeColor="text1"/>
          <w:sz w:val="28"/>
          <w:szCs w:val="28"/>
          <w:highlight w:val="none"/>
          <w14:textFill>
            <w14:solidFill>
              <w14:schemeClr w14:val="tx1"/>
            </w14:solidFill>
          </w14:textFill>
        </w:rPr>
        <w:t>（七）</w:t>
      </w:r>
      <w:r>
        <w:rPr>
          <w:rFonts w:hint="eastAsia" w:ascii="Tahoma" w:hAnsi="Tahoma" w:eastAsia="黑体" w:cs="Tahoma"/>
          <w:b/>
          <w:color w:val="000000" w:themeColor="text1"/>
          <w:sz w:val="28"/>
          <w:szCs w:val="28"/>
          <w:highlight w:val="none"/>
          <w14:textFill>
            <w14:solidFill>
              <w14:schemeClr w14:val="tx1"/>
            </w14:solidFill>
          </w14:textFill>
        </w:rPr>
        <w:t>、</w:t>
      </w:r>
      <w:r>
        <w:rPr>
          <w:rFonts w:ascii="Tahoma" w:hAnsi="Tahoma" w:eastAsia="黑体" w:cs="Tahoma"/>
          <w:b/>
          <w:color w:val="000000" w:themeColor="text1"/>
          <w:sz w:val="28"/>
          <w:szCs w:val="28"/>
          <w:highlight w:val="none"/>
          <w14:textFill>
            <w14:solidFill>
              <w14:schemeClr w14:val="tx1"/>
            </w14:solidFill>
          </w14:textFill>
        </w:rPr>
        <w:t>质量保证、技术及售后服务承诺书</w:t>
      </w:r>
    </w:p>
    <w:p>
      <w:pPr>
        <w:spacing w:line="440" w:lineRule="exact"/>
        <w:jc w:val="center"/>
        <w:rPr>
          <w:rFonts w:ascii="Tahoma" w:hAnsi="Tahoma" w:cs="Tahoma"/>
          <w:b/>
          <w:bCs/>
          <w:color w:val="000000" w:themeColor="text1"/>
          <w:sz w:val="32"/>
          <w:highlight w:val="none"/>
          <w14:textFill>
            <w14:solidFill>
              <w14:schemeClr w14:val="tx1"/>
            </w14:solidFill>
          </w14:textFill>
        </w:rPr>
      </w:pPr>
    </w:p>
    <w:p>
      <w:pPr>
        <w:spacing w:line="440" w:lineRule="exact"/>
        <w:jc w:val="center"/>
        <w:rPr>
          <w:rFonts w:ascii="Tahoma" w:hAnsi="Tahoma" w:cs="Tahoma"/>
          <w:b/>
          <w:bCs/>
          <w:color w:val="000000" w:themeColor="text1"/>
          <w:sz w:val="32"/>
          <w:highlight w:val="none"/>
          <w14:textFill>
            <w14:solidFill>
              <w14:schemeClr w14:val="tx1"/>
            </w14:solidFill>
          </w14:textFill>
        </w:rPr>
      </w:pPr>
    </w:p>
    <w:p>
      <w:pPr>
        <w:spacing w:line="440" w:lineRule="exact"/>
        <w:jc w:val="center"/>
        <w:rPr>
          <w:rFonts w:ascii="Tahoma" w:hAnsi="Tahoma" w:cs="Tahoma"/>
          <w:b/>
          <w:bCs/>
          <w:color w:val="000000" w:themeColor="text1"/>
          <w:sz w:val="32"/>
          <w:highlight w:val="none"/>
          <w14:textFill>
            <w14:solidFill>
              <w14:schemeClr w14:val="tx1"/>
            </w14:solidFill>
          </w14:textFill>
        </w:rPr>
      </w:pPr>
    </w:p>
    <w:p>
      <w:pPr>
        <w:spacing w:line="440" w:lineRule="exact"/>
        <w:jc w:val="center"/>
        <w:rPr>
          <w:rFonts w:ascii="Tahoma" w:hAnsi="Tahoma" w:cs="Tahoma"/>
          <w:b/>
          <w:bCs/>
          <w:color w:val="000000" w:themeColor="text1"/>
          <w:sz w:val="32"/>
          <w:highlight w:val="none"/>
          <w14:textFill>
            <w14:solidFill>
              <w14:schemeClr w14:val="tx1"/>
            </w14:solidFill>
          </w14:textFill>
        </w:rPr>
      </w:pPr>
    </w:p>
    <w:p>
      <w:pPr>
        <w:spacing w:line="440" w:lineRule="exact"/>
        <w:jc w:val="center"/>
        <w:rPr>
          <w:rFonts w:ascii="Tahoma" w:hAnsi="Tahoma" w:cs="Tahoma"/>
          <w:b/>
          <w:bCs/>
          <w:color w:val="000000" w:themeColor="text1"/>
          <w:sz w:val="32"/>
          <w:highlight w:val="none"/>
          <w14:textFill>
            <w14:solidFill>
              <w14:schemeClr w14:val="tx1"/>
            </w14:solidFill>
          </w14:textFill>
        </w:rPr>
      </w:pPr>
    </w:p>
    <w:p>
      <w:pPr>
        <w:spacing w:line="440" w:lineRule="exact"/>
        <w:jc w:val="center"/>
        <w:rPr>
          <w:rFonts w:ascii="Tahoma" w:hAnsi="Tahoma" w:cs="Tahoma"/>
          <w:b/>
          <w:bCs/>
          <w:color w:val="000000" w:themeColor="text1"/>
          <w:sz w:val="32"/>
          <w:highlight w:val="none"/>
          <w14:textFill>
            <w14:solidFill>
              <w14:schemeClr w14:val="tx1"/>
            </w14:solidFill>
          </w14:textFill>
        </w:rPr>
      </w:pPr>
    </w:p>
    <w:p>
      <w:pPr>
        <w:spacing w:line="440" w:lineRule="exact"/>
        <w:jc w:val="center"/>
        <w:rPr>
          <w:rFonts w:ascii="Tahoma" w:hAnsi="Tahoma" w:cs="Tahoma"/>
          <w:b/>
          <w:bCs/>
          <w:color w:val="000000" w:themeColor="text1"/>
          <w:sz w:val="32"/>
          <w:highlight w:val="none"/>
          <w14:textFill>
            <w14:solidFill>
              <w14:schemeClr w14:val="tx1"/>
            </w14:solidFill>
          </w14:textFill>
        </w:rPr>
      </w:pPr>
    </w:p>
    <w:p>
      <w:pPr>
        <w:spacing w:line="440" w:lineRule="exact"/>
        <w:jc w:val="center"/>
        <w:rPr>
          <w:rFonts w:ascii="Tahoma" w:hAnsi="Tahoma" w:cs="Tahoma"/>
          <w:b/>
          <w:bCs/>
          <w:color w:val="000000" w:themeColor="text1"/>
          <w:sz w:val="32"/>
          <w:highlight w:val="none"/>
          <w14:textFill>
            <w14:solidFill>
              <w14:schemeClr w14:val="tx1"/>
            </w14:solidFill>
          </w14:textFill>
        </w:rPr>
      </w:pPr>
    </w:p>
    <w:p>
      <w:pPr>
        <w:spacing w:line="440" w:lineRule="exact"/>
        <w:jc w:val="center"/>
        <w:rPr>
          <w:rFonts w:ascii="Tahoma" w:hAnsi="Tahoma" w:cs="Tahoma"/>
          <w:b/>
          <w:bCs/>
          <w:color w:val="000000" w:themeColor="text1"/>
          <w:sz w:val="32"/>
          <w:highlight w:val="none"/>
          <w14:textFill>
            <w14:solidFill>
              <w14:schemeClr w14:val="tx1"/>
            </w14:solidFill>
          </w14:textFill>
        </w:rPr>
      </w:pPr>
    </w:p>
    <w:p>
      <w:pPr>
        <w:spacing w:line="440" w:lineRule="exact"/>
        <w:jc w:val="center"/>
        <w:rPr>
          <w:rFonts w:ascii="Tahoma" w:hAnsi="Tahoma" w:cs="Tahoma"/>
          <w:b/>
          <w:bCs/>
          <w:color w:val="000000" w:themeColor="text1"/>
          <w:sz w:val="32"/>
          <w:highlight w:val="none"/>
          <w14:textFill>
            <w14:solidFill>
              <w14:schemeClr w14:val="tx1"/>
            </w14:solidFill>
          </w14:textFill>
        </w:rPr>
      </w:pPr>
    </w:p>
    <w:p>
      <w:pPr>
        <w:spacing w:line="440" w:lineRule="exact"/>
        <w:jc w:val="center"/>
        <w:rPr>
          <w:rFonts w:ascii="Tahoma" w:hAnsi="Tahoma" w:cs="Tahoma"/>
          <w:b/>
          <w:bCs/>
          <w:color w:val="000000" w:themeColor="text1"/>
          <w:sz w:val="32"/>
          <w:highlight w:val="none"/>
          <w14:textFill>
            <w14:solidFill>
              <w14:schemeClr w14:val="tx1"/>
            </w14:solidFill>
          </w14:textFill>
        </w:rPr>
      </w:pPr>
    </w:p>
    <w:p>
      <w:pPr>
        <w:spacing w:line="440" w:lineRule="exact"/>
        <w:jc w:val="center"/>
        <w:rPr>
          <w:rFonts w:ascii="Tahoma" w:hAnsi="Tahoma" w:cs="Tahoma"/>
          <w:b/>
          <w:bCs/>
          <w:color w:val="000000" w:themeColor="text1"/>
          <w:sz w:val="32"/>
          <w:highlight w:val="none"/>
          <w14:textFill>
            <w14:solidFill>
              <w14:schemeClr w14:val="tx1"/>
            </w14:solidFill>
          </w14:textFill>
        </w:rPr>
      </w:pPr>
    </w:p>
    <w:p>
      <w:pPr>
        <w:spacing w:line="440" w:lineRule="exact"/>
        <w:jc w:val="center"/>
        <w:rPr>
          <w:rFonts w:ascii="Tahoma" w:hAnsi="Tahoma" w:cs="Tahoma"/>
          <w:color w:val="000000" w:themeColor="text1"/>
          <w:sz w:val="24"/>
          <w:highlight w:val="none"/>
          <w14:textFill>
            <w14:solidFill>
              <w14:schemeClr w14:val="tx1"/>
            </w14:solidFill>
          </w14:textFill>
        </w:rPr>
      </w:pPr>
    </w:p>
    <w:p>
      <w:pPr>
        <w:spacing w:line="440" w:lineRule="exact"/>
        <w:jc w:val="center"/>
        <w:rPr>
          <w:rFonts w:ascii="Tahoma" w:hAnsi="Tahoma" w:cs="Tahoma"/>
          <w:color w:val="000000" w:themeColor="text1"/>
          <w:sz w:val="24"/>
          <w:highlight w:val="none"/>
          <w14:textFill>
            <w14:solidFill>
              <w14:schemeClr w14:val="tx1"/>
            </w14:solidFill>
          </w14:textFill>
        </w:rPr>
      </w:pPr>
    </w:p>
    <w:p>
      <w:pPr>
        <w:spacing w:line="440" w:lineRule="exact"/>
        <w:jc w:val="center"/>
        <w:rPr>
          <w:rFonts w:ascii="Tahoma" w:hAnsi="Tahoma" w:cs="Tahoma"/>
          <w:color w:val="000000" w:themeColor="text1"/>
          <w:sz w:val="24"/>
          <w:highlight w:val="none"/>
          <w14:textFill>
            <w14:solidFill>
              <w14:schemeClr w14:val="tx1"/>
            </w14:solidFill>
          </w14:textFill>
        </w:rPr>
      </w:pPr>
    </w:p>
    <w:p>
      <w:pPr>
        <w:spacing w:line="440" w:lineRule="exact"/>
        <w:jc w:val="center"/>
        <w:rPr>
          <w:rFonts w:ascii="Tahoma" w:hAnsi="Tahoma" w:cs="Tahoma"/>
          <w:color w:val="000000" w:themeColor="text1"/>
          <w:sz w:val="24"/>
          <w:highlight w:val="none"/>
          <w14:textFill>
            <w14:solidFill>
              <w14:schemeClr w14:val="tx1"/>
            </w14:solidFill>
          </w14:textFill>
        </w:rPr>
      </w:pPr>
    </w:p>
    <w:p>
      <w:pPr>
        <w:spacing w:line="440" w:lineRule="exact"/>
        <w:jc w:val="center"/>
        <w:rPr>
          <w:rFonts w:ascii="Tahoma" w:hAnsi="Tahoma" w:cs="Tahoma"/>
          <w:color w:val="000000" w:themeColor="text1"/>
          <w:sz w:val="24"/>
          <w:highlight w:val="none"/>
          <w14:textFill>
            <w14:solidFill>
              <w14:schemeClr w14:val="tx1"/>
            </w14:solidFill>
          </w14:textFill>
        </w:rPr>
      </w:pPr>
    </w:p>
    <w:p>
      <w:pPr>
        <w:spacing w:line="440" w:lineRule="exact"/>
        <w:jc w:val="center"/>
        <w:rPr>
          <w:rFonts w:ascii="Tahoma" w:hAnsi="Tahoma" w:cs="Tahoma"/>
          <w:color w:val="000000" w:themeColor="text1"/>
          <w:sz w:val="24"/>
          <w:highlight w:val="none"/>
          <w14:textFill>
            <w14:solidFill>
              <w14:schemeClr w14:val="tx1"/>
            </w14:solidFill>
          </w14:textFill>
        </w:rPr>
      </w:pPr>
    </w:p>
    <w:p>
      <w:pPr>
        <w:spacing w:line="440" w:lineRule="exact"/>
        <w:jc w:val="center"/>
        <w:rPr>
          <w:rFonts w:ascii="Tahoma" w:hAnsi="Tahoma" w:cs="Tahoma"/>
          <w:color w:val="000000" w:themeColor="text1"/>
          <w:sz w:val="24"/>
          <w:highlight w:val="none"/>
          <w14:textFill>
            <w14:solidFill>
              <w14:schemeClr w14:val="tx1"/>
            </w14:solidFill>
          </w14:textFill>
        </w:rPr>
      </w:pPr>
    </w:p>
    <w:p>
      <w:pPr>
        <w:spacing w:line="440" w:lineRule="exact"/>
        <w:jc w:val="center"/>
        <w:rPr>
          <w:rFonts w:ascii="Tahoma" w:hAnsi="Tahoma" w:cs="Tahoma"/>
          <w:color w:val="000000" w:themeColor="text1"/>
          <w:sz w:val="24"/>
          <w:highlight w:val="none"/>
          <w14:textFill>
            <w14:solidFill>
              <w14:schemeClr w14:val="tx1"/>
            </w14:solidFill>
          </w14:textFill>
        </w:rPr>
      </w:pPr>
    </w:p>
    <w:p>
      <w:pPr>
        <w:spacing w:line="440" w:lineRule="exact"/>
        <w:jc w:val="center"/>
        <w:rPr>
          <w:rFonts w:ascii="Tahoma" w:hAnsi="Tahoma" w:cs="Tahoma"/>
          <w:color w:val="000000" w:themeColor="text1"/>
          <w:sz w:val="24"/>
          <w:highlight w:val="none"/>
          <w14:textFill>
            <w14:solidFill>
              <w14:schemeClr w14:val="tx1"/>
            </w14:solidFill>
          </w14:textFill>
        </w:rPr>
      </w:pPr>
    </w:p>
    <w:p>
      <w:pPr>
        <w:spacing w:line="440" w:lineRule="exact"/>
        <w:jc w:val="center"/>
        <w:rPr>
          <w:rFonts w:ascii="Tahoma" w:hAnsi="Tahoma" w:cs="Tahoma"/>
          <w:color w:val="000000" w:themeColor="text1"/>
          <w:sz w:val="24"/>
          <w:highlight w:val="none"/>
          <w14:textFill>
            <w14:solidFill>
              <w14:schemeClr w14:val="tx1"/>
            </w14:solidFill>
          </w14:textFill>
        </w:rPr>
      </w:pPr>
    </w:p>
    <w:p>
      <w:pPr>
        <w:spacing w:line="440" w:lineRule="exact"/>
        <w:jc w:val="center"/>
        <w:rPr>
          <w:rFonts w:ascii="Tahoma" w:hAnsi="Tahoma" w:cs="Tahoma"/>
          <w:color w:val="000000" w:themeColor="text1"/>
          <w:sz w:val="24"/>
          <w:highlight w:val="none"/>
          <w14:textFill>
            <w14:solidFill>
              <w14:schemeClr w14:val="tx1"/>
            </w14:solidFill>
          </w14:textFill>
        </w:rPr>
      </w:pPr>
    </w:p>
    <w:p>
      <w:pPr>
        <w:spacing w:line="440" w:lineRule="exact"/>
        <w:jc w:val="center"/>
        <w:rPr>
          <w:rFonts w:ascii="Tahoma" w:hAnsi="Tahoma" w:cs="Tahoma"/>
          <w:color w:val="000000" w:themeColor="text1"/>
          <w:sz w:val="24"/>
          <w:highlight w:val="none"/>
          <w14:textFill>
            <w14:solidFill>
              <w14:schemeClr w14:val="tx1"/>
            </w14:solidFill>
          </w14:textFill>
        </w:rPr>
      </w:pPr>
    </w:p>
    <w:p>
      <w:pPr>
        <w:spacing w:line="360" w:lineRule="auto"/>
        <w:jc w:val="center"/>
        <w:rPr>
          <w:rFonts w:ascii="Tahoma" w:hAnsi="Tahoma" w:cs="Tahoma"/>
          <w:color w:val="000000" w:themeColor="text1"/>
          <w:sz w:val="24"/>
          <w:highlight w:val="none"/>
          <w14:textFill>
            <w14:solidFill>
              <w14:schemeClr w14:val="tx1"/>
            </w14:solidFill>
          </w14:textFill>
        </w:rPr>
      </w:pPr>
      <w:r>
        <w:rPr>
          <w:rFonts w:ascii="Tahoma" w:hAnsi="Tahoma" w:cs="Tahoma"/>
          <w:color w:val="000000" w:themeColor="text1"/>
          <w:sz w:val="24"/>
          <w:highlight w:val="non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投标供应商代表签字：</w:t>
      </w:r>
    </w:p>
    <w:p>
      <w:pPr>
        <w:spacing w:line="440" w:lineRule="exact"/>
        <w:jc w:val="center"/>
        <w:rPr>
          <w:rFonts w:ascii="Tahoma" w:hAnsi="Tahoma" w:cs="Tahoma"/>
          <w:b/>
          <w:bCs/>
          <w:color w:val="000000" w:themeColor="text1"/>
          <w:sz w:val="32"/>
          <w:highlight w:val="none"/>
          <w14:textFill>
            <w14:solidFill>
              <w14:schemeClr w14:val="tx1"/>
            </w14:solidFill>
          </w14:textFill>
        </w:rPr>
      </w:pPr>
    </w:p>
    <w:p>
      <w:pPr>
        <w:spacing w:line="440" w:lineRule="exact"/>
        <w:jc w:val="center"/>
        <w:rPr>
          <w:rFonts w:ascii="Tahoma" w:hAnsi="Tahoma" w:cs="Tahoma"/>
          <w:b/>
          <w:bCs/>
          <w:color w:val="000000" w:themeColor="text1"/>
          <w:sz w:val="32"/>
          <w:highlight w:val="none"/>
          <w14:textFill>
            <w14:solidFill>
              <w14:schemeClr w14:val="tx1"/>
            </w14:solidFill>
          </w14:textFill>
        </w:rPr>
      </w:pPr>
    </w:p>
    <w:p>
      <w:pPr>
        <w:spacing w:line="440" w:lineRule="exact"/>
        <w:jc w:val="center"/>
        <w:rPr>
          <w:rFonts w:ascii="Tahoma" w:hAnsi="Tahoma" w:cs="Tahoma"/>
          <w:b/>
          <w:bCs/>
          <w:color w:val="000000" w:themeColor="text1"/>
          <w:sz w:val="32"/>
          <w:highlight w:val="none"/>
          <w14:textFill>
            <w14:solidFill>
              <w14:schemeClr w14:val="tx1"/>
            </w14:solidFill>
          </w14:textFill>
        </w:rPr>
      </w:pPr>
    </w:p>
    <w:p>
      <w:pPr>
        <w:spacing w:line="360" w:lineRule="auto"/>
        <w:jc w:val="center"/>
        <w:rPr>
          <w:rFonts w:ascii="Tahoma" w:hAnsi="Tahoma" w:eastAsia="黑体" w:cs="Tahoma"/>
          <w:b/>
          <w:bCs/>
          <w:color w:val="000000" w:themeColor="text1"/>
          <w:sz w:val="28"/>
          <w:szCs w:val="28"/>
          <w:highlight w:val="none"/>
          <w14:textFill>
            <w14:solidFill>
              <w14:schemeClr w14:val="tx1"/>
            </w14:solidFill>
          </w14:textFill>
        </w:rPr>
      </w:pPr>
      <w:r>
        <w:rPr>
          <w:rFonts w:ascii="Tahoma" w:hAnsi="Tahoma" w:eastAsia="黑体" w:cs="Tahoma"/>
          <w:b/>
          <w:bCs/>
          <w:color w:val="000000" w:themeColor="text1"/>
          <w:sz w:val="28"/>
          <w:szCs w:val="28"/>
          <w:highlight w:val="none"/>
          <w14:textFill>
            <w14:solidFill>
              <w14:schemeClr w14:val="tx1"/>
            </w14:solidFill>
          </w14:textFill>
        </w:rPr>
        <w:t>（八）、投标供应商应提交的其它资料</w:t>
      </w:r>
    </w:p>
    <w:p>
      <w:pPr>
        <w:spacing w:line="400" w:lineRule="exact"/>
        <w:rPr>
          <w:rFonts w:ascii="Tahoma" w:hAnsi="Tahoma" w:cs="Tahoma"/>
          <w:color w:val="000000" w:themeColor="text1"/>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（1）货物（或产品）质量检验等；</w:t>
      </w:r>
    </w:p>
    <w:p>
      <w:pPr>
        <w:spacing w:line="40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w:t>
      </w:r>
      <w:r>
        <w:rPr>
          <w:rFonts w:hint="eastAsia" w:ascii="Tahoma" w:hAnsi="Tahoma" w:cs="Tahoma"/>
          <w:color w:val="000000" w:themeColor="text1"/>
          <w:szCs w:val="21"/>
          <w:highlight w:val="none"/>
          <w14:textFill>
            <w14:solidFill>
              <w14:schemeClr w14:val="tx1"/>
            </w14:solidFill>
          </w14:textFill>
        </w:rPr>
        <w:t>2</w:t>
      </w:r>
      <w:r>
        <w:rPr>
          <w:rFonts w:ascii="Tahoma" w:hAnsi="Tahoma" w:cs="Tahoma"/>
          <w:color w:val="000000" w:themeColor="text1"/>
          <w:szCs w:val="21"/>
          <w:highlight w:val="none"/>
          <w14:textFill>
            <w14:solidFill>
              <w14:schemeClr w14:val="tx1"/>
            </w14:solidFill>
          </w14:textFill>
        </w:rPr>
        <w:t>）投标供应商认为需提交的其他资料。</w:t>
      </w:r>
    </w:p>
    <w:p>
      <w:pPr>
        <w:spacing w:line="400" w:lineRule="exact"/>
        <w:rPr>
          <w:rFonts w:ascii="Tahoma" w:hAnsi="Tahoma" w:cs="Tahoma"/>
          <w:color w:val="000000" w:themeColor="text1"/>
          <w:sz w:val="24"/>
          <w:highlight w:val="none"/>
          <w14:textFill>
            <w14:solidFill>
              <w14:schemeClr w14:val="tx1"/>
            </w14:solidFill>
          </w14:textFill>
        </w:rPr>
      </w:pPr>
    </w:p>
    <w:p>
      <w:pPr>
        <w:spacing w:line="400" w:lineRule="exact"/>
        <w:jc w:val="center"/>
        <w:rPr>
          <w:rFonts w:ascii="Tahoma" w:hAnsi="Tahoma" w:eastAsia="黑体" w:cs="Tahoma"/>
          <w:b/>
          <w:color w:val="000000" w:themeColor="text1"/>
          <w:sz w:val="24"/>
          <w:highlight w:val="none"/>
          <w14:textFill>
            <w14:solidFill>
              <w14:schemeClr w14:val="tx1"/>
            </w14:solidFill>
          </w14:textFill>
        </w:rPr>
      </w:pPr>
      <w:r>
        <w:rPr>
          <w:rFonts w:ascii="Tahoma" w:hAnsi="Tahoma" w:eastAsia="黑体" w:cs="Tahoma"/>
          <w:b/>
          <w:color w:val="000000" w:themeColor="text1"/>
          <w:sz w:val="24"/>
          <w:highlight w:val="none"/>
          <w14:textFill>
            <w14:solidFill>
              <w14:schemeClr w14:val="tx1"/>
            </w14:solidFill>
          </w14:textFill>
        </w:rPr>
        <w:t>最近三年同类项目业绩表</w:t>
      </w:r>
    </w:p>
    <w:tbl>
      <w:tblPr>
        <w:tblStyle w:val="2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092"/>
        <w:gridCol w:w="1843"/>
        <w:gridCol w:w="1465"/>
        <w:gridCol w:w="1370"/>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88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eastAsia="黑体" w:cs="Tahoma"/>
                <w:color w:val="000000" w:themeColor="text1"/>
                <w:szCs w:val="21"/>
                <w:highlight w:val="none"/>
                <w14:textFill>
                  <w14:solidFill>
                    <w14:schemeClr w14:val="tx1"/>
                  </w14:solidFill>
                </w14:textFill>
              </w:rPr>
            </w:pPr>
            <w:r>
              <w:rPr>
                <w:rFonts w:ascii="Tahoma" w:hAnsi="Tahoma" w:eastAsia="黑体" w:cs="Tahoma"/>
                <w:color w:val="000000" w:themeColor="text1"/>
                <w:szCs w:val="21"/>
                <w:highlight w:val="none"/>
                <w14:textFill>
                  <w14:solidFill>
                    <w14:schemeClr w14:val="tx1"/>
                  </w14:solidFill>
                </w14:textFill>
              </w:rPr>
              <w:t>序号</w:t>
            </w:r>
          </w:p>
        </w:tc>
        <w:tc>
          <w:tcPr>
            <w:tcW w:w="209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eastAsia="黑体" w:cs="Tahoma"/>
                <w:color w:val="000000" w:themeColor="text1"/>
                <w:szCs w:val="21"/>
                <w:highlight w:val="none"/>
                <w14:textFill>
                  <w14:solidFill>
                    <w14:schemeClr w14:val="tx1"/>
                  </w14:solidFill>
                </w14:textFill>
              </w:rPr>
            </w:pPr>
            <w:r>
              <w:rPr>
                <w:rFonts w:ascii="Tahoma" w:hAnsi="Tahoma" w:eastAsia="黑体" w:cs="Tahoma"/>
                <w:color w:val="000000" w:themeColor="text1"/>
                <w:szCs w:val="21"/>
                <w:highlight w:val="none"/>
                <w14:textFill>
                  <w14:solidFill>
                    <w14:schemeClr w14:val="tx1"/>
                  </w14:solidFill>
                </w14:textFill>
              </w:rPr>
              <w:t>采购人及联系方式</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eastAsia="黑体" w:cs="Tahoma"/>
                <w:color w:val="000000" w:themeColor="text1"/>
                <w:szCs w:val="21"/>
                <w:highlight w:val="none"/>
                <w14:textFill>
                  <w14:solidFill>
                    <w14:schemeClr w14:val="tx1"/>
                  </w14:solidFill>
                </w14:textFill>
              </w:rPr>
            </w:pPr>
            <w:r>
              <w:rPr>
                <w:rFonts w:ascii="Tahoma" w:hAnsi="Tahoma" w:eastAsia="黑体" w:cs="Tahoma"/>
                <w:color w:val="000000" w:themeColor="text1"/>
                <w:szCs w:val="21"/>
                <w:highlight w:val="none"/>
                <w14:textFill>
                  <w14:solidFill>
                    <w14:schemeClr w14:val="tx1"/>
                  </w14:solidFill>
                </w14:textFill>
              </w:rPr>
              <w:t>货物名称、规格</w:t>
            </w:r>
          </w:p>
        </w:tc>
        <w:tc>
          <w:tcPr>
            <w:tcW w:w="146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eastAsia="黑体" w:cs="Tahoma"/>
                <w:color w:val="000000" w:themeColor="text1"/>
                <w:szCs w:val="21"/>
                <w:highlight w:val="none"/>
                <w14:textFill>
                  <w14:solidFill>
                    <w14:schemeClr w14:val="tx1"/>
                  </w14:solidFill>
                </w14:textFill>
              </w:rPr>
            </w:pPr>
            <w:r>
              <w:rPr>
                <w:rFonts w:ascii="Tahoma" w:hAnsi="Tahoma" w:eastAsia="黑体" w:cs="Tahoma"/>
                <w:color w:val="000000" w:themeColor="text1"/>
                <w:szCs w:val="21"/>
                <w:highlight w:val="none"/>
                <w14:textFill>
                  <w14:solidFill>
                    <w14:schemeClr w14:val="tx1"/>
                  </w14:solidFill>
                </w14:textFill>
              </w:rPr>
              <w:t>合同金额</w:t>
            </w:r>
          </w:p>
        </w:tc>
        <w:tc>
          <w:tcPr>
            <w:tcW w:w="137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eastAsia="黑体" w:cs="Tahoma"/>
                <w:color w:val="000000" w:themeColor="text1"/>
                <w:szCs w:val="21"/>
                <w:highlight w:val="none"/>
                <w14:textFill>
                  <w14:solidFill>
                    <w14:schemeClr w14:val="tx1"/>
                  </w14:solidFill>
                </w14:textFill>
              </w:rPr>
            </w:pPr>
            <w:r>
              <w:rPr>
                <w:rFonts w:ascii="Tahoma" w:hAnsi="Tahoma" w:eastAsia="黑体" w:cs="Tahoma"/>
                <w:color w:val="000000" w:themeColor="text1"/>
                <w:szCs w:val="21"/>
                <w:highlight w:val="none"/>
                <w14:textFill>
                  <w14:solidFill>
                    <w14:schemeClr w14:val="tx1"/>
                  </w14:solidFill>
                </w14:textFill>
              </w:rPr>
              <w:t>运行状况</w:t>
            </w:r>
          </w:p>
        </w:tc>
        <w:tc>
          <w:tcPr>
            <w:tcW w:w="255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eastAsia="黑体" w:cs="Tahoma"/>
                <w:color w:val="000000" w:themeColor="text1"/>
                <w:szCs w:val="21"/>
                <w:highlight w:val="none"/>
                <w14:textFill>
                  <w14:solidFill>
                    <w14:schemeClr w14:val="tx1"/>
                  </w14:solidFill>
                </w14:textFill>
              </w:rPr>
            </w:pPr>
            <w:r>
              <w:rPr>
                <w:rFonts w:ascii="Tahoma" w:hAnsi="Tahoma" w:eastAsia="黑体" w:cs="Tahoma"/>
                <w:color w:val="000000" w:themeColor="text1"/>
                <w:szCs w:val="21"/>
                <w:highlight w:val="none"/>
                <w14:textFill>
                  <w14:solidFill>
                    <w14:schemeClr w14:val="tx1"/>
                  </w14:solidFill>
                </w14:textFill>
              </w:rPr>
              <w:t>履约情况、采购人评价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885" w:type="dxa"/>
            <w:tcBorders>
              <w:top w:val="single" w:color="auto" w:sz="4" w:space="0"/>
              <w:left w:val="single" w:color="auto" w:sz="4" w:space="0"/>
              <w:bottom w:val="single" w:color="auto" w:sz="4" w:space="0"/>
              <w:right w:val="single" w:color="auto" w:sz="4" w:space="0"/>
            </w:tcBorders>
          </w:tcPr>
          <w:p>
            <w:pPr>
              <w:spacing w:line="380" w:lineRule="exact"/>
              <w:jc w:val="cente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w:t>
            </w:r>
          </w:p>
        </w:tc>
        <w:tc>
          <w:tcPr>
            <w:tcW w:w="2092" w:type="dxa"/>
            <w:tcBorders>
              <w:top w:val="single" w:color="auto" w:sz="4" w:space="0"/>
              <w:left w:val="single" w:color="auto" w:sz="4" w:space="0"/>
              <w:bottom w:val="single" w:color="auto" w:sz="4" w:space="0"/>
              <w:right w:val="single" w:color="auto" w:sz="4" w:space="0"/>
            </w:tcBorders>
          </w:tcPr>
          <w:p>
            <w:pPr>
              <w:spacing w:line="380" w:lineRule="exact"/>
              <w:rPr>
                <w:rFonts w:ascii="Tahoma" w:hAnsi="Tahoma" w:cs="Tahoma"/>
                <w:color w:val="000000" w:themeColor="text1"/>
                <w:szCs w:val="21"/>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tcPr>
          <w:p>
            <w:pPr>
              <w:spacing w:line="380" w:lineRule="exact"/>
              <w:rPr>
                <w:rFonts w:ascii="Tahoma" w:hAnsi="Tahoma" w:cs="Tahoma"/>
                <w:color w:val="000000" w:themeColor="text1"/>
                <w:szCs w:val="21"/>
                <w:highlight w:val="none"/>
                <w14:textFill>
                  <w14:solidFill>
                    <w14:schemeClr w14:val="tx1"/>
                  </w14:solidFill>
                </w14:textFill>
              </w:rPr>
            </w:pPr>
          </w:p>
        </w:tc>
        <w:tc>
          <w:tcPr>
            <w:tcW w:w="1465" w:type="dxa"/>
            <w:tcBorders>
              <w:top w:val="single" w:color="auto" w:sz="4" w:space="0"/>
              <w:left w:val="single" w:color="auto" w:sz="4" w:space="0"/>
              <w:bottom w:val="single" w:color="auto" w:sz="4" w:space="0"/>
              <w:right w:val="single" w:color="auto" w:sz="4" w:space="0"/>
            </w:tcBorders>
          </w:tcPr>
          <w:p>
            <w:pPr>
              <w:spacing w:line="380" w:lineRule="exact"/>
              <w:rPr>
                <w:rFonts w:ascii="Tahoma" w:hAnsi="Tahoma" w:cs="Tahoma"/>
                <w:color w:val="000000" w:themeColor="text1"/>
                <w:szCs w:val="21"/>
                <w:highlight w:val="none"/>
                <w14:textFill>
                  <w14:solidFill>
                    <w14:schemeClr w14:val="tx1"/>
                  </w14:solidFill>
                </w14:textFill>
              </w:rPr>
            </w:pPr>
          </w:p>
        </w:tc>
        <w:tc>
          <w:tcPr>
            <w:tcW w:w="1370" w:type="dxa"/>
            <w:tcBorders>
              <w:top w:val="single" w:color="auto" w:sz="4" w:space="0"/>
              <w:left w:val="single" w:color="auto" w:sz="4" w:space="0"/>
              <w:bottom w:val="single" w:color="auto" w:sz="4" w:space="0"/>
              <w:right w:val="single" w:color="auto" w:sz="4" w:space="0"/>
            </w:tcBorders>
          </w:tcPr>
          <w:p>
            <w:pPr>
              <w:spacing w:line="380" w:lineRule="exact"/>
              <w:rPr>
                <w:rFonts w:ascii="Tahoma" w:hAnsi="Tahoma" w:cs="Tahoma"/>
                <w:color w:val="000000" w:themeColor="text1"/>
                <w:szCs w:val="21"/>
                <w:highlight w:val="none"/>
                <w14:textFill>
                  <w14:solidFill>
                    <w14:schemeClr w14:val="tx1"/>
                  </w14:solidFill>
                </w14:textFill>
              </w:rPr>
            </w:pPr>
          </w:p>
        </w:tc>
        <w:tc>
          <w:tcPr>
            <w:tcW w:w="2551" w:type="dxa"/>
            <w:tcBorders>
              <w:top w:val="single" w:color="auto" w:sz="4" w:space="0"/>
              <w:left w:val="single" w:color="auto" w:sz="4" w:space="0"/>
              <w:bottom w:val="single" w:color="auto" w:sz="4" w:space="0"/>
              <w:right w:val="single" w:color="auto" w:sz="4" w:space="0"/>
            </w:tcBorders>
          </w:tcPr>
          <w:p>
            <w:pPr>
              <w:spacing w:line="380" w:lineRule="exact"/>
              <w:rPr>
                <w:rFonts w:ascii="Tahoma" w:hAnsi="Tahoma" w:cs="Tahom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885" w:type="dxa"/>
            <w:tcBorders>
              <w:top w:val="single" w:color="auto" w:sz="4" w:space="0"/>
              <w:left w:val="single" w:color="auto" w:sz="4" w:space="0"/>
              <w:bottom w:val="single" w:color="auto" w:sz="4" w:space="0"/>
              <w:right w:val="single" w:color="auto" w:sz="4" w:space="0"/>
            </w:tcBorders>
          </w:tcPr>
          <w:p>
            <w:pPr>
              <w:spacing w:line="380" w:lineRule="exact"/>
              <w:jc w:val="cente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2</w:t>
            </w:r>
          </w:p>
        </w:tc>
        <w:tc>
          <w:tcPr>
            <w:tcW w:w="2092" w:type="dxa"/>
            <w:tcBorders>
              <w:top w:val="single" w:color="auto" w:sz="4" w:space="0"/>
              <w:left w:val="single" w:color="auto" w:sz="4" w:space="0"/>
              <w:bottom w:val="single" w:color="auto" w:sz="4" w:space="0"/>
              <w:right w:val="single" w:color="auto" w:sz="4" w:space="0"/>
            </w:tcBorders>
          </w:tcPr>
          <w:p>
            <w:pPr>
              <w:spacing w:line="380" w:lineRule="exact"/>
              <w:rPr>
                <w:rFonts w:ascii="Tahoma" w:hAnsi="Tahoma" w:cs="Tahoma"/>
                <w:color w:val="000000" w:themeColor="text1"/>
                <w:szCs w:val="21"/>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tcPr>
          <w:p>
            <w:pPr>
              <w:spacing w:line="380" w:lineRule="exact"/>
              <w:rPr>
                <w:rFonts w:ascii="Tahoma" w:hAnsi="Tahoma" w:cs="Tahoma"/>
                <w:color w:val="000000" w:themeColor="text1"/>
                <w:szCs w:val="21"/>
                <w:highlight w:val="none"/>
                <w14:textFill>
                  <w14:solidFill>
                    <w14:schemeClr w14:val="tx1"/>
                  </w14:solidFill>
                </w14:textFill>
              </w:rPr>
            </w:pPr>
          </w:p>
        </w:tc>
        <w:tc>
          <w:tcPr>
            <w:tcW w:w="1465" w:type="dxa"/>
            <w:tcBorders>
              <w:top w:val="single" w:color="auto" w:sz="4" w:space="0"/>
              <w:left w:val="single" w:color="auto" w:sz="4" w:space="0"/>
              <w:bottom w:val="single" w:color="auto" w:sz="4" w:space="0"/>
              <w:right w:val="single" w:color="auto" w:sz="4" w:space="0"/>
            </w:tcBorders>
          </w:tcPr>
          <w:p>
            <w:pPr>
              <w:spacing w:line="380" w:lineRule="exact"/>
              <w:rPr>
                <w:rFonts w:ascii="Tahoma" w:hAnsi="Tahoma" w:cs="Tahoma"/>
                <w:color w:val="000000" w:themeColor="text1"/>
                <w:szCs w:val="21"/>
                <w:highlight w:val="none"/>
                <w14:textFill>
                  <w14:solidFill>
                    <w14:schemeClr w14:val="tx1"/>
                  </w14:solidFill>
                </w14:textFill>
              </w:rPr>
            </w:pPr>
          </w:p>
        </w:tc>
        <w:tc>
          <w:tcPr>
            <w:tcW w:w="1370" w:type="dxa"/>
            <w:tcBorders>
              <w:top w:val="single" w:color="auto" w:sz="4" w:space="0"/>
              <w:left w:val="single" w:color="auto" w:sz="4" w:space="0"/>
              <w:bottom w:val="single" w:color="auto" w:sz="4" w:space="0"/>
              <w:right w:val="single" w:color="auto" w:sz="4" w:space="0"/>
            </w:tcBorders>
          </w:tcPr>
          <w:p>
            <w:pPr>
              <w:spacing w:line="380" w:lineRule="exact"/>
              <w:rPr>
                <w:rFonts w:ascii="Tahoma" w:hAnsi="Tahoma" w:cs="Tahoma"/>
                <w:color w:val="000000" w:themeColor="text1"/>
                <w:szCs w:val="21"/>
                <w:highlight w:val="none"/>
                <w14:textFill>
                  <w14:solidFill>
                    <w14:schemeClr w14:val="tx1"/>
                  </w14:solidFill>
                </w14:textFill>
              </w:rPr>
            </w:pPr>
          </w:p>
        </w:tc>
        <w:tc>
          <w:tcPr>
            <w:tcW w:w="2551" w:type="dxa"/>
            <w:tcBorders>
              <w:top w:val="single" w:color="auto" w:sz="4" w:space="0"/>
              <w:left w:val="single" w:color="auto" w:sz="4" w:space="0"/>
              <w:bottom w:val="single" w:color="auto" w:sz="4" w:space="0"/>
              <w:right w:val="single" w:color="auto" w:sz="4" w:space="0"/>
            </w:tcBorders>
          </w:tcPr>
          <w:p>
            <w:pPr>
              <w:spacing w:line="380" w:lineRule="exact"/>
              <w:rPr>
                <w:rFonts w:ascii="Tahoma" w:hAnsi="Tahoma" w:cs="Tahom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885" w:type="dxa"/>
            <w:tcBorders>
              <w:top w:val="single" w:color="auto" w:sz="4" w:space="0"/>
              <w:left w:val="single" w:color="auto" w:sz="4" w:space="0"/>
              <w:bottom w:val="single" w:color="auto" w:sz="4" w:space="0"/>
              <w:right w:val="single" w:color="auto" w:sz="4" w:space="0"/>
            </w:tcBorders>
          </w:tcPr>
          <w:p>
            <w:pPr>
              <w:spacing w:line="380" w:lineRule="exact"/>
              <w:jc w:val="cente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3</w:t>
            </w:r>
          </w:p>
        </w:tc>
        <w:tc>
          <w:tcPr>
            <w:tcW w:w="2092" w:type="dxa"/>
            <w:tcBorders>
              <w:top w:val="single" w:color="auto" w:sz="4" w:space="0"/>
              <w:left w:val="single" w:color="auto" w:sz="4" w:space="0"/>
              <w:bottom w:val="single" w:color="auto" w:sz="4" w:space="0"/>
              <w:right w:val="single" w:color="auto" w:sz="4" w:space="0"/>
            </w:tcBorders>
          </w:tcPr>
          <w:p>
            <w:pPr>
              <w:spacing w:line="380" w:lineRule="exact"/>
              <w:rPr>
                <w:rFonts w:ascii="Tahoma" w:hAnsi="Tahoma" w:cs="Tahoma"/>
                <w:color w:val="000000" w:themeColor="text1"/>
                <w:szCs w:val="21"/>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tcPr>
          <w:p>
            <w:pPr>
              <w:spacing w:line="380" w:lineRule="exact"/>
              <w:rPr>
                <w:rFonts w:ascii="Tahoma" w:hAnsi="Tahoma" w:cs="Tahoma"/>
                <w:color w:val="000000" w:themeColor="text1"/>
                <w:szCs w:val="21"/>
                <w:highlight w:val="none"/>
                <w14:textFill>
                  <w14:solidFill>
                    <w14:schemeClr w14:val="tx1"/>
                  </w14:solidFill>
                </w14:textFill>
              </w:rPr>
            </w:pPr>
          </w:p>
        </w:tc>
        <w:tc>
          <w:tcPr>
            <w:tcW w:w="1465" w:type="dxa"/>
            <w:tcBorders>
              <w:top w:val="single" w:color="auto" w:sz="4" w:space="0"/>
              <w:left w:val="single" w:color="auto" w:sz="4" w:space="0"/>
              <w:bottom w:val="single" w:color="auto" w:sz="4" w:space="0"/>
              <w:right w:val="single" w:color="auto" w:sz="4" w:space="0"/>
            </w:tcBorders>
          </w:tcPr>
          <w:p>
            <w:pPr>
              <w:spacing w:line="380" w:lineRule="exact"/>
              <w:rPr>
                <w:rFonts w:ascii="Tahoma" w:hAnsi="Tahoma" w:cs="Tahoma"/>
                <w:color w:val="000000" w:themeColor="text1"/>
                <w:szCs w:val="21"/>
                <w:highlight w:val="none"/>
                <w14:textFill>
                  <w14:solidFill>
                    <w14:schemeClr w14:val="tx1"/>
                  </w14:solidFill>
                </w14:textFill>
              </w:rPr>
            </w:pPr>
          </w:p>
        </w:tc>
        <w:tc>
          <w:tcPr>
            <w:tcW w:w="1370" w:type="dxa"/>
            <w:tcBorders>
              <w:top w:val="single" w:color="auto" w:sz="4" w:space="0"/>
              <w:left w:val="single" w:color="auto" w:sz="4" w:space="0"/>
              <w:bottom w:val="single" w:color="auto" w:sz="4" w:space="0"/>
              <w:right w:val="single" w:color="auto" w:sz="4" w:space="0"/>
            </w:tcBorders>
          </w:tcPr>
          <w:p>
            <w:pPr>
              <w:spacing w:line="380" w:lineRule="exact"/>
              <w:rPr>
                <w:rFonts w:ascii="Tahoma" w:hAnsi="Tahoma" w:cs="Tahoma"/>
                <w:color w:val="000000" w:themeColor="text1"/>
                <w:szCs w:val="21"/>
                <w:highlight w:val="none"/>
                <w14:textFill>
                  <w14:solidFill>
                    <w14:schemeClr w14:val="tx1"/>
                  </w14:solidFill>
                </w14:textFill>
              </w:rPr>
            </w:pPr>
          </w:p>
        </w:tc>
        <w:tc>
          <w:tcPr>
            <w:tcW w:w="2551" w:type="dxa"/>
            <w:tcBorders>
              <w:top w:val="single" w:color="auto" w:sz="4" w:space="0"/>
              <w:left w:val="single" w:color="auto" w:sz="4" w:space="0"/>
              <w:bottom w:val="single" w:color="auto" w:sz="4" w:space="0"/>
              <w:right w:val="single" w:color="auto" w:sz="4" w:space="0"/>
            </w:tcBorders>
          </w:tcPr>
          <w:p>
            <w:pPr>
              <w:spacing w:line="380" w:lineRule="exact"/>
              <w:rPr>
                <w:rFonts w:ascii="Tahoma" w:hAnsi="Tahoma" w:cs="Tahom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885" w:type="dxa"/>
            <w:tcBorders>
              <w:top w:val="single" w:color="auto" w:sz="4" w:space="0"/>
              <w:left w:val="single" w:color="auto" w:sz="4" w:space="0"/>
              <w:bottom w:val="single" w:color="auto" w:sz="4" w:space="0"/>
              <w:right w:val="single" w:color="auto" w:sz="4" w:space="0"/>
            </w:tcBorders>
          </w:tcPr>
          <w:p>
            <w:pPr>
              <w:spacing w:line="380" w:lineRule="exact"/>
              <w:jc w:val="cente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4</w:t>
            </w:r>
          </w:p>
        </w:tc>
        <w:tc>
          <w:tcPr>
            <w:tcW w:w="2092" w:type="dxa"/>
            <w:tcBorders>
              <w:top w:val="single" w:color="auto" w:sz="4" w:space="0"/>
              <w:left w:val="single" w:color="auto" w:sz="4" w:space="0"/>
              <w:bottom w:val="single" w:color="auto" w:sz="4" w:space="0"/>
              <w:right w:val="single" w:color="auto" w:sz="4" w:space="0"/>
            </w:tcBorders>
          </w:tcPr>
          <w:p>
            <w:pPr>
              <w:spacing w:line="380" w:lineRule="exact"/>
              <w:rPr>
                <w:rFonts w:ascii="Tahoma" w:hAnsi="Tahoma" w:cs="Tahoma"/>
                <w:color w:val="000000" w:themeColor="text1"/>
                <w:szCs w:val="21"/>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tcPr>
          <w:p>
            <w:pPr>
              <w:spacing w:line="380" w:lineRule="exact"/>
              <w:rPr>
                <w:rFonts w:ascii="Tahoma" w:hAnsi="Tahoma" w:cs="Tahoma"/>
                <w:color w:val="000000" w:themeColor="text1"/>
                <w:szCs w:val="21"/>
                <w:highlight w:val="none"/>
                <w14:textFill>
                  <w14:solidFill>
                    <w14:schemeClr w14:val="tx1"/>
                  </w14:solidFill>
                </w14:textFill>
              </w:rPr>
            </w:pPr>
          </w:p>
        </w:tc>
        <w:tc>
          <w:tcPr>
            <w:tcW w:w="1465" w:type="dxa"/>
            <w:tcBorders>
              <w:top w:val="single" w:color="auto" w:sz="4" w:space="0"/>
              <w:left w:val="single" w:color="auto" w:sz="4" w:space="0"/>
              <w:bottom w:val="single" w:color="auto" w:sz="4" w:space="0"/>
              <w:right w:val="single" w:color="auto" w:sz="4" w:space="0"/>
            </w:tcBorders>
          </w:tcPr>
          <w:p>
            <w:pPr>
              <w:spacing w:line="380" w:lineRule="exact"/>
              <w:rPr>
                <w:rFonts w:ascii="Tahoma" w:hAnsi="Tahoma" w:cs="Tahoma"/>
                <w:color w:val="000000" w:themeColor="text1"/>
                <w:szCs w:val="21"/>
                <w:highlight w:val="none"/>
                <w14:textFill>
                  <w14:solidFill>
                    <w14:schemeClr w14:val="tx1"/>
                  </w14:solidFill>
                </w14:textFill>
              </w:rPr>
            </w:pPr>
          </w:p>
        </w:tc>
        <w:tc>
          <w:tcPr>
            <w:tcW w:w="1370" w:type="dxa"/>
            <w:tcBorders>
              <w:top w:val="single" w:color="auto" w:sz="4" w:space="0"/>
              <w:left w:val="single" w:color="auto" w:sz="4" w:space="0"/>
              <w:bottom w:val="single" w:color="auto" w:sz="4" w:space="0"/>
              <w:right w:val="single" w:color="auto" w:sz="4" w:space="0"/>
            </w:tcBorders>
          </w:tcPr>
          <w:p>
            <w:pPr>
              <w:spacing w:line="380" w:lineRule="exact"/>
              <w:rPr>
                <w:rFonts w:ascii="Tahoma" w:hAnsi="Tahoma" w:cs="Tahoma"/>
                <w:color w:val="000000" w:themeColor="text1"/>
                <w:szCs w:val="21"/>
                <w:highlight w:val="none"/>
                <w14:textFill>
                  <w14:solidFill>
                    <w14:schemeClr w14:val="tx1"/>
                  </w14:solidFill>
                </w14:textFill>
              </w:rPr>
            </w:pPr>
          </w:p>
        </w:tc>
        <w:tc>
          <w:tcPr>
            <w:tcW w:w="2551" w:type="dxa"/>
            <w:tcBorders>
              <w:top w:val="single" w:color="auto" w:sz="4" w:space="0"/>
              <w:left w:val="single" w:color="auto" w:sz="4" w:space="0"/>
              <w:bottom w:val="single" w:color="auto" w:sz="4" w:space="0"/>
              <w:right w:val="single" w:color="auto" w:sz="4" w:space="0"/>
            </w:tcBorders>
          </w:tcPr>
          <w:p>
            <w:pPr>
              <w:spacing w:line="380" w:lineRule="exact"/>
              <w:rPr>
                <w:rFonts w:ascii="Tahoma" w:hAnsi="Tahoma" w:cs="Tahom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885" w:type="dxa"/>
            <w:tcBorders>
              <w:top w:val="single" w:color="auto" w:sz="4" w:space="0"/>
              <w:left w:val="single" w:color="auto" w:sz="4" w:space="0"/>
              <w:bottom w:val="single" w:color="auto" w:sz="4" w:space="0"/>
              <w:right w:val="single" w:color="auto" w:sz="4" w:space="0"/>
            </w:tcBorders>
          </w:tcPr>
          <w:p>
            <w:pPr>
              <w:spacing w:line="380" w:lineRule="exact"/>
              <w:jc w:val="cente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5</w:t>
            </w:r>
          </w:p>
        </w:tc>
        <w:tc>
          <w:tcPr>
            <w:tcW w:w="2092" w:type="dxa"/>
            <w:tcBorders>
              <w:top w:val="single" w:color="auto" w:sz="4" w:space="0"/>
              <w:left w:val="single" w:color="auto" w:sz="4" w:space="0"/>
              <w:bottom w:val="single" w:color="auto" w:sz="4" w:space="0"/>
              <w:right w:val="single" w:color="auto" w:sz="4" w:space="0"/>
            </w:tcBorders>
          </w:tcPr>
          <w:p>
            <w:pPr>
              <w:spacing w:line="380" w:lineRule="exact"/>
              <w:rPr>
                <w:rFonts w:ascii="Tahoma" w:hAnsi="Tahoma" w:cs="Tahoma"/>
                <w:color w:val="000000" w:themeColor="text1"/>
                <w:szCs w:val="21"/>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tcPr>
          <w:p>
            <w:pPr>
              <w:spacing w:line="380" w:lineRule="exact"/>
              <w:rPr>
                <w:rFonts w:ascii="Tahoma" w:hAnsi="Tahoma" w:cs="Tahoma"/>
                <w:color w:val="000000" w:themeColor="text1"/>
                <w:szCs w:val="21"/>
                <w:highlight w:val="none"/>
                <w14:textFill>
                  <w14:solidFill>
                    <w14:schemeClr w14:val="tx1"/>
                  </w14:solidFill>
                </w14:textFill>
              </w:rPr>
            </w:pPr>
          </w:p>
        </w:tc>
        <w:tc>
          <w:tcPr>
            <w:tcW w:w="1465" w:type="dxa"/>
            <w:tcBorders>
              <w:top w:val="single" w:color="auto" w:sz="4" w:space="0"/>
              <w:left w:val="single" w:color="auto" w:sz="4" w:space="0"/>
              <w:bottom w:val="single" w:color="auto" w:sz="4" w:space="0"/>
              <w:right w:val="single" w:color="auto" w:sz="4" w:space="0"/>
            </w:tcBorders>
          </w:tcPr>
          <w:p>
            <w:pPr>
              <w:spacing w:line="380" w:lineRule="exact"/>
              <w:rPr>
                <w:rFonts w:ascii="Tahoma" w:hAnsi="Tahoma" w:cs="Tahoma"/>
                <w:color w:val="000000" w:themeColor="text1"/>
                <w:szCs w:val="21"/>
                <w:highlight w:val="none"/>
                <w14:textFill>
                  <w14:solidFill>
                    <w14:schemeClr w14:val="tx1"/>
                  </w14:solidFill>
                </w14:textFill>
              </w:rPr>
            </w:pPr>
          </w:p>
        </w:tc>
        <w:tc>
          <w:tcPr>
            <w:tcW w:w="1370" w:type="dxa"/>
            <w:tcBorders>
              <w:top w:val="single" w:color="auto" w:sz="4" w:space="0"/>
              <w:left w:val="single" w:color="auto" w:sz="4" w:space="0"/>
              <w:bottom w:val="single" w:color="auto" w:sz="4" w:space="0"/>
              <w:right w:val="single" w:color="auto" w:sz="4" w:space="0"/>
            </w:tcBorders>
          </w:tcPr>
          <w:p>
            <w:pPr>
              <w:spacing w:line="380" w:lineRule="exact"/>
              <w:rPr>
                <w:rFonts w:ascii="Tahoma" w:hAnsi="Tahoma" w:cs="Tahoma"/>
                <w:color w:val="000000" w:themeColor="text1"/>
                <w:szCs w:val="21"/>
                <w:highlight w:val="none"/>
                <w14:textFill>
                  <w14:solidFill>
                    <w14:schemeClr w14:val="tx1"/>
                  </w14:solidFill>
                </w14:textFill>
              </w:rPr>
            </w:pPr>
          </w:p>
        </w:tc>
        <w:tc>
          <w:tcPr>
            <w:tcW w:w="2551" w:type="dxa"/>
            <w:tcBorders>
              <w:top w:val="single" w:color="auto" w:sz="4" w:space="0"/>
              <w:left w:val="single" w:color="auto" w:sz="4" w:space="0"/>
              <w:bottom w:val="single" w:color="auto" w:sz="4" w:space="0"/>
              <w:right w:val="single" w:color="auto" w:sz="4" w:space="0"/>
            </w:tcBorders>
          </w:tcPr>
          <w:p>
            <w:pPr>
              <w:spacing w:line="380" w:lineRule="exact"/>
              <w:rPr>
                <w:rFonts w:ascii="Tahoma" w:hAnsi="Tahoma" w:cs="Tahom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885" w:type="dxa"/>
            <w:tcBorders>
              <w:top w:val="single" w:color="auto" w:sz="4" w:space="0"/>
              <w:left w:val="single" w:color="auto" w:sz="4" w:space="0"/>
              <w:bottom w:val="single" w:color="auto" w:sz="4" w:space="0"/>
              <w:right w:val="single" w:color="auto" w:sz="4" w:space="0"/>
            </w:tcBorders>
          </w:tcPr>
          <w:p>
            <w:pPr>
              <w:spacing w:line="380" w:lineRule="exact"/>
              <w:jc w:val="cente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6</w:t>
            </w:r>
          </w:p>
        </w:tc>
        <w:tc>
          <w:tcPr>
            <w:tcW w:w="2092" w:type="dxa"/>
            <w:tcBorders>
              <w:top w:val="single" w:color="auto" w:sz="4" w:space="0"/>
              <w:left w:val="single" w:color="auto" w:sz="4" w:space="0"/>
              <w:bottom w:val="single" w:color="auto" w:sz="4" w:space="0"/>
              <w:right w:val="single" w:color="auto" w:sz="4" w:space="0"/>
            </w:tcBorders>
          </w:tcPr>
          <w:p>
            <w:pPr>
              <w:spacing w:line="380" w:lineRule="exact"/>
              <w:rPr>
                <w:rFonts w:ascii="Tahoma" w:hAnsi="Tahoma" w:cs="Tahoma"/>
                <w:color w:val="000000" w:themeColor="text1"/>
                <w:szCs w:val="21"/>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tcPr>
          <w:p>
            <w:pPr>
              <w:spacing w:line="380" w:lineRule="exact"/>
              <w:rPr>
                <w:rFonts w:ascii="Tahoma" w:hAnsi="Tahoma" w:cs="Tahoma"/>
                <w:color w:val="000000" w:themeColor="text1"/>
                <w:szCs w:val="21"/>
                <w:highlight w:val="none"/>
                <w14:textFill>
                  <w14:solidFill>
                    <w14:schemeClr w14:val="tx1"/>
                  </w14:solidFill>
                </w14:textFill>
              </w:rPr>
            </w:pPr>
          </w:p>
        </w:tc>
        <w:tc>
          <w:tcPr>
            <w:tcW w:w="1465" w:type="dxa"/>
            <w:tcBorders>
              <w:top w:val="single" w:color="auto" w:sz="4" w:space="0"/>
              <w:left w:val="single" w:color="auto" w:sz="4" w:space="0"/>
              <w:bottom w:val="single" w:color="auto" w:sz="4" w:space="0"/>
              <w:right w:val="single" w:color="auto" w:sz="4" w:space="0"/>
            </w:tcBorders>
          </w:tcPr>
          <w:p>
            <w:pPr>
              <w:spacing w:line="380" w:lineRule="exact"/>
              <w:rPr>
                <w:rFonts w:ascii="Tahoma" w:hAnsi="Tahoma" w:cs="Tahoma"/>
                <w:color w:val="000000" w:themeColor="text1"/>
                <w:szCs w:val="21"/>
                <w:highlight w:val="none"/>
                <w14:textFill>
                  <w14:solidFill>
                    <w14:schemeClr w14:val="tx1"/>
                  </w14:solidFill>
                </w14:textFill>
              </w:rPr>
            </w:pPr>
          </w:p>
        </w:tc>
        <w:tc>
          <w:tcPr>
            <w:tcW w:w="1370" w:type="dxa"/>
            <w:tcBorders>
              <w:top w:val="single" w:color="auto" w:sz="4" w:space="0"/>
              <w:left w:val="single" w:color="auto" w:sz="4" w:space="0"/>
              <w:bottom w:val="single" w:color="auto" w:sz="4" w:space="0"/>
              <w:right w:val="single" w:color="auto" w:sz="4" w:space="0"/>
            </w:tcBorders>
          </w:tcPr>
          <w:p>
            <w:pPr>
              <w:spacing w:line="380" w:lineRule="exact"/>
              <w:rPr>
                <w:rFonts w:ascii="Tahoma" w:hAnsi="Tahoma" w:cs="Tahoma"/>
                <w:color w:val="000000" w:themeColor="text1"/>
                <w:szCs w:val="21"/>
                <w:highlight w:val="none"/>
                <w14:textFill>
                  <w14:solidFill>
                    <w14:schemeClr w14:val="tx1"/>
                  </w14:solidFill>
                </w14:textFill>
              </w:rPr>
            </w:pPr>
          </w:p>
        </w:tc>
        <w:tc>
          <w:tcPr>
            <w:tcW w:w="2551" w:type="dxa"/>
            <w:tcBorders>
              <w:top w:val="single" w:color="auto" w:sz="4" w:space="0"/>
              <w:left w:val="single" w:color="auto" w:sz="4" w:space="0"/>
              <w:bottom w:val="single" w:color="auto" w:sz="4" w:space="0"/>
              <w:right w:val="single" w:color="auto" w:sz="4" w:space="0"/>
            </w:tcBorders>
          </w:tcPr>
          <w:p>
            <w:pPr>
              <w:spacing w:line="380" w:lineRule="exact"/>
              <w:rPr>
                <w:rFonts w:ascii="Tahoma" w:hAnsi="Tahoma" w:cs="Tahom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885" w:type="dxa"/>
            <w:tcBorders>
              <w:top w:val="single" w:color="auto" w:sz="4" w:space="0"/>
              <w:left w:val="single" w:color="auto" w:sz="4" w:space="0"/>
              <w:bottom w:val="single" w:color="auto" w:sz="4" w:space="0"/>
              <w:right w:val="single" w:color="auto" w:sz="4" w:space="0"/>
            </w:tcBorders>
          </w:tcPr>
          <w:p>
            <w:pPr>
              <w:spacing w:line="380" w:lineRule="exact"/>
              <w:jc w:val="cente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7</w:t>
            </w:r>
          </w:p>
        </w:tc>
        <w:tc>
          <w:tcPr>
            <w:tcW w:w="2092" w:type="dxa"/>
            <w:tcBorders>
              <w:top w:val="single" w:color="auto" w:sz="4" w:space="0"/>
              <w:left w:val="single" w:color="auto" w:sz="4" w:space="0"/>
              <w:bottom w:val="single" w:color="auto" w:sz="4" w:space="0"/>
              <w:right w:val="single" w:color="auto" w:sz="4" w:space="0"/>
            </w:tcBorders>
          </w:tcPr>
          <w:p>
            <w:pPr>
              <w:spacing w:line="380" w:lineRule="exact"/>
              <w:rPr>
                <w:rFonts w:ascii="Tahoma" w:hAnsi="Tahoma" w:cs="Tahoma"/>
                <w:color w:val="000000" w:themeColor="text1"/>
                <w:szCs w:val="21"/>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tcPr>
          <w:p>
            <w:pPr>
              <w:spacing w:line="380" w:lineRule="exact"/>
              <w:rPr>
                <w:rFonts w:ascii="Tahoma" w:hAnsi="Tahoma" w:cs="Tahoma"/>
                <w:color w:val="000000" w:themeColor="text1"/>
                <w:szCs w:val="21"/>
                <w:highlight w:val="none"/>
                <w14:textFill>
                  <w14:solidFill>
                    <w14:schemeClr w14:val="tx1"/>
                  </w14:solidFill>
                </w14:textFill>
              </w:rPr>
            </w:pPr>
          </w:p>
        </w:tc>
        <w:tc>
          <w:tcPr>
            <w:tcW w:w="1465" w:type="dxa"/>
            <w:tcBorders>
              <w:top w:val="single" w:color="auto" w:sz="4" w:space="0"/>
              <w:left w:val="single" w:color="auto" w:sz="4" w:space="0"/>
              <w:bottom w:val="single" w:color="auto" w:sz="4" w:space="0"/>
              <w:right w:val="single" w:color="auto" w:sz="4" w:space="0"/>
            </w:tcBorders>
          </w:tcPr>
          <w:p>
            <w:pPr>
              <w:spacing w:line="380" w:lineRule="exact"/>
              <w:rPr>
                <w:rFonts w:ascii="Tahoma" w:hAnsi="Tahoma" w:cs="Tahoma"/>
                <w:color w:val="000000" w:themeColor="text1"/>
                <w:szCs w:val="21"/>
                <w:highlight w:val="none"/>
                <w14:textFill>
                  <w14:solidFill>
                    <w14:schemeClr w14:val="tx1"/>
                  </w14:solidFill>
                </w14:textFill>
              </w:rPr>
            </w:pPr>
          </w:p>
        </w:tc>
        <w:tc>
          <w:tcPr>
            <w:tcW w:w="1370" w:type="dxa"/>
            <w:tcBorders>
              <w:top w:val="single" w:color="auto" w:sz="4" w:space="0"/>
              <w:left w:val="single" w:color="auto" w:sz="4" w:space="0"/>
              <w:bottom w:val="single" w:color="auto" w:sz="4" w:space="0"/>
              <w:right w:val="single" w:color="auto" w:sz="4" w:space="0"/>
            </w:tcBorders>
          </w:tcPr>
          <w:p>
            <w:pPr>
              <w:spacing w:line="380" w:lineRule="exact"/>
              <w:rPr>
                <w:rFonts w:ascii="Tahoma" w:hAnsi="Tahoma" w:cs="Tahoma"/>
                <w:color w:val="000000" w:themeColor="text1"/>
                <w:szCs w:val="21"/>
                <w:highlight w:val="none"/>
                <w14:textFill>
                  <w14:solidFill>
                    <w14:schemeClr w14:val="tx1"/>
                  </w14:solidFill>
                </w14:textFill>
              </w:rPr>
            </w:pPr>
          </w:p>
        </w:tc>
        <w:tc>
          <w:tcPr>
            <w:tcW w:w="2551" w:type="dxa"/>
            <w:tcBorders>
              <w:top w:val="single" w:color="auto" w:sz="4" w:space="0"/>
              <w:left w:val="single" w:color="auto" w:sz="4" w:space="0"/>
              <w:bottom w:val="single" w:color="auto" w:sz="4" w:space="0"/>
              <w:right w:val="single" w:color="auto" w:sz="4" w:space="0"/>
            </w:tcBorders>
          </w:tcPr>
          <w:p>
            <w:pPr>
              <w:spacing w:line="380" w:lineRule="exact"/>
              <w:rPr>
                <w:rFonts w:ascii="Tahoma" w:hAnsi="Tahoma" w:cs="Tahom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885" w:type="dxa"/>
            <w:tcBorders>
              <w:top w:val="single" w:color="auto" w:sz="4" w:space="0"/>
              <w:left w:val="single" w:color="auto" w:sz="4" w:space="0"/>
              <w:bottom w:val="single" w:color="auto" w:sz="4" w:space="0"/>
              <w:right w:val="single" w:color="auto" w:sz="4" w:space="0"/>
            </w:tcBorders>
          </w:tcPr>
          <w:p>
            <w:pPr>
              <w:spacing w:line="380" w:lineRule="exact"/>
              <w:jc w:val="cente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8</w:t>
            </w:r>
          </w:p>
        </w:tc>
        <w:tc>
          <w:tcPr>
            <w:tcW w:w="2092" w:type="dxa"/>
            <w:tcBorders>
              <w:top w:val="single" w:color="auto" w:sz="4" w:space="0"/>
              <w:left w:val="single" w:color="auto" w:sz="4" w:space="0"/>
              <w:bottom w:val="single" w:color="auto" w:sz="4" w:space="0"/>
              <w:right w:val="single" w:color="auto" w:sz="4" w:space="0"/>
            </w:tcBorders>
          </w:tcPr>
          <w:p>
            <w:pPr>
              <w:spacing w:line="380" w:lineRule="exact"/>
              <w:rPr>
                <w:rFonts w:ascii="Tahoma" w:hAnsi="Tahoma" w:cs="Tahoma"/>
                <w:color w:val="000000" w:themeColor="text1"/>
                <w:szCs w:val="21"/>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tcPr>
          <w:p>
            <w:pPr>
              <w:spacing w:line="380" w:lineRule="exact"/>
              <w:rPr>
                <w:rFonts w:ascii="Tahoma" w:hAnsi="Tahoma" w:cs="Tahoma"/>
                <w:color w:val="000000" w:themeColor="text1"/>
                <w:szCs w:val="21"/>
                <w:highlight w:val="none"/>
                <w14:textFill>
                  <w14:solidFill>
                    <w14:schemeClr w14:val="tx1"/>
                  </w14:solidFill>
                </w14:textFill>
              </w:rPr>
            </w:pPr>
          </w:p>
        </w:tc>
        <w:tc>
          <w:tcPr>
            <w:tcW w:w="1465" w:type="dxa"/>
            <w:tcBorders>
              <w:top w:val="single" w:color="auto" w:sz="4" w:space="0"/>
              <w:left w:val="single" w:color="auto" w:sz="4" w:space="0"/>
              <w:bottom w:val="single" w:color="auto" w:sz="4" w:space="0"/>
              <w:right w:val="single" w:color="auto" w:sz="4" w:space="0"/>
            </w:tcBorders>
          </w:tcPr>
          <w:p>
            <w:pPr>
              <w:spacing w:line="380" w:lineRule="exact"/>
              <w:rPr>
                <w:rFonts w:ascii="Tahoma" w:hAnsi="Tahoma" w:cs="Tahoma"/>
                <w:color w:val="000000" w:themeColor="text1"/>
                <w:szCs w:val="21"/>
                <w:highlight w:val="none"/>
                <w14:textFill>
                  <w14:solidFill>
                    <w14:schemeClr w14:val="tx1"/>
                  </w14:solidFill>
                </w14:textFill>
              </w:rPr>
            </w:pPr>
          </w:p>
        </w:tc>
        <w:tc>
          <w:tcPr>
            <w:tcW w:w="1370" w:type="dxa"/>
            <w:tcBorders>
              <w:top w:val="single" w:color="auto" w:sz="4" w:space="0"/>
              <w:left w:val="single" w:color="auto" w:sz="4" w:space="0"/>
              <w:bottom w:val="single" w:color="auto" w:sz="4" w:space="0"/>
              <w:right w:val="single" w:color="auto" w:sz="4" w:space="0"/>
            </w:tcBorders>
          </w:tcPr>
          <w:p>
            <w:pPr>
              <w:spacing w:line="380" w:lineRule="exact"/>
              <w:rPr>
                <w:rFonts w:ascii="Tahoma" w:hAnsi="Tahoma" w:cs="Tahoma"/>
                <w:color w:val="000000" w:themeColor="text1"/>
                <w:szCs w:val="21"/>
                <w:highlight w:val="none"/>
                <w14:textFill>
                  <w14:solidFill>
                    <w14:schemeClr w14:val="tx1"/>
                  </w14:solidFill>
                </w14:textFill>
              </w:rPr>
            </w:pPr>
          </w:p>
        </w:tc>
        <w:tc>
          <w:tcPr>
            <w:tcW w:w="2551" w:type="dxa"/>
            <w:tcBorders>
              <w:top w:val="single" w:color="auto" w:sz="4" w:space="0"/>
              <w:left w:val="single" w:color="auto" w:sz="4" w:space="0"/>
              <w:bottom w:val="single" w:color="auto" w:sz="4" w:space="0"/>
              <w:right w:val="single" w:color="auto" w:sz="4" w:space="0"/>
            </w:tcBorders>
          </w:tcPr>
          <w:p>
            <w:pPr>
              <w:spacing w:line="380" w:lineRule="exact"/>
              <w:rPr>
                <w:rFonts w:ascii="Tahoma" w:hAnsi="Tahoma" w:cs="Tahoma"/>
                <w:color w:val="000000" w:themeColor="text1"/>
                <w:szCs w:val="21"/>
                <w:highlight w:val="none"/>
                <w14:textFill>
                  <w14:solidFill>
                    <w14:schemeClr w14:val="tx1"/>
                  </w14:solidFill>
                </w14:textFill>
              </w:rPr>
            </w:pPr>
          </w:p>
        </w:tc>
      </w:tr>
    </w:tbl>
    <w:p>
      <w:pPr>
        <w:pStyle w:val="10"/>
        <w:spacing w:line="360" w:lineRule="exact"/>
        <w:rPr>
          <w:rFonts w:ascii="Tahoma" w:hAnsi="Tahoma" w:cs="Tahoma"/>
          <w:color w:val="000000" w:themeColor="text1"/>
          <w:highlight w:val="none"/>
          <w14:textFill>
            <w14:solidFill>
              <w14:schemeClr w14:val="tx1"/>
            </w14:solidFill>
          </w14:textFill>
        </w:rPr>
      </w:pPr>
    </w:p>
    <w:p>
      <w:pPr>
        <w:pStyle w:val="10"/>
        <w:spacing w:line="360" w:lineRule="exact"/>
        <w:rPr>
          <w:rFonts w:ascii="Tahoma" w:hAnsi="Tahoma" w:eastAsia="黑体" w:cs="Tahoma"/>
          <w:b/>
          <w:color w:val="000000" w:themeColor="text1"/>
          <w:sz w:val="21"/>
          <w:szCs w:val="21"/>
          <w:highlight w:val="none"/>
          <w14:textFill>
            <w14:solidFill>
              <w14:schemeClr w14:val="tx1"/>
            </w14:solidFill>
          </w14:textFill>
        </w:rPr>
      </w:pPr>
      <w:r>
        <w:rPr>
          <w:rFonts w:ascii="Tahoma" w:hAnsi="Tahoma" w:eastAsia="黑体" w:cs="Tahoma"/>
          <w:b/>
          <w:color w:val="000000" w:themeColor="text1"/>
          <w:sz w:val="21"/>
          <w:szCs w:val="21"/>
          <w:highlight w:val="none"/>
          <w14:textFill>
            <w14:solidFill>
              <w14:schemeClr w14:val="tx1"/>
            </w14:solidFill>
          </w14:textFill>
        </w:rPr>
        <w:t>说明：</w:t>
      </w:r>
    </w:p>
    <w:p>
      <w:pPr>
        <w:pStyle w:val="10"/>
        <w:spacing w:line="320" w:lineRule="exact"/>
        <w:ind w:firstLine="312"/>
        <w:rPr>
          <w:rFonts w:ascii="Tahoma" w:hAnsi="Tahoma" w:eastAsia="黑体" w:cs="Tahoma"/>
          <w:b/>
          <w:bCs/>
          <w:color w:val="000000" w:themeColor="text1"/>
          <w:sz w:val="21"/>
          <w:szCs w:val="21"/>
          <w:highlight w:val="none"/>
          <w14:textFill>
            <w14:solidFill>
              <w14:schemeClr w14:val="tx1"/>
            </w14:solidFill>
          </w14:textFill>
        </w:rPr>
      </w:pPr>
      <w:r>
        <w:rPr>
          <w:rFonts w:ascii="Tahoma" w:hAnsi="Tahoma" w:eastAsia="黑体" w:cs="Tahoma"/>
          <w:b/>
          <w:bCs/>
          <w:color w:val="000000" w:themeColor="text1"/>
          <w:sz w:val="21"/>
          <w:szCs w:val="21"/>
          <w:highlight w:val="none"/>
          <w14:textFill>
            <w14:solidFill>
              <w14:schemeClr w14:val="tx1"/>
            </w14:solidFill>
          </w14:textFill>
        </w:rPr>
        <w:t>1、所提供的业绩应提供其采购人的联系方式及业绩证明材料，其业绩中的</w:t>
      </w:r>
      <w:r>
        <w:rPr>
          <w:rFonts w:hint="eastAsia" w:ascii="Tahoma" w:hAnsi="Tahoma" w:eastAsia="黑体" w:cs="Tahoma"/>
          <w:b/>
          <w:bCs/>
          <w:color w:val="000000" w:themeColor="text1"/>
          <w:sz w:val="21"/>
          <w:szCs w:val="21"/>
          <w:highlight w:val="none"/>
          <w14:textFill>
            <w14:solidFill>
              <w14:schemeClr w14:val="tx1"/>
            </w14:solidFill>
          </w14:textFill>
        </w:rPr>
        <w:t>货物</w:t>
      </w:r>
      <w:r>
        <w:rPr>
          <w:rFonts w:ascii="Tahoma" w:hAnsi="Tahoma" w:eastAsia="黑体" w:cs="Tahoma"/>
          <w:b/>
          <w:bCs/>
          <w:color w:val="000000" w:themeColor="text1"/>
          <w:sz w:val="21"/>
          <w:szCs w:val="21"/>
          <w:highlight w:val="none"/>
          <w14:textFill>
            <w14:solidFill>
              <w14:schemeClr w14:val="tx1"/>
            </w14:solidFill>
          </w14:textFill>
        </w:rPr>
        <w:t>或产品应与本项目的所需</w:t>
      </w:r>
      <w:r>
        <w:rPr>
          <w:rFonts w:hint="eastAsia" w:ascii="Tahoma" w:hAnsi="Tahoma" w:eastAsia="黑体" w:cs="Tahoma"/>
          <w:b/>
          <w:bCs/>
          <w:color w:val="000000" w:themeColor="text1"/>
          <w:sz w:val="21"/>
          <w:szCs w:val="21"/>
          <w:highlight w:val="none"/>
          <w14:textFill>
            <w14:solidFill>
              <w14:schemeClr w14:val="tx1"/>
            </w14:solidFill>
          </w14:textFill>
        </w:rPr>
        <w:t>货物</w:t>
      </w:r>
      <w:r>
        <w:rPr>
          <w:rFonts w:ascii="Tahoma" w:hAnsi="Tahoma" w:eastAsia="黑体" w:cs="Tahoma"/>
          <w:b/>
          <w:bCs/>
          <w:color w:val="000000" w:themeColor="text1"/>
          <w:sz w:val="21"/>
          <w:szCs w:val="21"/>
          <w:highlight w:val="none"/>
          <w14:textFill>
            <w14:solidFill>
              <w14:schemeClr w14:val="tx1"/>
            </w14:solidFill>
          </w14:textFill>
        </w:rPr>
        <w:t>或产品的特点、性能或功能具有相关性（否则其业绩不予认可）。</w:t>
      </w:r>
    </w:p>
    <w:p>
      <w:pPr>
        <w:pStyle w:val="10"/>
        <w:spacing w:line="320" w:lineRule="exact"/>
        <w:ind w:firstLine="312"/>
        <w:rPr>
          <w:rFonts w:ascii="Tahoma" w:hAnsi="Tahoma" w:eastAsia="黑体" w:cs="Tahoma"/>
          <w:b/>
          <w:bCs/>
          <w:color w:val="000000" w:themeColor="text1"/>
          <w:sz w:val="21"/>
          <w:szCs w:val="21"/>
          <w:highlight w:val="none"/>
          <w14:textFill>
            <w14:solidFill>
              <w14:schemeClr w14:val="tx1"/>
            </w14:solidFill>
          </w14:textFill>
        </w:rPr>
      </w:pPr>
      <w:r>
        <w:rPr>
          <w:rFonts w:ascii="Tahoma" w:hAnsi="Tahoma" w:eastAsia="黑体" w:cs="Tahoma"/>
          <w:b/>
          <w:bCs/>
          <w:color w:val="000000" w:themeColor="text1"/>
          <w:sz w:val="21"/>
          <w:szCs w:val="21"/>
          <w:highlight w:val="none"/>
          <w14:textFill>
            <w14:solidFill>
              <w14:schemeClr w14:val="tx1"/>
            </w14:solidFill>
          </w14:textFill>
        </w:rPr>
        <w:t>2、业绩证明材料包括：成交通知书或合同、验收证书等相关的能足够证明其业绩的材料。</w:t>
      </w:r>
    </w:p>
    <w:p>
      <w:pPr>
        <w:spacing w:line="320" w:lineRule="exact"/>
        <w:ind w:firstLine="316" w:firstLineChars="150"/>
        <w:rPr>
          <w:rFonts w:ascii="Tahoma" w:hAnsi="Tahoma" w:eastAsia="黑体" w:cs="Tahoma"/>
          <w:b/>
          <w:bCs/>
          <w:color w:val="000000" w:themeColor="text1"/>
          <w:szCs w:val="21"/>
          <w:highlight w:val="none"/>
          <w14:textFill>
            <w14:solidFill>
              <w14:schemeClr w14:val="tx1"/>
            </w14:solidFill>
          </w14:textFill>
        </w:rPr>
      </w:pPr>
      <w:r>
        <w:rPr>
          <w:rFonts w:ascii="Tahoma" w:hAnsi="Tahoma" w:eastAsia="黑体" w:cs="Tahoma"/>
          <w:b/>
          <w:bCs/>
          <w:color w:val="000000" w:themeColor="text1"/>
          <w:szCs w:val="21"/>
          <w:highlight w:val="none"/>
          <w14:textFill>
            <w14:solidFill>
              <w14:schemeClr w14:val="tx1"/>
            </w14:solidFill>
          </w14:textFill>
        </w:rPr>
        <w:t>3、履约情况、采购人的评价等（应附采购人出具的相关证明材料，否则不予认可）。</w:t>
      </w:r>
    </w:p>
    <w:p>
      <w:pPr>
        <w:spacing w:line="360" w:lineRule="auto"/>
        <w:jc w:val="center"/>
        <w:rPr>
          <w:rFonts w:ascii="Tahoma" w:hAnsi="Tahoma" w:eastAsia="黑体" w:cs="Tahoma"/>
          <w:b/>
          <w:bCs/>
          <w:color w:val="000000" w:themeColor="text1"/>
          <w:szCs w:val="21"/>
          <w:highlight w:val="none"/>
          <w14:textFill>
            <w14:solidFill>
              <w14:schemeClr w14:val="tx1"/>
            </w14:solidFill>
          </w14:textFill>
        </w:rPr>
      </w:pPr>
    </w:p>
    <w:p>
      <w:pPr>
        <w:spacing w:line="360" w:lineRule="auto"/>
        <w:jc w:val="center"/>
        <w:rPr>
          <w:rFonts w:ascii="Tahoma" w:hAnsi="Tahoma" w:eastAsia="黑体" w:cs="Tahoma"/>
          <w:b/>
          <w:bCs/>
          <w:color w:val="000000" w:themeColor="text1"/>
          <w:szCs w:val="21"/>
          <w:highlight w:val="none"/>
          <w14:textFill>
            <w14:solidFill>
              <w14:schemeClr w14:val="tx1"/>
            </w14:solidFill>
          </w14:textFill>
        </w:rPr>
      </w:pPr>
    </w:p>
    <w:p>
      <w:pPr>
        <w:spacing w:line="360" w:lineRule="auto"/>
        <w:jc w:val="center"/>
        <w:rPr>
          <w:rFonts w:ascii="Tahoma" w:hAnsi="Tahoma" w:eastAsia="黑体" w:cs="Tahoma"/>
          <w:b/>
          <w:bCs/>
          <w:color w:val="000000" w:themeColor="text1"/>
          <w:szCs w:val="21"/>
          <w:highlight w:val="none"/>
          <w14:textFill>
            <w14:solidFill>
              <w14:schemeClr w14:val="tx1"/>
            </w14:solidFill>
          </w14:textFill>
        </w:rPr>
      </w:pPr>
    </w:p>
    <w:p>
      <w:pPr>
        <w:spacing w:line="440" w:lineRule="exact"/>
        <w:jc w:val="center"/>
        <w:rPr>
          <w:rFonts w:ascii="Tahoma" w:hAnsi="Tahoma" w:eastAsia="黑体" w:cs="Tahoma"/>
          <w:b/>
          <w:bCs/>
          <w:color w:val="000000" w:themeColor="text1"/>
          <w:sz w:val="32"/>
          <w:szCs w:val="32"/>
          <w:highlight w:val="none"/>
          <w14:textFill>
            <w14:solidFill>
              <w14:schemeClr w14:val="tx1"/>
            </w14:solidFill>
          </w14:textFill>
        </w:rPr>
      </w:pPr>
    </w:p>
    <w:p>
      <w:pPr>
        <w:spacing w:line="440" w:lineRule="exact"/>
        <w:jc w:val="center"/>
        <w:rPr>
          <w:rFonts w:ascii="Tahoma" w:hAnsi="Tahoma" w:eastAsia="黑体" w:cs="Tahoma"/>
          <w:b/>
          <w:bCs/>
          <w:color w:val="000000" w:themeColor="text1"/>
          <w:sz w:val="32"/>
          <w:szCs w:val="32"/>
          <w:highlight w:val="none"/>
          <w14:textFill>
            <w14:solidFill>
              <w14:schemeClr w14:val="tx1"/>
            </w14:solidFill>
          </w14:textFill>
        </w:rPr>
      </w:pPr>
      <w:bookmarkStart w:id="249" w:name="_Toc18395"/>
    </w:p>
    <w:p>
      <w:pPr>
        <w:spacing w:line="440" w:lineRule="exact"/>
        <w:jc w:val="center"/>
        <w:rPr>
          <w:rFonts w:ascii="Tahoma" w:hAnsi="Tahoma" w:eastAsia="黑体" w:cs="Tahoma"/>
          <w:b/>
          <w:bCs/>
          <w:color w:val="000000" w:themeColor="text1"/>
          <w:sz w:val="32"/>
          <w:szCs w:val="32"/>
          <w:highlight w:val="none"/>
          <w14:textFill>
            <w14:solidFill>
              <w14:schemeClr w14:val="tx1"/>
            </w14:solidFill>
          </w14:textFill>
        </w:rPr>
      </w:pPr>
    </w:p>
    <w:p>
      <w:pPr>
        <w:spacing w:line="440" w:lineRule="exact"/>
        <w:jc w:val="center"/>
        <w:rPr>
          <w:rFonts w:ascii="Tahoma" w:hAnsi="Tahoma" w:eastAsia="黑体" w:cs="Tahoma"/>
          <w:b/>
          <w:bCs/>
          <w:color w:val="000000" w:themeColor="text1"/>
          <w:sz w:val="32"/>
          <w:szCs w:val="32"/>
          <w:highlight w:val="none"/>
          <w14:textFill>
            <w14:solidFill>
              <w14:schemeClr w14:val="tx1"/>
            </w14:solidFill>
          </w14:textFill>
        </w:rPr>
      </w:pPr>
    </w:p>
    <w:p>
      <w:pPr>
        <w:spacing w:line="440" w:lineRule="exact"/>
        <w:jc w:val="center"/>
        <w:rPr>
          <w:rFonts w:ascii="Tahoma" w:hAnsi="Tahoma" w:eastAsia="黑体" w:cs="Tahoma"/>
          <w:b/>
          <w:bCs/>
          <w:color w:val="000000" w:themeColor="text1"/>
          <w:sz w:val="32"/>
          <w:szCs w:val="32"/>
          <w:highlight w:val="none"/>
          <w14:textFill>
            <w14:solidFill>
              <w14:schemeClr w14:val="tx1"/>
            </w14:solidFill>
          </w14:textFill>
        </w:rPr>
      </w:pPr>
    </w:p>
    <w:p>
      <w:pPr>
        <w:spacing w:line="440" w:lineRule="exact"/>
        <w:jc w:val="center"/>
        <w:rPr>
          <w:rFonts w:ascii="Tahoma" w:hAnsi="Tahoma" w:eastAsia="黑体" w:cs="Tahoma"/>
          <w:b/>
          <w:bCs/>
          <w:color w:val="000000" w:themeColor="text1"/>
          <w:sz w:val="32"/>
          <w:szCs w:val="32"/>
          <w:highlight w:val="none"/>
          <w14:textFill>
            <w14:solidFill>
              <w14:schemeClr w14:val="tx1"/>
            </w14:solidFill>
          </w14:textFill>
        </w:rPr>
      </w:pPr>
    </w:p>
    <w:p>
      <w:pPr>
        <w:spacing w:line="440" w:lineRule="exact"/>
        <w:jc w:val="center"/>
        <w:rPr>
          <w:rFonts w:ascii="Tahoma" w:hAnsi="Tahoma" w:eastAsia="黑体" w:cs="Tahoma"/>
          <w:b/>
          <w:bCs/>
          <w:color w:val="000000" w:themeColor="text1"/>
          <w:sz w:val="32"/>
          <w:szCs w:val="32"/>
          <w:highlight w:val="none"/>
          <w14:textFill>
            <w14:solidFill>
              <w14:schemeClr w14:val="tx1"/>
            </w14:solidFill>
          </w14:textFill>
        </w:rPr>
      </w:pPr>
      <w:r>
        <w:rPr>
          <w:rFonts w:ascii="Tahoma" w:hAnsi="Tahoma" w:eastAsia="黑体" w:cs="Tahoma"/>
          <w:b/>
          <w:bCs/>
          <w:color w:val="000000" w:themeColor="text1"/>
          <w:sz w:val="32"/>
          <w:szCs w:val="32"/>
          <w:highlight w:val="none"/>
          <w14:textFill>
            <w14:solidFill>
              <w14:schemeClr w14:val="tx1"/>
            </w14:solidFill>
          </w14:textFill>
        </w:rPr>
        <w:t>第二部分、资格类投标文件</w:t>
      </w:r>
    </w:p>
    <w:p>
      <w:pPr>
        <w:spacing w:line="440" w:lineRule="exact"/>
        <w:jc w:val="center"/>
        <w:rPr>
          <w:rFonts w:ascii="Tahoma" w:hAnsi="Tahoma" w:eastAsia="黑体" w:cs="Tahoma"/>
          <w:b/>
          <w:bCs/>
          <w:color w:val="000000" w:themeColor="text1"/>
          <w:sz w:val="28"/>
          <w:szCs w:val="28"/>
          <w:highlight w:val="none"/>
          <w14:textFill>
            <w14:solidFill>
              <w14:schemeClr w14:val="tx1"/>
            </w14:solidFill>
          </w14:textFill>
        </w:rPr>
      </w:pPr>
      <w:r>
        <w:rPr>
          <w:rFonts w:ascii="Tahoma" w:hAnsi="Tahoma" w:eastAsia="黑体" w:cs="Tahoma"/>
          <w:b/>
          <w:bCs/>
          <w:color w:val="000000" w:themeColor="text1"/>
          <w:sz w:val="28"/>
          <w:szCs w:val="28"/>
          <w:highlight w:val="none"/>
          <w14:textFill>
            <w14:solidFill>
              <w14:schemeClr w14:val="tx1"/>
            </w14:solidFill>
          </w14:textFill>
        </w:rPr>
        <w:t>目录</w:t>
      </w:r>
      <w:bookmarkEnd w:id="249"/>
    </w:p>
    <w:p>
      <w:pPr>
        <w:spacing w:line="440" w:lineRule="exact"/>
        <w:rPr>
          <w:rFonts w:ascii="Tahoma" w:hAnsi="Tahoma" w:cs="Tahoma"/>
          <w:b/>
          <w:color w:val="000000" w:themeColor="text1"/>
          <w:sz w:val="24"/>
          <w:highlight w:val="none"/>
          <w14:textFill>
            <w14:solidFill>
              <w14:schemeClr w14:val="tx1"/>
            </w14:solidFill>
          </w14:textFill>
        </w:rPr>
      </w:pPr>
    </w:p>
    <w:p>
      <w:pPr>
        <w:spacing w:line="360" w:lineRule="auto"/>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（一）关于资格的声明函</w:t>
      </w:r>
    </w:p>
    <w:p>
      <w:pPr>
        <w:spacing w:line="360" w:lineRule="auto"/>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（二）供应商的资格声明</w:t>
      </w:r>
    </w:p>
    <w:p>
      <w:pPr>
        <w:spacing w:line="360" w:lineRule="auto"/>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（三）</w:t>
      </w:r>
      <w:r>
        <w:rPr>
          <w:rFonts w:hint="eastAsia" w:ascii="Tahoma" w:hAnsi="Tahoma" w:cs="Tahoma"/>
          <w:color w:val="000000" w:themeColor="text1"/>
          <w:szCs w:val="21"/>
          <w:highlight w:val="none"/>
          <w14:textFill>
            <w14:solidFill>
              <w14:schemeClr w14:val="tx1"/>
            </w14:solidFill>
          </w14:textFill>
        </w:rPr>
        <w:t>法定代表人身份证明书</w:t>
      </w:r>
    </w:p>
    <w:p>
      <w:pPr>
        <w:spacing w:line="360" w:lineRule="auto"/>
        <w:rPr>
          <w:rFonts w:ascii="Tahoma" w:hAnsi="Tahoma" w:cs="Tahoma"/>
          <w:color w:val="000000" w:themeColor="text1"/>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（四）投标人代表</w:t>
      </w:r>
      <w:r>
        <w:rPr>
          <w:rFonts w:ascii="Tahoma" w:hAnsi="Tahoma" w:cs="Tahoma"/>
          <w:color w:val="000000" w:themeColor="text1"/>
          <w:szCs w:val="21"/>
          <w:highlight w:val="none"/>
          <w14:textFill>
            <w14:solidFill>
              <w14:schemeClr w14:val="tx1"/>
            </w14:solidFill>
          </w14:textFill>
        </w:rPr>
        <w:t>法人代表</w:t>
      </w:r>
      <w:r>
        <w:rPr>
          <w:rFonts w:hint="eastAsia" w:ascii="Tahoma" w:hAnsi="Tahoma" w:cs="Tahoma"/>
          <w:color w:val="000000" w:themeColor="text1"/>
          <w:szCs w:val="21"/>
          <w:highlight w:val="none"/>
          <w14:textFill>
            <w14:solidFill>
              <w14:schemeClr w14:val="tx1"/>
            </w14:solidFill>
          </w14:textFill>
        </w:rPr>
        <w:t>人</w:t>
      </w:r>
      <w:r>
        <w:rPr>
          <w:rFonts w:ascii="Tahoma" w:hAnsi="Tahoma" w:cs="Tahoma"/>
          <w:color w:val="000000" w:themeColor="text1"/>
          <w:szCs w:val="21"/>
          <w:highlight w:val="none"/>
          <w14:textFill>
            <w14:solidFill>
              <w14:schemeClr w14:val="tx1"/>
            </w14:solidFill>
          </w14:textFill>
        </w:rPr>
        <w:t>授权</w:t>
      </w:r>
      <w:r>
        <w:rPr>
          <w:rFonts w:hint="eastAsia" w:ascii="Tahoma" w:hAnsi="Tahoma" w:cs="Tahoma"/>
          <w:color w:val="000000" w:themeColor="text1"/>
          <w:szCs w:val="21"/>
          <w:highlight w:val="none"/>
          <w14:textFill>
            <w14:solidFill>
              <w14:schemeClr w14:val="tx1"/>
            </w14:solidFill>
          </w14:textFill>
        </w:rPr>
        <w:t>委托</w:t>
      </w:r>
      <w:r>
        <w:rPr>
          <w:rFonts w:ascii="Tahoma" w:hAnsi="Tahoma" w:cs="Tahoma"/>
          <w:color w:val="000000" w:themeColor="text1"/>
          <w:szCs w:val="21"/>
          <w:highlight w:val="none"/>
          <w14:textFill>
            <w14:solidFill>
              <w14:schemeClr w14:val="tx1"/>
            </w14:solidFill>
          </w14:textFill>
        </w:rPr>
        <w:t>书</w:t>
      </w:r>
    </w:p>
    <w:p>
      <w:pPr>
        <w:spacing w:line="360" w:lineRule="auto"/>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w:t>
      </w:r>
      <w:r>
        <w:rPr>
          <w:rFonts w:hint="eastAsia" w:ascii="Tahoma" w:hAnsi="Tahoma" w:cs="Tahoma"/>
          <w:color w:val="000000" w:themeColor="text1"/>
          <w:szCs w:val="21"/>
          <w:highlight w:val="none"/>
          <w14:textFill>
            <w14:solidFill>
              <w14:schemeClr w14:val="tx1"/>
            </w14:solidFill>
          </w14:textFill>
        </w:rPr>
        <w:t>五</w:t>
      </w:r>
      <w:r>
        <w:rPr>
          <w:rFonts w:ascii="Tahoma" w:hAnsi="Tahoma" w:cs="Tahoma"/>
          <w:color w:val="000000" w:themeColor="text1"/>
          <w:szCs w:val="21"/>
          <w:highlight w:val="none"/>
          <w14:textFill>
            <w14:solidFill>
              <w14:schemeClr w14:val="tx1"/>
            </w14:solidFill>
          </w14:textFill>
        </w:rPr>
        <w:t>）联合体协议书（如有）</w:t>
      </w:r>
    </w:p>
    <w:p>
      <w:pPr>
        <w:spacing w:line="360" w:lineRule="auto"/>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w:t>
      </w:r>
      <w:r>
        <w:rPr>
          <w:rFonts w:hint="eastAsia" w:ascii="Tahoma" w:hAnsi="Tahoma" w:cs="Tahoma"/>
          <w:color w:val="000000" w:themeColor="text1"/>
          <w:szCs w:val="21"/>
          <w:highlight w:val="none"/>
          <w14:textFill>
            <w14:solidFill>
              <w14:schemeClr w14:val="tx1"/>
            </w14:solidFill>
          </w14:textFill>
        </w:rPr>
        <w:t>六</w:t>
      </w:r>
      <w:r>
        <w:rPr>
          <w:rFonts w:ascii="Tahoma" w:hAnsi="Tahoma" w:cs="Tahoma"/>
          <w:color w:val="000000" w:themeColor="text1"/>
          <w:szCs w:val="21"/>
          <w:highlight w:val="none"/>
          <w14:textFill>
            <w14:solidFill>
              <w14:schemeClr w14:val="tx1"/>
            </w14:solidFill>
          </w14:textFill>
        </w:rPr>
        <w:t>）资格证明文件</w:t>
      </w:r>
    </w:p>
    <w:p>
      <w:pPr>
        <w:spacing w:line="360" w:lineRule="auto"/>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w:t>
      </w:r>
      <w:r>
        <w:rPr>
          <w:rFonts w:hint="eastAsia" w:ascii="Tahoma" w:hAnsi="Tahoma" w:cs="Tahoma"/>
          <w:color w:val="000000" w:themeColor="text1"/>
          <w:szCs w:val="21"/>
          <w:highlight w:val="none"/>
          <w14:textFill>
            <w14:solidFill>
              <w14:schemeClr w14:val="tx1"/>
            </w14:solidFill>
          </w14:textFill>
        </w:rPr>
        <w:t>七</w:t>
      </w:r>
      <w:r>
        <w:rPr>
          <w:rFonts w:ascii="Tahoma" w:hAnsi="Tahoma" w:cs="Tahoma"/>
          <w:color w:val="000000" w:themeColor="text1"/>
          <w:szCs w:val="21"/>
          <w:highlight w:val="none"/>
          <w14:textFill>
            <w14:solidFill>
              <w14:schemeClr w14:val="tx1"/>
            </w14:solidFill>
          </w14:textFill>
        </w:rPr>
        <w:t>）节能、环保产品证明（如有）</w:t>
      </w:r>
    </w:p>
    <w:p>
      <w:pPr>
        <w:spacing w:line="360" w:lineRule="auto"/>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w:t>
      </w:r>
      <w:r>
        <w:rPr>
          <w:rFonts w:hint="eastAsia" w:ascii="Tahoma" w:hAnsi="Tahoma" w:cs="Tahoma"/>
          <w:color w:val="000000" w:themeColor="text1"/>
          <w:szCs w:val="21"/>
          <w:highlight w:val="none"/>
          <w14:textFill>
            <w14:solidFill>
              <w14:schemeClr w14:val="tx1"/>
            </w14:solidFill>
          </w14:textFill>
        </w:rPr>
        <w:t>八</w:t>
      </w:r>
      <w:r>
        <w:rPr>
          <w:rFonts w:ascii="Tahoma" w:hAnsi="Tahoma" w:cs="Tahoma"/>
          <w:color w:val="000000" w:themeColor="text1"/>
          <w:szCs w:val="21"/>
          <w:highlight w:val="none"/>
          <w14:textFill>
            <w14:solidFill>
              <w14:schemeClr w14:val="tx1"/>
            </w14:solidFill>
          </w14:textFill>
        </w:rPr>
        <w:t>）</w:t>
      </w:r>
      <w:r>
        <w:rPr>
          <w:rFonts w:hint="eastAsia" w:ascii="Tahoma" w:hAnsi="Tahoma" w:cs="Tahoma"/>
          <w:color w:val="000000" w:themeColor="text1"/>
          <w:szCs w:val="21"/>
          <w:highlight w:val="none"/>
          <w14:textFill>
            <w14:solidFill>
              <w14:schemeClr w14:val="tx1"/>
            </w14:solidFill>
          </w14:textFill>
        </w:rPr>
        <w:t>中小企业声明函</w:t>
      </w:r>
      <w:r>
        <w:rPr>
          <w:rFonts w:ascii="Tahoma" w:hAnsi="Tahoma" w:cs="Tahoma"/>
          <w:color w:val="000000" w:themeColor="text1"/>
          <w:szCs w:val="21"/>
          <w:highlight w:val="none"/>
          <w14:textFill>
            <w14:solidFill>
              <w14:schemeClr w14:val="tx1"/>
            </w14:solidFill>
          </w14:textFill>
        </w:rPr>
        <w:t>（如有）</w:t>
      </w:r>
    </w:p>
    <w:p>
      <w:pPr>
        <w:spacing w:line="360" w:lineRule="auto"/>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w:t>
      </w:r>
      <w:r>
        <w:rPr>
          <w:rFonts w:hint="eastAsia" w:ascii="Tahoma" w:hAnsi="Tahoma" w:cs="Tahoma"/>
          <w:color w:val="000000" w:themeColor="text1"/>
          <w:szCs w:val="21"/>
          <w:highlight w:val="none"/>
          <w14:textFill>
            <w14:solidFill>
              <w14:schemeClr w14:val="tx1"/>
            </w14:solidFill>
          </w14:textFill>
        </w:rPr>
        <w:t>九</w:t>
      </w:r>
      <w:r>
        <w:rPr>
          <w:rFonts w:ascii="Tahoma" w:hAnsi="Tahoma" w:cs="Tahoma"/>
          <w:color w:val="000000" w:themeColor="text1"/>
          <w:szCs w:val="21"/>
          <w:highlight w:val="none"/>
          <w14:textFill>
            <w14:solidFill>
              <w14:schemeClr w14:val="tx1"/>
            </w14:solidFill>
          </w14:textFill>
        </w:rPr>
        <w:t>）投标供应商认为应提交的其他相关资格证明文件或资料</w:t>
      </w:r>
    </w:p>
    <w:p>
      <w:pPr>
        <w:spacing w:line="380" w:lineRule="exact"/>
        <w:jc w:val="center"/>
        <w:rPr>
          <w:rFonts w:ascii="Tahoma" w:hAnsi="Tahoma" w:cs="Tahoma"/>
          <w:b/>
          <w:color w:val="000000" w:themeColor="text1"/>
          <w:sz w:val="36"/>
          <w:highlight w:val="none"/>
          <w14:textFill>
            <w14:solidFill>
              <w14:schemeClr w14:val="tx1"/>
            </w14:solidFill>
          </w14:textFill>
        </w:rPr>
      </w:pPr>
    </w:p>
    <w:p>
      <w:pPr>
        <w:spacing w:line="380" w:lineRule="exact"/>
        <w:jc w:val="center"/>
        <w:rPr>
          <w:rFonts w:ascii="Tahoma" w:hAnsi="Tahoma" w:cs="Tahoma"/>
          <w:b/>
          <w:color w:val="000000" w:themeColor="text1"/>
          <w:sz w:val="36"/>
          <w:highlight w:val="none"/>
          <w14:textFill>
            <w14:solidFill>
              <w14:schemeClr w14:val="tx1"/>
            </w14:solidFill>
          </w14:textFill>
        </w:rPr>
      </w:pPr>
    </w:p>
    <w:p>
      <w:pPr>
        <w:spacing w:line="380" w:lineRule="exact"/>
        <w:jc w:val="center"/>
        <w:rPr>
          <w:rFonts w:ascii="Tahoma" w:hAnsi="Tahoma" w:cs="Tahoma"/>
          <w:b/>
          <w:color w:val="000000" w:themeColor="text1"/>
          <w:sz w:val="36"/>
          <w:highlight w:val="none"/>
          <w14:textFill>
            <w14:solidFill>
              <w14:schemeClr w14:val="tx1"/>
            </w14:solidFill>
          </w14:textFill>
        </w:rPr>
      </w:pPr>
    </w:p>
    <w:p>
      <w:pPr>
        <w:spacing w:line="380" w:lineRule="exact"/>
        <w:jc w:val="center"/>
        <w:rPr>
          <w:rFonts w:ascii="Tahoma" w:hAnsi="Tahoma" w:cs="Tahoma"/>
          <w:b/>
          <w:color w:val="000000" w:themeColor="text1"/>
          <w:sz w:val="36"/>
          <w:highlight w:val="none"/>
          <w14:textFill>
            <w14:solidFill>
              <w14:schemeClr w14:val="tx1"/>
            </w14:solidFill>
          </w14:textFill>
        </w:rPr>
      </w:pPr>
    </w:p>
    <w:p>
      <w:pPr>
        <w:spacing w:line="380" w:lineRule="exact"/>
        <w:jc w:val="center"/>
        <w:rPr>
          <w:rFonts w:ascii="Tahoma" w:hAnsi="Tahoma" w:cs="Tahoma"/>
          <w:b/>
          <w:color w:val="000000" w:themeColor="text1"/>
          <w:sz w:val="36"/>
          <w:highlight w:val="none"/>
          <w14:textFill>
            <w14:solidFill>
              <w14:schemeClr w14:val="tx1"/>
            </w14:solidFill>
          </w14:textFill>
        </w:rPr>
      </w:pPr>
    </w:p>
    <w:p>
      <w:pPr>
        <w:spacing w:line="380" w:lineRule="exact"/>
        <w:jc w:val="center"/>
        <w:rPr>
          <w:rFonts w:ascii="Tahoma" w:hAnsi="Tahoma" w:cs="Tahoma"/>
          <w:b/>
          <w:color w:val="000000" w:themeColor="text1"/>
          <w:sz w:val="36"/>
          <w:highlight w:val="none"/>
          <w14:textFill>
            <w14:solidFill>
              <w14:schemeClr w14:val="tx1"/>
            </w14:solidFill>
          </w14:textFill>
        </w:rPr>
      </w:pPr>
    </w:p>
    <w:p>
      <w:pPr>
        <w:spacing w:line="380" w:lineRule="exact"/>
        <w:jc w:val="center"/>
        <w:rPr>
          <w:rFonts w:ascii="Tahoma" w:hAnsi="Tahoma" w:cs="Tahoma"/>
          <w:b/>
          <w:color w:val="000000" w:themeColor="text1"/>
          <w:sz w:val="36"/>
          <w:highlight w:val="none"/>
          <w14:textFill>
            <w14:solidFill>
              <w14:schemeClr w14:val="tx1"/>
            </w14:solidFill>
          </w14:textFill>
        </w:rPr>
      </w:pPr>
    </w:p>
    <w:p>
      <w:pPr>
        <w:spacing w:line="380" w:lineRule="exact"/>
        <w:jc w:val="center"/>
        <w:rPr>
          <w:rFonts w:ascii="Tahoma" w:hAnsi="Tahoma" w:cs="Tahoma"/>
          <w:b/>
          <w:color w:val="000000" w:themeColor="text1"/>
          <w:sz w:val="36"/>
          <w:highlight w:val="none"/>
          <w14:textFill>
            <w14:solidFill>
              <w14:schemeClr w14:val="tx1"/>
            </w14:solidFill>
          </w14:textFill>
        </w:rPr>
      </w:pPr>
    </w:p>
    <w:p>
      <w:pPr>
        <w:spacing w:line="380" w:lineRule="exact"/>
        <w:jc w:val="center"/>
        <w:rPr>
          <w:rFonts w:ascii="Tahoma" w:hAnsi="Tahoma" w:cs="Tahoma"/>
          <w:b/>
          <w:color w:val="000000" w:themeColor="text1"/>
          <w:sz w:val="36"/>
          <w:highlight w:val="none"/>
          <w14:textFill>
            <w14:solidFill>
              <w14:schemeClr w14:val="tx1"/>
            </w14:solidFill>
          </w14:textFill>
        </w:rPr>
      </w:pPr>
    </w:p>
    <w:p>
      <w:pPr>
        <w:spacing w:line="380" w:lineRule="exact"/>
        <w:jc w:val="center"/>
        <w:rPr>
          <w:rFonts w:ascii="Tahoma" w:hAnsi="Tahoma" w:cs="Tahoma"/>
          <w:b/>
          <w:color w:val="000000" w:themeColor="text1"/>
          <w:sz w:val="36"/>
          <w:highlight w:val="none"/>
          <w14:textFill>
            <w14:solidFill>
              <w14:schemeClr w14:val="tx1"/>
            </w14:solidFill>
          </w14:textFill>
        </w:rPr>
      </w:pPr>
    </w:p>
    <w:p>
      <w:pPr>
        <w:spacing w:line="380" w:lineRule="exact"/>
        <w:jc w:val="center"/>
        <w:rPr>
          <w:rFonts w:ascii="Tahoma" w:hAnsi="Tahoma" w:cs="Tahoma"/>
          <w:b/>
          <w:color w:val="000000" w:themeColor="text1"/>
          <w:sz w:val="36"/>
          <w:highlight w:val="none"/>
          <w14:textFill>
            <w14:solidFill>
              <w14:schemeClr w14:val="tx1"/>
            </w14:solidFill>
          </w14:textFill>
        </w:rPr>
      </w:pPr>
    </w:p>
    <w:p>
      <w:pPr>
        <w:spacing w:line="380" w:lineRule="exact"/>
        <w:jc w:val="center"/>
        <w:rPr>
          <w:rFonts w:ascii="Tahoma" w:hAnsi="Tahoma" w:cs="Tahoma"/>
          <w:b/>
          <w:color w:val="000000" w:themeColor="text1"/>
          <w:sz w:val="36"/>
          <w:highlight w:val="none"/>
          <w14:textFill>
            <w14:solidFill>
              <w14:schemeClr w14:val="tx1"/>
            </w14:solidFill>
          </w14:textFill>
        </w:rPr>
      </w:pPr>
    </w:p>
    <w:p>
      <w:pPr>
        <w:spacing w:line="380" w:lineRule="exact"/>
        <w:jc w:val="center"/>
        <w:rPr>
          <w:rFonts w:ascii="Tahoma" w:hAnsi="Tahoma" w:cs="Tahoma"/>
          <w:b/>
          <w:color w:val="000000" w:themeColor="text1"/>
          <w:sz w:val="36"/>
          <w:highlight w:val="none"/>
          <w14:textFill>
            <w14:solidFill>
              <w14:schemeClr w14:val="tx1"/>
            </w14:solidFill>
          </w14:textFill>
        </w:rPr>
      </w:pPr>
    </w:p>
    <w:p>
      <w:pPr>
        <w:spacing w:line="380" w:lineRule="exact"/>
        <w:jc w:val="center"/>
        <w:rPr>
          <w:rFonts w:ascii="Tahoma" w:hAnsi="Tahoma" w:cs="Tahoma"/>
          <w:b/>
          <w:color w:val="000000" w:themeColor="text1"/>
          <w:sz w:val="36"/>
          <w:highlight w:val="none"/>
          <w14:textFill>
            <w14:solidFill>
              <w14:schemeClr w14:val="tx1"/>
            </w14:solidFill>
          </w14:textFill>
        </w:rPr>
      </w:pPr>
    </w:p>
    <w:p>
      <w:pPr>
        <w:spacing w:line="380" w:lineRule="exact"/>
        <w:jc w:val="center"/>
        <w:rPr>
          <w:rFonts w:ascii="Tahoma" w:hAnsi="Tahoma" w:cs="Tahoma"/>
          <w:b/>
          <w:color w:val="000000" w:themeColor="text1"/>
          <w:sz w:val="36"/>
          <w:highlight w:val="none"/>
          <w14:textFill>
            <w14:solidFill>
              <w14:schemeClr w14:val="tx1"/>
            </w14:solidFill>
          </w14:textFill>
        </w:rPr>
      </w:pPr>
    </w:p>
    <w:p>
      <w:pPr>
        <w:spacing w:line="380" w:lineRule="exact"/>
        <w:jc w:val="center"/>
        <w:rPr>
          <w:rFonts w:ascii="Tahoma" w:hAnsi="Tahoma" w:cs="Tahoma"/>
          <w:b/>
          <w:color w:val="000000" w:themeColor="text1"/>
          <w:sz w:val="36"/>
          <w:highlight w:val="none"/>
          <w14:textFill>
            <w14:solidFill>
              <w14:schemeClr w14:val="tx1"/>
            </w14:solidFill>
          </w14:textFill>
        </w:rPr>
      </w:pPr>
    </w:p>
    <w:p>
      <w:pPr>
        <w:spacing w:line="380" w:lineRule="exact"/>
        <w:jc w:val="center"/>
        <w:rPr>
          <w:rFonts w:ascii="Tahoma" w:hAnsi="Tahoma" w:cs="Tahoma"/>
          <w:b/>
          <w:color w:val="000000" w:themeColor="text1"/>
          <w:sz w:val="32"/>
          <w:highlight w:val="none"/>
          <w14:textFill>
            <w14:solidFill>
              <w14:schemeClr w14:val="tx1"/>
            </w14:solidFill>
          </w14:textFill>
        </w:rPr>
      </w:pPr>
    </w:p>
    <w:p>
      <w:pPr>
        <w:pStyle w:val="16"/>
        <w:rPr>
          <w:color w:val="000000" w:themeColor="text1"/>
          <w:highlight w:val="none"/>
          <w14:textFill>
            <w14:solidFill>
              <w14:schemeClr w14:val="tx1"/>
            </w14:solidFill>
          </w14:textFill>
        </w:rPr>
      </w:pPr>
    </w:p>
    <w:p>
      <w:pPr>
        <w:pStyle w:val="16"/>
        <w:rPr>
          <w:color w:val="000000" w:themeColor="text1"/>
          <w:highlight w:val="none"/>
          <w14:textFill>
            <w14:solidFill>
              <w14:schemeClr w14:val="tx1"/>
            </w14:solidFill>
          </w14:textFill>
        </w:rPr>
      </w:pPr>
    </w:p>
    <w:p>
      <w:pPr>
        <w:spacing w:line="380" w:lineRule="exact"/>
        <w:jc w:val="center"/>
        <w:rPr>
          <w:rFonts w:ascii="Tahoma" w:hAnsi="Tahoma" w:cs="Tahoma"/>
          <w:b/>
          <w:color w:val="000000" w:themeColor="text1"/>
          <w:sz w:val="32"/>
          <w:highlight w:val="none"/>
          <w14:textFill>
            <w14:solidFill>
              <w14:schemeClr w14:val="tx1"/>
            </w14:solidFill>
          </w14:textFill>
        </w:rPr>
      </w:pPr>
    </w:p>
    <w:p>
      <w:pPr>
        <w:spacing w:line="380" w:lineRule="exact"/>
        <w:jc w:val="center"/>
        <w:rPr>
          <w:rFonts w:ascii="Tahoma" w:hAnsi="Tahoma" w:cs="Tahoma"/>
          <w:b/>
          <w:color w:val="000000" w:themeColor="text1"/>
          <w:sz w:val="32"/>
          <w:highlight w:val="none"/>
          <w14:textFill>
            <w14:solidFill>
              <w14:schemeClr w14:val="tx1"/>
            </w14:solidFill>
          </w14:textFill>
        </w:rPr>
      </w:pPr>
    </w:p>
    <w:p>
      <w:pPr>
        <w:spacing w:line="380" w:lineRule="exact"/>
        <w:jc w:val="center"/>
        <w:rPr>
          <w:rFonts w:ascii="Tahoma" w:hAnsi="Tahoma" w:eastAsia="黑体" w:cs="Tahoma"/>
          <w:color w:val="000000" w:themeColor="text1"/>
          <w:sz w:val="28"/>
          <w:szCs w:val="28"/>
          <w:highlight w:val="none"/>
          <w14:textFill>
            <w14:solidFill>
              <w14:schemeClr w14:val="tx1"/>
            </w14:solidFill>
          </w14:textFill>
        </w:rPr>
      </w:pPr>
      <w:r>
        <w:rPr>
          <w:rFonts w:ascii="Tahoma" w:hAnsi="Tahoma" w:eastAsia="黑体" w:cs="Tahoma"/>
          <w:b/>
          <w:color w:val="000000" w:themeColor="text1"/>
          <w:sz w:val="28"/>
          <w:szCs w:val="28"/>
          <w:highlight w:val="none"/>
          <w14:textFill>
            <w14:solidFill>
              <w14:schemeClr w14:val="tx1"/>
            </w14:solidFill>
          </w14:textFill>
        </w:rPr>
        <w:t>（一）、关于资格的声明函</w:t>
      </w:r>
    </w:p>
    <w:p>
      <w:pPr>
        <w:spacing w:line="380" w:lineRule="exact"/>
        <w:jc w:val="center"/>
        <w:rPr>
          <w:rFonts w:ascii="Tahoma" w:hAnsi="Tahoma" w:eastAsia="黑体" w:cs="Tahoma"/>
          <w:color w:val="000000" w:themeColor="text1"/>
          <w:sz w:val="28"/>
          <w:szCs w:val="28"/>
          <w:highlight w:val="none"/>
          <w14:textFill>
            <w14:solidFill>
              <w14:schemeClr w14:val="tx1"/>
            </w14:solidFill>
          </w14:textFill>
        </w:rPr>
      </w:pPr>
    </w:p>
    <w:p>
      <w:pPr>
        <w:spacing w:line="38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致：</w:t>
      </w:r>
      <w:r>
        <w:rPr>
          <w:rFonts w:ascii="Tahoma" w:hAnsi="Tahoma" w:cs="Tahoma"/>
          <w:color w:val="000000" w:themeColor="text1"/>
          <w:szCs w:val="21"/>
          <w:highlight w:val="none"/>
          <w:u w:val="single"/>
          <w14:textFill>
            <w14:solidFill>
              <w14:schemeClr w14:val="tx1"/>
            </w14:solidFill>
          </w14:textFill>
        </w:rPr>
        <w:t xml:space="preserve">         采购人名称         </w:t>
      </w:r>
      <w:r>
        <w:rPr>
          <w:rFonts w:ascii="Tahoma" w:hAnsi="Tahoma" w:cs="Tahoma"/>
          <w:color w:val="000000" w:themeColor="text1"/>
          <w:szCs w:val="21"/>
          <w:highlight w:val="none"/>
          <w14:textFill>
            <w14:solidFill>
              <w14:schemeClr w14:val="tx1"/>
            </w14:solidFill>
          </w14:textFill>
        </w:rPr>
        <w:t>：</w:t>
      </w:r>
    </w:p>
    <w:p>
      <w:pPr>
        <w:spacing w:line="380" w:lineRule="exact"/>
        <w:rPr>
          <w:rFonts w:ascii="Tahoma" w:hAnsi="Tahoma" w:cs="Tahoma"/>
          <w:color w:val="000000" w:themeColor="text1"/>
          <w:szCs w:val="21"/>
          <w:highlight w:val="none"/>
          <w14:textFill>
            <w14:solidFill>
              <w14:schemeClr w14:val="tx1"/>
            </w14:solidFill>
          </w14:textFill>
        </w:rPr>
      </w:pPr>
    </w:p>
    <w:p>
      <w:pPr>
        <w:spacing w:line="480" w:lineRule="exact"/>
        <w:ind w:firstLine="420" w:firstLineChars="2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关于贵方</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年</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月</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日</w:t>
      </w:r>
      <w:r>
        <w:rPr>
          <w:rFonts w:ascii="Tahoma" w:hAnsi="Tahoma" w:cs="Tahoma"/>
          <w:color w:val="000000" w:themeColor="text1"/>
          <w:szCs w:val="21"/>
          <w:highlight w:val="none"/>
          <w:u w:val="single"/>
          <w14:textFill>
            <w14:solidFill>
              <w14:schemeClr w14:val="tx1"/>
            </w14:solidFill>
          </w14:textFill>
        </w:rPr>
        <w:t xml:space="preserve">        （项目名称、编号）       </w:t>
      </w:r>
      <w:r>
        <w:rPr>
          <w:rFonts w:ascii="Tahoma" w:hAnsi="Tahoma" w:cs="Tahoma"/>
          <w:color w:val="000000" w:themeColor="text1"/>
          <w:szCs w:val="21"/>
          <w:highlight w:val="none"/>
          <w14:textFill>
            <w14:solidFill>
              <w14:schemeClr w14:val="tx1"/>
            </w14:solidFill>
          </w14:textFill>
        </w:rPr>
        <w:t>投标邀请，本签字人愿意参加投标，提供招标文件</w:t>
      </w:r>
      <w:r>
        <w:rPr>
          <w:rFonts w:ascii="Tahoma" w:hAnsi="Tahoma" w:cs="Tahoma"/>
          <w:color w:val="000000" w:themeColor="text1"/>
          <w:szCs w:val="21"/>
          <w:highlight w:val="none"/>
          <w:u w:val="single"/>
          <w14:textFill>
            <w14:solidFill>
              <w14:schemeClr w14:val="tx1"/>
            </w14:solidFill>
          </w14:textFill>
        </w:rPr>
        <w:t xml:space="preserve">          （合同包）           </w:t>
      </w:r>
      <w:r>
        <w:rPr>
          <w:rFonts w:ascii="Tahoma" w:hAnsi="Tahoma" w:cs="Tahoma"/>
          <w:color w:val="000000" w:themeColor="text1"/>
          <w:szCs w:val="21"/>
          <w:highlight w:val="none"/>
          <w14:textFill>
            <w14:solidFill>
              <w14:schemeClr w14:val="tx1"/>
            </w14:solidFill>
          </w14:textFill>
        </w:rPr>
        <w:t>中规定的设备或产品，并证明提交的下列文件和说明是准确的和真实的。</w:t>
      </w:r>
    </w:p>
    <w:p>
      <w:pPr>
        <w:spacing w:line="480" w:lineRule="exact"/>
        <w:ind w:firstLine="420" w:firstLineChars="200"/>
        <w:rPr>
          <w:rFonts w:ascii="Tahoma" w:hAnsi="Tahoma" w:cs="Tahoma"/>
          <w:color w:val="000000" w:themeColor="text1"/>
          <w:szCs w:val="21"/>
          <w:highlight w:val="none"/>
          <w14:textFill>
            <w14:solidFill>
              <w14:schemeClr w14:val="tx1"/>
            </w14:solidFill>
          </w14:textFill>
        </w:rPr>
      </w:pPr>
    </w:p>
    <w:p>
      <w:pPr>
        <w:spacing w:line="400" w:lineRule="exact"/>
        <w:ind w:firstLine="420" w:firstLineChars="2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1、本签字人确认资格文件中的说明以及投标文件中所有提交的文件和材料是真实的、准确的。</w:t>
      </w:r>
    </w:p>
    <w:p>
      <w:pPr>
        <w:spacing w:line="400" w:lineRule="exact"/>
        <w:ind w:firstLine="420" w:firstLineChars="2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2、我方的资格声明随投标文件一同递交。</w:t>
      </w:r>
    </w:p>
    <w:p>
      <w:pPr>
        <w:spacing w:line="380" w:lineRule="exact"/>
        <w:ind w:firstLine="420" w:firstLineChars="2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w:t>
      </w:r>
    </w:p>
    <w:p>
      <w:pPr>
        <w:spacing w:line="38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w:t>
      </w:r>
    </w:p>
    <w:p>
      <w:pPr>
        <w:spacing w:line="380" w:lineRule="exact"/>
        <w:rPr>
          <w:rFonts w:ascii="Tahoma" w:hAnsi="Tahoma" w:cs="Tahoma"/>
          <w:color w:val="000000" w:themeColor="text1"/>
          <w:szCs w:val="21"/>
          <w:highlight w:val="none"/>
          <w14:textFill>
            <w14:solidFill>
              <w14:schemeClr w14:val="tx1"/>
            </w14:solidFill>
          </w14:textFill>
        </w:rPr>
      </w:pPr>
    </w:p>
    <w:p>
      <w:pPr>
        <w:spacing w:line="380" w:lineRule="exact"/>
        <w:rPr>
          <w:rFonts w:ascii="Tahoma" w:hAnsi="Tahoma" w:cs="Tahoma"/>
          <w:color w:val="000000" w:themeColor="text1"/>
          <w:szCs w:val="21"/>
          <w:highlight w:val="none"/>
          <w14:textFill>
            <w14:solidFill>
              <w14:schemeClr w14:val="tx1"/>
            </w14:solidFill>
          </w14:textFill>
        </w:rPr>
      </w:pPr>
    </w:p>
    <w:p>
      <w:pPr>
        <w:spacing w:line="380" w:lineRule="exact"/>
        <w:rPr>
          <w:rFonts w:ascii="Tahoma" w:hAnsi="Tahoma" w:cs="Tahoma"/>
          <w:color w:val="000000" w:themeColor="text1"/>
          <w:szCs w:val="21"/>
          <w:highlight w:val="none"/>
          <w14:textFill>
            <w14:solidFill>
              <w14:schemeClr w14:val="tx1"/>
            </w14:solidFill>
          </w14:textFill>
        </w:rPr>
      </w:pPr>
    </w:p>
    <w:p>
      <w:pPr>
        <w:spacing w:line="380" w:lineRule="exact"/>
        <w:rPr>
          <w:rFonts w:ascii="Tahoma" w:hAnsi="Tahoma" w:cs="Tahoma"/>
          <w:color w:val="000000" w:themeColor="text1"/>
          <w:szCs w:val="21"/>
          <w:highlight w:val="none"/>
          <w14:textFill>
            <w14:solidFill>
              <w14:schemeClr w14:val="tx1"/>
            </w14:solidFill>
          </w14:textFill>
        </w:rPr>
      </w:pPr>
    </w:p>
    <w:p>
      <w:pPr>
        <w:spacing w:line="38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投标供应商（加盖公章）：</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 xml:space="preserve">                     </w:t>
      </w:r>
    </w:p>
    <w:p>
      <w:pPr>
        <w:spacing w:line="38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w:t>
      </w:r>
    </w:p>
    <w:p>
      <w:pPr>
        <w:spacing w:line="380" w:lineRule="exact"/>
        <w:ind w:firstLine="2940" w:firstLineChars="14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投标供应商代表（签字）： </w:t>
      </w:r>
      <w:r>
        <w:rPr>
          <w:rFonts w:ascii="Tahoma" w:hAnsi="Tahoma" w:cs="Tahoma"/>
          <w:color w:val="000000" w:themeColor="text1"/>
          <w:szCs w:val="21"/>
          <w:highlight w:val="none"/>
          <w:u w:val="single"/>
          <w14:textFill>
            <w14:solidFill>
              <w14:schemeClr w14:val="tx1"/>
            </w14:solidFill>
          </w14:textFill>
        </w:rPr>
        <w:t xml:space="preserve">                        </w:t>
      </w:r>
    </w:p>
    <w:p>
      <w:pPr>
        <w:spacing w:line="38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w:t>
      </w:r>
    </w:p>
    <w:p>
      <w:pPr>
        <w:spacing w:line="380" w:lineRule="exact"/>
        <w:ind w:firstLine="2940" w:firstLineChars="14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地             址：</w:t>
      </w:r>
      <w:r>
        <w:rPr>
          <w:rFonts w:ascii="Tahoma" w:hAnsi="Tahoma" w:cs="Tahoma"/>
          <w:color w:val="000000" w:themeColor="text1"/>
          <w:szCs w:val="21"/>
          <w:highlight w:val="none"/>
          <w:u w:val="single"/>
          <w14:textFill>
            <w14:solidFill>
              <w14:schemeClr w14:val="tx1"/>
            </w14:solidFill>
          </w14:textFill>
        </w:rPr>
        <w:t xml:space="preserve">                             </w:t>
      </w:r>
    </w:p>
    <w:p>
      <w:pPr>
        <w:spacing w:line="38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w:t>
      </w:r>
    </w:p>
    <w:p>
      <w:pPr>
        <w:spacing w:line="38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邮             编：</w:t>
      </w:r>
      <w:r>
        <w:rPr>
          <w:rFonts w:ascii="Tahoma" w:hAnsi="Tahoma" w:cs="Tahoma"/>
          <w:color w:val="000000" w:themeColor="text1"/>
          <w:szCs w:val="21"/>
          <w:highlight w:val="none"/>
          <w:u w:val="single"/>
          <w14:textFill>
            <w14:solidFill>
              <w14:schemeClr w14:val="tx1"/>
            </w14:solidFill>
          </w14:textFill>
        </w:rPr>
        <w:t xml:space="preserve">                             </w:t>
      </w:r>
    </w:p>
    <w:p>
      <w:pPr>
        <w:spacing w:line="38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w:t>
      </w:r>
    </w:p>
    <w:p>
      <w:pPr>
        <w:spacing w:line="380" w:lineRule="exact"/>
        <w:ind w:firstLine="3045" w:firstLineChars="145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电    话/传    真：</w:t>
      </w:r>
      <w:r>
        <w:rPr>
          <w:rFonts w:ascii="Tahoma" w:hAnsi="Tahoma" w:cs="Tahoma"/>
          <w:color w:val="000000" w:themeColor="text1"/>
          <w:szCs w:val="21"/>
          <w:highlight w:val="none"/>
          <w:u w:val="single"/>
          <w14:textFill>
            <w14:solidFill>
              <w14:schemeClr w14:val="tx1"/>
            </w14:solidFill>
          </w14:textFill>
        </w:rPr>
        <w:t xml:space="preserve">                             </w:t>
      </w:r>
    </w:p>
    <w:p>
      <w:pPr>
        <w:spacing w:line="380" w:lineRule="exact"/>
        <w:rPr>
          <w:rFonts w:ascii="Tahoma" w:hAnsi="Tahoma" w:cs="Tahoma"/>
          <w:color w:val="000000" w:themeColor="text1"/>
          <w:sz w:val="24"/>
          <w:highlight w:val="none"/>
          <w14:textFill>
            <w14:solidFill>
              <w14:schemeClr w14:val="tx1"/>
            </w14:solidFill>
          </w14:textFill>
        </w:rPr>
      </w:pPr>
    </w:p>
    <w:p>
      <w:pPr>
        <w:spacing w:line="380" w:lineRule="exact"/>
        <w:rPr>
          <w:rFonts w:ascii="Tahoma" w:hAnsi="Tahoma" w:cs="Tahoma"/>
          <w:color w:val="000000" w:themeColor="text1"/>
          <w:sz w:val="24"/>
          <w:highlight w:val="none"/>
          <w14:textFill>
            <w14:solidFill>
              <w14:schemeClr w14:val="tx1"/>
            </w14:solidFill>
          </w14:textFill>
        </w:rPr>
      </w:pPr>
    </w:p>
    <w:p>
      <w:pPr>
        <w:spacing w:line="380" w:lineRule="exact"/>
        <w:rPr>
          <w:rFonts w:ascii="Tahoma" w:hAnsi="Tahoma" w:cs="Tahoma"/>
          <w:color w:val="000000" w:themeColor="text1"/>
          <w:highlight w:val="none"/>
          <w14:textFill>
            <w14:solidFill>
              <w14:schemeClr w14:val="tx1"/>
            </w14:solidFill>
          </w14:textFill>
        </w:rPr>
        <w:sectPr>
          <w:footerReference r:id="rId11" w:type="default"/>
          <w:pgSz w:w="12240" w:h="15840"/>
          <w:pgMar w:top="1440" w:right="1440" w:bottom="1440" w:left="1440" w:header="720" w:footer="720" w:gutter="0"/>
          <w:pgBorders>
            <w:top w:val="none" w:sz="0" w:space="0"/>
            <w:left w:val="none" w:sz="0" w:space="0"/>
            <w:bottom w:val="none" w:sz="0" w:space="0"/>
            <w:right w:val="none" w:sz="0" w:space="0"/>
          </w:pgBorders>
          <w:pgNumType w:fmt="decimal"/>
          <w:cols w:space="720" w:num="1"/>
          <w:docGrid w:linePitch="323" w:charSpace="0"/>
        </w:sectPr>
      </w:pPr>
      <w:r>
        <w:rPr>
          <w:rFonts w:ascii="Tahoma" w:hAnsi="Tahoma" w:cs="Tahoma"/>
          <w:color w:val="000000" w:themeColor="text1"/>
          <w:sz w:val="24"/>
          <w:highlight w:val="none"/>
          <w14:textFill>
            <w14:solidFill>
              <w14:schemeClr w14:val="tx1"/>
            </w14:solidFill>
          </w14:textFill>
        </w:rPr>
        <w:t xml:space="preserve">                             </w:t>
      </w:r>
    </w:p>
    <w:p>
      <w:pPr>
        <w:spacing w:line="380" w:lineRule="exact"/>
        <w:jc w:val="center"/>
        <w:rPr>
          <w:rFonts w:ascii="Tahoma" w:hAnsi="Tahoma" w:eastAsia="黑体" w:cs="Tahoma"/>
          <w:color w:val="000000" w:themeColor="text1"/>
          <w:sz w:val="28"/>
          <w:szCs w:val="28"/>
          <w:highlight w:val="none"/>
          <w14:textFill>
            <w14:solidFill>
              <w14:schemeClr w14:val="tx1"/>
            </w14:solidFill>
          </w14:textFill>
        </w:rPr>
      </w:pPr>
      <w:r>
        <w:rPr>
          <w:rFonts w:ascii="Tahoma" w:hAnsi="Tahoma" w:eastAsia="黑体" w:cs="Tahoma"/>
          <w:b/>
          <w:color w:val="000000" w:themeColor="text1"/>
          <w:sz w:val="28"/>
          <w:szCs w:val="28"/>
          <w:highlight w:val="none"/>
          <w14:textFill>
            <w14:solidFill>
              <w14:schemeClr w14:val="tx1"/>
            </w14:solidFill>
          </w14:textFill>
        </w:rPr>
        <w:t>（二）、投标供应商的资格声明</w:t>
      </w:r>
    </w:p>
    <w:p>
      <w:pPr>
        <w:spacing w:line="380" w:lineRule="exact"/>
        <w:jc w:val="center"/>
        <w:rPr>
          <w:rFonts w:ascii="Tahoma" w:hAnsi="Tahoma" w:eastAsia="黑体" w:cs="Tahoma"/>
          <w:color w:val="000000" w:themeColor="text1"/>
          <w:sz w:val="28"/>
          <w:szCs w:val="28"/>
          <w:highlight w:val="none"/>
          <w14:textFill>
            <w14:solidFill>
              <w14:schemeClr w14:val="tx1"/>
            </w14:solidFill>
          </w14:textFill>
        </w:rPr>
      </w:pPr>
    </w:p>
    <w:p>
      <w:pPr>
        <w:spacing w:line="40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致：</w:t>
      </w:r>
      <w:r>
        <w:rPr>
          <w:rFonts w:ascii="Tahoma" w:hAnsi="Tahoma" w:cs="Tahoma"/>
          <w:color w:val="000000" w:themeColor="text1"/>
          <w:szCs w:val="21"/>
          <w:highlight w:val="none"/>
          <w:u w:val="single"/>
          <w14:textFill>
            <w14:solidFill>
              <w14:schemeClr w14:val="tx1"/>
            </w14:solidFill>
          </w14:textFill>
        </w:rPr>
        <w:t xml:space="preserve">         采购人名称         </w:t>
      </w:r>
      <w:r>
        <w:rPr>
          <w:rFonts w:ascii="Tahoma" w:hAnsi="Tahoma" w:cs="Tahoma"/>
          <w:color w:val="000000" w:themeColor="text1"/>
          <w:szCs w:val="21"/>
          <w:highlight w:val="none"/>
          <w14:textFill>
            <w14:solidFill>
              <w14:schemeClr w14:val="tx1"/>
            </w14:solidFill>
          </w14:textFill>
        </w:rPr>
        <w:t>：</w:t>
      </w:r>
    </w:p>
    <w:p>
      <w:pPr>
        <w:spacing w:line="400" w:lineRule="exact"/>
        <w:rPr>
          <w:rFonts w:ascii="Tahoma" w:hAnsi="Tahoma" w:cs="Tahoma"/>
          <w:b/>
          <w:bCs/>
          <w:color w:val="000000" w:themeColor="text1"/>
          <w:szCs w:val="21"/>
          <w:highlight w:val="none"/>
          <w14:textFill>
            <w14:solidFill>
              <w14:schemeClr w14:val="tx1"/>
            </w14:solidFill>
          </w14:textFill>
        </w:rPr>
      </w:pPr>
    </w:p>
    <w:p>
      <w:pPr>
        <w:spacing w:line="390" w:lineRule="exact"/>
        <w:rPr>
          <w:rFonts w:ascii="Tahoma" w:hAnsi="Tahoma" w:cs="Tahoma"/>
          <w:color w:val="000000" w:themeColor="text1"/>
          <w:szCs w:val="21"/>
          <w:highlight w:val="none"/>
          <w14:textFill>
            <w14:solidFill>
              <w14:schemeClr w14:val="tx1"/>
            </w14:solidFill>
          </w14:textFill>
        </w:rPr>
      </w:pPr>
      <w:r>
        <w:rPr>
          <w:rFonts w:ascii="Tahoma" w:hAnsi="Tahoma" w:cs="Tahoma"/>
          <w:b/>
          <w:bCs/>
          <w:color w:val="000000" w:themeColor="text1"/>
          <w:szCs w:val="21"/>
          <w:highlight w:val="none"/>
          <w14:textFill>
            <w14:solidFill>
              <w14:schemeClr w14:val="tx1"/>
            </w14:solidFill>
          </w14:textFill>
        </w:rPr>
        <w:t>1．供应商概况：</w:t>
      </w:r>
      <w:r>
        <w:rPr>
          <w:rFonts w:ascii="Tahoma" w:hAnsi="Tahoma" w:cs="Tahoma"/>
          <w:color w:val="000000" w:themeColor="text1"/>
          <w:szCs w:val="21"/>
          <w:highlight w:val="none"/>
          <w14:textFill>
            <w14:solidFill>
              <w14:schemeClr w14:val="tx1"/>
            </w14:solidFill>
          </w14:textFill>
        </w:rPr>
        <w:t xml:space="preserve">                                   </w:t>
      </w:r>
    </w:p>
    <w:p>
      <w:pPr>
        <w:spacing w:line="390" w:lineRule="exact"/>
        <w:rPr>
          <w:rFonts w:ascii="Tahoma" w:hAnsi="Tahoma" w:cs="Tahoma"/>
          <w:color w:val="000000" w:themeColor="text1"/>
          <w:szCs w:val="21"/>
          <w:highlight w:val="none"/>
          <w:u w:val="singl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1.1 供应商名称：</w:t>
      </w:r>
      <w:r>
        <w:rPr>
          <w:rFonts w:ascii="Tahoma" w:hAnsi="Tahoma" w:cs="Tahoma"/>
          <w:color w:val="000000" w:themeColor="text1"/>
          <w:szCs w:val="21"/>
          <w:highlight w:val="none"/>
          <w:u w:val="single"/>
          <w14:textFill>
            <w14:solidFill>
              <w14:schemeClr w14:val="tx1"/>
            </w14:solidFill>
          </w14:textFill>
        </w:rPr>
        <w:t xml:space="preserve">                                                                               </w:t>
      </w:r>
    </w:p>
    <w:p>
      <w:pPr>
        <w:spacing w:line="390" w:lineRule="exact"/>
        <w:rPr>
          <w:rFonts w:ascii="Tahoma" w:hAnsi="Tahoma" w:cs="Tahoma"/>
          <w:color w:val="000000" w:themeColor="text1"/>
          <w:szCs w:val="21"/>
          <w:highlight w:val="none"/>
          <w:u w:val="singl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1.2 注册地址：</w:t>
      </w:r>
      <w:r>
        <w:rPr>
          <w:rFonts w:ascii="Tahoma" w:hAnsi="Tahoma" w:cs="Tahoma"/>
          <w:color w:val="000000" w:themeColor="text1"/>
          <w:szCs w:val="21"/>
          <w:highlight w:val="none"/>
          <w:u w:val="single"/>
          <w14:textFill>
            <w14:solidFill>
              <w14:schemeClr w14:val="tx1"/>
            </w14:solidFill>
          </w14:textFill>
        </w:rPr>
        <w:t xml:space="preserve">                                                                                 </w:t>
      </w:r>
    </w:p>
    <w:p>
      <w:pPr>
        <w:spacing w:line="39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1.3 传真：</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；电话：</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；邮编：</w:t>
      </w:r>
      <w:r>
        <w:rPr>
          <w:rFonts w:ascii="Tahoma" w:hAnsi="Tahoma" w:cs="Tahoma"/>
          <w:color w:val="000000" w:themeColor="text1"/>
          <w:szCs w:val="21"/>
          <w:highlight w:val="none"/>
          <w:u w:val="single"/>
          <w14:textFill>
            <w14:solidFill>
              <w14:schemeClr w14:val="tx1"/>
            </w14:solidFill>
          </w14:textFill>
        </w:rPr>
        <w:t xml:space="preserve">                      </w:t>
      </w:r>
    </w:p>
    <w:p>
      <w:pPr>
        <w:spacing w:line="390" w:lineRule="exact"/>
        <w:rPr>
          <w:rFonts w:ascii="Tahoma" w:hAnsi="Tahoma" w:cs="Tahoma"/>
          <w:color w:val="000000" w:themeColor="text1"/>
          <w:szCs w:val="21"/>
          <w:highlight w:val="none"/>
          <w:u w:val="singl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1.4 成立或注册日期：</w:t>
      </w:r>
      <w:r>
        <w:rPr>
          <w:rFonts w:ascii="Tahoma" w:hAnsi="Tahoma" w:cs="Tahoma"/>
          <w:color w:val="000000" w:themeColor="text1"/>
          <w:szCs w:val="21"/>
          <w:highlight w:val="none"/>
          <w:u w:val="single"/>
          <w14:textFill>
            <w14:solidFill>
              <w14:schemeClr w14:val="tx1"/>
            </w14:solidFill>
          </w14:textFill>
        </w:rPr>
        <w:t xml:space="preserve">                                                                           </w:t>
      </w:r>
    </w:p>
    <w:p>
      <w:pPr>
        <w:spacing w:line="39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1.5 法人代表：</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；技术负责人：</w:t>
      </w:r>
      <w:r>
        <w:rPr>
          <w:rFonts w:ascii="Tahoma" w:hAnsi="Tahoma" w:cs="Tahoma"/>
          <w:color w:val="000000" w:themeColor="text1"/>
          <w:szCs w:val="21"/>
          <w:highlight w:val="none"/>
          <w:u w:val="single"/>
          <w14:textFill>
            <w14:solidFill>
              <w14:schemeClr w14:val="tx1"/>
            </w14:solidFill>
          </w14:textFill>
        </w:rPr>
        <w:t xml:space="preserve">                                    </w:t>
      </w:r>
    </w:p>
    <w:p>
      <w:pPr>
        <w:spacing w:line="39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1.6 最近资产负债表（至 </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年</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 xml:space="preserve">月 </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日为止）。</w:t>
      </w:r>
    </w:p>
    <w:p>
      <w:pPr>
        <w:spacing w:line="390" w:lineRule="exact"/>
        <w:ind w:firstLine="210" w:firstLineChars="1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（1）资产总额：</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；（2）固定资产：</w:t>
      </w:r>
      <w:r>
        <w:rPr>
          <w:rFonts w:ascii="Tahoma" w:hAnsi="Tahoma" w:cs="Tahoma"/>
          <w:color w:val="000000" w:themeColor="text1"/>
          <w:szCs w:val="21"/>
          <w:highlight w:val="none"/>
          <w:u w:val="single"/>
          <w14:textFill>
            <w14:solidFill>
              <w14:schemeClr w14:val="tx1"/>
            </w14:solidFill>
          </w14:textFill>
        </w:rPr>
        <w:t xml:space="preserve">                                </w:t>
      </w:r>
    </w:p>
    <w:p>
      <w:pPr>
        <w:spacing w:line="39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（3）流动资产：</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；（4）净资产：</w:t>
      </w:r>
      <w:r>
        <w:rPr>
          <w:rFonts w:ascii="Tahoma" w:hAnsi="Tahoma" w:cs="Tahoma"/>
          <w:color w:val="000000" w:themeColor="text1"/>
          <w:szCs w:val="21"/>
          <w:highlight w:val="none"/>
          <w:u w:val="single"/>
          <w14:textFill>
            <w14:solidFill>
              <w14:schemeClr w14:val="tx1"/>
            </w14:solidFill>
          </w14:textFill>
        </w:rPr>
        <w:t xml:space="preserve">                                  </w:t>
      </w:r>
    </w:p>
    <w:p>
      <w:pPr>
        <w:spacing w:line="390" w:lineRule="exact"/>
        <w:ind w:firstLine="210" w:firstLineChars="1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（5）长期负债：</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；（6）流动负债：</w:t>
      </w:r>
      <w:r>
        <w:rPr>
          <w:rFonts w:ascii="Tahoma" w:hAnsi="Tahoma" w:cs="Tahoma"/>
          <w:color w:val="000000" w:themeColor="text1"/>
          <w:szCs w:val="21"/>
          <w:highlight w:val="none"/>
          <w:u w:val="single"/>
          <w14:textFill>
            <w14:solidFill>
              <w14:schemeClr w14:val="tx1"/>
            </w14:solidFill>
          </w14:textFill>
        </w:rPr>
        <w:t xml:space="preserve">                                </w:t>
      </w:r>
    </w:p>
    <w:p>
      <w:pPr>
        <w:spacing w:line="390" w:lineRule="exact"/>
        <w:ind w:firstLine="210" w:firstLineChars="1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（7）营业收入：</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；（8）净利润：</w:t>
      </w:r>
      <w:r>
        <w:rPr>
          <w:rFonts w:ascii="Tahoma" w:hAnsi="Tahoma" w:cs="Tahoma"/>
          <w:color w:val="000000" w:themeColor="text1"/>
          <w:szCs w:val="21"/>
          <w:highlight w:val="none"/>
          <w:u w:val="single"/>
          <w14:textFill>
            <w14:solidFill>
              <w14:schemeClr w14:val="tx1"/>
            </w14:solidFill>
          </w14:textFill>
        </w:rPr>
        <w:t xml:space="preserve">                                  </w:t>
      </w:r>
    </w:p>
    <w:p>
      <w:pPr>
        <w:spacing w:line="390" w:lineRule="exact"/>
        <w:rPr>
          <w:rFonts w:ascii="Tahoma" w:hAnsi="Tahoma" w:cs="Tahoma"/>
          <w:color w:val="000000" w:themeColor="text1"/>
          <w:szCs w:val="21"/>
          <w:highlight w:val="none"/>
          <w14:textFill>
            <w14:solidFill>
              <w14:schemeClr w14:val="tx1"/>
            </w14:solidFill>
          </w14:textFill>
        </w:rPr>
      </w:pPr>
      <w:r>
        <w:rPr>
          <w:rFonts w:ascii="Tahoma" w:hAnsi="Tahoma" w:cs="Tahoma"/>
          <w:b/>
          <w:bCs/>
          <w:color w:val="000000" w:themeColor="text1"/>
          <w:szCs w:val="21"/>
          <w:highlight w:val="none"/>
          <w14:textFill>
            <w14:solidFill>
              <w14:schemeClr w14:val="tx1"/>
            </w14:solidFill>
          </w14:textFill>
        </w:rPr>
        <w:t>2．我方在此尊重声明</w:t>
      </w:r>
      <w:r>
        <w:rPr>
          <w:rFonts w:ascii="Tahoma" w:hAnsi="Tahoma" w:cs="Tahoma"/>
          <w:color w:val="000000" w:themeColor="text1"/>
          <w:szCs w:val="21"/>
          <w:highlight w:val="none"/>
          <w14:textFill>
            <w14:solidFill>
              <w14:schemeClr w14:val="tx1"/>
            </w14:solidFill>
          </w14:textFill>
        </w:rPr>
        <w:t>：我方具备并满足下列各项条款的规定。本声明如有虚假或不实之处，我方将失去合格供应商资格且我方的投标保证金将不予退还。</w:t>
      </w:r>
    </w:p>
    <w:p>
      <w:pPr>
        <w:spacing w:line="39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（1）具有独立承担民事责任的能力； </w:t>
      </w:r>
    </w:p>
    <w:p>
      <w:pPr>
        <w:spacing w:line="39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（2）具有良好的商业信誉和健全的财务会计制度； </w:t>
      </w:r>
    </w:p>
    <w:p>
      <w:pPr>
        <w:spacing w:line="39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（3）具有履行合同所必需的货物和专业技术能力； </w:t>
      </w:r>
    </w:p>
    <w:p>
      <w:pPr>
        <w:spacing w:line="39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（4）有依法缴纳税收和社会保障资金的良好记录； </w:t>
      </w:r>
    </w:p>
    <w:p>
      <w:pPr>
        <w:spacing w:line="39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（5）近三年内，在经营活动中没有重大违法记录； </w:t>
      </w:r>
    </w:p>
    <w:p>
      <w:pPr>
        <w:spacing w:line="390" w:lineRule="exact"/>
        <w:ind w:firstLine="420" w:firstLineChars="2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就我方全部所知，兹证明上述声明是真实、正确的，并已提供了全部现有资料和数据，我方同意根据贵方要求出示文件予以证实。</w:t>
      </w:r>
    </w:p>
    <w:p>
      <w:pPr>
        <w:spacing w:line="390" w:lineRule="exact"/>
        <w:rPr>
          <w:rFonts w:ascii="Tahoma" w:hAnsi="Tahoma" w:cs="Tahoma"/>
          <w:color w:val="000000" w:themeColor="text1"/>
          <w:szCs w:val="21"/>
          <w:highlight w:val="none"/>
          <w14:textFill>
            <w14:solidFill>
              <w14:schemeClr w14:val="tx1"/>
            </w14:solidFill>
          </w14:textFill>
        </w:rPr>
      </w:pPr>
    </w:p>
    <w:p>
      <w:pPr>
        <w:spacing w:line="39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供应商（加盖公章）：</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 xml:space="preserve">                     </w:t>
      </w:r>
    </w:p>
    <w:p>
      <w:pPr>
        <w:spacing w:line="39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地             址：</w:t>
      </w:r>
      <w:r>
        <w:rPr>
          <w:rFonts w:ascii="Tahoma" w:hAnsi="Tahoma" w:cs="Tahoma"/>
          <w:color w:val="000000" w:themeColor="text1"/>
          <w:szCs w:val="21"/>
          <w:highlight w:val="none"/>
          <w:u w:val="single"/>
          <w14:textFill>
            <w14:solidFill>
              <w14:schemeClr w14:val="tx1"/>
            </w14:solidFill>
          </w14:textFill>
        </w:rPr>
        <w:t xml:space="preserve">                         </w:t>
      </w:r>
    </w:p>
    <w:p>
      <w:pPr>
        <w:spacing w:line="39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邮             编：</w:t>
      </w:r>
      <w:r>
        <w:rPr>
          <w:rFonts w:ascii="Tahoma" w:hAnsi="Tahoma" w:cs="Tahoma"/>
          <w:color w:val="000000" w:themeColor="text1"/>
          <w:szCs w:val="21"/>
          <w:highlight w:val="none"/>
          <w:u w:val="single"/>
          <w14:textFill>
            <w14:solidFill>
              <w14:schemeClr w14:val="tx1"/>
            </w14:solidFill>
          </w14:textFill>
        </w:rPr>
        <w:t xml:space="preserve">                         </w:t>
      </w:r>
    </w:p>
    <w:p>
      <w:pPr>
        <w:spacing w:line="39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电    话/传    真：</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 xml:space="preserve"> </w:t>
      </w:r>
    </w:p>
    <w:p>
      <w:pPr>
        <w:spacing w:line="390" w:lineRule="exact"/>
        <w:ind w:firstLine="420" w:firstLineChars="2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供应商代表（签字）： </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 xml:space="preserve">  </w:t>
      </w:r>
    </w:p>
    <w:p>
      <w:pPr>
        <w:shd w:val="clear" w:color="auto" w:fill="FFFFFF"/>
        <w:snapToGrid w:val="0"/>
        <w:spacing w:line="450" w:lineRule="atLeast"/>
        <w:outlineLvl w:val="3"/>
        <w:rPr>
          <w:rFonts w:ascii="Tahoma" w:hAnsi="Tahoma" w:eastAsia="黑体" w:cs="Tahoma"/>
          <w:b/>
          <w:color w:val="000000" w:themeColor="text1"/>
          <w:szCs w:val="21"/>
          <w:highlight w:val="none"/>
          <w14:textFill>
            <w14:solidFill>
              <w14:schemeClr w14:val="tx1"/>
            </w14:solidFill>
          </w14:textFill>
        </w:rPr>
      </w:pPr>
    </w:p>
    <w:p>
      <w:pPr>
        <w:shd w:val="clear" w:color="auto" w:fill="FFFFFF"/>
        <w:snapToGrid w:val="0"/>
        <w:spacing w:line="450" w:lineRule="atLeast"/>
        <w:jc w:val="center"/>
        <w:outlineLvl w:val="3"/>
        <w:rPr>
          <w:rFonts w:ascii="Tahoma" w:hAnsi="Tahoma" w:eastAsia="黑体" w:cs="Tahoma"/>
          <w:b/>
          <w:bCs/>
          <w:color w:val="000000" w:themeColor="text1"/>
          <w:kern w:val="0"/>
          <w:sz w:val="28"/>
          <w:szCs w:val="28"/>
          <w:highlight w:val="none"/>
          <w14:textFill>
            <w14:solidFill>
              <w14:schemeClr w14:val="tx1"/>
            </w14:solidFill>
          </w14:textFill>
        </w:rPr>
      </w:pPr>
    </w:p>
    <w:p>
      <w:pPr>
        <w:shd w:val="clear" w:color="auto" w:fill="FFFFFF"/>
        <w:snapToGrid w:val="0"/>
        <w:spacing w:line="450" w:lineRule="atLeast"/>
        <w:jc w:val="center"/>
        <w:outlineLvl w:val="3"/>
        <w:rPr>
          <w:rFonts w:ascii="Tahoma" w:hAnsi="Tahoma" w:eastAsia="黑体" w:cs="Tahoma"/>
          <w:b/>
          <w:bCs/>
          <w:color w:val="000000" w:themeColor="text1"/>
          <w:kern w:val="0"/>
          <w:sz w:val="28"/>
          <w:szCs w:val="28"/>
          <w:highlight w:val="none"/>
          <w14:textFill>
            <w14:solidFill>
              <w14:schemeClr w14:val="tx1"/>
            </w14:solidFill>
          </w14:textFill>
        </w:rPr>
      </w:pPr>
      <w:r>
        <w:rPr>
          <w:rFonts w:ascii="Tahoma" w:hAnsi="Tahoma" w:eastAsia="黑体" w:cs="Tahoma"/>
          <w:b/>
          <w:bCs/>
          <w:color w:val="000000" w:themeColor="text1"/>
          <w:kern w:val="0"/>
          <w:sz w:val="28"/>
          <w:szCs w:val="28"/>
          <w:highlight w:val="none"/>
          <w14:textFill>
            <w14:solidFill>
              <w14:schemeClr w14:val="tx1"/>
            </w14:solidFill>
          </w14:textFill>
        </w:rPr>
        <w:t>（三）、法定代表人身份证明书</w:t>
      </w:r>
    </w:p>
    <w:p>
      <w:pPr>
        <w:shd w:val="clear" w:color="auto" w:fill="FFFFFF"/>
        <w:snapToGrid w:val="0"/>
        <w:spacing w:line="360" w:lineRule="auto"/>
        <w:ind w:firstLine="480" w:firstLineChars="200"/>
        <w:rPr>
          <w:rFonts w:ascii="Tahoma" w:hAnsi="Tahoma" w:eastAsia="新宋体" w:cs="Tahoma"/>
          <w:color w:val="000000" w:themeColor="text1"/>
          <w:kern w:val="0"/>
          <w:sz w:val="24"/>
          <w:szCs w:val="21"/>
          <w:highlight w:val="none"/>
          <w14:textFill>
            <w14:solidFill>
              <w14:schemeClr w14:val="tx1"/>
            </w14:solidFill>
          </w14:textFill>
        </w:rPr>
      </w:pPr>
    </w:p>
    <w:p>
      <w:pPr>
        <w:shd w:val="clear" w:color="auto" w:fill="FFFFFF"/>
        <w:snapToGrid w:val="0"/>
        <w:spacing w:line="360" w:lineRule="auto"/>
        <w:ind w:firstLine="420" w:firstLineChars="200"/>
        <w:rPr>
          <w:rFonts w:ascii="Tahoma" w:hAnsi="Tahoma" w:eastAsia="新宋体" w:cs="Tahoma"/>
          <w:color w:val="000000" w:themeColor="text1"/>
          <w:kern w:val="0"/>
          <w:szCs w:val="21"/>
          <w:highlight w:val="none"/>
          <w14:textFill>
            <w14:solidFill>
              <w14:schemeClr w14:val="tx1"/>
            </w14:solidFill>
          </w14:textFill>
        </w:rPr>
      </w:pPr>
      <w:r>
        <w:rPr>
          <w:rFonts w:ascii="Tahoma" w:hAnsi="Tahoma" w:eastAsia="新宋体" w:cs="Tahoma"/>
          <w:color w:val="000000" w:themeColor="text1"/>
          <w:kern w:val="0"/>
          <w:szCs w:val="21"/>
          <w:highlight w:val="none"/>
          <w14:textFill>
            <w14:solidFill>
              <w14:schemeClr w14:val="tx1"/>
            </w14:solidFill>
          </w14:textFill>
        </w:rPr>
        <w:t>供应商名称：</w:t>
      </w:r>
      <w:r>
        <w:rPr>
          <w:rFonts w:ascii="Tahoma" w:hAnsi="Tahoma" w:eastAsia="新宋体" w:cs="Tahoma"/>
          <w:color w:val="000000" w:themeColor="text1"/>
          <w:kern w:val="0"/>
          <w:szCs w:val="21"/>
          <w:highlight w:val="none"/>
          <w:u w:val="single"/>
          <w14:textFill>
            <w14:solidFill>
              <w14:schemeClr w14:val="tx1"/>
            </w14:solidFill>
          </w14:textFill>
        </w:rPr>
        <w:t xml:space="preserve">                                </w:t>
      </w:r>
      <w:r>
        <w:rPr>
          <w:rFonts w:ascii="Tahoma" w:hAnsi="Tahoma" w:eastAsia="新宋体" w:cs="Tahoma"/>
          <w:color w:val="000000" w:themeColor="text1"/>
          <w:kern w:val="0"/>
          <w:szCs w:val="21"/>
          <w:highlight w:val="none"/>
          <w14:textFill>
            <w14:solidFill>
              <w14:schemeClr w14:val="tx1"/>
            </w14:solidFill>
          </w14:textFill>
        </w:rPr>
        <w:t xml:space="preserve"> </w:t>
      </w:r>
    </w:p>
    <w:p>
      <w:pPr>
        <w:shd w:val="clear" w:color="auto" w:fill="FFFFFF"/>
        <w:snapToGrid w:val="0"/>
        <w:spacing w:line="360" w:lineRule="auto"/>
        <w:ind w:firstLine="420" w:firstLineChars="200"/>
        <w:rPr>
          <w:rFonts w:ascii="Tahoma" w:hAnsi="Tahoma" w:eastAsia="新宋体" w:cs="Tahoma"/>
          <w:color w:val="000000" w:themeColor="text1"/>
          <w:kern w:val="0"/>
          <w:szCs w:val="21"/>
          <w:highlight w:val="none"/>
          <w14:textFill>
            <w14:solidFill>
              <w14:schemeClr w14:val="tx1"/>
            </w14:solidFill>
          </w14:textFill>
        </w:rPr>
      </w:pPr>
      <w:r>
        <w:rPr>
          <w:rFonts w:ascii="Tahoma" w:hAnsi="Tahoma" w:eastAsia="新宋体" w:cs="Tahoma"/>
          <w:color w:val="000000" w:themeColor="text1"/>
          <w:kern w:val="0"/>
          <w:szCs w:val="21"/>
          <w:highlight w:val="none"/>
          <w14:textFill>
            <w14:solidFill>
              <w14:schemeClr w14:val="tx1"/>
            </w14:solidFill>
          </w14:textFill>
        </w:rPr>
        <w:t>单位性质：</w:t>
      </w:r>
      <w:r>
        <w:rPr>
          <w:rFonts w:ascii="Tahoma" w:hAnsi="Tahoma" w:eastAsia="新宋体" w:cs="Tahoma"/>
          <w:color w:val="000000" w:themeColor="text1"/>
          <w:kern w:val="0"/>
          <w:szCs w:val="21"/>
          <w:highlight w:val="none"/>
          <w:u w:val="single"/>
          <w14:textFill>
            <w14:solidFill>
              <w14:schemeClr w14:val="tx1"/>
            </w14:solidFill>
          </w14:textFill>
        </w:rPr>
        <w:t xml:space="preserve">                                  </w:t>
      </w:r>
      <w:r>
        <w:rPr>
          <w:rFonts w:ascii="Tahoma" w:hAnsi="Tahoma" w:eastAsia="新宋体" w:cs="Tahoma"/>
          <w:color w:val="000000" w:themeColor="text1"/>
          <w:kern w:val="0"/>
          <w:szCs w:val="21"/>
          <w:highlight w:val="none"/>
          <w14:textFill>
            <w14:solidFill>
              <w14:schemeClr w14:val="tx1"/>
            </w14:solidFill>
          </w14:textFill>
        </w:rPr>
        <w:t xml:space="preserve"> </w:t>
      </w:r>
    </w:p>
    <w:p>
      <w:pPr>
        <w:shd w:val="clear" w:color="auto" w:fill="FFFFFF"/>
        <w:snapToGrid w:val="0"/>
        <w:spacing w:line="360" w:lineRule="auto"/>
        <w:ind w:firstLine="420" w:firstLineChars="200"/>
        <w:rPr>
          <w:rFonts w:ascii="Tahoma" w:hAnsi="Tahoma" w:eastAsia="新宋体" w:cs="Tahoma"/>
          <w:color w:val="000000" w:themeColor="text1"/>
          <w:kern w:val="0"/>
          <w:szCs w:val="21"/>
          <w:highlight w:val="none"/>
          <w14:textFill>
            <w14:solidFill>
              <w14:schemeClr w14:val="tx1"/>
            </w14:solidFill>
          </w14:textFill>
        </w:rPr>
      </w:pPr>
      <w:r>
        <w:rPr>
          <w:rFonts w:ascii="Tahoma" w:hAnsi="Tahoma" w:eastAsia="新宋体" w:cs="Tahoma"/>
          <w:color w:val="000000" w:themeColor="text1"/>
          <w:kern w:val="0"/>
          <w:szCs w:val="21"/>
          <w:highlight w:val="none"/>
          <w14:textFill>
            <w14:solidFill>
              <w14:schemeClr w14:val="tx1"/>
            </w14:solidFill>
          </w14:textFill>
        </w:rPr>
        <w:t>地址：</w:t>
      </w:r>
      <w:r>
        <w:rPr>
          <w:rFonts w:ascii="Tahoma" w:hAnsi="Tahoma" w:eastAsia="新宋体" w:cs="Tahoma"/>
          <w:color w:val="000000" w:themeColor="text1"/>
          <w:kern w:val="0"/>
          <w:szCs w:val="21"/>
          <w:highlight w:val="none"/>
          <w:u w:val="single"/>
          <w14:textFill>
            <w14:solidFill>
              <w14:schemeClr w14:val="tx1"/>
            </w14:solidFill>
          </w14:textFill>
        </w:rPr>
        <w:t xml:space="preserve">                                      </w:t>
      </w:r>
      <w:r>
        <w:rPr>
          <w:rFonts w:ascii="Tahoma" w:hAnsi="Tahoma" w:eastAsia="新宋体" w:cs="Tahoma"/>
          <w:color w:val="000000" w:themeColor="text1"/>
          <w:kern w:val="0"/>
          <w:szCs w:val="21"/>
          <w:highlight w:val="none"/>
          <w14:textFill>
            <w14:solidFill>
              <w14:schemeClr w14:val="tx1"/>
            </w14:solidFill>
          </w14:textFill>
        </w:rPr>
        <w:t xml:space="preserve">  </w:t>
      </w:r>
    </w:p>
    <w:p>
      <w:pPr>
        <w:shd w:val="clear" w:color="auto" w:fill="FFFFFF"/>
        <w:snapToGrid w:val="0"/>
        <w:spacing w:line="360" w:lineRule="auto"/>
        <w:ind w:firstLine="420" w:firstLineChars="200"/>
        <w:rPr>
          <w:rFonts w:ascii="Tahoma" w:hAnsi="Tahoma" w:eastAsia="新宋体" w:cs="Tahoma"/>
          <w:color w:val="000000" w:themeColor="text1"/>
          <w:kern w:val="0"/>
          <w:szCs w:val="21"/>
          <w:highlight w:val="none"/>
          <w14:textFill>
            <w14:solidFill>
              <w14:schemeClr w14:val="tx1"/>
            </w14:solidFill>
          </w14:textFill>
        </w:rPr>
      </w:pPr>
      <w:r>
        <w:rPr>
          <w:rFonts w:ascii="Tahoma" w:hAnsi="Tahoma" w:eastAsia="新宋体" w:cs="Tahoma"/>
          <w:color w:val="000000" w:themeColor="text1"/>
          <w:kern w:val="0"/>
          <w:szCs w:val="21"/>
          <w:highlight w:val="none"/>
          <w14:textFill>
            <w14:solidFill>
              <w14:schemeClr w14:val="tx1"/>
            </w14:solidFill>
          </w14:textFill>
        </w:rPr>
        <w:t>成立时间：</w:t>
      </w:r>
      <w:r>
        <w:rPr>
          <w:rFonts w:ascii="Tahoma" w:hAnsi="Tahoma" w:eastAsia="新宋体" w:cs="Tahoma"/>
          <w:color w:val="000000" w:themeColor="text1"/>
          <w:kern w:val="0"/>
          <w:szCs w:val="21"/>
          <w:highlight w:val="none"/>
          <w:u w:val="single"/>
          <w14:textFill>
            <w14:solidFill>
              <w14:schemeClr w14:val="tx1"/>
            </w14:solidFill>
          </w14:textFill>
        </w:rPr>
        <w:t xml:space="preserve">        </w:t>
      </w:r>
      <w:r>
        <w:rPr>
          <w:rFonts w:ascii="Tahoma" w:hAnsi="Tahoma" w:eastAsia="新宋体" w:cs="Tahoma"/>
          <w:color w:val="000000" w:themeColor="text1"/>
          <w:kern w:val="0"/>
          <w:szCs w:val="21"/>
          <w:highlight w:val="none"/>
          <w14:textFill>
            <w14:solidFill>
              <w14:schemeClr w14:val="tx1"/>
            </w14:solidFill>
          </w14:textFill>
        </w:rPr>
        <w:t>年</w:t>
      </w:r>
      <w:r>
        <w:rPr>
          <w:rFonts w:ascii="Tahoma" w:hAnsi="Tahoma" w:eastAsia="新宋体" w:cs="Tahoma"/>
          <w:color w:val="000000" w:themeColor="text1"/>
          <w:kern w:val="0"/>
          <w:szCs w:val="21"/>
          <w:highlight w:val="none"/>
          <w:u w:val="single"/>
          <w14:textFill>
            <w14:solidFill>
              <w14:schemeClr w14:val="tx1"/>
            </w14:solidFill>
          </w14:textFill>
        </w:rPr>
        <w:t xml:space="preserve">    </w:t>
      </w:r>
      <w:r>
        <w:rPr>
          <w:rFonts w:ascii="Tahoma" w:hAnsi="Tahoma" w:eastAsia="新宋体" w:cs="Tahoma"/>
          <w:color w:val="000000" w:themeColor="text1"/>
          <w:kern w:val="0"/>
          <w:szCs w:val="21"/>
          <w:highlight w:val="none"/>
          <w14:textFill>
            <w14:solidFill>
              <w14:schemeClr w14:val="tx1"/>
            </w14:solidFill>
          </w14:textFill>
        </w:rPr>
        <w:t>月</w:t>
      </w:r>
      <w:r>
        <w:rPr>
          <w:rFonts w:ascii="Tahoma" w:hAnsi="Tahoma" w:eastAsia="新宋体" w:cs="Tahoma"/>
          <w:color w:val="000000" w:themeColor="text1"/>
          <w:kern w:val="0"/>
          <w:szCs w:val="21"/>
          <w:highlight w:val="none"/>
          <w:u w:val="single"/>
          <w14:textFill>
            <w14:solidFill>
              <w14:schemeClr w14:val="tx1"/>
            </w14:solidFill>
          </w14:textFill>
        </w:rPr>
        <w:t xml:space="preserve">    </w:t>
      </w:r>
      <w:r>
        <w:rPr>
          <w:rFonts w:ascii="Tahoma" w:hAnsi="Tahoma" w:eastAsia="新宋体" w:cs="Tahoma"/>
          <w:color w:val="000000" w:themeColor="text1"/>
          <w:kern w:val="0"/>
          <w:szCs w:val="21"/>
          <w:highlight w:val="none"/>
          <w14:textFill>
            <w14:solidFill>
              <w14:schemeClr w14:val="tx1"/>
            </w14:solidFill>
          </w14:textFill>
        </w:rPr>
        <w:t>日</w:t>
      </w:r>
    </w:p>
    <w:p>
      <w:pPr>
        <w:shd w:val="clear" w:color="auto" w:fill="FFFFFF"/>
        <w:snapToGrid w:val="0"/>
        <w:spacing w:line="360" w:lineRule="auto"/>
        <w:ind w:firstLine="420" w:firstLineChars="200"/>
        <w:rPr>
          <w:rFonts w:ascii="Tahoma" w:hAnsi="Tahoma" w:eastAsia="新宋体" w:cs="Tahoma"/>
          <w:color w:val="000000" w:themeColor="text1"/>
          <w:kern w:val="0"/>
          <w:szCs w:val="21"/>
          <w:highlight w:val="none"/>
          <w14:textFill>
            <w14:solidFill>
              <w14:schemeClr w14:val="tx1"/>
            </w14:solidFill>
          </w14:textFill>
        </w:rPr>
      </w:pPr>
      <w:r>
        <w:rPr>
          <w:rFonts w:ascii="Tahoma" w:hAnsi="Tahoma" w:eastAsia="新宋体" w:cs="Tahoma"/>
          <w:color w:val="000000" w:themeColor="text1"/>
          <w:kern w:val="0"/>
          <w:szCs w:val="21"/>
          <w:highlight w:val="none"/>
          <w14:textFill>
            <w14:solidFill>
              <w14:schemeClr w14:val="tx1"/>
            </w14:solidFill>
          </w14:textFill>
        </w:rPr>
        <w:t>经营期限：</w:t>
      </w:r>
      <w:r>
        <w:rPr>
          <w:rFonts w:ascii="Tahoma" w:hAnsi="Tahoma" w:eastAsia="新宋体" w:cs="Tahoma"/>
          <w:color w:val="000000" w:themeColor="text1"/>
          <w:kern w:val="0"/>
          <w:szCs w:val="21"/>
          <w:highlight w:val="none"/>
          <w:u w:val="single"/>
          <w14:textFill>
            <w14:solidFill>
              <w14:schemeClr w14:val="tx1"/>
            </w14:solidFill>
          </w14:textFill>
        </w:rPr>
        <w:t xml:space="preserve">                                </w:t>
      </w:r>
      <w:r>
        <w:rPr>
          <w:rFonts w:ascii="Tahoma" w:hAnsi="Tahoma" w:eastAsia="新宋体" w:cs="Tahoma"/>
          <w:color w:val="000000" w:themeColor="text1"/>
          <w:kern w:val="0"/>
          <w:szCs w:val="21"/>
          <w:highlight w:val="none"/>
          <w14:textFill>
            <w14:solidFill>
              <w14:schemeClr w14:val="tx1"/>
            </w14:solidFill>
          </w14:textFill>
        </w:rPr>
        <w:t xml:space="preserve"> </w:t>
      </w:r>
    </w:p>
    <w:p>
      <w:pPr>
        <w:shd w:val="clear" w:color="auto" w:fill="FFFFFF"/>
        <w:snapToGrid w:val="0"/>
        <w:spacing w:line="360" w:lineRule="auto"/>
        <w:ind w:firstLine="420" w:firstLineChars="200"/>
        <w:rPr>
          <w:rFonts w:ascii="Tahoma" w:hAnsi="Tahoma" w:eastAsia="新宋体" w:cs="Tahoma"/>
          <w:color w:val="000000" w:themeColor="text1"/>
          <w:kern w:val="0"/>
          <w:szCs w:val="21"/>
          <w:highlight w:val="none"/>
          <w14:textFill>
            <w14:solidFill>
              <w14:schemeClr w14:val="tx1"/>
            </w14:solidFill>
          </w14:textFill>
        </w:rPr>
      </w:pPr>
      <w:r>
        <w:rPr>
          <w:rFonts w:ascii="Tahoma" w:hAnsi="Tahoma" w:eastAsia="新宋体" w:cs="Tahoma"/>
          <w:color w:val="000000" w:themeColor="text1"/>
          <w:kern w:val="0"/>
          <w:szCs w:val="21"/>
          <w:highlight w:val="none"/>
          <w14:textFill>
            <w14:solidFill>
              <w14:schemeClr w14:val="tx1"/>
            </w14:solidFill>
          </w14:textFill>
        </w:rPr>
        <w:t>姓名：</w:t>
      </w:r>
      <w:r>
        <w:rPr>
          <w:rFonts w:ascii="Tahoma" w:hAnsi="Tahoma" w:eastAsia="新宋体" w:cs="Tahoma"/>
          <w:color w:val="000000" w:themeColor="text1"/>
          <w:kern w:val="0"/>
          <w:szCs w:val="21"/>
          <w:highlight w:val="none"/>
          <w:u w:val="single"/>
          <w14:textFill>
            <w14:solidFill>
              <w14:schemeClr w14:val="tx1"/>
            </w14:solidFill>
          </w14:textFill>
        </w:rPr>
        <w:t xml:space="preserve">           </w:t>
      </w:r>
      <w:r>
        <w:rPr>
          <w:rFonts w:ascii="Tahoma" w:hAnsi="Tahoma" w:eastAsia="新宋体" w:cs="Tahoma"/>
          <w:color w:val="000000" w:themeColor="text1"/>
          <w:kern w:val="0"/>
          <w:szCs w:val="21"/>
          <w:highlight w:val="none"/>
          <w14:textFill>
            <w14:solidFill>
              <w14:schemeClr w14:val="tx1"/>
            </w14:solidFill>
          </w14:textFill>
        </w:rPr>
        <w:t>性别：</w:t>
      </w:r>
      <w:r>
        <w:rPr>
          <w:rFonts w:ascii="Tahoma" w:hAnsi="Tahoma" w:eastAsia="新宋体" w:cs="Tahoma"/>
          <w:color w:val="000000" w:themeColor="text1"/>
          <w:kern w:val="0"/>
          <w:szCs w:val="21"/>
          <w:highlight w:val="none"/>
          <w:u w:val="single"/>
          <w14:textFill>
            <w14:solidFill>
              <w14:schemeClr w14:val="tx1"/>
            </w14:solidFill>
          </w14:textFill>
        </w:rPr>
        <w:t xml:space="preserve">        </w:t>
      </w:r>
      <w:r>
        <w:rPr>
          <w:rFonts w:ascii="Tahoma" w:hAnsi="Tahoma" w:eastAsia="新宋体" w:cs="Tahoma"/>
          <w:color w:val="000000" w:themeColor="text1"/>
          <w:kern w:val="0"/>
          <w:szCs w:val="21"/>
          <w:highlight w:val="none"/>
          <w14:textFill>
            <w14:solidFill>
              <w14:schemeClr w14:val="tx1"/>
            </w14:solidFill>
          </w14:textFill>
        </w:rPr>
        <w:t>年龄：</w:t>
      </w:r>
      <w:r>
        <w:rPr>
          <w:rFonts w:ascii="Tahoma" w:hAnsi="Tahoma" w:eastAsia="新宋体" w:cs="Tahoma"/>
          <w:color w:val="000000" w:themeColor="text1"/>
          <w:kern w:val="0"/>
          <w:szCs w:val="21"/>
          <w:highlight w:val="none"/>
          <w:u w:val="single"/>
          <w14:textFill>
            <w14:solidFill>
              <w14:schemeClr w14:val="tx1"/>
            </w14:solidFill>
          </w14:textFill>
        </w:rPr>
        <w:t xml:space="preserve">      </w:t>
      </w:r>
      <w:r>
        <w:rPr>
          <w:rFonts w:ascii="Tahoma" w:hAnsi="Tahoma" w:eastAsia="新宋体" w:cs="Tahoma"/>
          <w:color w:val="000000" w:themeColor="text1"/>
          <w:kern w:val="0"/>
          <w:szCs w:val="21"/>
          <w:highlight w:val="none"/>
          <w14:textFill>
            <w14:solidFill>
              <w14:schemeClr w14:val="tx1"/>
            </w14:solidFill>
          </w14:textFill>
        </w:rPr>
        <w:t>职务：</w:t>
      </w:r>
      <w:r>
        <w:rPr>
          <w:rFonts w:ascii="Tahoma" w:hAnsi="Tahoma" w:eastAsia="新宋体" w:cs="Tahoma"/>
          <w:color w:val="000000" w:themeColor="text1"/>
          <w:kern w:val="0"/>
          <w:szCs w:val="21"/>
          <w:highlight w:val="none"/>
          <w:u w:val="single"/>
          <w14:textFill>
            <w14:solidFill>
              <w14:schemeClr w14:val="tx1"/>
            </w14:solidFill>
          </w14:textFill>
        </w:rPr>
        <w:t xml:space="preserve">       </w:t>
      </w:r>
      <w:r>
        <w:rPr>
          <w:rFonts w:ascii="Tahoma" w:hAnsi="Tahoma" w:eastAsia="新宋体" w:cs="Tahoma"/>
          <w:color w:val="000000" w:themeColor="text1"/>
          <w:kern w:val="0"/>
          <w:szCs w:val="21"/>
          <w:highlight w:val="none"/>
          <w14:textFill>
            <w14:solidFill>
              <w14:schemeClr w14:val="tx1"/>
            </w14:solidFill>
          </w14:textFill>
        </w:rPr>
        <w:t>系</w:t>
      </w:r>
      <w:r>
        <w:rPr>
          <w:rFonts w:ascii="Tahoma" w:hAnsi="Tahoma" w:eastAsia="新宋体" w:cs="Tahoma"/>
          <w:color w:val="000000" w:themeColor="text1"/>
          <w:kern w:val="0"/>
          <w:szCs w:val="21"/>
          <w:highlight w:val="none"/>
          <w:u w:val="single"/>
          <w14:textFill>
            <w14:solidFill>
              <w14:schemeClr w14:val="tx1"/>
            </w14:solidFill>
          </w14:textFill>
        </w:rPr>
        <w:t xml:space="preserve">             （供应商名称）        </w:t>
      </w:r>
      <w:r>
        <w:rPr>
          <w:rFonts w:ascii="Tahoma" w:hAnsi="Tahoma" w:eastAsia="新宋体" w:cs="Tahoma"/>
          <w:color w:val="000000" w:themeColor="text1"/>
          <w:kern w:val="0"/>
          <w:szCs w:val="21"/>
          <w:highlight w:val="none"/>
          <w14:textFill>
            <w14:solidFill>
              <w14:schemeClr w14:val="tx1"/>
            </w14:solidFill>
          </w14:textFill>
        </w:rPr>
        <w:t>的法定代表人。</w:t>
      </w:r>
    </w:p>
    <w:p>
      <w:pPr>
        <w:shd w:val="clear" w:color="auto" w:fill="FFFFFF"/>
        <w:snapToGrid w:val="0"/>
        <w:spacing w:line="360" w:lineRule="auto"/>
        <w:ind w:firstLine="840" w:firstLineChars="400"/>
        <w:rPr>
          <w:rFonts w:ascii="Tahoma" w:hAnsi="Tahoma" w:eastAsia="新宋体" w:cs="Tahoma"/>
          <w:color w:val="000000" w:themeColor="text1"/>
          <w:kern w:val="0"/>
          <w:szCs w:val="21"/>
          <w:highlight w:val="none"/>
          <w14:textFill>
            <w14:solidFill>
              <w14:schemeClr w14:val="tx1"/>
            </w14:solidFill>
          </w14:textFill>
        </w:rPr>
      </w:pPr>
      <w:r>
        <w:rPr>
          <w:rFonts w:ascii="Tahoma" w:hAnsi="Tahoma" w:eastAsia="新宋体" w:cs="Tahoma"/>
          <w:color w:val="000000" w:themeColor="text1"/>
          <w:kern w:val="0"/>
          <w:szCs w:val="21"/>
          <w:highlight w:val="none"/>
          <w14:textFill>
            <w14:solidFill>
              <w14:schemeClr w14:val="tx1"/>
            </w14:solidFill>
          </w14:textFill>
        </w:rPr>
        <w:t>特此证明。</w:t>
      </w:r>
    </w:p>
    <w:p>
      <w:pPr>
        <w:shd w:val="clear" w:color="auto" w:fill="FFFFFF"/>
        <w:snapToGrid w:val="0"/>
        <w:spacing w:line="360" w:lineRule="auto"/>
        <w:ind w:firstLine="840" w:firstLineChars="400"/>
        <w:rPr>
          <w:rFonts w:ascii="Tahoma" w:hAnsi="Tahoma" w:eastAsia="新宋体" w:cs="Tahoma"/>
          <w:color w:val="000000" w:themeColor="text1"/>
          <w:kern w:val="0"/>
          <w:szCs w:val="21"/>
          <w:highlight w:val="none"/>
          <w14:textFill>
            <w14:solidFill>
              <w14:schemeClr w14:val="tx1"/>
            </w14:solidFill>
          </w14:textFill>
        </w:rPr>
      </w:pPr>
    </w:p>
    <w:p>
      <w:pPr>
        <w:shd w:val="clear" w:color="auto" w:fill="FFFFFF"/>
        <w:snapToGrid w:val="0"/>
        <w:spacing w:line="360" w:lineRule="auto"/>
        <w:ind w:firstLine="840" w:firstLineChars="400"/>
        <w:rPr>
          <w:rFonts w:ascii="Tahoma" w:hAnsi="Tahoma" w:eastAsia="新宋体" w:cs="Tahoma"/>
          <w:color w:val="000000" w:themeColor="text1"/>
          <w:kern w:val="0"/>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1788795</wp:posOffset>
                </wp:positionH>
                <wp:positionV relativeFrom="paragraph">
                  <wp:posOffset>21590</wp:posOffset>
                </wp:positionV>
                <wp:extent cx="2540000" cy="1311910"/>
                <wp:effectExtent l="5080" t="4445" r="15240" b="9525"/>
                <wp:wrapNone/>
                <wp:docPr id="7" name="矩形 7"/>
                <wp:cNvGraphicFramePr/>
                <a:graphic xmlns:a="http://schemas.openxmlformats.org/drawingml/2006/main">
                  <a:graphicData uri="http://schemas.microsoft.com/office/word/2010/wordprocessingShape">
                    <wps:wsp>
                      <wps:cNvSpPr/>
                      <wps:spPr>
                        <a:xfrm>
                          <a:off x="0" y="0"/>
                          <a:ext cx="2540000" cy="13119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
                            <w:r>
                              <w:rPr>
                                <w:rFonts w:hint="eastAsia"/>
                              </w:rPr>
                              <w:t xml:space="preserve">         法人身份证复印件正面</w:t>
                            </w:r>
                          </w:p>
                        </w:txbxContent>
                      </wps:txbx>
                      <wps:bodyPr upright="1"/>
                    </wps:wsp>
                  </a:graphicData>
                </a:graphic>
              </wp:anchor>
            </w:drawing>
          </mc:Choice>
          <mc:Fallback>
            <w:pict>
              <v:rect id="_x0000_s1026" o:spid="_x0000_s1026" o:spt="1" style="position:absolute;left:0pt;margin-left:140.85pt;margin-top:1.7pt;height:103.3pt;width:200pt;z-index:251664384;mso-width-relative:page;mso-height-relative:page;" fillcolor="#FFFFFF" filled="t" stroked="t" coordsize="21600,21600" o:gfxdata="UEsDBAoAAAAAAIdO4kAAAAAAAAAAAAAAAAAEAAAAZHJzL1BLAwQUAAAACACHTuJAiwNcq9UAAAAJ&#10;AQAADwAAAGRycy9kb3ducmV2LnhtbE2PMU/DMBCF90r8B+uQ2Fo7KSolxOkAKhJjmy5sl/hIArEd&#10;xU4b+PUcLDA+fU/vvst3s+3FmcbQeachWSkQ5GpvOtdoOJX75RZEiOgM9t6Rhk8KsCuuFjlmxl/c&#10;gc7H2AgecSFDDW2MQyZlqFuyGFZ+IMfszY8WI8exkWbEC4/bXqZKbaTFzvGFFgd6bKn+OE5WQ9Wl&#10;J/w6lM/K3u/X8WUu36fXJ61vrhP1ACLSHP/K8KPP6lCwU+UnZ4LoNaTb5I6rGta3IJhvfnPFIFEK&#10;ZJHL/x8U31BLAwQUAAAACACHTuJA/93G2wQCAAAqBAAADgAAAGRycy9lMm9Eb2MueG1srVPLrtMw&#10;EN0j8Q+W9zRNoVxu1PQuKGWD4EoXPmDqOIklv+Rxm/RrkNjxEXwO4jcYO6X3AYsuyCIZx+Mz55wZ&#10;r25Go9lBBlTO1ryczTmTVrhG2a7mXz5vX7zhDCPYBrSzsuZHifxm/fzZavCVXLje6UYGRiAWq8HX&#10;vI/RV0WBopcGcOa8tLTZumAg0jJ0RRNgIHSji8V8/roYXGh8cEIi0t/NtMlPiOESQNe2SsiNE3sj&#10;bZxQg9QQSRL2yiNfZ7ZtK0X81LYoI9M1J6Uxv6kIxbv0LtYrqLoAvlfiRAEuofBEkwFlqegZagMR&#10;2D6ov6CMEsGha+NMOFNMQrIjpKKcP/HmrgcvsxayGv3ZdPx/sOLj4TYw1dT8ijMLhhr+6+v3nz++&#10;savkzeCxopQ7fxtOK6QwCR3bYNKXJLAx+3k8+ynHyAT9XCxfzenhTNBe+bIsr8vseHF/3AeM76Uz&#10;LAU1D9Sw7CMcPmCkkpT6JyVVQ6dVs1Va50Xodm91YAeg5m7zkzjTkUdp2rKh5tfLxZKIAE1sS5NC&#10;ofGkGm2X6z06gQ+BkwLS8A/gRGwD2E8EMkJKg8qoKJNfUPUSmne2YfHoyVlLF4onMkY2nGlJ9y9F&#10;OTOC0pdkkjptSWTqzNSLFMVxNxJMCneuOVJL9z6oridLy0w97dAIZXdO455m9OE6g95f8f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wNcq9UAAAAJAQAADwAAAAAAAAABACAAAAAiAAAAZHJzL2Rv&#10;d25yZXYueG1sUEsBAhQAFAAAAAgAh07iQP/dxtsEAgAAKgQAAA4AAAAAAAAAAQAgAAAAJAEAAGRy&#10;cy9lMm9Eb2MueG1sUEsFBgAAAAAGAAYAWQEAAJoFAAAAAA==&#10;">
                <v:fill on="t" focussize="0,0"/>
                <v:stroke color="#000000" joinstyle="miter"/>
                <v:imagedata o:title=""/>
                <o:lock v:ext="edit" aspectratio="f"/>
                <v:textbox>
                  <w:txbxContent>
                    <w:p>
                      <w:pPr>
                        <w:jc w:val="center"/>
                      </w:pPr>
                    </w:p>
                    <w:p/>
                    <w:p>
                      <w:r>
                        <w:rPr>
                          <w:rFonts w:hint="eastAsia"/>
                        </w:rPr>
                        <w:t xml:space="preserve">         法人身份证复印件正面</w:t>
                      </w:r>
                    </w:p>
                  </w:txbxContent>
                </v:textbox>
              </v:rect>
            </w:pict>
          </mc:Fallback>
        </mc:AlternateContent>
      </w:r>
    </w:p>
    <w:p>
      <w:pPr>
        <w:shd w:val="clear" w:color="auto" w:fill="FFFFFF"/>
        <w:snapToGrid w:val="0"/>
        <w:spacing w:line="360" w:lineRule="auto"/>
        <w:ind w:firstLine="420" w:firstLineChars="200"/>
        <w:rPr>
          <w:rFonts w:ascii="Tahoma" w:hAnsi="Tahoma" w:eastAsia="新宋体" w:cs="Tahoma"/>
          <w:color w:val="000000" w:themeColor="text1"/>
          <w:kern w:val="0"/>
          <w:szCs w:val="21"/>
          <w:highlight w:val="none"/>
          <w14:textFill>
            <w14:solidFill>
              <w14:schemeClr w14:val="tx1"/>
            </w14:solidFill>
          </w14:textFill>
        </w:rPr>
      </w:pPr>
    </w:p>
    <w:p>
      <w:pPr>
        <w:shd w:val="clear" w:color="auto" w:fill="FFFFFF"/>
        <w:snapToGrid w:val="0"/>
        <w:spacing w:line="360" w:lineRule="auto"/>
        <w:ind w:firstLine="420" w:firstLineChars="200"/>
        <w:rPr>
          <w:rFonts w:ascii="Tahoma" w:hAnsi="Tahoma" w:eastAsia="新宋体" w:cs="Tahoma"/>
          <w:color w:val="000000" w:themeColor="text1"/>
          <w:kern w:val="0"/>
          <w:szCs w:val="21"/>
          <w:highlight w:val="none"/>
          <w14:textFill>
            <w14:solidFill>
              <w14:schemeClr w14:val="tx1"/>
            </w14:solidFill>
          </w14:textFill>
        </w:rPr>
      </w:pPr>
    </w:p>
    <w:p>
      <w:pPr>
        <w:shd w:val="clear" w:color="auto" w:fill="FFFFFF"/>
        <w:snapToGrid w:val="0"/>
        <w:spacing w:line="360" w:lineRule="auto"/>
        <w:ind w:firstLine="4200" w:firstLineChars="2000"/>
        <w:rPr>
          <w:rFonts w:ascii="Tahoma" w:hAnsi="Tahoma" w:eastAsia="新宋体" w:cs="Tahoma"/>
          <w:color w:val="000000" w:themeColor="text1"/>
          <w:kern w:val="0"/>
          <w:szCs w:val="21"/>
          <w:highlight w:val="none"/>
          <w14:textFill>
            <w14:solidFill>
              <w14:schemeClr w14:val="tx1"/>
            </w14:solidFill>
          </w14:textFill>
        </w:rPr>
      </w:pPr>
    </w:p>
    <w:p>
      <w:pPr>
        <w:shd w:val="clear" w:color="auto" w:fill="FFFFFF"/>
        <w:snapToGrid w:val="0"/>
        <w:spacing w:line="360" w:lineRule="auto"/>
        <w:ind w:firstLine="4200" w:firstLineChars="2000"/>
        <w:rPr>
          <w:rFonts w:ascii="Tahoma" w:hAnsi="Tahoma" w:eastAsia="新宋体" w:cs="Tahoma"/>
          <w:color w:val="000000" w:themeColor="text1"/>
          <w:kern w:val="0"/>
          <w:szCs w:val="21"/>
          <w:highlight w:val="none"/>
          <w14:textFill>
            <w14:solidFill>
              <w14:schemeClr w14:val="tx1"/>
            </w14:solidFill>
          </w14:textFill>
        </w:rPr>
      </w:pPr>
    </w:p>
    <w:p>
      <w:pPr>
        <w:shd w:val="clear" w:color="auto" w:fill="FFFFFF"/>
        <w:snapToGrid w:val="0"/>
        <w:spacing w:line="360" w:lineRule="auto"/>
        <w:ind w:firstLine="4200" w:firstLineChars="2000"/>
        <w:rPr>
          <w:rFonts w:ascii="Tahoma" w:hAnsi="Tahoma" w:eastAsia="新宋体" w:cs="Tahoma"/>
          <w:color w:val="000000" w:themeColor="text1"/>
          <w:kern w:val="0"/>
          <w:szCs w:val="21"/>
          <w:highlight w:val="none"/>
          <w14:textFill>
            <w14:solidFill>
              <w14:schemeClr w14:val="tx1"/>
            </w14:solidFill>
          </w14:textFill>
        </w:rPr>
      </w:pPr>
    </w:p>
    <w:p>
      <w:pPr>
        <w:shd w:val="clear" w:color="auto" w:fill="FFFFFF"/>
        <w:snapToGrid w:val="0"/>
        <w:spacing w:line="360" w:lineRule="auto"/>
        <w:ind w:firstLine="4200" w:firstLineChars="2000"/>
        <w:rPr>
          <w:rFonts w:ascii="Tahoma" w:hAnsi="Tahoma" w:eastAsia="新宋体" w:cs="Tahoma"/>
          <w:color w:val="000000" w:themeColor="text1"/>
          <w:kern w:val="0"/>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1797050</wp:posOffset>
                </wp:positionH>
                <wp:positionV relativeFrom="paragraph">
                  <wp:posOffset>146685</wp:posOffset>
                </wp:positionV>
                <wp:extent cx="2540000" cy="1311910"/>
                <wp:effectExtent l="5080" t="4445" r="15240" b="9525"/>
                <wp:wrapNone/>
                <wp:docPr id="8" name="矩形 8"/>
                <wp:cNvGraphicFramePr/>
                <a:graphic xmlns:a="http://schemas.openxmlformats.org/drawingml/2006/main">
                  <a:graphicData uri="http://schemas.microsoft.com/office/word/2010/wordprocessingShape">
                    <wps:wsp>
                      <wps:cNvSpPr/>
                      <wps:spPr>
                        <a:xfrm>
                          <a:off x="0" y="0"/>
                          <a:ext cx="2540000" cy="13119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
                            <w:r>
                              <w:rPr>
                                <w:rFonts w:hint="eastAsia"/>
                              </w:rPr>
                              <w:t xml:space="preserve">         法人身份证复印件反面</w:t>
                            </w:r>
                          </w:p>
                        </w:txbxContent>
                      </wps:txbx>
                      <wps:bodyPr upright="1"/>
                    </wps:wsp>
                  </a:graphicData>
                </a:graphic>
              </wp:anchor>
            </w:drawing>
          </mc:Choice>
          <mc:Fallback>
            <w:pict>
              <v:rect id="_x0000_s1026" o:spid="_x0000_s1026" o:spt="1" style="position:absolute;left:0pt;margin-left:141.5pt;margin-top:11.55pt;height:103.3pt;width:200pt;z-index:251663360;mso-width-relative:page;mso-height-relative:page;" fillcolor="#FFFFFF" filled="t" stroked="t" coordsize="21600,21600" o:gfxdata="UEsDBAoAAAAAAIdO4kAAAAAAAAAAAAAAAAAEAAAAZHJzL1BLAwQUAAAACACHTuJAA33SFdcAAAAK&#10;AQAADwAAAGRycy9kb3ducmV2LnhtbE2PMU/DMBCFdyT+g3VIbNROIpU2xOkAKhJjmy5sl/hIArEd&#10;xU4b+PUcLLDdvXt6971it9hBnGkKvXcakpUCQa7xpnethlO1v9uACBGdwcE70vBJAXbl9VWBufEX&#10;d6DzMbaCQ1zIUUMX45hLGZqOLIaVH8nx7c1PFiOvUyvNhBcOt4NMlVpLi73jDx2O9NhR83GcrYa6&#10;T0/4daield3us/iyVO/z65PWtzeJegARaYl/ZvjBZ3Qoman2szNBDBrSTcZdIg9ZAoIN61+hZiHd&#10;3oMsC/m/QvkNUEsDBBQAAAAIAIdO4kBfxZviBAIAACoEAAAOAAAAZHJzL2Uyb0RvYy54bWytU82O&#10;0zAQviPxDpbvNE2haDdqugdKuSBYaZcHmDpOYsl/8rhN+jRI3HgIHgfxGoyd0v2BQw/kkIzj8Tff&#10;9814dTMazQ4yoHK25uVszpm0wjXKdjX/cr99dcUZRrANaGdlzY8S+c365YvV4Cu5cL3TjQyMQCxW&#10;g695H6OvigJFLw3gzHlpabN1wUCkZeiKJsBA6EYXi/n8bTG40PjghESkv5tpk58QwyWArm2VkBsn&#10;9kbaOKEGqSGSJOyVR77ObNtWivi5bVFGpmtOSmN+UxGKd+ldrFdQdQF8r8SJAlxC4ZkmA8pS0TPU&#10;BiKwfVB/QRklgkPXxplwppiEZEdIRTl/5s1dD15mLWQ1+rPp+P9gxafDbWCqqTm13YKhhv/6+v3n&#10;j2/sKnkzeKwo5c7fhtMKKUxCxzaY9CUJbMx+Hs9+yjEyQT8XyzdzejgTtFe+LsvrMjtePBz3AeMH&#10;6QxLQc0DNSz7CIePGKkkpf5JSdXQadVsldZ5EbrdOx3YAai52/wkznTkSZq2bKj59XKxJCJAE9vS&#10;pFBoPKlG2+V6T07gY+CkgDT8AzgR2wD2E4GMkNKgMirK5BdUvYTmvW1YPHpy1tKF4omMkQ1nWtL9&#10;S1HOjKD0JZmkTlsSmToz9SJFcdyNBJPCnWuO1NK9D6rrydIyU087NELZndO4pxl9vM6gD1d8/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DfdIV1wAAAAoBAAAPAAAAAAAAAAEAIAAAACIAAABkcnMv&#10;ZG93bnJldi54bWxQSwECFAAUAAAACACHTuJAX8Wb4gQCAAAqBAAADgAAAAAAAAABACAAAAAmAQAA&#10;ZHJzL2Uyb0RvYy54bWxQSwUGAAAAAAYABgBZAQAAnAUAAAAA&#10;">
                <v:fill on="t" focussize="0,0"/>
                <v:stroke color="#000000" joinstyle="miter"/>
                <v:imagedata o:title=""/>
                <o:lock v:ext="edit" aspectratio="f"/>
                <v:textbox>
                  <w:txbxContent>
                    <w:p>
                      <w:pPr>
                        <w:jc w:val="center"/>
                      </w:pPr>
                    </w:p>
                    <w:p/>
                    <w:p>
                      <w:r>
                        <w:rPr>
                          <w:rFonts w:hint="eastAsia"/>
                        </w:rPr>
                        <w:t xml:space="preserve">         法人身份证复印件反面</w:t>
                      </w:r>
                    </w:p>
                  </w:txbxContent>
                </v:textbox>
              </v:rect>
            </w:pict>
          </mc:Fallback>
        </mc:AlternateContent>
      </w:r>
    </w:p>
    <w:p>
      <w:pPr>
        <w:shd w:val="clear" w:color="auto" w:fill="FFFFFF"/>
        <w:snapToGrid w:val="0"/>
        <w:spacing w:line="360" w:lineRule="auto"/>
        <w:ind w:firstLine="4200" w:firstLineChars="2000"/>
        <w:rPr>
          <w:rFonts w:ascii="Tahoma" w:hAnsi="Tahoma" w:eastAsia="新宋体" w:cs="Tahoma"/>
          <w:color w:val="000000" w:themeColor="text1"/>
          <w:kern w:val="0"/>
          <w:szCs w:val="21"/>
          <w:highlight w:val="none"/>
          <w14:textFill>
            <w14:solidFill>
              <w14:schemeClr w14:val="tx1"/>
            </w14:solidFill>
          </w14:textFill>
        </w:rPr>
      </w:pPr>
    </w:p>
    <w:p>
      <w:pPr>
        <w:shd w:val="clear" w:color="auto" w:fill="FFFFFF"/>
        <w:snapToGrid w:val="0"/>
        <w:spacing w:line="360" w:lineRule="auto"/>
        <w:ind w:firstLine="4200" w:firstLineChars="2000"/>
        <w:rPr>
          <w:rFonts w:ascii="Tahoma" w:hAnsi="Tahoma" w:eastAsia="新宋体" w:cs="Tahoma"/>
          <w:color w:val="000000" w:themeColor="text1"/>
          <w:kern w:val="0"/>
          <w:szCs w:val="21"/>
          <w:highlight w:val="none"/>
          <w14:textFill>
            <w14:solidFill>
              <w14:schemeClr w14:val="tx1"/>
            </w14:solidFill>
          </w14:textFill>
        </w:rPr>
      </w:pPr>
    </w:p>
    <w:p>
      <w:pPr>
        <w:shd w:val="clear" w:color="auto" w:fill="FFFFFF"/>
        <w:snapToGrid w:val="0"/>
        <w:spacing w:line="360" w:lineRule="auto"/>
        <w:ind w:firstLine="4200" w:firstLineChars="2000"/>
        <w:rPr>
          <w:rFonts w:ascii="Tahoma" w:hAnsi="Tahoma" w:eastAsia="新宋体" w:cs="Tahoma"/>
          <w:color w:val="000000" w:themeColor="text1"/>
          <w:kern w:val="0"/>
          <w:szCs w:val="21"/>
          <w:highlight w:val="none"/>
          <w14:textFill>
            <w14:solidFill>
              <w14:schemeClr w14:val="tx1"/>
            </w14:solidFill>
          </w14:textFill>
        </w:rPr>
      </w:pPr>
    </w:p>
    <w:p>
      <w:pPr>
        <w:shd w:val="clear" w:color="auto" w:fill="FFFFFF"/>
        <w:snapToGrid w:val="0"/>
        <w:spacing w:line="360" w:lineRule="auto"/>
        <w:ind w:firstLine="4200" w:firstLineChars="2000"/>
        <w:rPr>
          <w:rFonts w:ascii="Tahoma" w:hAnsi="Tahoma" w:eastAsia="新宋体" w:cs="Tahoma"/>
          <w:color w:val="000000" w:themeColor="text1"/>
          <w:kern w:val="0"/>
          <w:szCs w:val="21"/>
          <w:highlight w:val="none"/>
          <w14:textFill>
            <w14:solidFill>
              <w14:schemeClr w14:val="tx1"/>
            </w14:solidFill>
          </w14:textFill>
        </w:rPr>
      </w:pPr>
    </w:p>
    <w:p>
      <w:pPr>
        <w:shd w:val="clear" w:color="auto" w:fill="FFFFFF"/>
        <w:snapToGrid w:val="0"/>
        <w:spacing w:line="360" w:lineRule="auto"/>
        <w:ind w:firstLine="4200" w:firstLineChars="2000"/>
        <w:rPr>
          <w:rFonts w:ascii="Tahoma" w:hAnsi="Tahoma" w:eastAsia="新宋体" w:cs="Tahoma"/>
          <w:color w:val="000000" w:themeColor="text1"/>
          <w:kern w:val="0"/>
          <w:szCs w:val="21"/>
          <w:highlight w:val="none"/>
          <w14:textFill>
            <w14:solidFill>
              <w14:schemeClr w14:val="tx1"/>
            </w14:solidFill>
          </w14:textFill>
        </w:rPr>
      </w:pPr>
    </w:p>
    <w:p>
      <w:pPr>
        <w:shd w:val="clear" w:color="auto" w:fill="FFFFFF"/>
        <w:snapToGrid w:val="0"/>
        <w:spacing w:line="360" w:lineRule="auto"/>
        <w:ind w:firstLine="4200" w:firstLineChars="2000"/>
        <w:rPr>
          <w:rFonts w:ascii="Tahoma" w:hAnsi="Tahoma" w:eastAsia="新宋体" w:cs="Tahoma"/>
          <w:color w:val="000000" w:themeColor="text1"/>
          <w:kern w:val="0"/>
          <w:szCs w:val="21"/>
          <w:highlight w:val="none"/>
          <w14:textFill>
            <w14:solidFill>
              <w14:schemeClr w14:val="tx1"/>
            </w14:solidFill>
          </w14:textFill>
        </w:rPr>
      </w:pPr>
    </w:p>
    <w:p>
      <w:pPr>
        <w:shd w:val="clear" w:color="auto" w:fill="FFFFFF"/>
        <w:snapToGrid w:val="0"/>
        <w:spacing w:line="360" w:lineRule="auto"/>
        <w:ind w:firstLine="4725" w:firstLineChars="2250"/>
        <w:rPr>
          <w:rFonts w:ascii="Tahoma" w:hAnsi="Tahoma" w:eastAsia="新宋体" w:cs="Tahoma"/>
          <w:color w:val="000000" w:themeColor="text1"/>
          <w:kern w:val="0"/>
          <w:szCs w:val="21"/>
          <w:highlight w:val="none"/>
          <w:u w:val="single"/>
          <w14:textFill>
            <w14:solidFill>
              <w14:schemeClr w14:val="tx1"/>
            </w14:solidFill>
          </w14:textFill>
        </w:rPr>
      </w:pPr>
      <w:r>
        <w:rPr>
          <w:rFonts w:ascii="Tahoma" w:hAnsi="Tahoma" w:eastAsia="新宋体" w:cs="Tahoma"/>
          <w:color w:val="000000" w:themeColor="text1"/>
          <w:kern w:val="0"/>
          <w:szCs w:val="21"/>
          <w:highlight w:val="none"/>
          <w14:textFill>
            <w14:solidFill>
              <w14:schemeClr w14:val="tx1"/>
            </w14:solidFill>
          </w14:textFill>
        </w:rPr>
        <w:t>供应商：</w:t>
      </w:r>
      <w:r>
        <w:rPr>
          <w:rFonts w:ascii="Tahoma" w:hAnsi="Tahoma" w:eastAsia="新宋体" w:cs="Tahoma"/>
          <w:color w:val="000000" w:themeColor="text1"/>
          <w:kern w:val="0"/>
          <w:szCs w:val="21"/>
          <w:highlight w:val="none"/>
          <w:u w:val="single"/>
          <w14:textFill>
            <w14:solidFill>
              <w14:schemeClr w14:val="tx1"/>
            </w14:solidFill>
          </w14:textFill>
        </w:rPr>
        <w:t xml:space="preserve">          （盖单位章）         </w:t>
      </w:r>
    </w:p>
    <w:p>
      <w:pPr>
        <w:shd w:val="clear" w:color="auto" w:fill="FFFFFF"/>
        <w:snapToGrid w:val="0"/>
        <w:spacing w:line="360" w:lineRule="auto"/>
        <w:ind w:firstLine="4515" w:firstLineChars="2150"/>
        <w:rPr>
          <w:rFonts w:ascii="Tahoma" w:hAnsi="Tahoma" w:eastAsia="新宋体" w:cs="Tahoma"/>
          <w:color w:val="000000" w:themeColor="text1"/>
          <w:kern w:val="0"/>
          <w:szCs w:val="21"/>
          <w:highlight w:val="none"/>
          <w:u w:val="single"/>
          <w14:textFill>
            <w14:solidFill>
              <w14:schemeClr w14:val="tx1"/>
            </w14:solidFill>
          </w14:textFill>
        </w:rPr>
      </w:pPr>
    </w:p>
    <w:p>
      <w:pPr>
        <w:shd w:val="clear" w:color="auto" w:fill="FFFFFF"/>
        <w:snapToGrid w:val="0"/>
        <w:spacing w:line="360" w:lineRule="auto"/>
        <w:ind w:firstLine="5460" w:firstLineChars="2600"/>
        <w:rPr>
          <w:rFonts w:ascii="Tahoma" w:hAnsi="Tahoma" w:eastAsia="新宋体" w:cs="Tahoma"/>
          <w:color w:val="000000" w:themeColor="text1"/>
          <w:kern w:val="0"/>
          <w:szCs w:val="21"/>
          <w:highlight w:val="none"/>
          <w14:textFill>
            <w14:solidFill>
              <w14:schemeClr w14:val="tx1"/>
            </w14:solidFill>
          </w14:textFill>
        </w:rPr>
      </w:pPr>
      <w:r>
        <w:rPr>
          <w:rFonts w:ascii="Tahoma" w:hAnsi="Tahoma" w:eastAsia="新宋体" w:cs="Tahoma"/>
          <w:color w:val="000000" w:themeColor="text1"/>
          <w:kern w:val="0"/>
          <w:szCs w:val="21"/>
          <w:highlight w:val="none"/>
          <w:u w:val="single"/>
          <w14:textFill>
            <w14:solidFill>
              <w14:schemeClr w14:val="tx1"/>
            </w14:solidFill>
          </w14:textFill>
        </w:rPr>
        <w:t xml:space="preserve">            </w:t>
      </w:r>
      <w:r>
        <w:rPr>
          <w:rFonts w:ascii="Tahoma" w:hAnsi="Tahoma" w:eastAsia="新宋体" w:cs="Tahoma"/>
          <w:color w:val="000000" w:themeColor="text1"/>
          <w:kern w:val="0"/>
          <w:szCs w:val="21"/>
          <w:highlight w:val="none"/>
          <w14:textFill>
            <w14:solidFill>
              <w14:schemeClr w14:val="tx1"/>
            </w14:solidFill>
          </w14:textFill>
        </w:rPr>
        <w:t>年</w:t>
      </w:r>
      <w:r>
        <w:rPr>
          <w:rFonts w:ascii="Tahoma" w:hAnsi="Tahoma" w:eastAsia="新宋体" w:cs="Tahoma"/>
          <w:color w:val="000000" w:themeColor="text1"/>
          <w:kern w:val="0"/>
          <w:szCs w:val="21"/>
          <w:highlight w:val="none"/>
          <w:u w:val="single"/>
          <w14:textFill>
            <w14:solidFill>
              <w14:schemeClr w14:val="tx1"/>
            </w14:solidFill>
          </w14:textFill>
        </w:rPr>
        <w:t xml:space="preserve">    </w:t>
      </w:r>
      <w:r>
        <w:rPr>
          <w:rFonts w:ascii="Tahoma" w:hAnsi="Tahoma" w:eastAsia="新宋体" w:cs="Tahoma"/>
          <w:color w:val="000000" w:themeColor="text1"/>
          <w:kern w:val="0"/>
          <w:szCs w:val="21"/>
          <w:highlight w:val="none"/>
          <w14:textFill>
            <w14:solidFill>
              <w14:schemeClr w14:val="tx1"/>
            </w14:solidFill>
          </w14:textFill>
        </w:rPr>
        <w:t>月</w:t>
      </w:r>
      <w:r>
        <w:rPr>
          <w:rFonts w:ascii="Tahoma" w:hAnsi="Tahoma" w:eastAsia="新宋体" w:cs="Tahoma"/>
          <w:color w:val="000000" w:themeColor="text1"/>
          <w:kern w:val="0"/>
          <w:szCs w:val="21"/>
          <w:highlight w:val="none"/>
          <w:u w:val="single"/>
          <w14:textFill>
            <w14:solidFill>
              <w14:schemeClr w14:val="tx1"/>
            </w14:solidFill>
          </w14:textFill>
        </w:rPr>
        <w:t xml:space="preserve">     </w:t>
      </w:r>
      <w:r>
        <w:rPr>
          <w:rFonts w:ascii="Tahoma" w:hAnsi="Tahoma" w:eastAsia="新宋体" w:cs="Tahoma"/>
          <w:color w:val="000000" w:themeColor="text1"/>
          <w:kern w:val="0"/>
          <w:szCs w:val="21"/>
          <w:highlight w:val="none"/>
          <w14:textFill>
            <w14:solidFill>
              <w14:schemeClr w14:val="tx1"/>
            </w14:solidFill>
          </w14:textFill>
        </w:rPr>
        <w:t>日</w:t>
      </w:r>
    </w:p>
    <w:p>
      <w:pPr>
        <w:pStyle w:val="27"/>
        <w:jc w:val="center"/>
        <w:rPr>
          <w:rFonts w:ascii="Tahoma" w:hAnsi="Tahoma" w:eastAsia="黑体" w:cs="Tahoma"/>
          <w:b/>
          <w:color w:val="000000" w:themeColor="text1"/>
          <w:szCs w:val="28"/>
          <w:highlight w:val="none"/>
          <w14:textFill>
            <w14:solidFill>
              <w14:schemeClr w14:val="tx1"/>
            </w14:solidFill>
          </w14:textFill>
        </w:rPr>
      </w:pPr>
    </w:p>
    <w:p>
      <w:pPr>
        <w:pStyle w:val="27"/>
        <w:jc w:val="center"/>
        <w:rPr>
          <w:rFonts w:ascii="Tahoma" w:hAnsi="Tahoma" w:eastAsia="黑体" w:cs="Tahoma"/>
          <w:b/>
          <w:color w:val="000000" w:themeColor="text1"/>
          <w:szCs w:val="28"/>
          <w:highlight w:val="none"/>
          <w14:textFill>
            <w14:solidFill>
              <w14:schemeClr w14:val="tx1"/>
            </w14:solidFill>
          </w14:textFill>
        </w:rPr>
      </w:pPr>
    </w:p>
    <w:p>
      <w:pPr>
        <w:spacing w:line="240" w:lineRule="exact"/>
        <w:rPr>
          <w:rFonts w:ascii="Tahoma" w:hAnsi="Tahoma" w:cs="Tahoma"/>
          <w:color w:val="000000" w:themeColor="text1"/>
          <w:sz w:val="24"/>
          <w:highlight w:val="none"/>
          <w14:textFill>
            <w14:solidFill>
              <w14:schemeClr w14:val="tx1"/>
            </w14:solidFill>
          </w14:textFill>
        </w:rPr>
      </w:pPr>
      <w:r>
        <w:rPr>
          <w:rFonts w:ascii="Tahoma" w:hAnsi="Tahoma" w:eastAsia="黑体" w:cs="Tahoma"/>
          <w:b/>
          <w:color w:val="000000" w:themeColor="text1"/>
          <w:szCs w:val="21"/>
          <w:highlight w:val="none"/>
          <w14:textFill>
            <w14:solidFill>
              <w14:schemeClr w14:val="tx1"/>
            </w14:solidFill>
          </w14:textFill>
        </w:rPr>
        <w:t>说明：本证明文件用于供应商法定代表人出席开标会，并须按此格式提供。</w:t>
      </w:r>
    </w:p>
    <w:p>
      <w:pPr>
        <w:pStyle w:val="27"/>
        <w:jc w:val="center"/>
        <w:rPr>
          <w:rFonts w:ascii="Tahoma" w:hAnsi="Tahoma" w:cs="Tahoma"/>
          <w:b/>
          <w:color w:val="000000" w:themeColor="text1"/>
          <w:sz w:val="32"/>
          <w:highlight w:val="none"/>
          <w14:textFill>
            <w14:solidFill>
              <w14:schemeClr w14:val="tx1"/>
            </w14:solidFill>
          </w14:textFill>
        </w:rPr>
      </w:pPr>
    </w:p>
    <w:p>
      <w:pPr>
        <w:spacing w:line="360" w:lineRule="auto"/>
        <w:jc w:val="center"/>
        <w:rPr>
          <w:rFonts w:ascii="Tahoma" w:hAnsi="Tahoma" w:eastAsia="黑体" w:cs="Tahoma"/>
          <w:b/>
          <w:color w:val="000000" w:themeColor="text1"/>
          <w:sz w:val="32"/>
          <w:highlight w:val="none"/>
          <w14:textFill>
            <w14:solidFill>
              <w14:schemeClr w14:val="tx1"/>
            </w14:solidFill>
          </w14:textFill>
        </w:rPr>
      </w:pPr>
    </w:p>
    <w:p>
      <w:pPr>
        <w:spacing w:line="360" w:lineRule="auto"/>
        <w:jc w:val="center"/>
        <w:rPr>
          <w:rFonts w:ascii="Tahoma" w:hAnsi="Tahoma" w:eastAsia="黑体" w:cs="Tahoma"/>
          <w:b/>
          <w:color w:val="000000" w:themeColor="text1"/>
          <w:sz w:val="32"/>
          <w:highlight w:val="none"/>
          <w14:textFill>
            <w14:solidFill>
              <w14:schemeClr w14:val="tx1"/>
            </w14:solidFill>
          </w14:textFill>
        </w:rPr>
      </w:pPr>
    </w:p>
    <w:p>
      <w:pPr>
        <w:jc w:val="center"/>
        <w:rPr>
          <w:rFonts w:ascii="Tahoma" w:hAnsi="Tahoma" w:eastAsia="黑体" w:cs="Tahoma"/>
          <w:b/>
          <w:bCs/>
          <w:color w:val="000000" w:themeColor="text1"/>
          <w:kern w:val="0"/>
          <w:sz w:val="28"/>
          <w:szCs w:val="28"/>
          <w:highlight w:val="none"/>
          <w14:textFill>
            <w14:solidFill>
              <w14:schemeClr w14:val="tx1"/>
            </w14:solidFill>
          </w14:textFill>
        </w:rPr>
      </w:pPr>
      <w:bookmarkStart w:id="250" w:name="_Toc152045793"/>
      <w:bookmarkStart w:id="251" w:name="_Toc152042582"/>
      <w:bookmarkStart w:id="252" w:name="_Toc179632813"/>
      <w:r>
        <w:rPr>
          <w:rFonts w:hint="eastAsia" w:ascii="Tahoma" w:hAnsi="Tahoma" w:eastAsia="黑体" w:cs="Tahoma"/>
          <w:b/>
          <w:bCs/>
          <w:color w:val="000000" w:themeColor="text1"/>
          <w:kern w:val="0"/>
          <w:sz w:val="28"/>
          <w:szCs w:val="28"/>
          <w:highlight w:val="none"/>
          <w14:textFill>
            <w14:solidFill>
              <w14:schemeClr w14:val="tx1"/>
            </w14:solidFill>
          </w14:textFill>
        </w:rPr>
        <w:t>（四）</w:t>
      </w:r>
      <w:r>
        <w:rPr>
          <w:rFonts w:ascii="Tahoma" w:hAnsi="Tahoma" w:eastAsia="黑体" w:cs="Tahoma"/>
          <w:b/>
          <w:bCs/>
          <w:color w:val="000000" w:themeColor="text1"/>
          <w:kern w:val="0"/>
          <w:sz w:val="28"/>
          <w:szCs w:val="28"/>
          <w:highlight w:val="none"/>
          <w14:textFill>
            <w14:solidFill>
              <w14:schemeClr w14:val="tx1"/>
            </w14:solidFill>
          </w14:textFill>
        </w:rPr>
        <w:t>法定代表人授权委托书</w:t>
      </w:r>
    </w:p>
    <w:p>
      <w:pPr>
        <w:spacing w:line="400" w:lineRule="exact"/>
        <w:ind w:firstLine="420" w:firstLineChars="200"/>
        <w:rPr>
          <w:rFonts w:ascii="宋体" w:hAnsi="宋体"/>
          <w:color w:val="000000" w:themeColor="text1"/>
          <w:szCs w:val="21"/>
          <w:highlight w:val="none"/>
          <w14:textFill>
            <w14:solidFill>
              <w14:schemeClr w14:val="tx1"/>
            </w14:solidFill>
          </w14:textFill>
        </w:rPr>
      </w:pP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致：</w:t>
      </w:r>
      <w:r>
        <w:rPr>
          <w:rFonts w:hint="eastAsia" w:ascii="宋体" w:hAnsi="宋体"/>
          <w:color w:val="000000" w:themeColor="text1"/>
          <w:szCs w:val="21"/>
          <w:highlight w:val="none"/>
          <w:u w:val="single"/>
          <w14:textFill>
            <w14:solidFill>
              <w14:schemeClr w14:val="tx1"/>
            </w14:solidFill>
          </w14:textFill>
        </w:rPr>
        <w:t xml:space="preserve">         发包人名称        </w:t>
      </w:r>
      <w:r>
        <w:rPr>
          <w:rFonts w:hint="eastAsia" w:ascii="宋体" w:hAnsi="宋体"/>
          <w:color w:val="000000" w:themeColor="text1"/>
          <w:szCs w:val="21"/>
          <w:highlight w:val="none"/>
          <w14:textFill>
            <w14:solidFill>
              <w14:schemeClr w14:val="tx1"/>
            </w14:solidFill>
          </w14:textFill>
        </w:rPr>
        <w:t>：</w:t>
      </w:r>
    </w:p>
    <w:p>
      <w:pPr>
        <w:pStyle w:val="13"/>
        <w:snapToGrid w:val="0"/>
        <w:spacing w:line="400" w:lineRule="exact"/>
        <w:ind w:firstLine="420" w:firstLineChars="200"/>
        <w:rPr>
          <w:rFonts w:hAnsi="宋体"/>
          <w:color w:val="000000" w:themeColor="text1"/>
          <w:szCs w:val="21"/>
          <w:highlight w:val="none"/>
          <w14:textFill>
            <w14:solidFill>
              <w14:schemeClr w14:val="tx1"/>
            </w14:solidFill>
          </w14:textFill>
        </w:rPr>
      </w:pPr>
    </w:p>
    <w:p>
      <w:pPr>
        <w:pStyle w:val="13"/>
        <w:snapToGrid w:val="0"/>
        <w:spacing w:line="400" w:lineRule="exact"/>
        <w:ind w:firstLine="420" w:firstLineChars="200"/>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本人</w:t>
      </w:r>
      <w:r>
        <w:rPr>
          <w:rFonts w:hint="eastAsia" w:hAnsi="宋体"/>
          <w:color w:val="000000" w:themeColor="text1"/>
          <w:szCs w:val="21"/>
          <w:highlight w:val="none"/>
          <w:u w:val="single"/>
          <w14:textFill>
            <w14:solidFill>
              <w14:schemeClr w14:val="tx1"/>
            </w14:solidFill>
          </w14:textFill>
        </w:rPr>
        <w:t xml:space="preserve">      姓名        </w:t>
      </w:r>
      <w:r>
        <w:rPr>
          <w:rFonts w:hint="eastAsia" w:hAnsi="宋体"/>
          <w:color w:val="000000" w:themeColor="text1"/>
          <w:szCs w:val="21"/>
          <w:highlight w:val="none"/>
          <w14:textFill>
            <w14:solidFill>
              <w14:schemeClr w14:val="tx1"/>
            </w14:solidFill>
          </w14:textFill>
        </w:rPr>
        <w:t>系</w:t>
      </w:r>
      <w:r>
        <w:rPr>
          <w:rFonts w:hint="eastAsia" w:hAnsi="宋体"/>
          <w:color w:val="000000" w:themeColor="text1"/>
          <w:szCs w:val="21"/>
          <w:highlight w:val="none"/>
          <w:u w:val="single"/>
          <w14:textFill>
            <w14:solidFill>
              <w14:schemeClr w14:val="tx1"/>
            </w14:solidFill>
          </w14:textFill>
        </w:rPr>
        <w:t xml:space="preserve">        （投标人全称）        的</w:t>
      </w:r>
      <w:r>
        <w:rPr>
          <w:rFonts w:hint="eastAsia" w:hAnsi="宋体"/>
          <w:color w:val="000000" w:themeColor="text1"/>
          <w:szCs w:val="21"/>
          <w:highlight w:val="none"/>
          <w14:textFill>
            <w14:solidFill>
              <w14:schemeClr w14:val="tx1"/>
            </w14:solidFill>
          </w14:textFill>
        </w:rPr>
        <w:t>法定代表人授权我公司</w:t>
      </w:r>
      <w:r>
        <w:rPr>
          <w:rFonts w:hint="eastAsia" w:hAnsi="宋体"/>
          <w:color w:val="000000" w:themeColor="text1"/>
          <w:szCs w:val="21"/>
          <w:highlight w:val="none"/>
          <w:u w:val="single"/>
          <w14:textFill>
            <w14:solidFill>
              <w14:schemeClr w14:val="tx1"/>
            </w14:solidFill>
          </w14:textFill>
        </w:rPr>
        <w:t xml:space="preserve">   （投标人代表姓名）  </w:t>
      </w:r>
      <w:r>
        <w:rPr>
          <w:rFonts w:hint="eastAsia" w:hAnsi="宋体"/>
          <w:color w:val="000000" w:themeColor="text1"/>
          <w:szCs w:val="21"/>
          <w:highlight w:val="none"/>
          <w14:textFill>
            <w14:solidFill>
              <w14:schemeClr w14:val="tx1"/>
            </w14:solidFill>
          </w14:textFill>
        </w:rPr>
        <w:t>为投标人代表，代表本公司参加贵司组织的</w:t>
      </w:r>
      <w:r>
        <w:rPr>
          <w:rFonts w:hint="eastAsia" w:hAnsi="宋体"/>
          <w:color w:val="000000" w:themeColor="text1"/>
          <w:szCs w:val="21"/>
          <w:highlight w:val="none"/>
          <w:u w:val="single"/>
          <w14:textFill>
            <w14:solidFill>
              <w14:schemeClr w14:val="tx1"/>
            </w14:solidFill>
          </w14:textFill>
        </w:rPr>
        <w:t xml:space="preserve">       项目名称、招标编号        </w:t>
      </w:r>
      <w:r>
        <w:rPr>
          <w:rFonts w:hint="eastAsia" w:hAnsi="宋体"/>
          <w:color w:val="000000" w:themeColor="text1"/>
          <w:szCs w:val="21"/>
          <w:highlight w:val="none"/>
          <w14:textFill>
            <w14:solidFill>
              <w14:schemeClr w14:val="tx1"/>
            </w14:solidFill>
          </w14:textFill>
        </w:rPr>
        <w:t>）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托权。特此授权。</w:t>
      </w:r>
    </w:p>
    <w:p>
      <w:pPr>
        <w:pStyle w:val="13"/>
        <w:snapToGrid w:val="0"/>
        <w:spacing w:line="400" w:lineRule="exact"/>
        <w:ind w:firstLine="420" w:firstLineChars="200"/>
        <w:rPr>
          <w:rFonts w:ascii="Tahoma" w:hAnsi="Tahoma" w:cs="Tahoma"/>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本授权书自出具之日起生效。</w:t>
      </w:r>
    </w:p>
    <w:p>
      <w:pPr>
        <w:ind w:left="126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3217545</wp:posOffset>
                </wp:positionH>
                <wp:positionV relativeFrom="paragraph">
                  <wp:posOffset>19050</wp:posOffset>
                </wp:positionV>
                <wp:extent cx="2633980" cy="1311910"/>
                <wp:effectExtent l="4445" t="4445" r="13335" b="9525"/>
                <wp:wrapNone/>
                <wp:docPr id="4" name="矩形 4"/>
                <wp:cNvGraphicFramePr/>
                <a:graphic xmlns:a="http://schemas.openxmlformats.org/drawingml/2006/main">
                  <a:graphicData uri="http://schemas.microsoft.com/office/word/2010/wordprocessingShape">
                    <wps:wsp>
                      <wps:cNvSpPr/>
                      <wps:spPr>
                        <a:xfrm>
                          <a:off x="0" y="0"/>
                          <a:ext cx="2633980" cy="1311910"/>
                        </a:xfrm>
                        <a:prstGeom prst="rect">
                          <a:avLst/>
                        </a:prstGeom>
                        <a:solidFill>
                          <a:srgbClr val="FFFFFF"/>
                        </a:solidFill>
                        <a:ln w="9525" cap="flat" cmpd="sng">
                          <a:solidFill>
                            <a:srgbClr val="000000"/>
                          </a:solidFill>
                          <a:prstDash val="solid"/>
                          <a:miter/>
                          <a:headEnd type="none" w="med" len="med"/>
                          <a:tailEnd type="none" w="med" len="med"/>
                        </a:ln>
                      </wps:spPr>
                      <wps:txbx>
                        <w:txbxContent>
                          <w:p/>
                          <w:p>
                            <w:pPr>
                              <w:jc w:val="center"/>
                            </w:pPr>
                          </w:p>
                          <w:p>
                            <w:r>
                              <w:rPr>
                                <w:rFonts w:hint="eastAsia"/>
                              </w:rPr>
                              <w:t xml:space="preserve">       授权代表身份证复印件正面</w:t>
                            </w:r>
                          </w:p>
                        </w:txbxContent>
                      </wps:txbx>
                      <wps:bodyPr upright="1"/>
                    </wps:wsp>
                  </a:graphicData>
                </a:graphic>
              </wp:anchor>
            </w:drawing>
          </mc:Choice>
          <mc:Fallback>
            <w:pict>
              <v:rect id="_x0000_s1026" o:spid="_x0000_s1026" o:spt="1" style="position:absolute;left:0pt;margin-left:253.35pt;margin-top:1.5pt;height:103.3pt;width:207.4pt;z-index:251660288;mso-width-relative:page;mso-height-relative:page;" fillcolor="#FFFFFF" filled="t" stroked="t" coordsize="21600,21600" o:gfxdata="UEsDBAoAAAAAAIdO4kAAAAAAAAAAAAAAAAAEAAAAZHJzL1BLAwQUAAAACACHTuJA3/1RctcAAAAJ&#10;AQAADwAAAGRycy9kb3ducmV2LnhtbE2PQU+DQBSE7yb+h80z8WZ3oSkKZelBUxOPLb14e8AroOxb&#10;wi4t+utdT3qczGTmm3y3mEFcaHK9ZQ3RSoEgrm3Tc6vhVO4fnkA4j9zgYJk0fJGDXXF7k2PW2Csf&#10;6HL0rQgl7DLU0Hk/ZlK6uiODbmVH4uCd7WTQBzm1spnwGsrNIGOlEmmw57DQ4UjPHdWfx9loqPr4&#10;hN+H8lWZdL/2b0v5Mb+/aH1/F6ktCE+L/wvDL35AhyIwVXbmxolBw0YljyGqYR0uBT+Now2ISkOs&#10;0gRkkcv/D4ofUEsDBBQAAAAIAIdO4kCsF7T3BQIAACoEAAAOAAAAZHJzL2Uyb0RvYy54bWytU82O&#10;0zAQviPxDpbvNE27u9pGTfdAKRcEKy08wNRxEkv+k8dt0qdB4sZD8DiI12Dslu4PHHogh2Qcj7/5&#10;vm/Gy7vRaLaXAZWzNS8nU86kFa5Rtqv5l8+bN7ecYQTbgHZW1vwgkd+tXr9aDr6SM9c73cjACMRi&#10;Nfia9zH6qihQ9NIATpyXljZbFwxEWoauaAIMhG50MZtOb4rBhcYHJyQi/V0fN/kJMVwC6NpWCbl2&#10;YmekjUfUIDVEkoS98shXmW3bShE/tS3KyHTNSWnMbypC8Ta9i9USqi6A75U4UYBLKLzQZEBZKnqG&#10;WkMEtgvqLyijRHDo2jgRzhRHIdkRUlFOX3jz0IOXWQtZjf5sOv4/WPFxfx+Yamp+xZkFQw3/9fX7&#10;zx/f2FXyZvBYUcqDvw+nFVKYhI5tMOlLEtiY/Tyc/ZRjZIJ+zm7m88UtWS1or5yX5aLMjhePx33A&#10;+F46w1JQ80ANyz7C/gNGKkmpf1JSNXRaNRuldV6EbvtWB7YHau4mP4kzHXmWpi0bar64nl0TEaCJ&#10;bWlSKDSeVKPtcr1nJ/Ap8DQ//wJOxNaA/ZFARkhpUBkVZfILql5C8842LB48OWvpQvFExsiGMy3p&#10;/qUoZ0ZQ+pJMUqctiUydOfYiRXHcjgSTwq1rDtTSnQ+q68nSMlNPOzRC2Z3TuKcZfbrOoI9XfPU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3/1RctcAAAAJAQAADwAAAAAAAAABACAAAAAiAAAAZHJz&#10;L2Rvd25yZXYueG1sUEsBAhQAFAAAAAgAh07iQKwXtPcFAgAAKgQAAA4AAAAAAAAAAQAgAAAAJgEA&#10;AGRycy9lMm9Eb2MueG1sUEsFBgAAAAAGAAYAWQEAAJ0FAAAAAA==&#10;">
                <v:fill on="t" focussize="0,0"/>
                <v:stroke color="#000000" joinstyle="miter"/>
                <v:imagedata o:title=""/>
                <o:lock v:ext="edit" aspectratio="f"/>
                <v:textbox>
                  <w:txbxContent>
                    <w:p/>
                    <w:p>
                      <w:pPr>
                        <w:jc w:val="center"/>
                      </w:pPr>
                    </w:p>
                    <w:p>
                      <w:r>
                        <w:rPr>
                          <w:rFonts w:hint="eastAsia"/>
                        </w:rPr>
                        <w:t xml:space="preserve">       授权代表身份证复印件正面</w:t>
                      </w:r>
                    </w:p>
                  </w:txbxContent>
                </v:textbox>
              </v:rect>
            </w:pict>
          </mc:Fallback>
        </mc:AlternateContent>
      </w:r>
      <w:r>
        <w:rPr>
          <w:rFonts w:ascii="Tahoma" w:hAnsi="Tahoma" w:cs="Tahoma"/>
          <w:color w:val="000000" w:themeColor="text1"/>
          <w:szCs w:val="21"/>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50800</wp:posOffset>
                </wp:positionV>
                <wp:extent cx="2540000" cy="1311910"/>
                <wp:effectExtent l="5080" t="4445" r="15240" b="9525"/>
                <wp:wrapNone/>
                <wp:docPr id="9" name="矩形 9"/>
                <wp:cNvGraphicFramePr/>
                <a:graphic xmlns:a="http://schemas.openxmlformats.org/drawingml/2006/main">
                  <a:graphicData uri="http://schemas.microsoft.com/office/word/2010/wordprocessingShape">
                    <wps:wsp>
                      <wps:cNvSpPr/>
                      <wps:spPr>
                        <a:xfrm>
                          <a:off x="0" y="0"/>
                          <a:ext cx="2540000" cy="1311910"/>
                        </a:xfrm>
                        <a:prstGeom prst="rect">
                          <a:avLst/>
                        </a:prstGeom>
                        <a:solidFill>
                          <a:srgbClr val="FFFFFF"/>
                        </a:solidFill>
                        <a:ln w="9525" cap="flat" cmpd="sng">
                          <a:solidFill>
                            <a:srgbClr val="000000"/>
                          </a:solidFill>
                          <a:prstDash val="solid"/>
                          <a:miter/>
                          <a:headEnd type="none" w="med" len="med"/>
                          <a:tailEnd type="none" w="med" len="med"/>
                        </a:ln>
                      </wps:spPr>
                      <wps:txbx>
                        <w:txbxContent>
                          <w:p/>
                          <w:p>
                            <w:pPr>
                              <w:jc w:val="center"/>
                            </w:pPr>
                          </w:p>
                          <w:p>
                            <w:r>
                              <w:rPr>
                                <w:rFonts w:hint="eastAsia"/>
                              </w:rPr>
                              <w:t xml:space="preserve">         法人身份证复印件正面</w:t>
                            </w:r>
                          </w:p>
                        </w:txbxContent>
                      </wps:txbx>
                      <wps:bodyPr upright="1"/>
                    </wps:wsp>
                  </a:graphicData>
                </a:graphic>
              </wp:anchor>
            </w:drawing>
          </mc:Choice>
          <mc:Fallback>
            <w:pict>
              <v:rect id="_x0000_s1026" o:spid="_x0000_s1026" o:spt="1" style="position:absolute;left:0pt;margin-left:4.85pt;margin-top:4pt;height:103.3pt;width:200pt;z-index:251659264;mso-width-relative:page;mso-height-relative:page;" fillcolor="#FFFFFF" filled="t" stroked="t" coordsize="21600,21600" o:gfxdata="UEsDBAoAAAAAAIdO4kAAAAAAAAAAAAAAAAAEAAAAZHJzL1BLAwQUAAAACACHTuJAenXAttUAAAAH&#10;AQAADwAAAGRycy9kb3ducmV2LnhtbE2PMU/DMBSEdyT+g/WQ2KidUJU25KUDqEiMbbqwOfEjCcR2&#10;FDtt4NfzOtHxdKe77/LtbHtxojF03iEkCwWCXO1N5xqEY7l7WIMIUTuje+8I4YcCbIvbm1xnxp/d&#10;nk6H2AgucSHTCG2MQyZlqFuyOiz8QI69Tz9aHVmOjTSjPnO57WWq1Epa3TleaPVALy3V34fJIlRd&#10;etS/+/JN2c3uMb7P5df08Yp4f5eoZxCR5vgfhgs+o0PBTJWfnAmiR9g8cRBhzYfYXaqLrhDSZLkC&#10;WeTymr/4A1BLAwQUAAAACACHTuJAZjuaGQMCAAAqBAAADgAAAGRycy9lMm9Eb2MueG1srVPLrtMw&#10;EN0j8Q+W9zRNoYhGTe+CUjYIrnThA6aOk1jySx63Sb8GiR0fwecgfoOxU3ofsOiCLJJxPD5zzpnx&#10;+mY0mh1lQOVszcvZnDNphWuU7Wr+5fPuxRvOMIJtQDsra36SyG82z5+tB1/JheudbmRgBGKxGnzN&#10;+xh9VRQoemkAZ85LS5utCwYiLUNXNAEGQje6WMznr4vBhcYHJyQi/d1Om/yMGK4BdG2rhNw6cTDS&#10;xgk1SA2RJGGvPPJNZtu2UsRPbYsyMl1zUhrzm4pQvE/vYrOGqgvgeyXOFOAaCk80GVCWil6gthCB&#10;HYL6C8ooERy6Ns6EM8UkJDtCKsr5E2/uevAyayGr0V9Mx/8HKz4ebwNTTc1XnFkw1PBfX7///PGN&#10;rZI3g8eKUu78bTivkMIkdGyDSV+SwMbs5+nipxwjE/RzsXw1p4czQXvly7Jcldnx4v64DxjfS2dY&#10;CmoeqGHZRzh+wEglKfVPSqqGTqtmp7TOi9Dt3+rAjkDN3eUncaYjj9K0ZQPJWy6WRARoYluaFAqN&#10;J9Vou1zv0Ql8CJwUkIZ/ACdiW8B+IpARUhpURkWZ/IKql9C8sw2LJ0/OWrpQPJExsuFMS7p/KcqZ&#10;EZS+JpPUaUsiU2emXqQojvuRYFK4d82JWnrwQXU9WVpm6mmHRii7cx73NKMP1xn0/opv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6dcC21QAAAAcBAAAPAAAAAAAAAAEAIAAAACIAAABkcnMvZG93&#10;bnJldi54bWxQSwECFAAUAAAACACHTuJAZjuaGQMCAAAqBAAADgAAAAAAAAABACAAAAAkAQAAZHJz&#10;L2Uyb0RvYy54bWxQSwUGAAAAAAYABgBZAQAAmQUAAAAA&#10;">
                <v:fill on="t" focussize="0,0"/>
                <v:stroke color="#000000" joinstyle="miter"/>
                <v:imagedata o:title=""/>
                <o:lock v:ext="edit" aspectratio="f"/>
                <v:textbox>
                  <w:txbxContent>
                    <w:p/>
                    <w:p>
                      <w:pPr>
                        <w:jc w:val="center"/>
                      </w:pPr>
                    </w:p>
                    <w:p>
                      <w:r>
                        <w:rPr>
                          <w:rFonts w:hint="eastAsia"/>
                        </w:rPr>
                        <w:t xml:space="preserve">         法人身份证复印件正面</w:t>
                      </w:r>
                    </w:p>
                  </w:txbxContent>
                </v:textbox>
              </v:rect>
            </w:pict>
          </mc:Fallback>
        </mc:AlternateContent>
      </w:r>
    </w:p>
    <w:p>
      <w:pPr>
        <w:ind w:left="1260"/>
        <w:rPr>
          <w:rFonts w:ascii="Tahoma" w:hAnsi="Tahoma" w:cs="Tahoma"/>
          <w:color w:val="000000" w:themeColor="text1"/>
          <w:szCs w:val="21"/>
          <w:highlight w:val="none"/>
          <w14:textFill>
            <w14:solidFill>
              <w14:schemeClr w14:val="tx1"/>
            </w14:solidFill>
          </w14:textFill>
        </w:rPr>
      </w:pPr>
    </w:p>
    <w:p>
      <w:pPr>
        <w:ind w:left="1260"/>
        <w:rPr>
          <w:rFonts w:ascii="Tahoma" w:hAnsi="Tahoma" w:cs="Tahoma"/>
          <w:color w:val="000000" w:themeColor="text1"/>
          <w:szCs w:val="21"/>
          <w:highlight w:val="none"/>
          <w14:textFill>
            <w14:solidFill>
              <w14:schemeClr w14:val="tx1"/>
            </w14:solidFill>
          </w14:textFill>
        </w:rPr>
      </w:pPr>
    </w:p>
    <w:p>
      <w:pPr>
        <w:ind w:left="1260"/>
        <w:rPr>
          <w:rFonts w:ascii="Tahoma" w:hAnsi="Tahoma" w:cs="Tahoma"/>
          <w:color w:val="000000" w:themeColor="text1"/>
          <w:szCs w:val="21"/>
          <w:highlight w:val="none"/>
          <w14:textFill>
            <w14:solidFill>
              <w14:schemeClr w14:val="tx1"/>
            </w14:solidFill>
          </w14:textFill>
        </w:rPr>
      </w:pPr>
    </w:p>
    <w:p>
      <w:pPr>
        <w:ind w:left="1260"/>
        <w:rPr>
          <w:rFonts w:ascii="Tahoma" w:hAnsi="Tahoma" w:cs="Tahoma"/>
          <w:color w:val="000000" w:themeColor="text1"/>
          <w:szCs w:val="21"/>
          <w:highlight w:val="none"/>
          <w14:textFill>
            <w14:solidFill>
              <w14:schemeClr w14:val="tx1"/>
            </w14:solidFill>
          </w14:textFill>
        </w:rPr>
      </w:pPr>
    </w:p>
    <w:p>
      <w:pPr>
        <w:ind w:left="1260"/>
        <w:rPr>
          <w:rFonts w:ascii="Tahoma" w:hAnsi="Tahoma" w:cs="Tahoma"/>
          <w:color w:val="000000" w:themeColor="text1"/>
          <w:szCs w:val="21"/>
          <w:highlight w:val="none"/>
          <w14:textFill>
            <w14:solidFill>
              <w14:schemeClr w14:val="tx1"/>
            </w14:solidFill>
          </w14:textFill>
        </w:rPr>
      </w:pPr>
    </w:p>
    <w:p>
      <w:pPr>
        <w:rPr>
          <w:rFonts w:ascii="Tahoma" w:hAnsi="Tahoma" w:cs="Tahoma"/>
          <w:color w:val="000000" w:themeColor="text1"/>
          <w:szCs w:val="21"/>
          <w:highlight w:val="none"/>
          <w14:textFill>
            <w14:solidFill>
              <w14:schemeClr w14:val="tx1"/>
            </w14:solidFill>
          </w14:textFill>
        </w:rPr>
      </w:pPr>
    </w:p>
    <w:p>
      <w:pPr>
        <w:ind w:left="1260"/>
        <w:rPr>
          <w:rFonts w:ascii="Tahoma" w:hAnsi="Tahoma" w:cs="Tahoma"/>
          <w:color w:val="000000" w:themeColor="text1"/>
          <w:szCs w:val="21"/>
          <w:highlight w:val="none"/>
          <w14:textFill>
            <w14:solidFill>
              <w14:schemeClr w14:val="tx1"/>
            </w14:solidFill>
          </w14:textFill>
        </w:rPr>
      </w:pPr>
    </w:p>
    <w:p>
      <w:pPr>
        <w:ind w:left="1260"/>
        <w:rPr>
          <w:rFonts w:ascii="Tahoma" w:hAnsi="Tahoma" w:cs="Tahoma"/>
          <w:color w:val="000000" w:themeColor="text1"/>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132715</wp:posOffset>
                </wp:positionV>
                <wp:extent cx="2540000" cy="1311910"/>
                <wp:effectExtent l="5080" t="4445" r="15240" b="9525"/>
                <wp:wrapNone/>
                <wp:docPr id="6" name="矩形 6"/>
                <wp:cNvGraphicFramePr/>
                <a:graphic xmlns:a="http://schemas.openxmlformats.org/drawingml/2006/main">
                  <a:graphicData uri="http://schemas.microsoft.com/office/word/2010/wordprocessingShape">
                    <wps:wsp>
                      <wps:cNvSpPr/>
                      <wps:spPr>
                        <a:xfrm>
                          <a:off x="0" y="0"/>
                          <a:ext cx="2540000" cy="13119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
                            <w:r>
                              <w:rPr>
                                <w:rFonts w:hint="eastAsia"/>
                              </w:rPr>
                              <w:t xml:space="preserve">         法人身份证复印件反面</w:t>
                            </w:r>
                          </w:p>
                        </w:txbxContent>
                      </wps:txbx>
                      <wps:bodyPr upright="1"/>
                    </wps:wsp>
                  </a:graphicData>
                </a:graphic>
              </wp:anchor>
            </w:drawing>
          </mc:Choice>
          <mc:Fallback>
            <w:pict>
              <v:rect id="_x0000_s1026" o:spid="_x0000_s1026" o:spt="1" style="position:absolute;left:0pt;margin-left:4.85pt;margin-top:10.45pt;height:103.3pt;width:200pt;z-index:251661312;mso-width-relative:page;mso-height-relative:page;" fillcolor="#FFFFFF" filled="t" stroked="t" coordsize="21600,21600" o:gfxdata="UEsDBAoAAAAAAIdO4kAAAAAAAAAAAAAAAAAEAAAAZHJzL1BLAwQUAAAACACHTuJA4xAhOdYAAAAI&#10;AQAADwAAAGRycy9kb3ducmV2LnhtbE2PzU7DMBCE70i8g7VI3Kjd8FOSxukBVCSObXrhtondJBCv&#10;o9hpA0/P9gTHnRnNfpNvZteLkx1D50nDcqFAWKq96ajRcCi3d88gQkQy2HuyGr5tgE1xfZVjZvyZ&#10;dva0j43gEgoZamhjHDIpQ91ah2HhB0vsHf3oMPI5NtKMeOZy18tEqSfpsCP+0OJgX1pbf+0np6Hq&#10;kgP+7Mo35dLtfXyfy8/p41Xr25ulWoOIdo5/YbjgMzoUzFT5iUwQvYZ0xUENiUpBsP2gLkLFQrJ6&#10;BFnk8v+A4hdQSwMEFAAAAAgAh07iQMYjxyAFAgAAKgQAAA4AAABkcnMvZTJvRG9jLnhtbK1TzY7T&#10;MBC+I/EOlu80TaEVGzXdw5ZyQbDSLg8wdZzEkv/kcZv0aZC48RA8DuI1GLul+wOHHjaHZByPv/m+&#10;b8bL69FotpcBlbM1LydTzqQVrlG2q/nX+82b95xhBNuAdlbW/CCRX69ev1oOvpIz1zvdyMAIxGI1&#10;+Jr3MfqqKFD00gBOnJeWNlsXDERahq5oAgyEbnQxm04XxeBC44MTEpH+ro+b/IQYLgF0bauEXDux&#10;M9LGI2qQGiJJwl555KvMtm2liF/aFmVkuuakNOY3FaF4m97FaglVF8D3SpwowCUUnmkyoCwVPUOt&#10;IQLbBfUPlFEiOHRtnAhniqOQ7AipKKfPvLnrwcushaxGfzYdXw5WfN7fBqaami84s2Co4b+//fj1&#10;8ztbJG8GjxWl3PnbcFohhUno2AaTviSBjdnPw9lPOUYm6Ods/m5KD2eC9sq3ZXlVZseLh+M+YPwo&#10;nWEpqHmghmUfYf8JI5Wk1L8pqRo6rZqN0jovQre90YHtgZq7yU/iTEeepGnLhppfzWdzIgI0sS1N&#10;CoXGk2q0Xa735AQ+Bk4KSMN/gBOxNWB/JJARUhpURkWZ/IKql9B8sA2LB0/OWrpQPJExsuFMS7p/&#10;KcqZEZS+JJPUaUsiU2eOvUhRHLcjwaRw65oDtXTng+p6srTM1NMOjVB25zTuaUYfrzPowxVf/Q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jECE51gAAAAgBAAAPAAAAAAAAAAEAIAAAACIAAABkcnMv&#10;ZG93bnJldi54bWxQSwECFAAUAAAACACHTuJAxiPHIAUCAAAqBAAADgAAAAAAAAABACAAAAAlAQAA&#10;ZHJzL2Uyb0RvYy54bWxQSwUGAAAAAAYABgBZAQAAnAUAAAAA&#10;">
                <v:fill on="t" focussize="0,0"/>
                <v:stroke color="#000000" joinstyle="miter"/>
                <v:imagedata o:title=""/>
                <o:lock v:ext="edit" aspectratio="f"/>
                <v:textbox>
                  <w:txbxContent>
                    <w:p>
                      <w:pPr>
                        <w:jc w:val="center"/>
                      </w:pPr>
                    </w:p>
                    <w:p/>
                    <w:p>
                      <w:r>
                        <w:rPr>
                          <w:rFonts w:hint="eastAsia"/>
                        </w:rPr>
                        <w:t xml:space="preserve">         法人身份证复印件反面</w:t>
                      </w:r>
                    </w:p>
                  </w:txbxContent>
                </v:textbox>
              </v:rect>
            </w:pict>
          </mc:Fallback>
        </mc:AlternateContent>
      </w:r>
      <w:r>
        <w:rPr>
          <w:rFonts w:hint="eastAsia" w:ascii="Tahoma" w:hAnsi="Tahoma" w:cs="Tahoma"/>
          <w:color w:val="000000" w:themeColor="text1"/>
          <w:szCs w:val="21"/>
          <w:highlight w:val="none"/>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3204845</wp:posOffset>
                </wp:positionH>
                <wp:positionV relativeFrom="paragraph">
                  <wp:posOffset>100965</wp:posOffset>
                </wp:positionV>
                <wp:extent cx="2633980" cy="1311910"/>
                <wp:effectExtent l="4445" t="4445" r="13335" b="9525"/>
                <wp:wrapNone/>
                <wp:docPr id="3" name="矩形 3"/>
                <wp:cNvGraphicFramePr/>
                <a:graphic xmlns:a="http://schemas.openxmlformats.org/drawingml/2006/main">
                  <a:graphicData uri="http://schemas.microsoft.com/office/word/2010/wordprocessingShape">
                    <wps:wsp>
                      <wps:cNvSpPr/>
                      <wps:spPr>
                        <a:xfrm>
                          <a:off x="0" y="0"/>
                          <a:ext cx="2633980" cy="13119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
                            <w:r>
                              <w:rPr>
                                <w:rFonts w:hint="eastAsia"/>
                              </w:rPr>
                              <w:t xml:space="preserve">       授权代表身份证复印件反面</w:t>
                            </w:r>
                          </w:p>
                        </w:txbxContent>
                      </wps:txbx>
                      <wps:bodyPr upright="1"/>
                    </wps:wsp>
                  </a:graphicData>
                </a:graphic>
              </wp:anchor>
            </w:drawing>
          </mc:Choice>
          <mc:Fallback>
            <w:pict>
              <v:rect id="_x0000_s1026" o:spid="_x0000_s1026" o:spt="1" style="position:absolute;left:0pt;margin-left:252.35pt;margin-top:7.95pt;height:103.3pt;width:207.4pt;z-index:251662336;mso-width-relative:page;mso-height-relative:page;" fillcolor="#FFFFFF" filled="t" stroked="t" coordsize="21600,21600" o:gfxdata="UEsDBAoAAAAAAIdO4kAAAAAAAAAAAAAAAAAEAAAAZHJzL1BLAwQUAAAACACHTuJAlM7kxtgAAAAK&#10;AQAADwAAAGRycy9kb3ducmV2LnhtbE2PMU/DMBCFdyT+g3VIbNSOIUDSOB1ARWJs04XNia9JILaj&#10;2GkDv55jouPpfXrvu2Kz2IGdcAq9dwqSlQCGrvGmd62CQ7W9ewYWonZGD96hgm8MsCmvrwqdG392&#10;OzztY8uoxIVcK+hiHHPOQ9Oh1WHlR3SUHf1kdaRzarmZ9JnK7cClEI/c6t7RQqdHfOmw+drPVkHd&#10;y4P+2VVvwmbb+/i+VJ/zx6tStzeJWAOLuMR/GP70SR1Kcqr97Exgg4JUPDwRSkGaASMgS7IUWK1A&#10;SpkCLwt++UL5C1BLAwQUAAAACACHTuJAwOciewUCAAAqBAAADgAAAGRycy9lMm9Eb2MueG1srVNL&#10;btswEN0X6B0I7mtZNhLEguUs4rqbog2Q9gBjipII8AcObcmnKdBdD9HjFL1Gh7TrfNqFF9FCGorD&#10;N++9GS5vR6PZXgZUzta8nEw5k1a4Rtmu5l+/bN7dcIYRbAPaWVnzg0R+u3r7Zjn4Ss5c73QjAyMQ&#10;i9Xga97H6KuiQNFLAzhxXlrabF0wEGkZuqIJMBC60cVsOr0uBhcaH5yQiPR3fdzkJ8RwCaBrWyXk&#10;2omdkTYeUYPUEEkS9sojX2W2bStF/Ny2KCPTNSelMb+pCMXb9C5WS6i6AL5X4kQBLqHwQpMBZano&#10;GWoNEdguqH+gjBLBoWvjRDhTHIVkR0hFOX3hzUMPXmYtZDX6s+n4erDi0/4+MNXUfM6ZBUMN//3t&#10;x6+f39k8eTN4rCjlwd+H0wopTELHNpj0JQlszH4ezn7KMTJBP2fX8/nihqwWtFfOy3JRZseLx+M+&#10;YPwgnWEpqHmghmUfYf8RI5Wk1L8pqRo6rZqN0jovQre904HtgZq7yU/iTEeepWnLhpovrmZXRARo&#10;YluaFAqNJ9Vou1zv2Ql8CjzNz/+AE7E1YH8kkBFSGlRGRZn8gqqX0Ly3DYsHT85aulA8kTGy4UxL&#10;un8pypkRlL4kk9RpSyJTZ469SFEctyPBpHDrmgO1dOeD6nqytMzU0w6NUHbnNO5pRp+uM+jjFV/9&#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TO5MbYAAAACgEAAA8AAAAAAAAAAQAgAAAAIgAAAGRy&#10;cy9kb3ducmV2LnhtbFBLAQIUABQAAAAIAIdO4kDA5yJ7BQIAACoEAAAOAAAAAAAAAAEAIAAAACcB&#10;AABkcnMvZTJvRG9jLnhtbFBLBQYAAAAABgAGAFkBAACeBQAAAAA=&#10;">
                <v:fill on="t" focussize="0,0"/>
                <v:stroke color="#000000" joinstyle="miter"/>
                <v:imagedata o:title=""/>
                <o:lock v:ext="edit" aspectratio="f"/>
                <v:textbox>
                  <w:txbxContent>
                    <w:p>
                      <w:pPr>
                        <w:jc w:val="center"/>
                      </w:pPr>
                    </w:p>
                    <w:p/>
                    <w:p>
                      <w:r>
                        <w:rPr>
                          <w:rFonts w:hint="eastAsia"/>
                        </w:rPr>
                        <w:t xml:space="preserve">       授权代表身份证复印件反面</w:t>
                      </w:r>
                    </w:p>
                  </w:txbxContent>
                </v:textbox>
              </v:rect>
            </w:pict>
          </mc:Fallback>
        </mc:AlternateContent>
      </w:r>
    </w:p>
    <w:p>
      <w:pPr>
        <w:ind w:left="1260"/>
        <w:rPr>
          <w:rFonts w:ascii="Tahoma" w:hAnsi="Tahoma" w:cs="Tahoma"/>
          <w:color w:val="000000" w:themeColor="text1"/>
          <w:szCs w:val="21"/>
          <w:highlight w:val="none"/>
          <w14:textFill>
            <w14:solidFill>
              <w14:schemeClr w14:val="tx1"/>
            </w14:solidFill>
          </w14:textFill>
        </w:rPr>
      </w:pPr>
    </w:p>
    <w:p>
      <w:pPr>
        <w:ind w:left="1260"/>
        <w:rPr>
          <w:rFonts w:ascii="Tahoma" w:hAnsi="Tahoma" w:cs="Tahoma"/>
          <w:color w:val="000000" w:themeColor="text1"/>
          <w:szCs w:val="21"/>
          <w:highlight w:val="none"/>
          <w14:textFill>
            <w14:solidFill>
              <w14:schemeClr w14:val="tx1"/>
            </w14:solidFill>
          </w14:textFill>
        </w:rPr>
      </w:pPr>
    </w:p>
    <w:p>
      <w:pPr>
        <w:ind w:left="1260"/>
        <w:rPr>
          <w:rFonts w:ascii="Tahoma" w:hAnsi="Tahoma" w:cs="Tahoma"/>
          <w:color w:val="000000" w:themeColor="text1"/>
          <w:szCs w:val="21"/>
          <w:highlight w:val="none"/>
          <w14:textFill>
            <w14:solidFill>
              <w14:schemeClr w14:val="tx1"/>
            </w14:solidFill>
          </w14:textFill>
        </w:rPr>
      </w:pPr>
    </w:p>
    <w:p>
      <w:pPr>
        <w:ind w:left="1260"/>
        <w:rPr>
          <w:rFonts w:ascii="Tahoma" w:hAnsi="Tahoma" w:cs="Tahoma"/>
          <w:color w:val="000000" w:themeColor="text1"/>
          <w:szCs w:val="21"/>
          <w:highlight w:val="none"/>
          <w14:textFill>
            <w14:solidFill>
              <w14:schemeClr w14:val="tx1"/>
            </w14:solidFill>
          </w14:textFill>
        </w:rPr>
      </w:pPr>
    </w:p>
    <w:p>
      <w:pPr>
        <w:ind w:left="1260"/>
        <w:rPr>
          <w:rFonts w:ascii="Tahoma" w:hAnsi="Tahoma" w:cs="Tahoma"/>
          <w:color w:val="000000" w:themeColor="text1"/>
          <w:szCs w:val="21"/>
          <w:highlight w:val="none"/>
          <w14:textFill>
            <w14:solidFill>
              <w14:schemeClr w14:val="tx1"/>
            </w14:solidFill>
          </w14:textFill>
        </w:rPr>
      </w:pPr>
    </w:p>
    <w:p>
      <w:pPr>
        <w:ind w:left="1260"/>
        <w:rPr>
          <w:rFonts w:ascii="Tahoma" w:hAnsi="Tahoma" w:cs="Tahoma"/>
          <w:color w:val="000000" w:themeColor="text1"/>
          <w:szCs w:val="21"/>
          <w:highlight w:val="none"/>
          <w14:textFill>
            <w14:solidFill>
              <w14:schemeClr w14:val="tx1"/>
            </w14:solidFill>
          </w14:textFill>
        </w:rPr>
      </w:pPr>
    </w:p>
    <w:p>
      <w:pPr>
        <w:ind w:left="2699"/>
        <w:rPr>
          <w:rFonts w:ascii="Tahoma" w:hAnsi="Tahoma" w:cs="Tahoma"/>
          <w:color w:val="000000" w:themeColor="text1"/>
          <w:szCs w:val="21"/>
          <w:highlight w:val="none"/>
          <w14:textFill>
            <w14:solidFill>
              <w14:schemeClr w14:val="tx1"/>
            </w14:solidFill>
          </w14:textFill>
        </w:rPr>
      </w:pPr>
    </w:p>
    <w:p>
      <w:pPr>
        <w:rPr>
          <w:rFonts w:ascii="Tahoma" w:hAnsi="Tahoma" w:cs="Tahoma"/>
          <w:color w:val="000000" w:themeColor="text1"/>
          <w:szCs w:val="21"/>
          <w:highlight w:val="none"/>
          <w14:textFill>
            <w14:solidFill>
              <w14:schemeClr w14:val="tx1"/>
            </w14:solidFill>
          </w14:textFill>
        </w:rPr>
      </w:pPr>
    </w:p>
    <w:p>
      <w:pPr>
        <w:rPr>
          <w:rFonts w:ascii="Tahoma" w:hAnsi="Tahoma" w:cs="Tahoma"/>
          <w:color w:val="000000" w:themeColor="text1"/>
          <w:szCs w:val="21"/>
          <w:highlight w:val="none"/>
          <w14:textFill>
            <w14:solidFill>
              <w14:schemeClr w14:val="tx1"/>
            </w14:solidFill>
          </w14:textFill>
        </w:rPr>
      </w:pPr>
    </w:p>
    <w:p>
      <w:pPr>
        <w:rPr>
          <w:rFonts w:ascii="Tahoma" w:hAnsi="Tahoma" w:cs="Tahoma"/>
          <w:color w:val="000000" w:themeColor="text1"/>
          <w:szCs w:val="21"/>
          <w:highlight w:val="none"/>
          <w14:textFill>
            <w14:solidFill>
              <w14:schemeClr w14:val="tx1"/>
            </w14:solidFill>
          </w14:textFill>
        </w:rPr>
      </w:pPr>
    </w:p>
    <w:p>
      <w:pPr>
        <w:rPr>
          <w:rFonts w:ascii="Tahoma" w:hAnsi="Tahoma" w:cs="Tahoma"/>
          <w:color w:val="000000" w:themeColor="text1"/>
          <w:szCs w:val="21"/>
          <w:highlight w:val="none"/>
          <w14:textFill>
            <w14:solidFill>
              <w14:schemeClr w14:val="tx1"/>
            </w14:solidFill>
          </w14:textFill>
        </w:rPr>
      </w:pPr>
    </w:p>
    <w:p>
      <w:pPr>
        <w:rPr>
          <w:rFonts w:ascii="Tahoma" w:hAnsi="Tahoma" w:cs="Tahoma"/>
          <w:color w:val="000000" w:themeColor="text1"/>
          <w:szCs w:val="21"/>
          <w:highlight w:val="none"/>
          <w:u w:val="singl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代理人：</w:t>
      </w:r>
      <w:r>
        <w:rPr>
          <w:rFonts w:ascii="Tahoma" w:hAnsi="Tahoma" w:cs="Tahoma"/>
          <w:color w:val="000000" w:themeColor="text1"/>
          <w:szCs w:val="21"/>
          <w:highlight w:val="none"/>
          <w:u w:val="single"/>
          <w14:textFill>
            <w14:solidFill>
              <w14:schemeClr w14:val="tx1"/>
            </w14:solidFill>
          </w14:textFill>
        </w:rPr>
        <w:t xml:space="preserve">   （签字）   </w:t>
      </w:r>
      <w:r>
        <w:rPr>
          <w:rFonts w:ascii="Tahoma" w:hAnsi="Tahoma" w:cs="Tahoma"/>
          <w:color w:val="000000" w:themeColor="text1"/>
          <w:szCs w:val="21"/>
          <w:highlight w:val="none"/>
          <w14:textFill>
            <w14:solidFill>
              <w14:schemeClr w14:val="tx1"/>
            </w14:solidFill>
          </w14:textFill>
        </w:rPr>
        <w:t>性别 ：</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年龄：_______</w:t>
      </w:r>
    </w:p>
    <w:p>
      <w:pPr>
        <w:ind w:left="2699"/>
        <w:rPr>
          <w:rFonts w:ascii="Tahoma" w:hAnsi="Tahoma" w:cs="Tahoma"/>
          <w:color w:val="000000" w:themeColor="text1"/>
          <w:szCs w:val="21"/>
          <w:highlight w:val="none"/>
          <w14:textFill>
            <w14:solidFill>
              <w14:schemeClr w14:val="tx1"/>
            </w14:solidFill>
          </w14:textFill>
        </w:rPr>
      </w:pPr>
    </w:p>
    <w:p>
      <w:pPr>
        <w:rPr>
          <w:rFonts w:ascii="Tahoma" w:hAnsi="Tahoma" w:cs="Tahoma"/>
          <w:color w:val="000000" w:themeColor="text1"/>
          <w:szCs w:val="21"/>
          <w:highlight w:val="none"/>
          <w:u w:val="singl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身份证号码：</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职务：</w:t>
      </w:r>
      <w:r>
        <w:rPr>
          <w:rFonts w:ascii="Tahoma" w:hAnsi="Tahoma" w:cs="Tahoma"/>
          <w:color w:val="000000" w:themeColor="text1"/>
          <w:szCs w:val="21"/>
          <w:highlight w:val="none"/>
          <w:u w:val="single"/>
          <w14:textFill>
            <w14:solidFill>
              <w14:schemeClr w14:val="tx1"/>
            </w14:solidFill>
          </w14:textFill>
        </w:rPr>
        <w:t xml:space="preserve">                </w:t>
      </w:r>
    </w:p>
    <w:p>
      <w:pPr>
        <w:ind w:left="2699"/>
        <w:rPr>
          <w:rFonts w:ascii="Tahoma" w:hAnsi="Tahoma" w:cs="Tahoma"/>
          <w:color w:val="000000" w:themeColor="text1"/>
          <w:szCs w:val="21"/>
          <w:highlight w:val="none"/>
          <w14:textFill>
            <w14:solidFill>
              <w14:schemeClr w14:val="tx1"/>
            </w14:solidFill>
          </w14:textFill>
        </w:rPr>
      </w:pPr>
    </w:p>
    <w:p>
      <w:pP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投标人：</w:t>
      </w:r>
      <w:r>
        <w:rPr>
          <w:rFonts w:ascii="Tahoma" w:hAnsi="Tahoma" w:cs="Tahoma"/>
          <w:color w:val="000000" w:themeColor="text1"/>
          <w:szCs w:val="21"/>
          <w:highlight w:val="none"/>
          <w:u w:val="single"/>
          <w14:textFill>
            <w14:solidFill>
              <w14:schemeClr w14:val="tx1"/>
            </w14:solidFill>
          </w14:textFill>
        </w:rPr>
        <w:t xml:space="preserve">                  （盖章）                    </w:t>
      </w:r>
    </w:p>
    <w:p>
      <w:pPr>
        <w:ind w:left="2699"/>
        <w:rPr>
          <w:rFonts w:ascii="Tahoma" w:hAnsi="Tahoma" w:cs="Tahoma"/>
          <w:color w:val="000000" w:themeColor="text1"/>
          <w:szCs w:val="21"/>
          <w:highlight w:val="none"/>
          <w14:textFill>
            <w14:solidFill>
              <w14:schemeClr w14:val="tx1"/>
            </w14:solidFill>
          </w14:textFill>
        </w:rPr>
      </w:pPr>
    </w:p>
    <w:p>
      <w:pP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法定代表人：</w:t>
      </w:r>
      <w:r>
        <w:rPr>
          <w:rFonts w:ascii="Tahoma" w:hAnsi="Tahoma" w:cs="Tahoma"/>
          <w:color w:val="000000" w:themeColor="text1"/>
          <w:szCs w:val="21"/>
          <w:highlight w:val="none"/>
          <w:u w:val="single"/>
          <w14:textFill>
            <w14:solidFill>
              <w14:schemeClr w14:val="tx1"/>
            </w14:solidFill>
          </w14:textFill>
        </w:rPr>
        <w:t xml:space="preserve">             （签字或盖章）               </w:t>
      </w:r>
    </w:p>
    <w:p>
      <w:pPr>
        <w:ind w:firstLine="2415" w:firstLineChars="1150"/>
        <w:rPr>
          <w:rFonts w:ascii="Tahoma" w:hAnsi="Tahoma" w:cs="Tahoma"/>
          <w:color w:val="000000" w:themeColor="text1"/>
          <w:szCs w:val="21"/>
          <w:highlight w:val="none"/>
          <w14:textFill>
            <w14:solidFill>
              <w14:schemeClr w14:val="tx1"/>
            </w14:solidFill>
          </w14:textFill>
        </w:rPr>
      </w:pPr>
    </w:p>
    <w:p>
      <w:pP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授权委托日期：</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 xml:space="preserve">年 </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月</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日</w:t>
      </w:r>
    </w:p>
    <w:p>
      <w:pPr>
        <w:pStyle w:val="27"/>
        <w:jc w:val="center"/>
        <w:rPr>
          <w:rFonts w:ascii="Tahoma" w:hAnsi="Tahoma" w:cs="Tahoma"/>
          <w:b/>
          <w:color w:val="000000" w:themeColor="text1"/>
          <w:szCs w:val="28"/>
          <w:highlight w:val="none"/>
          <w14:textFill>
            <w14:solidFill>
              <w14:schemeClr w14:val="tx1"/>
            </w14:solidFill>
          </w14:textFill>
        </w:rPr>
      </w:pPr>
      <w:bookmarkStart w:id="253" w:name="_Toc13640"/>
    </w:p>
    <w:p>
      <w:pPr>
        <w:pStyle w:val="27"/>
        <w:jc w:val="center"/>
        <w:rPr>
          <w:rFonts w:ascii="Tahoma" w:hAnsi="Tahoma" w:cs="Tahoma"/>
          <w:b/>
          <w:color w:val="000000" w:themeColor="text1"/>
          <w:szCs w:val="28"/>
          <w:highlight w:val="none"/>
          <w14:textFill>
            <w14:solidFill>
              <w14:schemeClr w14:val="tx1"/>
            </w14:solidFill>
          </w14:textFill>
        </w:rPr>
      </w:pPr>
    </w:p>
    <w:p>
      <w:pPr>
        <w:pStyle w:val="27"/>
        <w:jc w:val="center"/>
        <w:rPr>
          <w:rFonts w:ascii="Tahoma" w:hAnsi="Tahoma" w:cs="Tahoma"/>
          <w:b/>
          <w:color w:val="000000" w:themeColor="text1"/>
          <w:szCs w:val="28"/>
          <w:highlight w:val="none"/>
          <w14:textFill>
            <w14:solidFill>
              <w14:schemeClr w14:val="tx1"/>
            </w14:solidFill>
          </w14:textFill>
        </w:rPr>
      </w:pPr>
    </w:p>
    <w:p>
      <w:pPr>
        <w:pStyle w:val="27"/>
        <w:jc w:val="center"/>
        <w:rPr>
          <w:rFonts w:ascii="Tahoma" w:hAnsi="Tahoma" w:cs="Tahoma"/>
          <w:b/>
          <w:color w:val="000000" w:themeColor="text1"/>
          <w:szCs w:val="28"/>
          <w:highlight w:val="none"/>
          <w14:textFill>
            <w14:solidFill>
              <w14:schemeClr w14:val="tx1"/>
            </w14:solidFill>
          </w14:textFill>
        </w:rPr>
      </w:pPr>
    </w:p>
    <w:p>
      <w:pPr>
        <w:pStyle w:val="27"/>
        <w:jc w:val="center"/>
        <w:rPr>
          <w:rFonts w:ascii="Tahoma" w:hAnsi="Tahoma" w:eastAsia="黑体" w:cs="Tahoma"/>
          <w:b/>
          <w:color w:val="000000" w:themeColor="text1"/>
          <w:szCs w:val="28"/>
          <w:highlight w:val="none"/>
          <w14:textFill>
            <w14:solidFill>
              <w14:schemeClr w14:val="tx1"/>
            </w14:solidFill>
          </w14:textFill>
        </w:rPr>
      </w:pPr>
      <w:r>
        <w:rPr>
          <w:rFonts w:ascii="Tahoma" w:hAnsi="Tahoma" w:cs="Tahoma"/>
          <w:b/>
          <w:color w:val="000000" w:themeColor="text1"/>
          <w:szCs w:val="28"/>
          <w:highlight w:val="none"/>
          <w14:textFill>
            <w14:solidFill>
              <w14:schemeClr w14:val="tx1"/>
            </w14:solidFill>
          </w14:textFill>
        </w:rPr>
        <w:t>（</w:t>
      </w:r>
      <w:r>
        <w:rPr>
          <w:rFonts w:hint="eastAsia" w:ascii="Tahoma" w:hAnsi="Tahoma" w:cs="Tahoma"/>
          <w:b/>
          <w:color w:val="000000" w:themeColor="text1"/>
          <w:szCs w:val="28"/>
          <w:highlight w:val="none"/>
          <w14:textFill>
            <w14:solidFill>
              <w14:schemeClr w14:val="tx1"/>
            </w14:solidFill>
          </w14:textFill>
        </w:rPr>
        <w:t>五</w:t>
      </w:r>
      <w:r>
        <w:rPr>
          <w:rFonts w:ascii="Tahoma" w:hAnsi="Tahoma" w:cs="Tahoma"/>
          <w:b/>
          <w:color w:val="000000" w:themeColor="text1"/>
          <w:szCs w:val="28"/>
          <w:highlight w:val="none"/>
          <w14:textFill>
            <w14:solidFill>
              <w14:schemeClr w14:val="tx1"/>
            </w14:solidFill>
          </w14:textFill>
        </w:rPr>
        <w:t>）</w:t>
      </w:r>
      <w:r>
        <w:rPr>
          <w:rFonts w:ascii="Tahoma" w:hAnsi="Tahoma" w:eastAsia="黑体" w:cs="Tahoma"/>
          <w:b/>
          <w:color w:val="000000" w:themeColor="text1"/>
          <w:szCs w:val="28"/>
          <w:highlight w:val="none"/>
          <w14:textFill>
            <w14:solidFill>
              <w14:schemeClr w14:val="tx1"/>
            </w14:solidFill>
          </w14:textFill>
        </w:rPr>
        <w:t>、联合体协议书</w:t>
      </w:r>
      <w:bookmarkEnd w:id="250"/>
      <w:bookmarkEnd w:id="251"/>
      <w:bookmarkEnd w:id="252"/>
      <w:r>
        <w:rPr>
          <w:rFonts w:ascii="Tahoma" w:hAnsi="Tahoma" w:eastAsia="黑体" w:cs="Tahoma"/>
          <w:b/>
          <w:color w:val="000000" w:themeColor="text1"/>
          <w:szCs w:val="28"/>
          <w:highlight w:val="none"/>
          <w14:textFill>
            <w14:solidFill>
              <w14:schemeClr w14:val="tx1"/>
            </w14:solidFill>
          </w14:textFill>
        </w:rPr>
        <w:t>（</w:t>
      </w:r>
      <w:r>
        <w:rPr>
          <w:rFonts w:hint="eastAsia" w:ascii="Tahoma" w:hAnsi="Tahoma" w:eastAsia="黑体" w:cs="Tahoma"/>
          <w:b/>
          <w:color w:val="000000" w:themeColor="text1"/>
          <w:szCs w:val="28"/>
          <w:highlight w:val="none"/>
          <w:lang w:val="en-US" w:eastAsia="zh-CN"/>
          <w14:textFill>
            <w14:solidFill>
              <w14:schemeClr w14:val="tx1"/>
            </w14:solidFill>
          </w14:textFill>
        </w:rPr>
        <w:t>联合体成员不超过两个</w:t>
      </w:r>
      <w:r>
        <w:rPr>
          <w:rFonts w:ascii="Tahoma" w:hAnsi="Tahoma" w:eastAsia="黑体" w:cs="Tahoma"/>
          <w:b/>
          <w:color w:val="000000" w:themeColor="text1"/>
          <w:szCs w:val="28"/>
          <w:highlight w:val="none"/>
          <w14:textFill>
            <w14:solidFill>
              <w14:schemeClr w14:val="tx1"/>
            </w14:solidFill>
          </w14:textFill>
        </w:rPr>
        <w:t>）</w:t>
      </w:r>
      <w:bookmarkEnd w:id="253"/>
    </w:p>
    <w:p>
      <w:pPr>
        <w:spacing w:line="400" w:lineRule="exact"/>
        <w:rPr>
          <w:rFonts w:ascii="Tahoma" w:hAnsi="Tahoma" w:cs="Tahoma"/>
          <w:color w:val="000000" w:themeColor="text1"/>
          <w:szCs w:val="21"/>
          <w:highlight w:val="none"/>
          <w14:textFill>
            <w14:solidFill>
              <w14:schemeClr w14:val="tx1"/>
            </w14:solidFill>
          </w14:textFill>
        </w:rPr>
      </w:pPr>
    </w:p>
    <w:p>
      <w:pPr>
        <w:topLinePunct/>
        <w:spacing w:line="440" w:lineRule="exact"/>
        <w:ind w:firstLine="420" w:firstLineChars="2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u w:val="single"/>
          <w14:textFill>
            <w14:solidFill>
              <w14:schemeClr w14:val="tx1"/>
            </w14:solidFill>
          </w14:textFill>
        </w:rPr>
        <w:t xml:space="preserve">       （所有成员单位名称）      </w:t>
      </w:r>
      <w:r>
        <w:rPr>
          <w:rFonts w:ascii="Tahoma" w:hAnsi="Tahoma" w:cs="Tahoma"/>
          <w:color w:val="000000" w:themeColor="text1"/>
          <w:szCs w:val="21"/>
          <w:highlight w:val="none"/>
          <w14:textFill>
            <w14:solidFill>
              <w14:schemeClr w14:val="tx1"/>
            </w14:solidFill>
          </w14:textFill>
        </w:rPr>
        <w:t>自愿组成</w:t>
      </w:r>
      <w:r>
        <w:rPr>
          <w:rFonts w:ascii="Tahoma" w:hAnsi="Tahoma" w:cs="Tahoma"/>
          <w:color w:val="000000" w:themeColor="text1"/>
          <w:szCs w:val="21"/>
          <w:highlight w:val="none"/>
          <w:u w:val="single"/>
          <w14:textFill>
            <w14:solidFill>
              <w14:schemeClr w14:val="tx1"/>
            </w14:solidFill>
          </w14:textFill>
        </w:rPr>
        <w:t xml:space="preserve">      （联合体名称）     </w:t>
      </w:r>
      <w:r>
        <w:rPr>
          <w:rFonts w:ascii="Tahoma" w:hAnsi="Tahoma" w:cs="Tahoma"/>
          <w:color w:val="000000" w:themeColor="text1"/>
          <w:szCs w:val="21"/>
          <w:highlight w:val="none"/>
          <w14:textFill>
            <w14:solidFill>
              <w14:schemeClr w14:val="tx1"/>
            </w14:solidFill>
          </w14:textFill>
        </w:rPr>
        <w:t>联合体，共同参加</w:t>
      </w:r>
      <w:r>
        <w:rPr>
          <w:rFonts w:ascii="Tahoma" w:hAnsi="Tahoma" w:cs="Tahoma"/>
          <w:color w:val="000000" w:themeColor="text1"/>
          <w:szCs w:val="21"/>
          <w:highlight w:val="none"/>
          <w:u w:val="single"/>
          <w14:textFill>
            <w14:solidFill>
              <w14:schemeClr w14:val="tx1"/>
            </w14:solidFill>
          </w14:textFill>
        </w:rPr>
        <w:t xml:space="preserve">     （项目名称、项目编号）      </w:t>
      </w:r>
      <w:r>
        <w:rPr>
          <w:rFonts w:ascii="Tahoma" w:hAnsi="Tahoma" w:cs="Tahoma"/>
          <w:color w:val="000000" w:themeColor="text1"/>
          <w:szCs w:val="21"/>
          <w:highlight w:val="none"/>
          <w14:textFill>
            <w14:solidFill>
              <w14:schemeClr w14:val="tx1"/>
            </w14:solidFill>
          </w14:textFill>
        </w:rPr>
        <w:t>的投标。现就组成联合体事宜订立如下协议。</w:t>
      </w:r>
    </w:p>
    <w:p>
      <w:pPr>
        <w:topLinePunct/>
        <w:spacing w:line="440" w:lineRule="exact"/>
        <w:ind w:firstLine="420" w:firstLineChars="2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w:t>
      </w:r>
      <w:r>
        <w:rPr>
          <w:rFonts w:ascii="Tahoma" w:hAnsi="Tahoma" w:cs="Tahoma"/>
          <w:color w:val="000000" w:themeColor="text1"/>
          <w:szCs w:val="21"/>
          <w:highlight w:val="none"/>
          <w:u w:val="single"/>
          <w14:textFill>
            <w14:solidFill>
              <w14:schemeClr w14:val="tx1"/>
            </w14:solidFill>
          </w14:textFill>
        </w:rPr>
        <w:t xml:space="preserve">       （某成员单位名称）      </w:t>
      </w:r>
      <w:r>
        <w:rPr>
          <w:rFonts w:ascii="Tahoma" w:hAnsi="Tahoma" w:cs="Tahoma"/>
          <w:color w:val="000000" w:themeColor="text1"/>
          <w:szCs w:val="21"/>
          <w:highlight w:val="none"/>
          <w14:textFill>
            <w14:solidFill>
              <w14:schemeClr w14:val="tx1"/>
            </w14:solidFill>
          </w14:textFill>
        </w:rPr>
        <w:t>为</w:t>
      </w:r>
      <w:r>
        <w:rPr>
          <w:rFonts w:ascii="Tahoma" w:hAnsi="Tahoma" w:cs="Tahoma"/>
          <w:color w:val="000000" w:themeColor="text1"/>
          <w:szCs w:val="21"/>
          <w:highlight w:val="none"/>
          <w:u w:val="single"/>
          <w14:textFill>
            <w14:solidFill>
              <w14:schemeClr w14:val="tx1"/>
            </w14:solidFill>
          </w14:textFill>
        </w:rPr>
        <w:t xml:space="preserve">      （联合体名称）       </w:t>
      </w:r>
      <w:r>
        <w:rPr>
          <w:rFonts w:ascii="Tahoma" w:hAnsi="Tahoma" w:cs="Tahoma"/>
          <w:color w:val="000000" w:themeColor="text1"/>
          <w:szCs w:val="21"/>
          <w:highlight w:val="none"/>
          <w14:textFill>
            <w14:solidFill>
              <w14:schemeClr w14:val="tx1"/>
            </w14:solidFill>
          </w14:textFill>
        </w:rPr>
        <w:t>牵头人。</w:t>
      </w:r>
    </w:p>
    <w:p>
      <w:pPr>
        <w:topLinePunct/>
        <w:spacing w:line="440" w:lineRule="exact"/>
        <w:ind w:firstLine="420" w:firstLineChars="2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2、联合体牵头人合法代表联合体各成员负责本项目投标文件的编制和投标、合同签订等活动，并代表联合体提交和接收相关的资料、信息及指示，并处理与之有关的一切事务，负责合同实施阶段的主办、组织和协调工作。</w:t>
      </w:r>
    </w:p>
    <w:p>
      <w:pPr>
        <w:topLinePunct/>
        <w:spacing w:line="440" w:lineRule="exact"/>
        <w:ind w:firstLine="420" w:firstLineChars="2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3、联合体将严格按照招标文件的各项要求，递交投标文件，履行合同，并对外承担连带责任。</w:t>
      </w:r>
    </w:p>
    <w:p>
      <w:pPr>
        <w:topLinePunct/>
        <w:spacing w:line="440" w:lineRule="exact"/>
        <w:ind w:firstLine="420" w:firstLineChars="2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4、联合体各成员单位内部的职责分工如下：</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w:t>
      </w:r>
    </w:p>
    <w:p>
      <w:pPr>
        <w:topLinePunct/>
        <w:spacing w:line="440" w:lineRule="exact"/>
        <w:ind w:firstLine="420" w:firstLineChars="2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5、本协议书自签署之日起生效，合同履行完毕后自动失效。</w:t>
      </w:r>
    </w:p>
    <w:p>
      <w:pPr>
        <w:topLinePunct/>
        <w:spacing w:line="440" w:lineRule="exact"/>
        <w:ind w:firstLine="420" w:firstLineChars="2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6、本协议书一式</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份，联合体成员和招标人各执一份。</w:t>
      </w:r>
    </w:p>
    <w:p>
      <w:pPr>
        <w:topLinePunct/>
        <w:spacing w:line="440" w:lineRule="exact"/>
        <w:rPr>
          <w:rFonts w:ascii="Tahoma" w:hAnsi="Tahoma" w:cs="Tahoma"/>
          <w:color w:val="000000" w:themeColor="text1"/>
          <w:szCs w:val="21"/>
          <w:highlight w:val="none"/>
          <w14:textFill>
            <w14:solidFill>
              <w14:schemeClr w14:val="tx1"/>
            </w14:solidFill>
          </w14:textFill>
        </w:rPr>
      </w:pPr>
    </w:p>
    <w:p>
      <w:pPr>
        <w:topLinePunct/>
        <w:spacing w:line="440" w:lineRule="exact"/>
        <w:ind w:firstLine="420" w:firstLineChars="2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注：本协议书由委托代理人签字的，应附法定代表人签字的授权委托书。</w:t>
      </w:r>
    </w:p>
    <w:p>
      <w:pPr>
        <w:topLinePunct/>
        <w:spacing w:line="440" w:lineRule="exact"/>
        <w:rPr>
          <w:rFonts w:ascii="Tahoma" w:hAnsi="Tahoma" w:cs="Tahoma"/>
          <w:color w:val="000000" w:themeColor="text1"/>
          <w:szCs w:val="21"/>
          <w:highlight w:val="none"/>
          <w14:textFill>
            <w14:solidFill>
              <w14:schemeClr w14:val="tx1"/>
            </w14:solidFill>
          </w14:textFill>
        </w:rPr>
      </w:pPr>
    </w:p>
    <w:p>
      <w:pPr>
        <w:topLinePunct/>
        <w:spacing w:line="440" w:lineRule="exact"/>
        <w:ind w:firstLine="420" w:firstLineChars="2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牵头人名称：</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（盖单位章）</w:t>
      </w:r>
    </w:p>
    <w:p>
      <w:pPr>
        <w:topLinePunct/>
        <w:spacing w:line="440" w:lineRule="exact"/>
        <w:ind w:firstLine="420" w:firstLineChars="2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法定代表人或其委托代理人：</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（签字）</w:t>
      </w:r>
    </w:p>
    <w:p>
      <w:pPr>
        <w:topLinePunct/>
        <w:spacing w:line="440" w:lineRule="exact"/>
        <w:rPr>
          <w:rFonts w:ascii="Tahoma" w:hAnsi="Tahoma" w:cs="Tahoma"/>
          <w:color w:val="000000" w:themeColor="text1"/>
          <w:szCs w:val="21"/>
          <w:highlight w:val="none"/>
          <w14:textFill>
            <w14:solidFill>
              <w14:schemeClr w14:val="tx1"/>
            </w14:solidFill>
          </w14:textFill>
        </w:rPr>
      </w:pPr>
    </w:p>
    <w:p>
      <w:pPr>
        <w:topLinePunct/>
        <w:spacing w:line="440" w:lineRule="exact"/>
        <w:ind w:firstLine="420" w:firstLineChars="2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成员一名称：</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（盖单位章）</w:t>
      </w:r>
    </w:p>
    <w:p>
      <w:pPr>
        <w:topLinePunct/>
        <w:spacing w:line="440" w:lineRule="exact"/>
        <w:ind w:firstLine="420" w:firstLineChars="2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法定代表人或其委托代理人：</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（签字）</w:t>
      </w:r>
    </w:p>
    <w:p>
      <w:pPr>
        <w:topLinePunct/>
        <w:spacing w:line="44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w:t>
      </w:r>
    </w:p>
    <w:p>
      <w:pPr>
        <w:topLinePunct/>
        <w:spacing w:line="440" w:lineRule="exact"/>
        <w:ind w:firstLine="420" w:firstLineChars="200"/>
        <w:rPr>
          <w:rFonts w:ascii="Tahoma" w:hAnsi="Tahoma" w:cs="Tahoma"/>
          <w:color w:val="000000" w:themeColor="text1"/>
          <w:szCs w:val="21"/>
          <w:highlight w:val="none"/>
          <w14:textFill>
            <w14:solidFill>
              <w14:schemeClr w14:val="tx1"/>
            </w14:solidFill>
          </w14:textFill>
        </w:rPr>
      </w:pPr>
    </w:p>
    <w:p>
      <w:pPr>
        <w:topLinePunct/>
        <w:spacing w:line="440" w:lineRule="exact"/>
        <w:ind w:firstLine="420" w:firstLineChars="200"/>
        <w:rPr>
          <w:rFonts w:ascii="Tahoma" w:hAnsi="Tahoma" w:cs="Tahoma"/>
          <w:color w:val="000000" w:themeColor="text1"/>
          <w:szCs w:val="21"/>
          <w:highlight w:val="none"/>
          <w14:textFill>
            <w14:solidFill>
              <w14:schemeClr w14:val="tx1"/>
            </w14:solidFill>
          </w14:textFill>
        </w:rPr>
      </w:pPr>
    </w:p>
    <w:p>
      <w:pPr>
        <w:topLinePunct/>
        <w:spacing w:line="440" w:lineRule="exact"/>
        <w:ind w:firstLine="420" w:firstLineChars="2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w:t>
      </w:r>
    </w:p>
    <w:p>
      <w:pPr>
        <w:topLinePunct/>
        <w:spacing w:line="440" w:lineRule="exact"/>
        <w:rPr>
          <w:rFonts w:ascii="Tahoma" w:hAnsi="Tahoma" w:cs="Tahoma"/>
          <w:color w:val="000000" w:themeColor="text1"/>
          <w:szCs w:val="21"/>
          <w:highlight w:val="none"/>
          <w14:textFill>
            <w14:solidFill>
              <w14:schemeClr w14:val="tx1"/>
            </w14:solidFill>
          </w14:textFill>
        </w:rPr>
      </w:pPr>
    </w:p>
    <w:p>
      <w:pPr>
        <w:spacing w:line="360" w:lineRule="auto"/>
        <w:jc w:val="center"/>
        <w:rPr>
          <w:rFonts w:ascii="Tahoma" w:hAnsi="Tahoma" w:cs="Tahoma"/>
          <w:color w:val="000000" w:themeColor="text1"/>
          <w:highlight w:val="none"/>
          <w14:textFill>
            <w14:solidFill>
              <w14:schemeClr w14:val="tx1"/>
            </w14:solidFill>
          </w14:textFill>
        </w:rPr>
      </w:pPr>
      <w:r>
        <w:rPr>
          <w:rFonts w:ascii="Tahoma" w:hAnsi="Tahoma" w:cs="Tahoma"/>
          <w:color w:val="000000" w:themeColor="text1"/>
          <w:highlight w:val="none"/>
          <w14:textFill>
            <w14:solidFill>
              <w14:schemeClr w14:val="tx1"/>
            </w14:solidFill>
          </w14:textFill>
        </w:rPr>
        <w:t xml:space="preserve">                            </w:t>
      </w:r>
      <w:r>
        <w:rPr>
          <w:rFonts w:ascii="Tahoma" w:hAnsi="Tahoma" w:cs="Tahoma"/>
          <w:color w:val="000000" w:themeColor="text1"/>
          <w:highlight w:val="none"/>
          <w:u w:val="single"/>
          <w14:textFill>
            <w14:solidFill>
              <w14:schemeClr w14:val="tx1"/>
            </w14:solidFill>
          </w14:textFill>
        </w:rPr>
        <w:t xml:space="preserve">            </w:t>
      </w:r>
      <w:r>
        <w:rPr>
          <w:rFonts w:ascii="Tahoma" w:hAnsi="Tahoma" w:cs="Tahoma"/>
          <w:color w:val="000000" w:themeColor="text1"/>
          <w:highlight w:val="none"/>
          <w14:textFill>
            <w14:solidFill>
              <w14:schemeClr w14:val="tx1"/>
            </w14:solidFill>
          </w14:textFill>
        </w:rPr>
        <w:t>年</w:t>
      </w:r>
      <w:r>
        <w:rPr>
          <w:rFonts w:ascii="Tahoma" w:hAnsi="Tahoma" w:cs="Tahoma"/>
          <w:color w:val="000000" w:themeColor="text1"/>
          <w:highlight w:val="none"/>
          <w:u w:val="single"/>
          <w14:textFill>
            <w14:solidFill>
              <w14:schemeClr w14:val="tx1"/>
            </w14:solidFill>
          </w14:textFill>
        </w:rPr>
        <w:t xml:space="preserve">       </w:t>
      </w:r>
      <w:r>
        <w:rPr>
          <w:rFonts w:ascii="Tahoma" w:hAnsi="Tahoma" w:cs="Tahoma"/>
          <w:color w:val="000000" w:themeColor="text1"/>
          <w:highlight w:val="none"/>
          <w14:textFill>
            <w14:solidFill>
              <w14:schemeClr w14:val="tx1"/>
            </w14:solidFill>
          </w14:textFill>
        </w:rPr>
        <w:t>月</w:t>
      </w:r>
      <w:r>
        <w:rPr>
          <w:rFonts w:ascii="Tahoma" w:hAnsi="Tahoma" w:cs="Tahoma"/>
          <w:color w:val="000000" w:themeColor="text1"/>
          <w:highlight w:val="none"/>
          <w:u w:val="single"/>
          <w14:textFill>
            <w14:solidFill>
              <w14:schemeClr w14:val="tx1"/>
            </w14:solidFill>
          </w14:textFill>
        </w:rPr>
        <w:t xml:space="preserve">       </w:t>
      </w:r>
      <w:r>
        <w:rPr>
          <w:rFonts w:ascii="Tahoma" w:hAnsi="Tahoma" w:cs="Tahoma"/>
          <w:color w:val="000000" w:themeColor="text1"/>
          <w:highlight w:val="none"/>
          <w14:textFill>
            <w14:solidFill>
              <w14:schemeClr w14:val="tx1"/>
            </w14:solidFill>
          </w14:textFill>
        </w:rPr>
        <w:t>日</w:t>
      </w:r>
    </w:p>
    <w:p>
      <w:pPr>
        <w:spacing w:line="360" w:lineRule="auto"/>
        <w:jc w:val="center"/>
        <w:rPr>
          <w:rFonts w:ascii="Tahoma" w:hAnsi="Tahoma" w:cs="Tahoma"/>
          <w:color w:val="000000" w:themeColor="text1"/>
          <w:highlight w:val="none"/>
          <w14:textFill>
            <w14:solidFill>
              <w14:schemeClr w14:val="tx1"/>
            </w14:solidFill>
          </w14:textFill>
        </w:rPr>
      </w:pPr>
    </w:p>
    <w:p>
      <w:pPr>
        <w:spacing w:line="360" w:lineRule="auto"/>
        <w:jc w:val="center"/>
        <w:rPr>
          <w:rFonts w:ascii="Tahoma" w:hAnsi="Tahoma" w:cs="Tahoma"/>
          <w:color w:val="000000" w:themeColor="text1"/>
          <w:highlight w:val="none"/>
          <w14:textFill>
            <w14:solidFill>
              <w14:schemeClr w14:val="tx1"/>
            </w14:solidFill>
          </w14:textFill>
        </w:rPr>
      </w:pPr>
    </w:p>
    <w:p>
      <w:pPr>
        <w:spacing w:line="360" w:lineRule="auto"/>
        <w:jc w:val="center"/>
        <w:rPr>
          <w:rFonts w:ascii="Tahoma" w:hAnsi="Tahoma" w:cs="Tahoma"/>
          <w:color w:val="000000" w:themeColor="text1"/>
          <w:highlight w:val="none"/>
          <w14:textFill>
            <w14:solidFill>
              <w14:schemeClr w14:val="tx1"/>
            </w14:solidFill>
          </w14:textFill>
        </w:rPr>
      </w:pPr>
    </w:p>
    <w:p>
      <w:pPr>
        <w:spacing w:line="360" w:lineRule="auto"/>
        <w:jc w:val="center"/>
        <w:rPr>
          <w:rFonts w:ascii="Tahoma" w:hAnsi="Tahoma" w:cs="Tahoma"/>
          <w:color w:val="000000" w:themeColor="text1"/>
          <w:highlight w:val="none"/>
          <w14:textFill>
            <w14:solidFill>
              <w14:schemeClr w14:val="tx1"/>
            </w14:solidFill>
          </w14:textFill>
        </w:rPr>
      </w:pPr>
    </w:p>
    <w:p>
      <w:pPr>
        <w:pStyle w:val="27"/>
        <w:jc w:val="center"/>
        <w:rPr>
          <w:rFonts w:ascii="Tahoma" w:hAnsi="Tahoma" w:eastAsia="黑体" w:cs="Tahoma"/>
          <w:color w:val="000000" w:themeColor="text1"/>
          <w:szCs w:val="28"/>
          <w:highlight w:val="none"/>
          <w14:textFill>
            <w14:solidFill>
              <w14:schemeClr w14:val="tx1"/>
            </w14:solidFill>
          </w14:textFill>
        </w:rPr>
      </w:pPr>
      <w:bookmarkStart w:id="254" w:name="_Toc6176"/>
      <w:r>
        <w:rPr>
          <w:rFonts w:ascii="Tahoma" w:hAnsi="Tahoma" w:eastAsia="黑体" w:cs="Tahoma"/>
          <w:b/>
          <w:color w:val="000000" w:themeColor="text1"/>
          <w:szCs w:val="28"/>
          <w:highlight w:val="none"/>
          <w14:textFill>
            <w14:solidFill>
              <w14:schemeClr w14:val="tx1"/>
            </w14:solidFill>
          </w14:textFill>
        </w:rPr>
        <w:t>（</w:t>
      </w:r>
      <w:r>
        <w:rPr>
          <w:rFonts w:hint="eastAsia" w:ascii="Tahoma" w:hAnsi="Tahoma" w:eastAsia="黑体" w:cs="Tahoma"/>
          <w:b/>
          <w:color w:val="000000" w:themeColor="text1"/>
          <w:szCs w:val="28"/>
          <w:highlight w:val="none"/>
          <w14:textFill>
            <w14:solidFill>
              <w14:schemeClr w14:val="tx1"/>
            </w14:solidFill>
          </w14:textFill>
        </w:rPr>
        <w:t>六</w:t>
      </w:r>
      <w:r>
        <w:rPr>
          <w:rFonts w:ascii="Tahoma" w:hAnsi="Tahoma" w:eastAsia="黑体" w:cs="Tahoma"/>
          <w:b/>
          <w:color w:val="000000" w:themeColor="text1"/>
          <w:szCs w:val="28"/>
          <w:highlight w:val="none"/>
          <w14:textFill>
            <w14:solidFill>
              <w14:schemeClr w14:val="tx1"/>
            </w14:solidFill>
          </w14:textFill>
        </w:rPr>
        <w:t>）、资格证明文件</w:t>
      </w:r>
      <w:bookmarkEnd w:id="254"/>
    </w:p>
    <w:p>
      <w:pPr>
        <w:rPr>
          <w:rFonts w:ascii="Tahoma" w:hAnsi="Tahoma" w:cs="Tahoma"/>
          <w:color w:val="000000" w:themeColor="text1"/>
          <w:highlight w:val="none"/>
          <w14:textFill>
            <w14:solidFill>
              <w14:schemeClr w14:val="tx1"/>
            </w14:solidFill>
          </w14:textFill>
        </w:rPr>
      </w:pPr>
    </w:p>
    <w:p>
      <w:pPr>
        <w:spacing w:line="36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致：</w:t>
      </w:r>
      <w:r>
        <w:rPr>
          <w:rFonts w:ascii="Tahoma" w:hAnsi="Tahoma" w:cs="Tahoma"/>
          <w:color w:val="000000" w:themeColor="text1"/>
          <w:szCs w:val="21"/>
          <w:highlight w:val="none"/>
          <w:u w:val="single"/>
          <w14:textFill>
            <w14:solidFill>
              <w14:schemeClr w14:val="tx1"/>
            </w14:solidFill>
          </w14:textFill>
        </w:rPr>
        <w:t xml:space="preserve">         采购人名称         </w:t>
      </w:r>
      <w:r>
        <w:rPr>
          <w:rFonts w:ascii="Tahoma" w:hAnsi="Tahoma" w:cs="Tahoma"/>
          <w:color w:val="000000" w:themeColor="text1"/>
          <w:szCs w:val="21"/>
          <w:highlight w:val="none"/>
          <w14:textFill>
            <w14:solidFill>
              <w14:schemeClr w14:val="tx1"/>
            </w14:solidFill>
          </w14:textFill>
        </w:rPr>
        <w:t>：</w:t>
      </w:r>
    </w:p>
    <w:p>
      <w:pPr>
        <w:spacing w:line="360" w:lineRule="exact"/>
        <w:rPr>
          <w:rFonts w:ascii="Tahoma" w:hAnsi="Tahoma" w:cs="Tahoma"/>
          <w:color w:val="000000" w:themeColor="text1"/>
          <w:szCs w:val="21"/>
          <w:highlight w:val="none"/>
          <w14:textFill>
            <w14:solidFill>
              <w14:schemeClr w14:val="tx1"/>
            </w14:solidFill>
          </w14:textFill>
        </w:rPr>
      </w:pPr>
    </w:p>
    <w:p>
      <w:pPr>
        <w:spacing w:line="360" w:lineRule="auto"/>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现附上由</w:t>
      </w:r>
      <w:r>
        <w:rPr>
          <w:rFonts w:ascii="Tahoma" w:hAnsi="Tahoma" w:cs="Tahoma"/>
          <w:color w:val="000000" w:themeColor="text1"/>
          <w:szCs w:val="21"/>
          <w:highlight w:val="none"/>
          <w:u w:val="single"/>
          <w14:textFill>
            <w14:solidFill>
              <w14:schemeClr w14:val="tx1"/>
            </w14:solidFill>
          </w14:textFill>
        </w:rPr>
        <w:t xml:space="preserve">       （签发机关名称）       </w:t>
      </w:r>
      <w:r>
        <w:rPr>
          <w:rFonts w:ascii="Tahoma" w:hAnsi="Tahoma" w:cs="Tahoma"/>
          <w:color w:val="000000" w:themeColor="text1"/>
          <w:szCs w:val="21"/>
          <w:highlight w:val="none"/>
          <w14:textFill>
            <w14:solidFill>
              <w14:schemeClr w14:val="tx1"/>
            </w14:solidFill>
          </w14:textFill>
        </w:rPr>
        <w:t>签发的我方法人营业执照副本复印件，该执照真实有效。</w:t>
      </w:r>
    </w:p>
    <w:p>
      <w:pPr>
        <w:spacing w:line="360" w:lineRule="auto"/>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现附上由</w:t>
      </w:r>
      <w:r>
        <w:rPr>
          <w:rFonts w:ascii="Tahoma" w:hAnsi="Tahoma" w:cs="Tahoma"/>
          <w:color w:val="000000" w:themeColor="text1"/>
          <w:szCs w:val="21"/>
          <w:highlight w:val="none"/>
          <w:u w:val="single"/>
          <w14:textFill>
            <w14:solidFill>
              <w14:schemeClr w14:val="tx1"/>
            </w14:solidFill>
          </w14:textFill>
        </w:rPr>
        <w:t xml:space="preserve">       （签发机关名称）       </w:t>
      </w:r>
      <w:r>
        <w:rPr>
          <w:rFonts w:ascii="Tahoma" w:hAnsi="Tahoma" w:cs="Tahoma"/>
          <w:color w:val="000000" w:themeColor="text1"/>
          <w:szCs w:val="21"/>
          <w:highlight w:val="none"/>
          <w14:textFill>
            <w14:solidFill>
              <w14:schemeClr w14:val="tx1"/>
            </w14:solidFill>
          </w14:textFill>
        </w:rPr>
        <w:t>签发的我方税务登记证副本复印件，该证件真实有效。</w:t>
      </w:r>
    </w:p>
    <w:p>
      <w:pPr>
        <w:spacing w:line="360" w:lineRule="auto"/>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现附上由</w:t>
      </w:r>
      <w:r>
        <w:rPr>
          <w:rFonts w:ascii="Tahoma" w:hAnsi="Tahoma" w:cs="Tahoma"/>
          <w:color w:val="000000" w:themeColor="text1"/>
          <w:szCs w:val="21"/>
          <w:highlight w:val="none"/>
          <w:u w:val="single"/>
          <w14:textFill>
            <w14:solidFill>
              <w14:schemeClr w14:val="tx1"/>
            </w14:solidFill>
          </w14:textFill>
        </w:rPr>
        <w:t xml:space="preserve">       （签发机关名称）       </w:t>
      </w:r>
      <w:r>
        <w:rPr>
          <w:rFonts w:ascii="Tahoma" w:hAnsi="Tahoma" w:cs="Tahoma"/>
          <w:color w:val="000000" w:themeColor="text1"/>
          <w:szCs w:val="21"/>
          <w:highlight w:val="none"/>
          <w14:textFill>
            <w14:solidFill>
              <w14:schemeClr w14:val="tx1"/>
            </w14:solidFill>
          </w14:textFill>
        </w:rPr>
        <w:t>签发的我方组织机构代码证副本复印件，该证件真实有效。</w:t>
      </w:r>
    </w:p>
    <w:p>
      <w:pPr>
        <w:spacing w:line="360" w:lineRule="auto"/>
        <w:rPr>
          <w:rFonts w:ascii="Tahoma" w:hAnsi="Tahoma" w:cs="Tahoma"/>
          <w:b/>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w:t>
      </w:r>
      <w:r>
        <w:rPr>
          <w:rFonts w:ascii="Tahoma" w:hAnsi="Tahoma" w:cs="Tahoma"/>
          <w:b/>
          <w:color w:val="000000" w:themeColor="text1"/>
          <w:szCs w:val="21"/>
          <w:highlight w:val="none"/>
          <w14:textFill>
            <w14:solidFill>
              <w14:schemeClr w14:val="tx1"/>
            </w14:solidFill>
          </w14:textFill>
        </w:rPr>
        <w:t>……</w:t>
      </w:r>
      <w:r>
        <w:rPr>
          <w:rFonts w:ascii="Tahoma" w:hAnsi="Tahoma" w:eastAsia="黑体" w:cs="Tahoma"/>
          <w:b/>
          <w:color w:val="000000" w:themeColor="text1"/>
          <w:szCs w:val="21"/>
          <w:highlight w:val="none"/>
          <w14:textFill>
            <w14:solidFill>
              <w14:schemeClr w14:val="tx1"/>
            </w14:solidFill>
          </w14:textFill>
        </w:rPr>
        <w:t>（招标文件要求和投标人应提供的其他相关证件按上述格式填写）</w:t>
      </w:r>
    </w:p>
    <w:p>
      <w:pPr>
        <w:spacing w:line="360" w:lineRule="auto"/>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附：资格证件的复印件或影印件附后</w:t>
      </w:r>
    </w:p>
    <w:p>
      <w:pPr>
        <w:spacing w:line="320" w:lineRule="exact"/>
        <w:rPr>
          <w:rFonts w:ascii="Tahoma" w:hAnsi="Tahoma" w:eastAsia="黑体" w:cs="Tahoma"/>
          <w:b/>
          <w:color w:val="000000" w:themeColor="text1"/>
          <w:szCs w:val="21"/>
          <w:highlight w:val="none"/>
          <w14:textFill>
            <w14:solidFill>
              <w14:schemeClr w14:val="tx1"/>
            </w14:solidFill>
          </w14:textFill>
        </w:rPr>
      </w:pPr>
      <w:r>
        <w:rPr>
          <w:rFonts w:ascii="Tahoma" w:hAnsi="Tahoma" w:eastAsia="黑体" w:cs="Tahoma"/>
          <w:b/>
          <w:color w:val="000000" w:themeColor="text1"/>
          <w:szCs w:val="21"/>
          <w:highlight w:val="none"/>
          <w14:textFill>
            <w14:solidFill>
              <w14:schemeClr w14:val="tx1"/>
            </w14:solidFill>
          </w14:textFill>
        </w:rPr>
        <w:t>说明：</w:t>
      </w:r>
    </w:p>
    <w:p>
      <w:pPr>
        <w:spacing w:line="340" w:lineRule="exact"/>
        <w:ind w:firstLine="211" w:firstLineChars="100"/>
        <w:rPr>
          <w:rFonts w:ascii="Tahoma" w:hAnsi="Tahoma" w:eastAsia="黑体" w:cs="Tahoma"/>
          <w:b/>
          <w:color w:val="000000" w:themeColor="text1"/>
          <w:szCs w:val="21"/>
          <w:highlight w:val="none"/>
          <w14:textFill>
            <w14:solidFill>
              <w14:schemeClr w14:val="tx1"/>
            </w14:solidFill>
          </w14:textFill>
        </w:rPr>
      </w:pPr>
      <w:r>
        <w:rPr>
          <w:rFonts w:ascii="Tahoma" w:hAnsi="Tahoma" w:eastAsia="黑体" w:cs="Tahoma"/>
          <w:b/>
          <w:color w:val="000000" w:themeColor="text1"/>
          <w:szCs w:val="21"/>
          <w:highlight w:val="none"/>
          <w14:textFill>
            <w14:solidFill>
              <w14:schemeClr w14:val="tx1"/>
            </w14:solidFill>
          </w14:textFill>
        </w:rPr>
        <w:t>（1）制造（或生产）企业制造或生产采购货物或服务的资格得到有关行政主管部门许可或批准的有关证件，包括：投标供应商有效的法人营业执照副本复印件、有效的税务登记证、组织机构代码证（或三证合一证）复印件或影印件等。</w:t>
      </w:r>
    </w:p>
    <w:p>
      <w:pPr>
        <w:spacing w:line="340" w:lineRule="exact"/>
        <w:ind w:firstLine="211" w:firstLineChars="100"/>
        <w:rPr>
          <w:rFonts w:ascii="Tahoma" w:hAnsi="Tahoma" w:eastAsia="黑体" w:cs="Tahoma"/>
          <w:b/>
          <w:color w:val="000000" w:themeColor="text1"/>
          <w:szCs w:val="21"/>
          <w:highlight w:val="none"/>
          <w14:textFill>
            <w14:solidFill>
              <w14:schemeClr w14:val="tx1"/>
            </w14:solidFill>
          </w14:textFill>
        </w:rPr>
      </w:pPr>
      <w:r>
        <w:rPr>
          <w:rFonts w:ascii="Tahoma" w:hAnsi="Tahoma" w:eastAsia="黑体" w:cs="Tahoma"/>
          <w:b/>
          <w:color w:val="000000" w:themeColor="text1"/>
          <w:szCs w:val="21"/>
          <w:highlight w:val="none"/>
          <w14:textFill>
            <w14:solidFill>
              <w14:schemeClr w14:val="tx1"/>
            </w14:solidFill>
          </w14:textFill>
        </w:rPr>
        <w:t>（2）采购货物（或产品）的经销许可：如供应商为经销商的，须提供有关行政主管部门许可的货物或设备（产品）在经销许可证范围内的有关证明，</w:t>
      </w:r>
      <w:r>
        <w:rPr>
          <w:rFonts w:hint="eastAsia" w:ascii="Tahoma" w:hAnsi="黑体" w:eastAsia="黑体" w:cs="Tahoma"/>
          <w:b/>
          <w:color w:val="000000" w:themeColor="text1"/>
          <w:szCs w:val="21"/>
          <w:highlight w:val="none"/>
          <w14:textFill>
            <w14:solidFill>
              <w14:schemeClr w14:val="tx1"/>
            </w14:solidFill>
          </w14:textFill>
        </w:rPr>
        <w:t>货物（或产品）制造或生产商针对本项目投标产品的授权经销许可等。</w:t>
      </w:r>
    </w:p>
    <w:p>
      <w:pPr>
        <w:spacing w:line="340" w:lineRule="exact"/>
        <w:ind w:firstLine="211" w:firstLineChars="100"/>
        <w:rPr>
          <w:rFonts w:ascii="Tahoma" w:hAnsi="Tahoma" w:eastAsia="黑体" w:cs="Tahoma"/>
          <w:b/>
          <w:color w:val="000000" w:themeColor="text1"/>
          <w:szCs w:val="21"/>
          <w:highlight w:val="none"/>
          <w14:textFill>
            <w14:solidFill>
              <w14:schemeClr w14:val="tx1"/>
            </w14:solidFill>
          </w14:textFill>
        </w:rPr>
      </w:pPr>
      <w:r>
        <w:rPr>
          <w:rFonts w:ascii="Tahoma" w:hAnsi="Tahoma" w:eastAsia="黑体" w:cs="Tahoma"/>
          <w:b/>
          <w:color w:val="000000" w:themeColor="text1"/>
          <w:szCs w:val="21"/>
          <w:highlight w:val="none"/>
          <w14:textFill>
            <w14:solidFill>
              <w14:schemeClr w14:val="tx1"/>
            </w14:solidFill>
          </w14:textFill>
        </w:rPr>
        <w:t>（3）招标文件要求的全部资格证件及依照招标文件规定应予提供的其他证件复印件或影印件。</w:t>
      </w:r>
    </w:p>
    <w:p>
      <w:pPr>
        <w:spacing w:line="340" w:lineRule="exact"/>
        <w:ind w:firstLine="211" w:firstLineChars="100"/>
        <w:rPr>
          <w:rFonts w:ascii="Tahoma" w:hAnsi="Tahoma" w:eastAsia="黑体" w:cs="Tahoma"/>
          <w:b/>
          <w:color w:val="000000" w:themeColor="text1"/>
          <w:szCs w:val="21"/>
          <w:highlight w:val="none"/>
          <w14:textFill>
            <w14:solidFill>
              <w14:schemeClr w14:val="tx1"/>
            </w14:solidFill>
          </w14:textFill>
        </w:rPr>
      </w:pPr>
      <w:r>
        <w:rPr>
          <w:rFonts w:ascii="Tahoma" w:hAnsi="Tahoma" w:eastAsia="黑体" w:cs="Tahoma"/>
          <w:b/>
          <w:color w:val="000000" w:themeColor="text1"/>
          <w:szCs w:val="21"/>
          <w:highlight w:val="none"/>
          <w14:textFill>
            <w14:solidFill>
              <w14:schemeClr w14:val="tx1"/>
            </w14:solidFill>
          </w14:textFill>
        </w:rPr>
        <w:t>（4）采购的货物名称规格型号应与许可证上规格型号一致，复印件或影印件必须与注明</w:t>
      </w:r>
      <w:r>
        <w:rPr>
          <w:rFonts w:ascii="宋体" w:hAnsi="宋体" w:cs="Tahoma"/>
          <w:b/>
          <w:color w:val="000000" w:themeColor="text1"/>
          <w:szCs w:val="21"/>
          <w:highlight w:val="none"/>
          <w14:textFill>
            <w14:solidFill>
              <w14:schemeClr w14:val="tx1"/>
            </w14:solidFill>
          </w14:textFill>
        </w:rPr>
        <w:t>“</w:t>
      </w:r>
      <w:r>
        <w:rPr>
          <w:rFonts w:ascii="Tahoma" w:hAnsi="Tahoma" w:eastAsia="黑体" w:cs="Tahoma"/>
          <w:b/>
          <w:color w:val="000000" w:themeColor="text1"/>
          <w:szCs w:val="21"/>
          <w:highlight w:val="none"/>
          <w14:textFill>
            <w14:solidFill>
              <w14:schemeClr w14:val="tx1"/>
            </w14:solidFill>
          </w14:textFill>
        </w:rPr>
        <w:t>原件一致</w:t>
      </w:r>
      <w:r>
        <w:rPr>
          <w:rFonts w:ascii="宋体" w:hAnsi="宋体" w:cs="Tahoma"/>
          <w:b/>
          <w:color w:val="000000" w:themeColor="text1"/>
          <w:szCs w:val="21"/>
          <w:highlight w:val="none"/>
          <w14:textFill>
            <w14:solidFill>
              <w14:schemeClr w14:val="tx1"/>
            </w14:solidFill>
          </w14:textFill>
        </w:rPr>
        <w:t>”</w:t>
      </w:r>
      <w:r>
        <w:rPr>
          <w:rFonts w:ascii="Tahoma" w:hAnsi="Tahoma" w:eastAsia="黑体" w:cs="Tahoma"/>
          <w:b/>
          <w:color w:val="000000" w:themeColor="text1"/>
          <w:szCs w:val="21"/>
          <w:highlight w:val="none"/>
          <w14:textFill>
            <w14:solidFill>
              <w14:schemeClr w14:val="tx1"/>
            </w14:solidFill>
          </w14:textFill>
        </w:rPr>
        <w:t>。</w:t>
      </w:r>
    </w:p>
    <w:p>
      <w:pPr>
        <w:spacing w:line="340" w:lineRule="exact"/>
        <w:ind w:firstLine="207" w:firstLineChars="98"/>
        <w:rPr>
          <w:rFonts w:ascii="Tahoma" w:hAnsi="Tahoma" w:eastAsia="黑体" w:cs="Tahoma"/>
          <w:b/>
          <w:color w:val="000000" w:themeColor="text1"/>
          <w:szCs w:val="21"/>
          <w:highlight w:val="none"/>
          <w14:textFill>
            <w14:solidFill>
              <w14:schemeClr w14:val="tx1"/>
            </w14:solidFill>
          </w14:textFill>
        </w:rPr>
      </w:pPr>
      <w:r>
        <w:rPr>
          <w:rFonts w:ascii="Tahoma" w:hAnsi="Tahoma" w:eastAsia="黑体" w:cs="Tahoma"/>
          <w:b/>
          <w:color w:val="000000" w:themeColor="text1"/>
          <w:szCs w:val="21"/>
          <w:highlight w:val="none"/>
          <w14:textFill>
            <w14:solidFill>
              <w14:schemeClr w14:val="tx1"/>
            </w14:solidFill>
          </w14:textFill>
        </w:rPr>
        <w:t>（5）所附的资格证明文件的复印件或影印件含糊不清，导致无法辨认的，其投标将被否决。</w:t>
      </w:r>
    </w:p>
    <w:p>
      <w:pPr>
        <w:spacing w:line="380" w:lineRule="exact"/>
        <w:rPr>
          <w:rFonts w:ascii="Tahoma" w:hAnsi="Tahoma" w:cs="Tahoma"/>
          <w:color w:val="000000" w:themeColor="text1"/>
          <w:sz w:val="24"/>
          <w:highlight w:val="none"/>
          <w14:textFill>
            <w14:solidFill>
              <w14:schemeClr w14:val="tx1"/>
            </w14:solidFill>
          </w14:textFill>
        </w:rPr>
      </w:pPr>
      <w:r>
        <w:rPr>
          <w:rFonts w:ascii="Tahoma" w:hAnsi="Tahoma" w:cs="Tahoma"/>
          <w:color w:val="000000" w:themeColor="text1"/>
          <w:sz w:val="24"/>
          <w:highlight w:val="none"/>
          <w14:textFill>
            <w14:solidFill>
              <w14:schemeClr w14:val="tx1"/>
            </w14:solidFill>
          </w14:textFill>
        </w:rPr>
        <w:t xml:space="preserve">                                </w:t>
      </w:r>
    </w:p>
    <w:p>
      <w:pPr>
        <w:spacing w:line="380" w:lineRule="exact"/>
        <w:ind w:firstLine="3780" w:firstLineChars="1800"/>
        <w:rPr>
          <w:rFonts w:ascii="Tahoma" w:hAnsi="Tahoma" w:cs="Tahoma"/>
          <w:color w:val="000000" w:themeColor="text1"/>
          <w:szCs w:val="21"/>
          <w:highlight w:val="none"/>
          <w14:textFill>
            <w14:solidFill>
              <w14:schemeClr w14:val="tx1"/>
            </w14:solidFill>
          </w14:textFill>
        </w:rPr>
      </w:pPr>
    </w:p>
    <w:p>
      <w:pPr>
        <w:spacing w:line="380" w:lineRule="exact"/>
        <w:ind w:firstLine="3780" w:firstLineChars="1800"/>
        <w:rPr>
          <w:rFonts w:ascii="Tahoma" w:hAnsi="Tahoma" w:cs="Tahoma"/>
          <w:color w:val="000000" w:themeColor="text1"/>
          <w:szCs w:val="21"/>
          <w:highlight w:val="none"/>
          <w14:textFill>
            <w14:solidFill>
              <w14:schemeClr w14:val="tx1"/>
            </w14:solidFill>
          </w14:textFill>
        </w:rPr>
      </w:pPr>
    </w:p>
    <w:p>
      <w:pPr>
        <w:spacing w:line="380" w:lineRule="exact"/>
        <w:ind w:firstLine="3780" w:firstLineChars="18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供应商（加盖公章）：</w:t>
      </w:r>
      <w:r>
        <w:rPr>
          <w:rFonts w:ascii="Tahoma" w:hAnsi="Tahoma" w:cs="Tahoma"/>
          <w:color w:val="000000" w:themeColor="text1"/>
          <w:szCs w:val="21"/>
          <w:highlight w:val="none"/>
          <w:u w:val="single"/>
          <w14:textFill>
            <w14:solidFill>
              <w14:schemeClr w14:val="tx1"/>
            </w14:solidFill>
          </w14:textFill>
        </w:rPr>
        <w:t xml:space="preserve">                        </w:t>
      </w:r>
    </w:p>
    <w:p>
      <w:pPr>
        <w:spacing w:line="38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w:t>
      </w:r>
    </w:p>
    <w:p>
      <w:pPr>
        <w:spacing w:line="380" w:lineRule="exact"/>
        <w:ind w:firstLine="3780" w:firstLineChars="18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供应商代表（签字）：</w:t>
      </w:r>
      <w:r>
        <w:rPr>
          <w:rFonts w:ascii="Tahoma" w:hAnsi="Tahoma" w:cs="Tahoma"/>
          <w:color w:val="000000" w:themeColor="text1"/>
          <w:szCs w:val="21"/>
          <w:highlight w:val="none"/>
          <w:u w:val="single"/>
          <w14:textFill>
            <w14:solidFill>
              <w14:schemeClr w14:val="tx1"/>
            </w14:solidFill>
          </w14:textFill>
        </w:rPr>
        <w:t xml:space="preserve">                         </w:t>
      </w:r>
    </w:p>
    <w:p>
      <w:pPr>
        <w:spacing w:line="38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w:t>
      </w:r>
    </w:p>
    <w:p>
      <w:pPr>
        <w:spacing w:line="480" w:lineRule="auto"/>
        <w:rPr>
          <w:rFonts w:ascii="Tahoma" w:hAnsi="Tahoma" w:cs="Tahoma"/>
          <w:color w:val="000000" w:themeColor="text1"/>
          <w:sz w:val="24"/>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日            期：</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年</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月</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日</w:t>
      </w:r>
      <w:r>
        <w:rPr>
          <w:rFonts w:ascii="Tahoma" w:hAnsi="Tahoma" w:cs="Tahoma"/>
          <w:color w:val="000000" w:themeColor="text1"/>
          <w:sz w:val="24"/>
          <w:highlight w:val="none"/>
          <w14:textFill>
            <w14:solidFill>
              <w14:schemeClr w14:val="tx1"/>
            </w14:solidFill>
          </w14:textFill>
        </w:rPr>
        <w:t xml:space="preserve">                         </w:t>
      </w:r>
    </w:p>
    <w:p>
      <w:pPr>
        <w:jc w:val="center"/>
        <w:rPr>
          <w:rFonts w:ascii="Tahoma" w:hAnsi="Tahoma" w:eastAsia="黑体" w:cs="Tahoma"/>
          <w:b/>
          <w:bCs/>
          <w:color w:val="000000" w:themeColor="text1"/>
          <w:sz w:val="28"/>
          <w:szCs w:val="28"/>
          <w:highlight w:val="none"/>
          <w14:textFill>
            <w14:solidFill>
              <w14:schemeClr w14:val="tx1"/>
            </w14:solidFill>
          </w14:textFill>
        </w:rPr>
      </w:pPr>
    </w:p>
    <w:p>
      <w:pPr>
        <w:jc w:val="center"/>
        <w:rPr>
          <w:rFonts w:ascii="Tahoma" w:hAnsi="Tahoma" w:eastAsia="黑体" w:cs="Tahoma"/>
          <w:b/>
          <w:bCs/>
          <w:color w:val="000000" w:themeColor="text1"/>
          <w:sz w:val="28"/>
          <w:szCs w:val="28"/>
          <w:highlight w:val="none"/>
          <w14:textFill>
            <w14:solidFill>
              <w14:schemeClr w14:val="tx1"/>
            </w14:solidFill>
          </w14:textFill>
        </w:rPr>
      </w:pPr>
    </w:p>
    <w:p>
      <w:pPr>
        <w:jc w:val="center"/>
        <w:rPr>
          <w:rFonts w:ascii="Tahoma" w:hAnsi="Tahoma" w:eastAsia="黑体" w:cs="Tahoma"/>
          <w:b/>
          <w:bCs/>
          <w:color w:val="000000" w:themeColor="text1"/>
          <w:sz w:val="28"/>
          <w:szCs w:val="28"/>
          <w:highlight w:val="none"/>
          <w14:textFill>
            <w14:solidFill>
              <w14:schemeClr w14:val="tx1"/>
            </w14:solidFill>
          </w14:textFill>
        </w:rPr>
      </w:pPr>
    </w:p>
    <w:p>
      <w:pPr>
        <w:jc w:val="center"/>
        <w:rPr>
          <w:rFonts w:ascii="Tahoma" w:hAnsi="Tahoma" w:eastAsia="黑体" w:cs="Tahoma"/>
          <w:b/>
          <w:bCs/>
          <w:color w:val="000000" w:themeColor="text1"/>
          <w:sz w:val="28"/>
          <w:szCs w:val="28"/>
          <w:highlight w:val="none"/>
          <w14:textFill>
            <w14:solidFill>
              <w14:schemeClr w14:val="tx1"/>
            </w14:solidFill>
          </w14:textFill>
        </w:rPr>
      </w:pPr>
    </w:p>
    <w:p>
      <w:pPr>
        <w:jc w:val="center"/>
        <w:rPr>
          <w:rFonts w:ascii="Tahoma" w:hAnsi="Tahoma" w:eastAsia="黑体" w:cs="Tahoma"/>
          <w:b/>
          <w:bCs/>
          <w:color w:val="000000" w:themeColor="text1"/>
          <w:sz w:val="28"/>
          <w:szCs w:val="28"/>
          <w:highlight w:val="none"/>
          <w14:textFill>
            <w14:solidFill>
              <w14:schemeClr w14:val="tx1"/>
            </w14:solidFill>
          </w14:textFill>
        </w:rPr>
      </w:pPr>
    </w:p>
    <w:p>
      <w:pPr>
        <w:jc w:val="center"/>
        <w:rPr>
          <w:rFonts w:ascii="Tahoma" w:hAnsi="Tahoma" w:eastAsia="黑体" w:cs="Tahoma"/>
          <w:b/>
          <w:bCs/>
          <w:color w:val="000000" w:themeColor="text1"/>
          <w:sz w:val="28"/>
          <w:szCs w:val="28"/>
          <w:highlight w:val="none"/>
          <w14:textFill>
            <w14:solidFill>
              <w14:schemeClr w14:val="tx1"/>
            </w14:solidFill>
          </w14:textFill>
        </w:rPr>
      </w:pPr>
    </w:p>
    <w:p>
      <w:pPr>
        <w:spacing w:line="360" w:lineRule="auto"/>
        <w:jc w:val="center"/>
        <w:rPr>
          <w:rFonts w:ascii="Tahoma" w:hAnsi="Tahoma" w:eastAsia="黑体" w:cs="Tahoma"/>
          <w:b/>
          <w:bCs/>
          <w:color w:val="000000" w:themeColor="text1"/>
          <w:sz w:val="28"/>
          <w:szCs w:val="28"/>
          <w:highlight w:val="none"/>
          <w14:textFill>
            <w14:solidFill>
              <w14:schemeClr w14:val="tx1"/>
            </w14:solidFill>
          </w14:textFill>
        </w:rPr>
      </w:pPr>
    </w:p>
    <w:p>
      <w:pPr>
        <w:spacing w:line="400" w:lineRule="exact"/>
        <w:jc w:val="center"/>
        <w:rPr>
          <w:rFonts w:ascii="Tahoma" w:hAnsi="Tahoma" w:eastAsia="黑体" w:cs="Tahoma"/>
          <w:b/>
          <w:bCs/>
          <w:color w:val="000000" w:themeColor="text1"/>
          <w:sz w:val="28"/>
          <w:szCs w:val="28"/>
          <w:highlight w:val="none"/>
          <w14:textFill>
            <w14:solidFill>
              <w14:schemeClr w14:val="tx1"/>
            </w14:solidFill>
          </w14:textFill>
        </w:rPr>
      </w:pPr>
      <w:r>
        <w:rPr>
          <w:rFonts w:hint="eastAsia" w:ascii="Tahoma" w:hAnsi="Tahoma" w:eastAsia="黑体" w:cs="Tahoma"/>
          <w:b/>
          <w:bCs/>
          <w:color w:val="000000" w:themeColor="text1"/>
          <w:sz w:val="28"/>
          <w:szCs w:val="28"/>
          <w:highlight w:val="none"/>
          <w14:textFill>
            <w14:solidFill>
              <w14:schemeClr w14:val="tx1"/>
            </w14:solidFill>
          </w14:textFill>
        </w:rPr>
        <w:t>（七）节能、环保产品证明（如有）</w:t>
      </w:r>
    </w:p>
    <w:p>
      <w:pPr>
        <w:spacing w:line="400" w:lineRule="exact"/>
        <w:rPr>
          <w:rFonts w:ascii="Tahoma" w:hAnsi="Tahoma" w:eastAsia="黑体" w:cs="Tahoma"/>
          <w:b/>
          <w:bCs/>
          <w:color w:val="000000" w:themeColor="text1"/>
          <w:sz w:val="28"/>
          <w:szCs w:val="28"/>
          <w:highlight w:val="none"/>
          <w14:textFill>
            <w14:solidFill>
              <w14:schemeClr w14:val="tx1"/>
            </w14:solidFill>
          </w14:textFill>
        </w:rPr>
      </w:pPr>
    </w:p>
    <w:p>
      <w:pPr>
        <w:spacing w:line="400" w:lineRule="exact"/>
        <w:rPr>
          <w:rFonts w:ascii="Tahoma" w:hAnsi="Tahoma" w:cs="Tahoma"/>
          <w:color w:val="000000" w:themeColor="text1"/>
          <w:szCs w:val="21"/>
          <w:highlight w:val="none"/>
          <w14:textFill>
            <w14:solidFill>
              <w14:schemeClr w14:val="tx1"/>
            </w14:solidFill>
          </w14:textFill>
        </w:rPr>
      </w:pPr>
    </w:p>
    <w:p>
      <w:pPr>
        <w:spacing w:line="40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致：</w:t>
      </w:r>
      <w:r>
        <w:rPr>
          <w:rFonts w:ascii="Tahoma" w:hAnsi="Tahoma" w:cs="Tahoma"/>
          <w:color w:val="000000" w:themeColor="text1"/>
          <w:szCs w:val="21"/>
          <w:highlight w:val="none"/>
          <w:u w:val="single"/>
          <w14:textFill>
            <w14:solidFill>
              <w14:schemeClr w14:val="tx1"/>
            </w14:solidFill>
          </w14:textFill>
        </w:rPr>
        <w:t xml:space="preserve">         采购人名称          </w:t>
      </w:r>
      <w:r>
        <w:rPr>
          <w:rFonts w:ascii="Tahoma" w:hAnsi="Tahoma" w:cs="Tahoma"/>
          <w:color w:val="000000" w:themeColor="text1"/>
          <w:szCs w:val="21"/>
          <w:highlight w:val="none"/>
          <w14:textFill>
            <w14:solidFill>
              <w14:schemeClr w14:val="tx1"/>
            </w14:solidFill>
          </w14:textFill>
        </w:rPr>
        <w:t>：</w:t>
      </w:r>
    </w:p>
    <w:p>
      <w:pPr>
        <w:spacing w:line="400" w:lineRule="exact"/>
        <w:rPr>
          <w:rFonts w:ascii="Tahoma" w:hAnsi="Tahoma" w:cs="Tahoma"/>
          <w:color w:val="000000" w:themeColor="text1"/>
          <w:szCs w:val="21"/>
          <w:highlight w:val="none"/>
          <w14:textFill>
            <w14:solidFill>
              <w14:schemeClr w14:val="tx1"/>
            </w14:solidFill>
          </w14:textFill>
        </w:rPr>
      </w:pPr>
    </w:p>
    <w:p>
      <w:pPr>
        <w:spacing w:line="40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现附上</w:t>
      </w:r>
      <w:r>
        <w:rPr>
          <w:rFonts w:ascii="Tahoma" w:hAnsi="Tahoma" w:cs="Tahoma"/>
          <w:color w:val="000000" w:themeColor="text1"/>
          <w:szCs w:val="21"/>
          <w:highlight w:val="none"/>
          <w:u w:val="single"/>
          <w14:textFill>
            <w14:solidFill>
              <w14:schemeClr w14:val="tx1"/>
            </w14:solidFill>
          </w14:textFill>
        </w:rPr>
        <w:t xml:space="preserve">         （节能、环保产品产品目录）         </w:t>
      </w:r>
      <w:r>
        <w:rPr>
          <w:rFonts w:ascii="Tahoma" w:hAnsi="Tahoma" w:cs="Tahoma"/>
          <w:color w:val="000000" w:themeColor="text1"/>
          <w:szCs w:val="21"/>
          <w:highlight w:val="none"/>
          <w14:textFill>
            <w14:solidFill>
              <w14:schemeClr w14:val="tx1"/>
            </w14:solidFill>
          </w14:textFill>
        </w:rPr>
        <w:t>证明文件（可在</w:t>
      </w:r>
      <w:r>
        <w:rPr>
          <w:rFonts w:ascii="Tahoma" w:hAnsi="Tahoma" w:cs="Tahoma"/>
          <w:color w:val="000000" w:themeColor="text1"/>
          <w:szCs w:val="21"/>
          <w:highlight w:val="none"/>
          <w:u w:val="single"/>
          <w14:textFill>
            <w14:solidFill>
              <w14:schemeClr w14:val="tx1"/>
            </w14:solidFill>
          </w14:textFill>
        </w:rPr>
        <w:t xml:space="preserve"> 网站名称 </w:t>
      </w:r>
      <w:r>
        <w:rPr>
          <w:rFonts w:ascii="Tahoma" w:hAnsi="Tahoma" w:cs="Tahoma"/>
          <w:color w:val="000000" w:themeColor="text1"/>
          <w:szCs w:val="21"/>
          <w:highlight w:val="none"/>
          <w14:textFill>
            <w14:solidFill>
              <w14:schemeClr w14:val="tx1"/>
            </w14:solidFill>
          </w14:textFill>
        </w:rPr>
        <w:t>网站进行查询）复印件，该证件真实有效。</w:t>
      </w:r>
    </w:p>
    <w:p>
      <w:pPr>
        <w:spacing w:line="400" w:lineRule="exact"/>
        <w:jc w:val="center"/>
        <w:rPr>
          <w:rFonts w:ascii="Tahoma" w:hAnsi="Tahoma" w:cs="Tahoma"/>
          <w:color w:val="000000" w:themeColor="text1"/>
          <w:szCs w:val="21"/>
          <w:highlight w:val="none"/>
          <w14:textFill>
            <w14:solidFill>
              <w14:schemeClr w14:val="tx1"/>
            </w14:solidFill>
          </w14:textFill>
        </w:rPr>
      </w:pPr>
    </w:p>
    <w:p>
      <w:pPr>
        <w:spacing w:line="400" w:lineRule="exact"/>
        <w:jc w:val="center"/>
        <w:rPr>
          <w:rFonts w:ascii="Tahoma" w:hAnsi="Tahoma" w:cs="Tahoma"/>
          <w:color w:val="000000" w:themeColor="text1"/>
          <w:szCs w:val="21"/>
          <w:highlight w:val="none"/>
          <w14:textFill>
            <w14:solidFill>
              <w14:schemeClr w14:val="tx1"/>
            </w14:solidFill>
          </w14:textFill>
        </w:rPr>
      </w:pPr>
    </w:p>
    <w:p>
      <w:pPr>
        <w:spacing w:line="400" w:lineRule="exact"/>
        <w:jc w:val="center"/>
        <w:rPr>
          <w:rFonts w:ascii="Tahoma" w:hAnsi="Tahoma" w:cs="Tahoma"/>
          <w:color w:val="000000" w:themeColor="text1"/>
          <w:szCs w:val="21"/>
          <w:highlight w:val="none"/>
          <w14:textFill>
            <w14:solidFill>
              <w14:schemeClr w14:val="tx1"/>
            </w14:solidFill>
          </w14:textFill>
        </w:rPr>
      </w:pPr>
    </w:p>
    <w:p>
      <w:pPr>
        <w:spacing w:line="400" w:lineRule="exact"/>
        <w:jc w:val="center"/>
        <w:rPr>
          <w:rFonts w:ascii="Tahoma" w:hAnsi="Tahoma" w:cs="Tahoma"/>
          <w:color w:val="000000" w:themeColor="text1"/>
          <w:szCs w:val="21"/>
          <w:highlight w:val="none"/>
          <w14:textFill>
            <w14:solidFill>
              <w14:schemeClr w14:val="tx1"/>
            </w14:solidFill>
          </w14:textFill>
        </w:rPr>
      </w:pPr>
    </w:p>
    <w:p>
      <w:pPr>
        <w:pStyle w:val="10"/>
        <w:spacing w:line="400" w:lineRule="exact"/>
        <w:ind w:firstLine="422" w:firstLineChars="200"/>
        <w:rPr>
          <w:rFonts w:ascii="Tahoma" w:hAnsi="Tahoma" w:cs="Tahoma"/>
          <w:b/>
          <w:color w:val="000000" w:themeColor="text1"/>
          <w:sz w:val="21"/>
          <w:szCs w:val="21"/>
          <w:highlight w:val="none"/>
          <w14:textFill>
            <w14:solidFill>
              <w14:schemeClr w14:val="tx1"/>
            </w14:solidFill>
          </w14:textFill>
        </w:rPr>
      </w:pPr>
      <w:r>
        <w:rPr>
          <w:rFonts w:ascii="Tahoma" w:hAnsi="Tahoma" w:eastAsia="黑体" w:cs="Tahoma"/>
          <w:b/>
          <w:color w:val="000000" w:themeColor="text1"/>
          <w:sz w:val="21"/>
          <w:szCs w:val="21"/>
          <w:highlight w:val="none"/>
          <w14:textFill>
            <w14:solidFill>
              <w14:schemeClr w14:val="tx1"/>
            </w14:solidFill>
          </w14:textFill>
        </w:rPr>
        <w:t>注：节能、环保产品须提供“财政部、国家发展改革委公布的节能、环保产品清单目录”并在有效期内的复印件或影印件，并能在投标人提供的网站上查询到相关内容（未提供查询网站，或在其提供的查询网站上查询不到相关内容的，将不予认可），由投标人加盖公章并注明“与原件一致”。</w:t>
      </w:r>
    </w:p>
    <w:p>
      <w:pPr>
        <w:spacing w:line="400" w:lineRule="exact"/>
        <w:rPr>
          <w:rFonts w:ascii="Tahoma" w:hAnsi="Tahoma" w:cs="Tahoma"/>
          <w:color w:val="000000" w:themeColor="text1"/>
          <w:sz w:val="24"/>
          <w:highlight w:val="none"/>
          <w14:textFill>
            <w14:solidFill>
              <w14:schemeClr w14:val="tx1"/>
            </w14:solidFill>
          </w14:textFill>
        </w:rPr>
      </w:pPr>
    </w:p>
    <w:p>
      <w:pPr>
        <w:spacing w:line="360" w:lineRule="exact"/>
        <w:rPr>
          <w:rFonts w:ascii="Tahoma" w:hAnsi="Tahoma" w:cs="Tahoma"/>
          <w:color w:val="000000" w:themeColor="text1"/>
          <w:sz w:val="24"/>
          <w:highlight w:val="none"/>
          <w14:textFill>
            <w14:solidFill>
              <w14:schemeClr w14:val="tx1"/>
            </w14:solidFill>
          </w14:textFill>
        </w:rPr>
      </w:pPr>
    </w:p>
    <w:p>
      <w:pPr>
        <w:spacing w:line="360" w:lineRule="exact"/>
        <w:rPr>
          <w:rFonts w:ascii="Tahoma" w:hAnsi="Tahoma" w:cs="Tahoma"/>
          <w:color w:val="000000" w:themeColor="text1"/>
          <w:sz w:val="24"/>
          <w:highlight w:val="none"/>
          <w14:textFill>
            <w14:solidFill>
              <w14:schemeClr w14:val="tx1"/>
            </w14:solidFill>
          </w14:textFill>
        </w:rPr>
      </w:pPr>
    </w:p>
    <w:p>
      <w:pPr>
        <w:spacing w:line="360" w:lineRule="exact"/>
        <w:rPr>
          <w:rFonts w:ascii="Tahoma" w:hAnsi="Tahoma" w:cs="Tahoma"/>
          <w:color w:val="000000" w:themeColor="text1"/>
          <w:sz w:val="24"/>
          <w:highlight w:val="none"/>
          <w14:textFill>
            <w14:solidFill>
              <w14:schemeClr w14:val="tx1"/>
            </w14:solidFill>
          </w14:textFill>
        </w:rPr>
      </w:pPr>
    </w:p>
    <w:p>
      <w:pPr>
        <w:spacing w:line="360" w:lineRule="exact"/>
        <w:rPr>
          <w:rFonts w:ascii="Tahoma" w:hAnsi="Tahoma" w:cs="Tahoma"/>
          <w:color w:val="000000" w:themeColor="text1"/>
          <w:sz w:val="24"/>
          <w:highlight w:val="none"/>
          <w14:textFill>
            <w14:solidFill>
              <w14:schemeClr w14:val="tx1"/>
            </w14:solidFill>
          </w14:textFill>
        </w:rPr>
      </w:pPr>
    </w:p>
    <w:p>
      <w:pPr>
        <w:spacing w:line="360" w:lineRule="exact"/>
        <w:rPr>
          <w:rFonts w:ascii="Tahoma" w:hAnsi="Tahoma" w:cs="Tahoma"/>
          <w:color w:val="000000" w:themeColor="text1"/>
          <w:sz w:val="24"/>
          <w:highlight w:val="none"/>
          <w14:textFill>
            <w14:solidFill>
              <w14:schemeClr w14:val="tx1"/>
            </w14:solidFill>
          </w14:textFill>
        </w:rPr>
      </w:pPr>
    </w:p>
    <w:p>
      <w:pPr>
        <w:spacing w:line="36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投标人（加盖公章）：</w:t>
      </w:r>
      <w:r>
        <w:rPr>
          <w:rFonts w:ascii="Tahoma" w:hAnsi="Tahoma" w:cs="Tahoma"/>
          <w:color w:val="000000" w:themeColor="text1"/>
          <w:szCs w:val="21"/>
          <w:highlight w:val="none"/>
          <w:u w:val="single"/>
          <w14:textFill>
            <w14:solidFill>
              <w14:schemeClr w14:val="tx1"/>
            </w14:solidFill>
          </w14:textFill>
        </w:rPr>
        <w:t xml:space="preserve">                         </w:t>
      </w:r>
    </w:p>
    <w:p>
      <w:pPr>
        <w:spacing w:line="36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w:t>
      </w:r>
    </w:p>
    <w:p>
      <w:pPr>
        <w:spacing w:line="36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投标人代表（签字）：</w:t>
      </w:r>
      <w:r>
        <w:rPr>
          <w:rFonts w:ascii="Tahoma" w:hAnsi="Tahoma" w:cs="Tahoma"/>
          <w:color w:val="000000" w:themeColor="text1"/>
          <w:szCs w:val="21"/>
          <w:highlight w:val="none"/>
          <w:u w:val="single"/>
          <w14:textFill>
            <w14:solidFill>
              <w14:schemeClr w14:val="tx1"/>
            </w14:solidFill>
          </w14:textFill>
        </w:rPr>
        <w:t xml:space="preserve">                         </w:t>
      </w:r>
    </w:p>
    <w:p>
      <w:pPr>
        <w:spacing w:line="36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w:t>
      </w:r>
    </w:p>
    <w:p>
      <w:pPr>
        <w:spacing w:line="380" w:lineRule="exact"/>
        <w:rPr>
          <w:rFonts w:ascii="Tahoma" w:hAnsi="Tahoma" w:cs="Tahoma"/>
          <w:color w:val="000000" w:themeColor="text1"/>
          <w:sz w:val="24"/>
          <w:highlight w:val="none"/>
          <w:u w:val="singl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日             期：</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年</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月</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日</w:t>
      </w:r>
    </w:p>
    <w:p>
      <w:pPr>
        <w:jc w:val="center"/>
        <w:rPr>
          <w:rFonts w:ascii="Tahoma" w:hAnsi="Tahoma" w:cs="Tahoma"/>
          <w:b/>
          <w:bCs/>
          <w:color w:val="000000" w:themeColor="text1"/>
          <w:sz w:val="32"/>
          <w:highlight w:val="none"/>
          <w14:textFill>
            <w14:solidFill>
              <w14:schemeClr w14:val="tx1"/>
            </w14:solidFill>
          </w14:textFill>
        </w:rPr>
      </w:pPr>
    </w:p>
    <w:p>
      <w:pPr>
        <w:jc w:val="center"/>
        <w:rPr>
          <w:rFonts w:ascii="Tahoma" w:hAnsi="Tahoma" w:cs="Tahoma"/>
          <w:b/>
          <w:bCs/>
          <w:color w:val="000000" w:themeColor="text1"/>
          <w:sz w:val="32"/>
          <w:highlight w:val="none"/>
          <w14:textFill>
            <w14:solidFill>
              <w14:schemeClr w14:val="tx1"/>
            </w14:solidFill>
          </w14:textFill>
        </w:rPr>
      </w:pPr>
    </w:p>
    <w:p>
      <w:pPr>
        <w:jc w:val="center"/>
        <w:rPr>
          <w:rFonts w:ascii="Tahoma" w:hAnsi="Tahoma" w:cs="Tahoma"/>
          <w:b/>
          <w:bCs/>
          <w:color w:val="000000" w:themeColor="text1"/>
          <w:sz w:val="32"/>
          <w:highlight w:val="none"/>
          <w14:textFill>
            <w14:solidFill>
              <w14:schemeClr w14:val="tx1"/>
            </w14:solidFill>
          </w14:textFill>
        </w:rPr>
      </w:pPr>
    </w:p>
    <w:p>
      <w:pPr>
        <w:jc w:val="center"/>
        <w:rPr>
          <w:rFonts w:ascii="Tahoma" w:hAnsi="Tahoma" w:cs="Tahoma"/>
          <w:b/>
          <w:bCs/>
          <w:color w:val="000000" w:themeColor="text1"/>
          <w:sz w:val="32"/>
          <w:highlight w:val="none"/>
          <w14:textFill>
            <w14:solidFill>
              <w14:schemeClr w14:val="tx1"/>
            </w14:solidFill>
          </w14:textFill>
        </w:rPr>
      </w:pPr>
    </w:p>
    <w:p>
      <w:pPr>
        <w:jc w:val="center"/>
        <w:rPr>
          <w:rFonts w:ascii="Tahoma" w:hAnsi="Tahoma" w:cs="Tahoma"/>
          <w:b/>
          <w:bCs/>
          <w:color w:val="000000" w:themeColor="text1"/>
          <w:sz w:val="32"/>
          <w:highlight w:val="none"/>
          <w14:textFill>
            <w14:solidFill>
              <w14:schemeClr w14:val="tx1"/>
            </w14:solidFill>
          </w14:textFill>
        </w:rPr>
      </w:pPr>
    </w:p>
    <w:p>
      <w:pPr>
        <w:jc w:val="center"/>
        <w:rPr>
          <w:rFonts w:ascii="Tahoma" w:hAnsi="Tahoma" w:cs="Tahoma"/>
          <w:b/>
          <w:bCs/>
          <w:color w:val="000000" w:themeColor="text1"/>
          <w:sz w:val="32"/>
          <w:highlight w:val="none"/>
          <w14:textFill>
            <w14:solidFill>
              <w14:schemeClr w14:val="tx1"/>
            </w14:solidFill>
          </w14:textFill>
        </w:rPr>
      </w:pPr>
    </w:p>
    <w:p>
      <w:pPr>
        <w:jc w:val="center"/>
        <w:rPr>
          <w:rFonts w:ascii="Tahoma" w:hAnsi="Tahoma" w:cs="Tahoma"/>
          <w:b/>
          <w:bCs/>
          <w:color w:val="000000" w:themeColor="text1"/>
          <w:sz w:val="32"/>
          <w:highlight w:val="none"/>
          <w14:textFill>
            <w14:solidFill>
              <w14:schemeClr w14:val="tx1"/>
            </w14:solidFill>
          </w14:textFill>
        </w:rPr>
      </w:pPr>
    </w:p>
    <w:p>
      <w:pPr>
        <w:jc w:val="center"/>
        <w:rPr>
          <w:rFonts w:ascii="Tahoma" w:hAnsi="Tahoma" w:cs="Tahoma"/>
          <w:b/>
          <w:bCs/>
          <w:color w:val="000000" w:themeColor="text1"/>
          <w:sz w:val="32"/>
          <w:highlight w:val="none"/>
          <w14:textFill>
            <w14:solidFill>
              <w14:schemeClr w14:val="tx1"/>
            </w14:solidFill>
          </w14:textFill>
        </w:rPr>
      </w:pPr>
    </w:p>
    <w:p>
      <w:pPr>
        <w:jc w:val="center"/>
        <w:rPr>
          <w:rFonts w:ascii="Tahoma" w:hAnsi="Tahoma" w:eastAsia="黑体" w:cs="Tahoma"/>
          <w:b/>
          <w:bCs/>
          <w:color w:val="000000" w:themeColor="text1"/>
          <w:sz w:val="28"/>
          <w:szCs w:val="28"/>
          <w:highlight w:val="none"/>
          <w14:textFill>
            <w14:solidFill>
              <w14:schemeClr w14:val="tx1"/>
            </w14:solidFill>
          </w14:textFill>
        </w:rPr>
      </w:pPr>
      <w:r>
        <w:rPr>
          <w:rFonts w:ascii="Tahoma" w:hAnsi="Tahoma" w:eastAsia="黑体" w:cs="Tahoma"/>
          <w:b/>
          <w:bCs/>
          <w:color w:val="000000" w:themeColor="text1"/>
          <w:sz w:val="28"/>
          <w:szCs w:val="28"/>
          <w:highlight w:val="none"/>
          <w14:textFill>
            <w14:solidFill>
              <w14:schemeClr w14:val="tx1"/>
            </w14:solidFill>
          </w14:textFill>
        </w:rPr>
        <w:t>（</w:t>
      </w:r>
      <w:r>
        <w:rPr>
          <w:rFonts w:hint="eastAsia" w:ascii="Tahoma" w:hAnsi="Tahoma" w:eastAsia="黑体" w:cs="Tahoma"/>
          <w:b/>
          <w:bCs/>
          <w:color w:val="000000" w:themeColor="text1"/>
          <w:sz w:val="28"/>
          <w:szCs w:val="28"/>
          <w:highlight w:val="none"/>
          <w14:textFill>
            <w14:solidFill>
              <w14:schemeClr w14:val="tx1"/>
            </w14:solidFill>
          </w14:textFill>
        </w:rPr>
        <w:t>八</w:t>
      </w:r>
      <w:r>
        <w:rPr>
          <w:rFonts w:ascii="Tahoma" w:hAnsi="Tahoma" w:eastAsia="黑体" w:cs="Tahoma"/>
          <w:b/>
          <w:bCs/>
          <w:color w:val="000000" w:themeColor="text1"/>
          <w:sz w:val="28"/>
          <w:szCs w:val="28"/>
          <w:highlight w:val="none"/>
          <w14:textFill>
            <w14:solidFill>
              <w14:schemeClr w14:val="tx1"/>
            </w14:solidFill>
          </w14:textFill>
        </w:rPr>
        <w:t>）</w:t>
      </w:r>
      <w:bookmarkStart w:id="255" w:name="_Hlk505094513"/>
      <w:r>
        <w:rPr>
          <w:rFonts w:ascii="Tahoma" w:hAnsi="Tahoma" w:eastAsia="黑体" w:cs="Tahoma"/>
          <w:b/>
          <w:bCs/>
          <w:color w:val="000000" w:themeColor="text1"/>
          <w:sz w:val="28"/>
          <w:szCs w:val="28"/>
          <w:highlight w:val="none"/>
          <w14:textFill>
            <w14:solidFill>
              <w14:schemeClr w14:val="tx1"/>
            </w14:solidFill>
          </w14:textFill>
        </w:rPr>
        <w:t>中小企业声明函</w:t>
      </w:r>
      <w:bookmarkEnd w:id="255"/>
      <w:r>
        <w:rPr>
          <w:rFonts w:ascii="Tahoma" w:hAnsi="Tahoma" w:eastAsia="黑体" w:cs="Tahoma"/>
          <w:b/>
          <w:bCs/>
          <w:color w:val="000000" w:themeColor="text1"/>
          <w:sz w:val="28"/>
          <w:szCs w:val="28"/>
          <w:highlight w:val="none"/>
          <w14:textFill>
            <w14:solidFill>
              <w14:schemeClr w14:val="tx1"/>
            </w14:solidFill>
          </w14:textFill>
        </w:rPr>
        <w:t>（如是）</w:t>
      </w:r>
    </w:p>
    <w:p>
      <w:pPr>
        <w:jc w:val="center"/>
        <w:rPr>
          <w:rFonts w:ascii="Tahoma" w:hAnsi="Tahoma" w:eastAsia="黑体" w:cs="Tahoma"/>
          <w:b/>
          <w:bCs/>
          <w:color w:val="000000" w:themeColor="text1"/>
          <w:sz w:val="28"/>
          <w:szCs w:val="28"/>
          <w:highlight w:val="none"/>
          <w14:textFill>
            <w14:solidFill>
              <w14:schemeClr w14:val="tx1"/>
            </w14:solidFill>
          </w14:textFill>
        </w:rPr>
      </w:pPr>
    </w:p>
    <w:p>
      <w:pPr>
        <w:spacing w:line="360" w:lineRule="auto"/>
        <w:ind w:firstLine="420" w:firstLineChars="2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本公司郑重声明，根据《政府采购促进中小企业发展暂行办法》（财库〔2011〕181号）的规定，本公司为</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 xml:space="preserve">（请填写：中型、小型、微型）企业。即本公司同时满足以下条件： </w:t>
      </w:r>
    </w:p>
    <w:p>
      <w:pPr>
        <w:spacing w:line="360" w:lineRule="auto"/>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1、根据《工业和信息化部、国家统计局、国家发展和改革委员会、财政部关于印发中小企业划型标准规定的通知》（工信部联企业〔2011〕300号）规定的划分标准，本公司为______（请填写：中型、小型、微型）企业。 </w:t>
      </w:r>
    </w:p>
    <w:p>
      <w:pPr>
        <w:spacing w:line="360" w:lineRule="auto"/>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2、本公司参加</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单位的</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项目采购活动提供本企业制造的货物，由本企业承担工程、提供服务，或者提供其他</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 xml:space="preserve">（请填写：中型、小型、微型）企业制造的货物。本条所称货物不包括使用大型企业注册商标的货物。   </w:t>
      </w:r>
    </w:p>
    <w:p>
      <w:pPr>
        <w:spacing w:line="360" w:lineRule="auto"/>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本公司对上述声明的真实性负责。如有虚假，将依法承担相应责任。</w:t>
      </w:r>
    </w:p>
    <w:p>
      <w:pPr>
        <w:spacing w:line="360" w:lineRule="auto"/>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w:t>
      </w:r>
    </w:p>
    <w:p>
      <w:pPr>
        <w:spacing w:line="560" w:lineRule="atLeast"/>
        <w:rPr>
          <w:rFonts w:ascii="Tahoma" w:hAnsi="Tahoma" w:cs="Tahoma"/>
          <w:color w:val="000000" w:themeColor="text1"/>
          <w:szCs w:val="21"/>
          <w:highlight w:val="none"/>
          <w14:textFill>
            <w14:solidFill>
              <w14:schemeClr w14:val="tx1"/>
            </w14:solidFill>
          </w14:textFill>
        </w:rPr>
      </w:pPr>
    </w:p>
    <w:p>
      <w:pPr>
        <w:spacing w:line="560" w:lineRule="atLeast"/>
        <w:ind w:firstLine="5880" w:firstLineChars="28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企业名称（盖章）：</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 xml:space="preserve"> </w:t>
      </w:r>
    </w:p>
    <w:p>
      <w:pPr>
        <w:spacing w:line="560" w:lineRule="atLeas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日            期：</w:t>
      </w:r>
      <w:r>
        <w:rPr>
          <w:rFonts w:ascii="Tahoma" w:hAnsi="Tahoma" w:cs="Tahoma"/>
          <w:color w:val="000000" w:themeColor="text1"/>
          <w:szCs w:val="21"/>
          <w:highlight w:val="none"/>
          <w:u w:val="single"/>
          <w14:textFill>
            <w14:solidFill>
              <w14:schemeClr w14:val="tx1"/>
            </w14:solidFill>
          </w14:textFill>
        </w:rPr>
        <w:t xml:space="preserve">                         </w:t>
      </w:r>
    </w:p>
    <w:p>
      <w:pPr>
        <w:jc w:val="center"/>
        <w:rPr>
          <w:rFonts w:ascii="Tahoma" w:hAnsi="Tahoma" w:eastAsia="黑体" w:cs="Tahoma"/>
          <w:b/>
          <w:bCs/>
          <w:color w:val="000000" w:themeColor="text1"/>
          <w:sz w:val="28"/>
          <w:szCs w:val="28"/>
          <w:highlight w:val="none"/>
          <w14:textFill>
            <w14:solidFill>
              <w14:schemeClr w14:val="tx1"/>
            </w14:solidFill>
          </w14:textFill>
        </w:rPr>
      </w:pPr>
    </w:p>
    <w:p>
      <w:pPr>
        <w:pStyle w:val="10"/>
        <w:spacing w:line="400" w:lineRule="exact"/>
        <w:rPr>
          <w:rFonts w:ascii="Tahoma" w:hAnsi="Tahoma" w:eastAsia="黑体" w:cs="Tahoma"/>
          <w:b/>
          <w:color w:val="000000" w:themeColor="text1"/>
          <w:sz w:val="21"/>
          <w:szCs w:val="21"/>
          <w:highlight w:val="none"/>
          <w14:textFill>
            <w14:solidFill>
              <w14:schemeClr w14:val="tx1"/>
            </w14:solidFill>
          </w14:textFill>
        </w:rPr>
      </w:pPr>
    </w:p>
    <w:p>
      <w:pPr>
        <w:pStyle w:val="10"/>
        <w:spacing w:line="360" w:lineRule="exact"/>
        <w:rPr>
          <w:rFonts w:ascii="Tahoma" w:hAnsi="Tahoma" w:eastAsia="黑体" w:cs="Tahoma"/>
          <w:b/>
          <w:color w:val="000000" w:themeColor="text1"/>
          <w:sz w:val="21"/>
          <w:szCs w:val="21"/>
          <w:highlight w:val="none"/>
          <w14:textFill>
            <w14:solidFill>
              <w14:schemeClr w14:val="tx1"/>
            </w14:solidFill>
          </w14:textFill>
        </w:rPr>
      </w:pPr>
      <w:r>
        <w:rPr>
          <w:rFonts w:ascii="Tahoma" w:hAnsi="Tahoma" w:eastAsia="黑体" w:cs="Tahoma"/>
          <w:b/>
          <w:color w:val="000000" w:themeColor="text1"/>
          <w:sz w:val="21"/>
          <w:szCs w:val="21"/>
          <w:highlight w:val="none"/>
          <w14:textFill>
            <w14:solidFill>
              <w14:schemeClr w14:val="tx1"/>
            </w14:solidFill>
          </w14:textFill>
        </w:rPr>
        <w:t>说明：</w:t>
      </w:r>
    </w:p>
    <w:p>
      <w:pPr>
        <w:pStyle w:val="10"/>
        <w:widowControl w:val="0"/>
        <w:spacing w:line="320" w:lineRule="exact"/>
        <w:ind w:firstLine="422" w:firstLineChars="200"/>
        <w:rPr>
          <w:rFonts w:ascii="Tahoma" w:hAnsi="Tahoma" w:cs="Tahoma"/>
          <w:b/>
          <w:bCs/>
          <w:color w:val="000000" w:themeColor="text1"/>
          <w:sz w:val="21"/>
          <w:szCs w:val="21"/>
          <w:highlight w:val="none"/>
          <w14:textFill>
            <w14:solidFill>
              <w14:schemeClr w14:val="tx1"/>
            </w14:solidFill>
          </w14:textFill>
        </w:rPr>
      </w:pPr>
      <w:r>
        <w:rPr>
          <w:rFonts w:ascii="Tahoma" w:hAnsi="Tahoma" w:cs="Tahoma"/>
          <w:b/>
          <w:bCs/>
          <w:color w:val="000000" w:themeColor="text1"/>
          <w:sz w:val="21"/>
          <w:szCs w:val="21"/>
          <w:highlight w:val="none"/>
          <w14:textFill>
            <w14:solidFill>
              <w14:schemeClr w14:val="tx1"/>
            </w14:solidFill>
          </w14:textFill>
        </w:rPr>
        <w:t>1、</w:t>
      </w:r>
      <w:bookmarkStart w:id="256" w:name="_Hlk505094564"/>
      <w:r>
        <w:rPr>
          <w:rFonts w:ascii="Tahoma" w:hAnsi="Tahoma" w:cs="Tahoma"/>
          <w:b/>
          <w:bCs/>
          <w:color w:val="000000" w:themeColor="text1"/>
          <w:sz w:val="21"/>
          <w:szCs w:val="21"/>
          <w:highlight w:val="none"/>
          <w14:textFill>
            <w14:solidFill>
              <w14:schemeClr w14:val="tx1"/>
            </w14:solidFill>
          </w14:textFill>
        </w:rPr>
        <w:t>根据《政府采购促进中小企业发展暂行办法》（</w:t>
      </w:r>
      <w:bookmarkStart w:id="257" w:name="_Hlk505094343"/>
      <w:r>
        <w:rPr>
          <w:rFonts w:ascii="Tahoma" w:hAnsi="Tahoma" w:cs="Tahoma"/>
          <w:b/>
          <w:bCs/>
          <w:color w:val="000000" w:themeColor="text1"/>
          <w:sz w:val="21"/>
          <w:szCs w:val="21"/>
          <w:highlight w:val="none"/>
          <w14:textFill>
            <w14:solidFill>
              <w14:schemeClr w14:val="tx1"/>
            </w14:solidFill>
          </w14:textFill>
        </w:rPr>
        <w:t>财库〔2011〕181号</w:t>
      </w:r>
      <w:bookmarkEnd w:id="257"/>
      <w:r>
        <w:rPr>
          <w:rFonts w:ascii="Tahoma" w:hAnsi="Tahoma" w:cs="Tahoma"/>
          <w:b/>
          <w:bCs/>
          <w:color w:val="000000" w:themeColor="text1"/>
          <w:sz w:val="21"/>
          <w:szCs w:val="21"/>
          <w:highlight w:val="none"/>
          <w14:textFill>
            <w14:solidFill>
              <w14:schemeClr w14:val="tx1"/>
            </w14:solidFill>
          </w14:textFill>
        </w:rPr>
        <w:t>）文的有关规定，供应商属于符合财库〔2011〕181号文第二条之规定的中小企业者的，应在资格性文件中提供相关部门出具的资格证明材料，并按上述格式填写《中小企业声明函》，否则不予认可。</w:t>
      </w:r>
    </w:p>
    <w:bookmarkEnd w:id="256"/>
    <w:p>
      <w:pPr>
        <w:pStyle w:val="10"/>
        <w:spacing w:line="400" w:lineRule="exact"/>
        <w:ind w:firstLine="422" w:firstLineChars="200"/>
        <w:rPr>
          <w:rFonts w:ascii="Tahoma" w:hAnsi="Tahoma" w:cs="Tahoma"/>
          <w:b/>
          <w:color w:val="000000" w:themeColor="text1"/>
          <w:sz w:val="21"/>
          <w:szCs w:val="21"/>
          <w:highlight w:val="none"/>
          <w14:textFill>
            <w14:solidFill>
              <w14:schemeClr w14:val="tx1"/>
            </w14:solidFill>
          </w14:textFill>
        </w:rPr>
      </w:pPr>
      <w:r>
        <w:rPr>
          <w:rFonts w:ascii="Tahoma" w:hAnsi="Tahoma" w:cs="Tahoma"/>
          <w:b/>
          <w:bCs/>
          <w:color w:val="000000" w:themeColor="text1"/>
          <w:sz w:val="21"/>
          <w:szCs w:val="21"/>
          <w:highlight w:val="none"/>
          <w14:textFill>
            <w14:solidFill>
              <w14:schemeClr w14:val="tx1"/>
            </w14:solidFill>
          </w14:textFill>
        </w:rPr>
        <w:t>2、根据《财政部 司法部关于政府采购支持监狱企业发展有关问题的通知》（</w:t>
      </w:r>
      <w:bookmarkStart w:id="258" w:name="_Hlk505094644"/>
      <w:bookmarkStart w:id="259" w:name="_Hlk505094364"/>
      <w:r>
        <w:rPr>
          <w:rFonts w:ascii="Tahoma" w:hAnsi="Tahoma" w:cs="Tahoma"/>
          <w:b/>
          <w:bCs/>
          <w:color w:val="000000" w:themeColor="text1"/>
          <w:sz w:val="21"/>
          <w:szCs w:val="21"/>
          <w:highlight w:val="none"/>
          <w14:textFill>
            <w14:solidFill>
              <w14:schemeClr w14:val="tx1"/>
            </w14:solidFill>
          </w14:textFill>
        </w:rPr>
        <w:t>财库〔2014〕68</w:t>
      </w:r>
      <w:bookmarkEnd w:id="258"/>
      <w:r>
        <w:rPr>
          <w:rFonts w:ascii="Tahoma" w:hAnsi="Tahoma" w:cs="Tahoma"/>
          <w:b/>
          <w:bCs/>
          <w:color w:val="000000" w:themeColor="text1"/>
          <w:sz w:val="21"/>
          <w:szCs w:val="21"/>
          <w:highlight w:val="none"/>
          <w14:textFill>
            <w14:solidFill>
              <w14:schemeClr w14:val="tx1"/>
            </w14:solidFill>
          </w14:textFill>
        </w:rPr>
        <w:t>号</w:t>
      </w:r>
      <w:bookmarkEnd w:id="259"/>
      <w:r>
        <w:rPr>
          <w:rFonts w:ascii="Tahoma" w:hAnsi="Tahoma" w:cs="Tahoma"/>
          <w:b/>
          <w:bCs/>
          <w:color w:val="000000" w:themeColor="text1"/>
          <w:sz w:val="21"/>
          <w:szCs w:val="21"/>
          <w:highlight w:val="none"/>
          <w14:textFill>
            <w14:solidFill>
              <w14:schemeClr w14:val="tx1"/>
            </w14:solidFill>
          </w14:textFill>
        </w:rPr>
        <w:t>）文的有关规定，供应商属于符合财库〔2014〕68号文规定的监狱企业的，应在资格性文件中提供相关部门出具的资格证明材料，否则不予认可。</w:t>
      </w:r>
    </w:p>
    <w:p>
      <w:pPr>
        <w:jc w:val="center"/>
        <w:rPr>
          <w:rFonts w:ascii="Tahoma" w:hAnsi="Tahoma" w:eastAsia="黑体" w:cs="Tahoma"/>
          <w:b/>
          <w:bCs/>
          <w:color w:val="000000" w:themeColor="text1"/>
          <w:sz w:val="28"/>
          <w:szCs w:val="28"/>
          <w:highlight w:val="none"/>
          <w14:textFill>
            <w14:solidFill>
              <w14:schemeClr w14:val="tx1"/>
            </w14:solidFill>
          </w14:textFill>
        </w:rPr>
      </w:pPr>
    </w:p>
    <w:p>
      <w:pPr>
        <w:jc w:val="center"/>
        <w:rPr>
          <w:rFonts w:ascii="Tahoma" w:hAnsi="Tahoma" w:eastAsia="黑体" w:cs="Tahoma"/>
          <w:b/>
          <w:bCs/>
          <w:color w:val="000000" w:themeColor="text1"/>
          <w:sz w:val="28"/>
          <w:szCs w:val="28"/>
          <w:highlight w:val="none"/>
          <w14:textFill>
            <w14:solidFill>
              <w14:schemeClr w14:val="tx1"/>
            </w14:solidFill>
          </w14:textFill>
        </w:rPr>
      </w:pPr>
    </w:p>
    <w:p>
      <w:pPr>
        <w:jc w:val="center"/>
        <w:rPr>
          <w:rFonts w:ascii="Tahoma" w:hAnsi="Tahoma" w:eastAsia="黑体" w:cs="Tahoma"/>
          <w:b/>
          <w:bCs/>
          <w:color w:val="000000" w:themeColor="text1"/>
          <w:sz w:val="28"/>
          <w:szCs w:val="28"/>
          <w:highlight w:val="none"/>
          <w14:textFill>
            <w14:solidFill>
              <w14:schemeClr w14:val="tx1"/>
            </w14:solidFill>
          </w14:textFill>
        </w:rPr>
      </w:pPr>
    </w:p>
    <w:p>
      <w:pPr>
        <w:jc w:val="center"/>
        <w:rPr>
          <w:rFonts w:ascii="Tahoma" w:hAnsi="Tahoma" w:eastAsia="黑体" w:cs="Tahoma"/>
          <w:b/>
          <w:bCs/>
          <w:color w:val="000000" w:themeColor="text1"/>
          <w:sz w:val="28"/>
          <w:szCs w:val="28"/>
          <w:highlight w:val="none"/>
          <w14:textFill>
            <w14:solidFill>
              <w14:schemeClr w14:val="tx1"/>
            </w14:solidFill>
          </w14:textFill>
        </w:rPr>
      </w:pPr>
    </w:p>
    <w:p>
      <w:pPr>
        <w:jc w:val="center"/>
        <w:rPr>
          <w:rFonts w:ascii="Tahoma" w:hAnsi="Tahoma" w:eastAsia="黑体" w:cs="Tahoma"/>
          <w:b/>
          <w:bCs/>
          <w:color w:val="000000" w:themeColor="text1"/>
          <w:sz w:val="28"/>
          <w:szCs w:val="28"/>
          <w:highlight w:val="none"/>
          <w14:textFill>
            <w14:solidFill>
              <w14:schemeClr w14:val="tx1"/>
            </w14:solidFill>
          </w14:textFill>
        </w:rPr>
      </w:pPr>
    </w:p>
    <w:p>
      <w:pPr>
        <w:jc w:val="center"/>
        <w:rPr>
          <w:rFonts w:ascii="Tahoma" w:hAnsi="Tahoma" w:eastAsia="黑体" w:cs="Tahoma"/>
          <w:b/>
          <w:bCs/>
          <w:color w:val="000000" w:themeColor="text1"/>
          <w:sz w:val="28"/>
          <w:szCs w:val="28"/>
          <w:highlight w:val="none"/>
          <w14:textFill>
            <w14:solidFill>
              <w14:schemeClr w14:val="tx1"/>
            </w14:solidFill>
          </w14:textFill>
        </w:rPr>
      </w:pPr>
    </w:p>
    <w:p>
      <w:pPr>
        <w:jc w:val="center"/>
        <w:rPr>
          <w:rFonts w:ascii="Tahoma" w:hAnsi="Tahoma" w:eastAsia="黑体" w:cs="Tahoma"/>
          <w:b/>
          <w:bCs/>
          <w:color w:val="000000" w:themeColor="text1"/>
          <w:sz w:val="28"/>
          <w:szCs w:val="28"/>
          <w:highlight w:val="none"/>
          <w14:textFill>
            <w14:solidFill>
              <w14:schemeClr w14:val="tx1"/>
            </w14:solidFill>
          </w14:textFill>
        </w:rPr>
      </w:pPr>
    </w:p>
    <w:p>
      <w:pPr>
        <w:jc w:val="center"/>
        <w:rPr>
          <w:rFonts w:ascii="Tahoma" w:hAnsi="Tahoma" w:eastAsia="黑体" w:cs="Tahoma"/>
          <w:b/>
          <w:bCs/>
          <w:color w:val="000000" w:themeColor="text1"/>
          <w:sz w:val="28"/>
          <w:szCs w:val="28"/>
          <w:highlight w:val="none"/>
          <w14:textFill>
            <w14:solidFill>
              <w14:schemeClr w14:val="tx1"/>
            </w14:solidFill>
          </w14:textFill>
        </w:rPr>
      </w:pPr>
    </w:p>
    <w:p>
      <w:pPr>
        <w:jc w:val="center"/>
        <w:rPr>
          <w:rFonts w:ascii="Tahoma" w:hAnsi="Tahoma" w:eastAsia="黑体" w:cs="Tahoma"/>
          <w:b/>
          <w:bCs/>
          <w:color w:val="000000" w:themeColor="text1"/>
          <w:sz w:val="28"/>
          <w:szCs w:val="28"/>
          <w:highlight w:val="none"/>
          <w14:textFill>
            <w14:solidFill>
              <w14:schemeClr w14:val="tx1"/>
            </w14:solidFill>
          </w14:textFill>
        </w:rPr>
      </w:pPr>
    </w:p>
    <w:p>
      <w:pPr>
        <w:jc w:val="center"/>
        <w:rPr>
          <w:rFonts w:ascii="Tahoma" w:hAnsi="Tahoma" w:eastAsia="黑体" w:cs="Tahoma"/>
          <w:b/>
          <w:color w:val="000000" w:themeColor="text1"/>
          <w:sz w:val="28"/>
          <w:szCs w:val="28"/>
          <w:highlight w:val="none"/>
          <w14:textFill>
            <w14:solidFill>
              <w14:schemeClr w14:val="tx1"/>
            </w14:solidFill>
          </w14:textFill>
        </w:rPr>
      </w:pPr>
      <w:r>
        <w:rPr>
          <w:rFonts w:ascii="Tahoma" w:hAnsi="Tahoma" w:eastAsia="黑体" w:cs="Tahoma"/>
          <w:b/>
          <w:bCs/>
          <w:color w:val="000000" w:themeColor="text1"/>
          <w:sz w:val="28"/>
          <w:szCs w:val="28"/>
          <w:highlight w:val="none"/>
          <w14:textFill>
            <w14:solidFill>
              <w14:schemeClr w14:val="tx1"/>
            </w14:solidFill>
          </w14:textFill>
        </w:rPr>
        <w:t>（</w:t>
      </w:r>
      <w:r>
        <w:rPr>
          <w:rFonts w:hint="eastAsia" w:ascii="Tahoma" w:hAnsi="Tahoma" w:eastAsia="黑体" w:cs="Tahoma"/>
          <w:b/>
          <w:bCs/>
          <w:color w:val="000000" w:themeColor="text1"/>
          <w:sz w:val="28"/>
          <w:szCs w:val="28"/>
          <w:highlight w:val="none"/>
          <w14:textFill>
            <w14:solidFill>
              <w14:schemeClr w14:val="tx1"/>
            </w14:solidFill>
          </w14:textFill>
        </w:rPr>
        <w:t>九</w:t>
      </w:r>
      <w:r>
        <w:rPr>
          <w:rFonts w:ascii="Tahoma" w:hAnsi="Tahoma" w:eastAsia="黑体" w:cs="Tahoma"/>
          <w:b/>
          <w:bCs/>
          <w:color w:val="000000" w:themeColor="text1"/>
          <w:sz w:val="28"/>
          <w:szCs w:val="28"/>
          <w:highlight w:val="none"/>
          <w14:textFill>
            <w14:solidFill>
              <w14:schemeClr w14:val="tx1"/>
            </w14:solidFill>
          </w14:textFill>
        </w:rPr>
        <w:t>）、投标供应商提交的其它相关资格证明资料</w:t>
      </w:r>
    </w:p>
    <w:p>
      <w:pPr>
        <w:rPr>
          <w:rFonts w:ascii="Tahoma" w:hAnsi="Tahoma" w:cs="Tahoma"/>
          <w:b/>
          <w:color w:val="000000" w:themeColor="text1"/>
          <w:sz w:val="36"/>
          <w:highlight w:val="none"/>
          <w14:textFill>
            <w14:solidFill>
              <w14:schemeClr w14:val="tx1"/>
            </w14:solidFill>
          </w14:textFill>
        </w:rPr>
      </w:pPr>
      <w:r>
        <w:rPr>
          <w:rFonts w:ascii="Tahoma" w:hAnsi="Tahoma" w:cs="Tahoma"/>
          <w:b/>
          <w:color w:val="000000" w:themeColor="text1"/>
          <w:sz w:val="36"/>
          <w:highlight w:val="none"/>
          <w14:textFill>
            <w14:solidFill>
              <w14:schemeClr w14:val="tx1"/>
            </w14:solidFill>
          </w14:textFill>
        </w:rPr>
        <w:t xml:space="preserve">   </w:t>
      </w:r>
    </w:p>
    <w:p>
      <w:pPr>
        <w:spacing w:line="360" w:lineRule="auto"/>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1、投标供应商认为应提交的其他相关资格证明文件或资料</w:t>
      </w:r>
      <w:r>
        <w:rPr>
          <w:rFonts w:hint="eastAsia" w:ascii="Tahoma" w:hAnsi="Tahoma" w:cs="Tahoma"/>
          <w:color w:val="000000" w:themeColor="text1"/>
          <w:szCs w:val="21"/>
          <w:highlight w:val="none"/>
          <w14:textFill>
            <w14:solidFill>
              <w14:schemeClr w14:val="tx1"/>
            </w14:solidFill>
          </w14:textFill>
        </w:rPr>
        <w:t>，</w:t>
      </w:r>
      <w:r>
        <w:rPr>
          <w:rFonts w:ascii="Tahoma" w:hAnsi="Tahoma" w:cs="Tahoma"/>
          <w:color w:val="000000" w:themeColor="text1"/>
          <w:szCs w:val="21"/>
          <w:highlight w:val="none"/>
          <w14:textFill>
            <w14:solidFill>
              <w14:schemeClr w14:val="tx1"/>
            </w14:solidFill>
          </w14:textFill>
        </w:rPr>
        <w:t xml:space="preserve"> 可在此提交。</w:t>
      </w:r>
    </w:p>
    <w:p>
      <w:pPr>
        <w:spacing w:line="360" w:lineRule="auto"/>
        <w:rPr>
          <w:rFonts w:ascii="Tahoma" w:hAnsi="Tahoma" w:cs="Tahoma"/>
          <w:color w:val="000000" w:themeColor="text1"/>
          <w:sz w:val="24"/>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2、所提交的文件或资料应加盖投标供应商公章。</w:t>
      </w:r>
    </w:p>
    <w:p>
      <w:pPr>
        <w:jc w:val="center"/>
        <w:rPr>
          <w:rFonts w:ascii="Tahoma" w:hAnsi="Tahoma" w:eastAsia="黑体" w:cs="Tahoma"/>
          <w:b/>
          <w:bCs/>
          <w:color w:val="000000" w:themeColor="text1"/>
          <w:sz w:val="32"/>
          <w:highlight w:val="none"/>
          <w14:textFill>
            <w14:solidFill>
              <w14:schemeClr w14:val="tx1"/>
            </w14:solidFill>
          </w14:textFill>
        </w:rPr>
      </w:pPr>
    </w:p>
    <w:p>
      <w:pPr>
        <w:jc w:val="center"/>
        <w:rPr>
          <w:rFonts w:ascii="Tahoma" w:hAnsi="Tahoma" w:eastAsia="黑体" w:cs="Tahoma"/>
          <w:b/>
          <w:bCs/>
          <w:color w:val="000000" w:themeColor="text1"/>
          <w:sz w:val="32"/>
          <w:highlight w:val="none"/>
          <w14:textFill>
            <w14:solidFill>
              <w14:schemeClr w14:val="tx1"/>
            </w14:solidFill>
          </w14:textFill>
        </w:rPr>
      </w:pPr>
    </w:p>
    <w:p>
      <w:pPr>
        <w:jc w:val="center"/>
        <w:rPr>
          <w:rFonts w:ascii="Tahoma" w:hAnsi="Tahoma" w:eastAsia="黑体" w:cs="Tahoma"/>
          <w:b/>
          <w:bCs/>
          <w:color w:val="000000" w:themeColor="text1"/>
          <w:sz w:val="32"/>
          <w:highlight w:val="none"/>
          <w14:textFill>
            <w14:solidFill>
              <w14:schemeClr w14:val="tx1"/>
            </w14:solidFill>
          </w14:textFill>
        </w:rPr>
      </w:pPr>
    </w:p>
    <w:p>
      <w:pPr>
        <w:jc w:val="center"/>
        <w:rPr>
          <w:rFonts w:ascii="Tahoma" w:hAnsi="Tahoma" w:eastAsia="黑体" w:cs="Tahoma"/>
          <w:b/>
          <w:bCs/>
          <w:color w:val="000000" w:themeColor="text1"/>
          <w:sz w:val="32"/>
          <w:highlight w:val="none"/>
          <w14:textFill>
            <w14:solidFill>
              <w14:schemeClr w14:val="tx1"/>
            </w14:solidFill>
          </w14:textFill>
        </w:rPr>
      </w:pPr>
    </w:p>
    <w:p>
      <w:pPr>
        <w:jc w:val="center"/>
        <w:rPr>
          <w:rFonts w:ascii="Tahoma" w:hAnsi="Tahoma" w:eastAsia="黑体" w:cs="Tahoma"/>
          <w:b/>
          <w:bCs/>
          <w:color w:val="000000" w:themeColor="text1"/>
          <w:sz w:val="32"/>
          <w:highlight w:val="none"/>
          <w14:textFill>
            <w14:solidFill>
              <w14:schemeClr w14:val="tx1"/>
            </w14:solidFill>
          </w14:textFill>
        </w:rPr>
      </w:pPr>
    </w:p>
    <w:p>
      <w:pPr>
        <w:jc w:val="center"/>
        <w:rPr>
          <w:rFonts w:ascii="Tahoma" w:hAnsi="Tahoma" w:eastAsia="黑体" w:cs="Tahoma"/>
          <w:b/>
          <w:bCs/>
          <w:color w:val="000000" w:themeColor="text1"/>
          <w:sz w:val="32"/>
          <w:highlight w:val="none"/>
          <w14:textFill>
            <w14:solidFill>
              <w14:schemeClr w14:val="tx1"/>
            </w14:solidFill>
          </w14:textFill>
        </w:rPr>
      </w:pPr>
    </w:p>
    <w:p>
      <w:pPr>
        <w:jc w:val="center"/>
        <w:rPr>
          <w:rFonts w:ascii="Tahoma" w:hAnsi="Tahoma" w:eastAsia="黑体" w:cs="Tahoma"/>
          <w:b/>
          <w:bCs/>
          <w:color w:val="000000" w:themeColor="text1"/>
          <w:sz w:val="32"/>
          <w:highlight w:val="none"/>
          <w14:textFill>
            <w14:solidFill>
              <w14:schemeClr w14:val="tx1"/>
            </w14:solidFill>
          </w14:textFill>
        </w:rPr>
      </w:pPr>
    </w:p>
    <w:p>
      <w:pPr>
        <w:jc w:val="center"/>
        <w:rPr>
          <w:rFonts w:ascii="Tahoma" w:hAnsi="Tahoma" w:eastAsia="黑体" w:cs="Tahoma"/>
          <w:b/>
          <w:bCs/>
          <w:color w:val="000000" w:themeColor="text1"/>
          <w:sz w:val="32"/>
          <w:highlight w:val="none"/>
          <w14:textFill>
            <w14:solidFill>
              <w14:schemeClr w14:val="tx1"/>
            </w14:solidFill>
          </w14:textFill>
        </w:rPr>
      </w:pPr>
    </w:p>
    <w:p>
      <w:pPr>
        <w:jc w:val="center"/>
        <w:rPr>
          <w:rFonts w:ascii="Tahoma" w:hAnsi="Tahoma" w:eastAsia="黑体" w:cs="Tahoma"/>
          <w:b/>
          <w:bCs/>
          <w:color w:val="000000" w:themeColor="text1"/>
          <w:sz w:val="32"/>
          <w:highlight w:val="none"/>
          <w14:textFill>
            <w14:solidFill>
              <w14:schemeClr w14:val="tx1"/>
            </w14:solidFill>
          </w14:textFill>
        </w:rPr>
      </w:pPr>
    </w:p>
    <w:p>
      <w:pPr>
        <w:jc w:val="center"/>
        <w:rPr>
          <w:rFonts w:ascii="Tahoma" w:hAnsi="Tahoma" w:eastAsia="黑体" w:cs="Tahoma"/>
          <w:b/>
          <w:bCs/>
          <w:color w:val="000000" w:themeColor="text1"/>
          <w:sz w:val="32"/>
          <w:highlight w:val="none"/>
          <w14:textFill>
            <w14:solidFill>
              <w14:schemeClr w14:val="tx1"/>
            </w14:solidFill>
          </w14:textFill>
        </w:rPr>
      </w:pPr>
    </w:p>
    <w:p>
      <w:pPr>
        <w:jc w:val="center"/>
        <w:rPr>
          <w:rFonts w:ascii="Tahoma" w:hAnsi="Tahoma" w:eastAsia="黑体" w:cs="Tahoma"/>
          <w:b/>
          <w:bCs/>
          <w:color w:val="000000" w:themeColor="text1"/>
          <w:sz w:val="32"/>
          <w:highlight w:val="none"/>
          <w14:textFill>
            <w14:solidFill>
              <w14:schemeClr w14:val="tx1"/>
            </w14:solidFill>
          </w14:textFill>
        </w:rPr>
      </w:pPr>
    </w:p>
    <w:p>
      <w:pPr>
        <w:jc w:val="center"/>
        <w:rPr>
          <w:rFonts w:ascii="Tahoma" w:hAnsi="Tahoma" w:eastAsia="黑体" w:cs="Tahoma"/>
          <w:b/>
          <w:bCs/>
          <w:color w:val="000000" w:themeColor="text1"/>
          <w:sz w:val="32"/>
          <w:highlight w:val="none"/>
          <w14:textFill>
            <w14:solidFill>
              <w14:schemeClr w14:val="tx1"/>
            </w14:solidFill>
          </w14:textFill>
        </w:rPr>
      </w:pPr>
    </w:p>
    <w:p>
      <w:pPr>
        <w:jc w:val="center"/>
        <w:rPr>
          <w:rFonts w:ascii="Tahoma" w:hAnsi="Tahoma" w:eastAsia="黑体" w:cs="Tahoma"/>
          <w:b/>
          <w:bCs/>
          <w:color w:val="000000" w:themeColor="text1"/>
          <w:sz w:val="32"/>
          <w:highlight w:val="none"/>
          <w14:textFill>
            <w14:solidFill>
              <w14:schemeClr w14:val="tx1"/>
            </w14:solidFill>
          </w14:textFill>
        </w:rPr>
      </w:pPr>
    </w:p>
    <w:p>
      <w:pPr>
        <w:jc w:val="center"/>
        <w:rPr>
          <w:rFonts w:ascii="Tahoma" w:hAnsi="Tahoma" w:eastAsia="黑体" w:cs="Tahoma"/>
          <w:b/>
          <w:bCs/>
          <w:color w:val="000000" w:themeColor="text1"/>
          <w:sz w:val="32"/>
          <w:highlight w:val="none"/>
          <w14:textFill>
            <w14:solidFill>
              <w14:schemeClr w14:val="tx1"/>
            </w14:solidFill>
          </w14:textFill>
        </w:rPr>
      </w:pPr>
    </w:p>
    <w:p>
      <w:pPr>
        <w:jc w:val="center"/>
        <w:rPr>
          <w:rFonts w:ascii="Tahoma" w:hAnsi="Tahoma" w:eastAsia="黑体" w:cs="Tahoma"/>
          <w:b/>
          <w:bCs/>
          <w:color w:val="000000" w:themeColor="text1"/>
          <w:sz w:val="32"/>
          <w:highlight w:val="none"/>
          <w14:textFill>
            <w14:solidFill>
              <w14:schemeClr w14:val="tx1"/>
            </w14:solidFill>
          </w14:textFill>
        </w:rPr>
      </w:pPr>
    </w:p>
    <w:p>
      <w:pPr>
        <w:jc w:val="center"/>
        <w:rPr>
          <w:rFonts w:ascii="Tahoma" w:hAnsi="Tahoma" w:eastAsia="黑体" w:cs="Tahoma"/>
          <w:b/>
          <w:bCs/>
          <w:color w:val="000000" w:themeColor="text1"/>
          <w:sz w:val="32"/>
          <w:highlight w:val="none"/>
          <w14:textFill>
            <w14:solidFill>
              <w14:schemeClr w14:val="tx1"/>
            </w14:solidFill>
          </w14:textFill>
        </w:rPr>
      </w:pPr>
    </w:p>
    <w:p>
      <w:pPr>
        <w:jc w:val="center"/>
        <w:rPr>
          <w:rFonts w:ascii="Tahoma" w:hAnsi="Tahoma" w:eastAsia="黑体" w:cs="Tahoma"/>
          <w:b/>
          <w:bCs/>
          <w:color w:val="000000" w:themeColor="text1"/>
          <w:sz w:val="32"/>
          <w:highlight w:val="none"/>
          <w14:textFill>
            <w14:solidFill>
              <w14:schemeClr w14:val="tx1"/>
            </w14:solidFill>
          </w14:textFill>
        </w:rPr>
      </w:pPr>
    </w:p>
    <w:p>
      <w:pPr>
        <w:jc w:val="center"/>
        <w:rPr>
          <w:rFonts w:ascii="Tahoma" w:hAnsi="Tahoma" w:eastAsia="黑体" w:cs="Tahoma"/>
          <w:b/>
          <w:bCs/>
          <w:color w:val="000000" w:themeColor="text1"/>
          <w:sz w:val="32"/>
          <w:highlight w:val="none"/>
          <w14:textFill>
            <w14:solidFill>
              <w14:schemeClr w14:val="tx1"/>
            </w14:solidFill>
          </w14:textFill>
        </w:rPr>
      </w:pPr>
    </w:p>
    <w:p>
      <w:pPr>
        <w:jc w:val="center"/>
        <w:rPr>
          <w:rFonts w:ascii="Tahoma" w:hAnsi="Tahoma" w:eastAsia="黑体" w:cs="Tahoma"/>
          <w:b/>
          <w:bCs/>
          <w:color w:val="000000" w:themeColor="text1"/>
          <w:sz w:val="32"/>
          <w:highlight w:val="none"/>
          <w14:textFill>
            <w14:solidFill>
              <w14:schemeClr w14:val="tx1"/>
            </w14:solidFill>
          </w14:textFill>
        </w:rPr>
      </w:pPr>
    </w:p>
    <w:p>
      <w:pPr>
        <w:jc w:val="center"/>
        <w:rPr>
          <w:rFonts w:ascii="Tahoma" w:hAnsi="Tahoma" w:eastAsia="黑体" w:cs="Tahoma"/>
          <w:b/>
          <w:bCs/>
          <w:color w:val="000000" w:themeColor="text1"/>
          <w:sz w:val="32"/>
          <w:highlight w:val="none"/>
          <w14:textFill>
            <w14:solidFill>
              <w14:schemeClr w14:val="tx1"/>
            </w14:solidFill>
          </w14:textFill>
        </w:rPr>
      </w:pPr>
    </w:p>
    <w:p>
      <w:pPr>
        <w:jc w:val="center"/>
        <w:rPr>
          <w:rFonts w:ascii="Tahoma" w:hAnsi="Tahoma" w:eastAsia="黑体" w:cs="Tahoma"/>
          <w:b/>
          <w:bCs/>
          <w:color w:val="000000" w:themeColor="text1"/>
          <w:sz w:val="32"/>
          <w:highlight w:val="none"/>
          <w14:textFill>
            <w14:solidFill>
              <w14:schemeClr w14:val="tx1"/>
            </w14:solidFill>
          </w14:textFill>
        </w:rPr>
      </w:pPr>
    </w:p>
    <w:p>
      <w:pPr>
        <w:jc w:val="center"/>
        <w:rPr>
          <w:rFonts w:ascii="Tahoma" w:hAnsi="Tahoma" w:eastAsia="黑体" w:cs="Tahoma"/>
          <w:b/>
          <w:bCs/>
          <w:color w:val="000000" w:themeColor="text1"/>
          <w:sz w:val="32"/>
          <w:highlight w:val="none"/>
          <w14:textFill>
            <w14:solidFill>
              <w14:schemeClr w14:val="tx1"/>
            </w14:solidFill>
          </w14:textFill>
        </w:rPr>
      </w:pPr>
    </w:p>
    <w:p>
      <w:pPr>
        <w:jc w:val="center"/>
        <w:rPr>
          <w:rFonts w:ascii="Tahoma" w:hAnsi="Tahoma" w:eastAsia="黑体" w:cs="Tahoma"/>
          <w:b/>
          <w:bCs/>
          <w:color w:val="000000" w:themeColor="text1"/>
          <w:sz w:val="32"/>
          <w:highlight w:val="none"/>
          <w14:textFill>
            <w14:solidFill>
              <w14:schemeClr w14:val="tx1"/>
            </w14:solidFill>
          </w14:textFill>
        </w:rPr>
      </w:pPr>
    </w:p>
    <w:p>
      <w:pPr>
        <w:jc w:val="center"/>
        <w:rPr>
          <w:rFonts w:ascii="Tahoma" w:hAnsi="Tahoma" w:eastAsia="黑体" w:cs="Tahoma"/>
          <w:b/>
          <w:bCs/>
          <w:color w:val="000000" w:themeColor="text1"/>
          <w:sz w:val="32"/>
          <w:highlight w:val="none"/>
          <w14:textFill>
            <w14:solidFill>
              <w14:schemeClr w14:val="tx1"/>
            </w14:solidFill>
          </w14:textFill>
        </w:rPr>
      </w:pPr>
    </w:p>
    <w:p>
      <w:pPr>
        <w:jc w:val="center"/>
        <w:rPr>
          <w:rFonts w:ascii="Tahoma" w:hAnsi="Tahoma" w:eastAsia="黑体" w:cs="Tahoma"/>
          <w:b/>
          <w:bCs/>
          <w:color w:val="000000" w:themeColor="text1"/>
          <w:sz w:val="32"/>
          <w:highlight w:val="none"/>
          <w14:textFill>
            <w14:solidFill>
              <w14:schemeClr w14:val="tx1"/>
            </w14:solidFill>
          </w14:textFill>
        </w:rPr>
      </w:pPr>
    </w:p>
    <w:p>
      <w:pPr>
        <w:jc w:val="center"/>
        <w:rPr>
          <w:rFonts w:ascii="Tahoma" w:hAnsi="Tahoma" w:eastAsia="黑体" w:cs="Tahoma"/>
          <w:b/>
          <w:bCs/>
          <w:color w:val="000000" w:themeColor="text1"/>
          <w:sz w:val="32"/>
          <w:highlight w:val="none"/>
          <w14:textFill>
            <w14:solidFill>
              <w14:schemeClr w14:val="tx1"/>
            </w14:solidFill>
          </w14:textFill>
        </w:rPr>
      </w:pPr>
    </w:p>
    <w:p>
      <w:pPr>
        <w:jc w:val="center"/>
        <w:rPr>
          <w:rFonts w:ascii="Tahoma" w:hAnsi="Tahoma" w:eastAsia="黑体" w:cs="Tahoma"/>
          <w:b/>
          <w:bCs/>
          <w:color w:val="000000" w:themeColor="text1"/>
          <w:sz w:val="32"/>
          <w:highlight w:val="none"/>
          <w14:textFill>
            <w14:solidFill>
              <w14:schemeClr w14:val="tx1"/>
            </w14:solidFill>
          </w14:textFill>
        </w:rPr>
      </w:pPr>
    </w:p>
    <w:p>
      <w:pPr>
        <w:jc w:val="both"/>
        <w:rPr>
          <w:rFonts w:ascii="Tahoma" w:hAnsi="Tahoma" w:cs="Tahoma"/>
          <w:b/>
          <w:bCs/>
          <w:color w:val="000000" w:themeColor="text1"/>
          <w:sz w:val="36"/>
          <w:highlight w:val="none"/>
          <w14:textFill>
            <w14:solidFill>
              <w14:schemeClr w14:val="tx1"/>
            </w14:solidFill>
          </w14:textFill>
        </w:rPr>
      </w:pPr>
    </w:p>
    <w:p>
      <w:pPr>
        <w:spacing w:line="440" w:lineRule="exact"/>
        <w:jc w:val="center"/>
        <w:rPr>
          <w:rFonts w:ascii="Tahoma" w:hAnsi="Tahoma" w:cs="Tahoma"/>
          <w:b/>
          <w:bCs/>
          <w:color w:val="000000" w:themeColor="text1"/>
          <w:sz w:val="32"/>
          <w:szCs w:val="32"/>
          <w:highlight w:val="none"/>
          <w14:textFill>
            <w14:solidFill>
              <w14:schemeClr w14:val="tx1"/>
            </w14:solidFill>
          </w14:textFill>
        </w:rPr>
      </w:pPr>
    </w:p>
    <w:sectPr>
      <w:type w:val="nextColumn"/>
      <w:pgSz w:w="12240" w:h="15840"/>
      <w:pgMar w:top="1440" w:right="1440" w:bottom="1440" w:left="1440" w:header="720" w:footer="720" w:gutter="0"/>
      <w:pgBorders>
        <w:top w:val="none" w:sz="0" w:space="0"/>
        <w:left w:val="none" w:sz="0" w:space="0"/>
        <w:bottom w:val="none" w:sz="0" w:space="0"/>
        <w:right w:val="none" w:sz="0" w:space="0"/>
      </w:pgBorders>
      <w:pgNumType w:fmt="decimal"/>
      <w:cols w:space="720" w:num="1"/>
      <w:docGrid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Noto Sans Mono CJK JP Regular">
    <w:altName w:val="Segoe Print"/>
    <w:panose1 w:val="00000000000000000000"/>
    <w:charset w:val="00"/>
    <w:family w:val="swiss"/>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等线 Regular">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Swis721 Blk BT">
    <w:panose1 w:val="020B0904030502020204"/>
    <w:charset w:val="00"/>
    <w:family w:val="swiss"/>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Trebuchet MS">
    <w:panose1 w:val="020B0603020202020204"/>
    <w:charset w:val="00"/>
    <w:family w:val="swiss"/>
    <w:pitch w:val="default"/>
    <w:sig w:usb0="00000687" w:usb1="00000000" w:usb2="00000000" w:usb3="00000000" w:csb0="2000009F" w:csb1="00000000"/>
  </w:font>
  <w:font w:name="F4,Bold">
    <w:altName w:val="宋体"/>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5100"/>
        <w:tab w:val="left" w:pos="5821"/>
      </w:tabs>
      <w:jc w:val="left"/>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108415463"/>
                          </w:sdtPr>
                          <w:sdtContent>
                            <w:p>
                              <w:pPr>
                                <w:pStyle w:val="14"/>
                                <w:jc w:val="center"/>
                              </w:pPr>
                              <w:r>
                                <w:fldChar w:fldCharType="begin"/>
                              </w:r>
                              <w:r>
                                <w:instrText xml:space="preserve">PAGE   \* MERGEFORMAT</w:instrText>
                              </w:r>
                              <w:r>
                                <w:fldChar w:fldCharType="separate"/>
                              </w:r>
                              <w:r>
                                <w:rPr>
                                  <w:lang w:val="zh-CN"/>
                                </w:rPr>
                                <w:t>2</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sdt>
                    <w:sdtPr>
                      <w:id w:val="-2108415463"/>
                    </w:sdtPr>
                    <w:sdtContent>
                      <w:p>
                        <w:pPr>
                          <w:pStyle w:val="14"/>
                          <w:jc w:val="center"/>
                        </w:pPr>
                        <w:r>
                          <w:fldChar w:fldCharType="begin"/>
                        </w:r>
                        <w:r>
                          <w:instrText xml:space="preserve">PAGE   \* MERGEFORMAT</w:instrText>
                        </w:r>
                        <w:r>
                          <w:fldChar w:fldCharType="separate"/>
                        </w:r>
                        <w:r>
                          <w:rPr>
                            <w:lang w:val="zh-CN"/>
                          </w:rPr>
                          <w:t>2</w:t>
                        </w:r>
                        <w:r>
                          <w:fldChar w:fldCharType="end"/>
                        </w:r>
                      </w:p>
                    </w:sdtContent>
                  </w:sdt>
                  <w:p>
                    <w:pPr>
                      <w:pStyle w:val="2"/>
                    </w:pPr>
                  </w:p>
                </w:txbxContent>
              </v:textbox>
            </v:shape>
          </w:pict>
        </mc:Fallback>
      </mc:AlternateContent>
    </w:r>
    <w:r>
      <w:rPr>
        <w:rFonts w:hint="eastAsia"/>
        <w:lang w:eastAsia="zh-CN"/>
      </w:rPr>
      <w:tab/>
    </w:r>
    <w:r>
      <w:rPr>
        <w:rFonts w:hint="eastAsia"/>
        <w:lang w:eastAsia="zh-CN"/>
      </w:rPr>
      <w:tab/>
    </w:r>
    <w:r>
      <w:rPr>
        <w:rFonts w:hint="eastAsia"/>
        <w:lang w:eastAsia="zh-CN"/>
      </w:rPr>
      <w:tab/>
    </w:r>
    <w:r>
      <w:rPr>
        <w:rFonts w:hint="eastAsia"/>
        <w:lang w:eastAsia="zh-CN"/>
      </w:rPr>
      <w:tab/>
    </w:r>
  </w:p>
  <w:p>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108415463"/>
                          </w:sdtPr>
                          <w:sdtContent>
                            <w:p>
                              <w:pPr>
                                <w:pStyle w:val="14"/>
                                <w:jc w:val="center"/>
                              </w:pPr>
                              <w:r>
                                <w:fldChar w:fldCharType="begin"/>
                              </w:r>
                              <w:r>
                                <w:instrText xml:space="preserve">PAGE   \* MERGEFORMAT</w:instrText>
                              </w:r>
                              <w:r>
                                <w:fldChar w:fldCharType="separate"/>
                              </w:r>
                              <w:r>
                                <w:rPr>
                                  <w:lang w:val="zh-CN"/>
                                </w:rPr>
                                <w:t>2</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sdt>
                    <w:sdtPr>
                      <w:id w:val="-2108415463"/>
                    </w:sdtPr>
                    <w:sdtContent>
                      <w:p>
                        <w:pPr>
                          <w:pStyle w:val="14"/>
                          <w:jc w:val="center"/>
                        </w:pPr>
                        <w:r>
                          <w:fldChar w:fldCharType="begin"/>
                        </w:r>
                        <w:r>
                          <w:instrText xml:space="preserve">PAGE   \* MERGEFORMAT</w:instrText>
                        </w:r>
                        <w:r>
                          <w:fldChar w:fldCharType="separate"/>
                        </w:r>
                        <w:r>
                          <w:rPr>
                            <w:lang w:val="zh-CN"/>
                          </w:rPr>
                          <w:t>2</w:t>
                        </w:r>
                        <w:r>
                          <w:fldChar w:fldCharType="end"/>
                        </w:r>
                      </w:p>
                    </w:sdtContent>
                  </w:sdt>
                  <w:p>
                    <w:pPr>
                      <w:pStyle w:val="2"/>
                    </w:pPr>
                  </w:p>
                </w:txbxContent>
              </v:textbox>
            </v:shape>
          </w:pict>
        </mc:Fallback>
      </mc:AlternateContent>
    </w:r>
  </w:p>
  <w:p>
    <w:pPr>
      <w:pStyle w:val="1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rPr>
                              <w:rFonts w:ascii="Tahoma" w:hAnsi="Tahoma" w:cs="Tahoma"/>
                              <w:kern w:val="0"/>
                              <w:szCs w:val="21"/>
                            </w:rPr>
                            <w:fldChar w:fldCharType="begin"/>
                          </w:r>
                          <w:r>
                            <w:rPr>
                              <w:rStyle w:val="23"/>
                              <w:rFonts w:ascii="Tahoma" w:hAnsi="Tahoma" w:cs="Tahoma"/>
                              <w:kern w:val="0"/>
                              <w:szCs w:val="21"/>
                            </w:rPr>
                            <w:instrText xml:space="preserve"> PAGE  </w:instrText>
                          </w:r>
                          <w:r>
                            <w:rPr>
                              <w:rFonts w:ascii="Tahoma" w:hAnsi="Tahoma" w:cs="Tahoma"/>
                              <w:kern w:val="0"/>
                              <w:szCs w:val="21"/>
                            </w:rPr>
                            <w:fldChar w:fldCharType="separate"/>
                          </w:r>
                          <w:r>
                            <w:rPr>
                              <w:rStyle w:val="23"/>
                              <w:rFonts w:ascii="Tahoma" w:hAnsi="Tahoma" w:cs="Tahoma"/>
                              <w:kern w:val="0"/>
                              <w:szCs w:val="21"/>
                            </w:rPr>
                            <w:t>53</w:t>
                          </w:r>
                          <w:r>
                            <w:rPr>
                              <w:rFonts w:ascii="Tahoma" w:hAnsi="Tahoma" w:cs="Tahoma"/>
                              <w:kern w:val="0"/>
                              <w:szCs w:val="21"/>
                            </w:rPr>
                            <w:fldChar w:fldCharType="end"/>
                          </w:r>
                          <w:r>
                            <w:rPr>
                              <w:kern w:val="0"/>
                              <w:szCs w:val="21"/>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14"/>
                    </w:pPr>
                    <w:r>
                      <w:rPr>
                        <w:rFonts w:ascii="Tahoma" w:hAnsi="Tahoma" w:cs="Tahoma"/>
                        <w:kern w:val="0"/>
                        <w:szCs w:val="21"/>
                      </w:rPr>
                      <w:fldChar w:fldCharType="begin"/>
                    </w:r>
                    <w:r>
                      <w:rPr>
                        <w:rStyle w:val="23"/>
                        <w:rFonts w:ascii="Tahoma" w:hAnsi="Tahoma" w:cs="Tahoma"/>
                        <w:kern w:val="0"/>
                        <w:szCs w:val="21"/>
                      </w:rPr>
                      <w:instrText xml:space="preserve"> PAGE  </w:instrText>
                    </w:r>
                    <w:r>
                      <w:rPr>
                        <w:rFonts w:ascii="Tahoma" w:hAnsi="Tahoma" w:cs="Tahoma"/>
                        <w:kern w:val="0"/>
                        <w:szCs w:val="21"/>
                      </w:rPr>
                      <w:fldChar w:fldCharType="separate"/>
                    </w:r>
                    <w:r>
                      <w:rPr>
                        <w:rStyle w:val="23"/>
                        <w:rFonts w:ascii="Tahoma" w:hAnsi="Tahoma" w:cs="Tahoma"/>
                        <w:kern w:val="0"/>
                        <w:szCs w:val="21"/>
                      </w:rPr>
                      <w:t>53</w:t>
                    </w:r>
                    <w:r>
                      <w:rPr>
                        <w:rFonts w:ascii="Tahoma" w:hAnsi="Tahoma" w:cs="Tahoma"/>
                        <w:kern w:val="0"/>
                        <w:szCs w:val="21"/>
                      </w:rPr>
                      <w:fldChar w:fldCharType="end"/>
                    </w:r>
                    <w:r>
                      <w:rPr>
                        <w:kern w:val="0"/>
                        <w:szCs w:val="21"/>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rPr>
                              <w:rFonts w:ascii="Tahoma" w:hAnsi="Tahoma" w:cs="Tahoma"/>
                              <w:kern w:val="0"/>
                              <w:szCs w:val="21"/>
                            </w:rPr>
                            <w:fldChar w:fldCharType="begin"/>
                          </w:r>
                          <w:r>
                            <w:rPr>
                              <w:rStyle w:val="23"/>
                              <w:rFonts w:ascii="Tahoma" w:hAnsi="Tahoma" w:cs="Tahoma"/>
                              <w:kern w:val="0"/>
                              <w:szCs w:val="21"/>
                            </w:rPr>
                            <w:instrText xml:space="preserve"> PAGE  </w:instrText>
                          </w:r>
                          <w:r>
                            <w:rPr>
                              <w:rFonts w:ascii="Tahoma" w:hAnsi="Tahoma" w:cs="Tahoma"/>
                              <w:kern w:val="0"/>
                              <w:szCs w:val="21"/>
                            </w:rPr>
                            <w:fldChar w:fldCharType="separate"/>
                          </w:r>
                          <w:r>
                            <w:rPr>
                              <w:rStyle w:val="23"/>
                              <w:rFonts w:ascii="Tahoma" w:hAnsi="Tahoma" w:cs="Tahoma"/>
                              <w:kern w:val="0"/>
                              <w:szCs w:val="21"/>
                            </w:rPr>
                            <w:t>71</w:t>
                          </w:r>
                          <w:r>
                            <w:rPr>
                              <w:rFonts w:ascii="Tahoma" w:hAnsi="Tahoma" w:cs="Tahoma"/>
                              <w:kern w:val="0"/>
                              <w:szCs w:val="21"/>
                            </w:rPr>
                            <w:fldChar w:fldCharType="end"/>
                          </w:r>
                          <w:r>
                            <w:rPr>
                              <w:kern w:val="0"/>
                              <w:szCs w:val="21"/>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pPr>
                      <w:pStyle w:val="14"/>
                    </w:pPr>
                    <w:r>
                      <w:rPr>
                        <w:rFonts w:ascii="Tahoma" w:hAnsi="Tahoma" w:cs="Tahoma"/>
                        <w:kern w:val="0"/>
                        <w:szCs w:val="21"/>
                      </w:rPr>
                      <w:fldChar w:fldCharType="begin"/>
                    </w:r>
                    <w:r>
                      <w:rPr>
                        <w:rStyle w:val="23"/>
                        <w:rFonts w:ascii="Tahoma" w:hAnsi="Tahoma" w:cs="Tahoma"/>
                        <w:kern w:val="0"/>
                        <w:szCs w:val="21"/>
                      </w:rPr>
                      <w:instrText xml:space="preserve"> PAGE  </w:instrText>
                    </w:r>
                    <w:r>
                      <w:rPr>
                        <w:rFonts w:ascii="Tahoma" w:hAnsi="Tahoma" w:cs="Tahoma"/>
                        <w:kern w:val="0"/>
                        <w:szCs w:val="21"/>
                      </w:rPr>
                      <w:fldChar w:fldCharType="separate"/>
                    </w:r>
                    <w:r>
                      <w:rPr>
                        <w:rStyle w:val="23"/>
                        <w:rFonts w:ascii="Tahoma" w:hAnsi="Tahoma" w:cs="Tahoma"/>
                        <w:kern w:val="0"/>
                        <w:szCs w:val="21"/>
                      </w:rPr>
                      <w:t>71</w:t>
                    </w:r>
                    <w:r>
                      <w:rPr>
                        <w:rFonts w:ascii="Tahoma" w:hAnsi="Tahoma" w:cs="Tahoma"/>
                        <w:kern w:val="0"/>
                        <w:szCs w:val="21"/>
                      </w:rPr>
                      <w:fldChar w:fldCharType="end"/>
                    </w:r>
                    <w:r>
                      <w:rPr>
                        <w:kern w:val="0"/>
                        <w:szCs w:val="21"/>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eastAsia" w:ascii="Swis721 Blk BT" w:hAnsi="Swis721 Blk BT"/>
      </w:rPr>
    </w:pPr>
    <w:r>
      <w:rPr>
        <w:rFonts w:hint="eastAsia" w:ascii="Tahoma" w:hAnsi="Tahoma" w:cs="Tahoma"/>
        <w:szCs w:val="21"/>
        <w:lang w:eastAsia="zh-CN"/>
      </w:rPr>
      <w:t>和田地区和田县人民医院综合能力提升及信息化建设项目</w:t>
    </w:r>
    <w:r>
      <w:rPr>
        <w:rFonts w:hint="eastAsia" w:ascii="Swis721 Blk BT"/>
      </w:rPr>
      <w:t>-</w:t>
    </w:r>
    <w:r>
      <w:rPr>
        <w:rFonts w:ascii="Swis721 Blk BT"/>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eastAsia" w:ascii="Swis721 Blk BT" w:hAnsi="Swis721 Blk BT"/>
      </w:rPr>
    </w:pPr>
    <w:r>
      <w:rPr>
        <w:rFonts w:hint="eastAsia" w:ascii="Tahoma" w:hAnsi="Tahoma" w:cs="Tahoma"/>
        <w:szCs w:val="21"/>
        <w:lang w:eastAsia="zh-CN"/>
      </w:rPr>
      <w:t>和田地区和田县人民医院综合能力提升及信息化建设项目</w:t>
    </w:r>
    <w:r>
      <w:rPr>
        <w:rFonts w:hint="eastAsia" w:ascii="Swis721 Blk BT"/>
      </w:rPr>
      <w:t>-</w:t>
    </w:r>
    <w:r>
      <w:rPr>
        <w:rFonts w:ascii="Swis721 Blk BT"/>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4" w:space="0"/>
      </w:pBdr>
    </w:pPr>
    <w:r>
      <w:br w:type="textWrapping"/>
    </w:r>
    <w:r>
      <w:rPr>
        <w:rFonts w:hint="eastAsia"/>
        <w:lang w:eastAsia="zh-CN"/>
      </w:rPr>
      <w:t>和田地区和田县人民医院综合能力提升及信息化建设项目</w:t>
    </w:r>
    <w:r>
      <w:rPr>
        <w:rFonts w:hint="eastAsia" w:ascii="Swis721 Blk BT"/>
      </w:rPr>
      <w:t>-</w:t>
    </w:r>
    <w:r>
      <w:rPr>
        <w:rFonts w:ascii="Swis721 Blk BT"/>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4" w:space="0"/>
      </w:pBdr>
    </w:pPr>
    <w:r>
      <w:br w:type="textWrapping"/>
    </w:r>
    <w:r>
      <w:rPr>
        <w:rFonts w:hint="eastAsia" w:ascii="Tahoma" w:hAnsi="Tahoma" w:cs="Tahoma"/>
        <w:szCs w:val="21"/>
        <w:lang w:eastAsia="zh-CN"/>
      </w:rPr>
      <w:t>和田地区和田县人民医院综合能力提升及信息化建设项目</w:t>
    </w:r>
    <w:r>
      <w:rPr>
        <w:rFonts w:hint="eastAsia" w:ascii="Swis721 Blk BT"/>
      </w:rPr>
      <w:t>-</w:t>
    </w:r>
    <w:r>
      <w:rPr>
        <w:rFonts w:ascii="Swis721 Blk BT"/>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D129F9"/>
    <w:multiLevelType w:val="singleLevel"/>
    <w:tmpl w:val="D1D129F9"/>
    <w:lvl w:ilvl="0" w:tentative="0">
      <w:start w:val="1"/>
      <w:numFmt w:val="bullet"/>
      <w:lvlText w:val=""/>
      <w:lvlJc w:val="left"/>
      <w:pPr>
        <w:ind w:left="420" w:hanging="420"/>
      </w:pPr>
      <w:rPr>
        <w:rFonts w:hint="default" w:ascii="Wingdings" w:hAnsi="Wingdings"/>
      </w:rPr>
    </w:lvl>
  </w:abstractNum>
  <w:abstractNum w:abstractNumId="1">
    <w:nsid w:val="00000000"/>
    <w:multiLevelType w:val="singleLevel"/>
    <w:tmpl w:val="00000000"/>
    <w:lvl w:ilvl="0" w:tentative="0">
      <w:start w:val="1"/>
      <w:numFmt w:val="upperLetter"/>
      <w:suff w:val="nothing"/>
      <w:lvlText w:val="%1、"/>
      <w:lvlJc w:val="left"/>
      <w:pPr>
        <w:ind w:left="0"/>
      </w:pPr>
    </w:lvl>
  </w:abstractNum>
  <w:abstractNum w:abstractNumId="2">
    <w:nsid w:val="024D7748"/>
    <w:multiLevelType w:val="multilevel"/>
    <w:tmpl w:val="024D7748"/>
    <w:lvl w:ilvl="0" w:tentative="0">
      <w:start w:val="1"/>
      <w:numFmt w:val="decimal"/>
      <w:lvlText w:val="%1)"/>
      <w:lvlJc w:val="left"/>
      <w:pPr>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7765D99"/>
    <w:multiLevelType w:val="multilevel"/>
    <w:tmpl w:val="07765D99"/>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2AC04D6F"/>
    <w:multiLevelType w:val="multilevel"/>
    <w:tmpl w:val="2AC04D6F"/>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5">
    <w:nsid w:val="2D817638"/>
    <w:multiLevelType w:val="multilevel"/>
    <w:tmpl w:val="2D817638"/>
    <w:lvl w:ilvl="0" w:tentative="0">
      <w:start w:val="1"/>
      <w:numFmt w:val="decimal"/>
      <w:lvlText w:val="(%1)"/>
      <w:lvlJc w:val="left"/>
      <w:pPr>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42027D9F"/>
    <w:multiLevelType w:val="multilevel"/>
    <w:tmpl w:val="42027D9F"/>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7">
    <w:nsid w:val="5163381D"/>
    <w:multiLevelType w:val="singleLevel"/>
    <w:tmpl w:val="5163381D"/>
    <w:lvl w:ilvl="0" w:tentative="0">
      <w:start w:val="1"/>
      <w:numFmt w:val="decimal"/>
      <w:lvlText w:val="(%1)"/>
      <w:lvlJc w:val="left"/>
      <w:pPr>
        <w:ind w:left="425" w:hanging="425"/>
      </w:pPr>
      <w:rPr>
        <w:rFonts w:hint="default"/>
      </w:rPr>
    </w:lvl>
  </w:abstractNum>
  <w:abstractNum w:abstractNumId="8">
    <w:nsid w:val="56E9AA90"/>
    <w:multiLevelType w:val="singleLevel"/>
    <w:tmpl w:val="56E9AA90"/>
    <w:lvl w:ilvl="0" w:tentative="0">
      <w:start w:val="1"/>
      <w:numFmt w:val="decimal"/>
      <w:suff w:val="nothing"/>
      <w:lvlText w:val="（%1）"/>
      <w:lvlJc w:val="left"/>
    </w:lvl>
  </w:abstractNum>
  <w:abstractNum w:abstractNumId="9">
    <w:nsid w:val="6256A486"/>
    <w:multiLevelType w:val="singleLevel"/>
    <w:tmpl w:val="6256A486"/>
    <w:lvl w:ilvl="0" w:tentative="0">
      <w:start w:val="4"/>
      <w:numFmt w:val="chineseCounting"/>
      <w:suff w:val="space"/>
      <w:lvlText w:val="第%1章"/>
      <w:lvlJc w:val="left"/>
      <w:rPr>
        <w:rFonts w:hint="eastAsia"/>
      </w:rPr>
    </w:lvl>
  </w:abstractNum>
  <w:abstractNum w:abstractNumId="10">
    <w:nsid w:val="628C4A4A"/>
    <w:multiLevelType w:val="singleLevel"/>
    <w:tmpl w:val="628C4A4A"/>
    <w:lvl w:ilvl="0" w:tentative="0">
      <w:start w:val="18"/>
      <w:numFmt w:val="decimal"/>
      <w:suff w:val="nothing"/>
      <w:lvlText w:val="%1、"/>
      <w:lvlJc w:val="left"/>
    </w:lvl>
  </w:abstractNum>
  <w:abstractNum w:abstractNumId="11">
    <w:nsid w:val="6D4B2530"/>
    <w:multiLevelType w:val="multilevel"/>
    <w:tmpl w:val="6D4B2530"/>
    <w:lvl w:ilvl="0" w:tentative="0">
      <w:start w:val="1"/>
      <w:numFmt w:val="decimal"/>
      <w:lvlText w:val="%1)"/>
      <w:lvlJc w:val="left"/>
      <w:pPr>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8"/>
  </w:num>
  <w:num w:numId="2">
    <w:abstractNumId w:val="1"/>
  </w:num>
  <w:num w:numId="3">
    <w:abstractNumId w:val="9"/>
  </w:num>
  <w:num w:numId="4">
    <w:abstractNumId w:val="10"/>
    <w:lvlOverride w:ilvl="0">
      <w:startOverride w:val="1"/>
    </w:lvlOverride>
  </w:num>
  <w:num w:numId="5">
    <w:abstractNumId w:val="0"/>
  </w:num>
  <w:num w:numId="6">
    <w:abstractNumId w:val="5"/>
  </w:num>
  <w:num w:numId="7">
    <w:abstractNumId w:val="2"/>
  </w:num>
  <w:num w:numId="8">
    <w:abstractNumId w:val="11"/>
  </w:num>
  <w:num w:numId="9">
    <w:abstractNumId w:val="7"/>
  </w:num>
  <w:num w:numId="10">
    <w:abstractNumId w:val="6"/>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4ZmI5MjYwMDNiN2I0YjBhN2RjZWU4YjBjZjZhNmYifQ=="/>
  </w:docVars>
  <w:rsids>
    <w:rsidRoot w:val="00000000"/>
    <w:rsid w:val="04E45870"/>
    <w:rsid w:val="0A8B0EB9"/>
    <w:rsid w:val="15293CE8"/>
    <w:rsid w:val="17304D78"/>
    <w:rsid w:val="1B1D01FE"/>
    <w:rsid w:val="1BBB101F"/>
    <w:rsid w:val="1C933F18"/>
    <w:rsid w:val="1DA5618C"/>
    <w:rsid w:val="20745325"/>
    <w:rsid w:val="23C223F1"/>
    <w:rsid w:val="2C1150DF"/>
    <w:rsid w:val="30034244"/>
    <w:rsid w:val="329704A2"/>
    <w:rsid w:val="3487500E"/>
    <w:rsid w:val="3D625FAE"/>
    <w:rsid w:val="41101E61"/>
    <w:rsid w:val="43B379AE"/>
    <w:rsid w:val="47B30653"/>
    <w:rsid w:val="528B09DC"/>
    <w:rsid w:val="53B57A22"/>
    <w:rsid w:val="5D752454"/>
    <w:rsid w:val="6A484BD2"/>
    <w:rsid w:val="6AFC48BD"/>
    <w:rsid w:val="6C446D36"/>
    <w:rsid w:val="734A27AC"/>
    <w:rsid w:val="76333D8B"/>
    <w:rsid w:val="7BA44E3B"/>
    <w:rsid w:val="7C341C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3"/>
    <w:next w:val="1"/>
    <w:unhideWhenUsed/>
    <w:qFormat/>
    <w:uiPriority w:val="9"/>
    <w:pPr>
      <w:keepNext/>
      <w:keepLines/>
      <w:spacing w:after="200"/>
      <w:ind w:firstLine="0" w:firstLineChars="0"/>
      <w:outlineLvl w:val="1"/>
    </w:pPr>
    <w:rPr>
      <w:rFonts w:ascii="宋体" w:hAnsi="宋体"/>
      <w:sz w:val="32"/>
      <w:szCs w:val="32"/>
    </w:rPr>
  </w:style>
  <w:style w:type="paragraph" w:styleId="5">
    <w:name w:val="heading 3"/>
    <w:basedOn w:val="4"/>
    <w:next w:val="1"/>
    <w:unhideWhenUsed/>
    <w:qFormat/>
    <w:uiPriority w:val="9"/>
    <w:pPr>
      <w:keepNext/>
      <w:keepLines/>
      <w:spacing w:after="200"/>
      <w:ind w:firstLine="0" w:firstLineChars="0"/>
      <w:outlineLvl w:val="2"/>
    </w:pPr>
    <w:rPr>
      <w:sz w:val="32"/>
      <w:szCs w:val="32"/>
    </w:rPr>
  </w:style>
  <w:style w:type="paragraph" w:styleId="6">
    <w:name w:val="heading 4"/>
    <w:basedOn w:val="1"/>
    <w:next w:val="1"/>
    <w:unhideWhenUsed/>
    <w:qFormat/>
    <w:uiPriority w:val="9"/>
    <w:pPr>
      <w:keepNext/>
      <w:keepLines/>
      <w:spacing w:after="210"/>
      <w:ind w:firstLine="0" w:firstLineChars="0"/>
      <w:outlineLvl w:val="3"/>
    </w:pPr>
    <w:rPr>
      <w:rFonts w:ascii="等线 Light" w:hAnsi="等线 Light"/>
      <w:b/>
      <w:bCs/>
      <w:sz w:val="28"/>
      <w:szCs w:val="28"/>
    </w:rPr>
  </w:style>
  <w:style w:type="paragraph" w:styleId="7">
    <w:name w:val="heading 5"/>
    <w:basedOn w:val="1"/>
    <w:next w:val="1"/>
    <w:unhideWhenUsed/>
    <w:qFormat/>
    <w:uiPriority w:val="9"/>
    <w:pPr>
      <w:keepNext/>
      <w:keepLines/>
      <w:spacing w:after="290" w:line="376" w:lineRule="auto"/>
      <w:outlineLvl w:val="4"/>
    </w:pPr>
    <w:rPr>
      <w:b/>
      <w:bCs/>
      <w:sz w:val="28"/>
      <w:szCs w:val="28"/>
    </w:rPr>
  </w:style>
  <w:style w:type="paragraph" w:styleId="8">
    <w:name w:val="heading 6"/>
    <w:basedOn w:val="1"/>
    <w:next w:val="1"/>
    <w:unhideWhenUsed/>
    <w:qFormat/>
    <w:uiPriority w:val="0"/>
    <w:pPr>
      <w:keepNext/>
      <w:keepLines/>
      <w:spacing w:before="240" w:after="64" w:line="317" w:lineRule="auto"/>
      <w:outlineLvl w:val="5"/>
    </w:pPr>
    <w:rPr>
      <w:rFonts w:ascii="Arial" w:hAnsi="Arial" w:eastAsia="黑体"/>
      <w:b/>
      <w:sz w:val="24"/>
    </w:rPr>
  </w:style>
  <w:style w:type="character" w:default="1" w:styleId="21">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spacing w:line="360" w:lineRule="atLeast"/>
      <w:jc w:val="both"/>
      <w:textAlignment w:val="baseline"/>
    </w:pPr>
    <w:rPr>
      <w:rFonts w:ascii="宋体" w:hAnsi="Times New Roman" w:eastAsia="宋体" w:cs="Times New Roman"/>
      <w:color w:val="000000"/>
      <w:sz w:val="24"/>
      <w:szCs w:val="24"/>
      <w:lang w:val="en-US" w:eastAsia="zh-CN" w:bidi="ar-SA"/>
    </w:rPr>
  </w:style>
  <w:style w:type="paragraph" w:styleId="9">
    <w:name w:val="Normal Indent"/>
    <w:basedOn w:val="1"/>
    <w:qFormat/>
    <w:uiPriority w:val="0"/>
    <w:pPr>
      <w:ind w:firstLine="420"/>
    </w:pPr>
    <w:rPr>
      <w:szCs w:val="20"/>
    </w:rPr>
  </w:style>
  <w:style w:type="paragraph" w:styleId="10">
    <w:name w:val="Body Text"/>
    <w:basedOn w:val="1"/>
    <w:next w:val="1"/>
    <w:qFormat/>
    <w:uiPriority w:val="0"/>
    <w:pPr>
      <w:spacing w:line="380" w:lineRule="exact"/>
    </w:pPr>
    <w:rPr>
      <w:sz w:val="24"/>
    </w:rPr>
  </w:style>
  <w:style w:type="paragraph" w:styleId="11">
    <w:name w:val="Body Text Indent"/>
    <w:basedOn w:val="1"/>
    <w:qFormat/>
    <w:uiPriority w:val="0"/>
    <w:pPr>
      <w:widowControl/>
      <w:adjustRightInd w:val="0"/>
      <w:snapToGrid w:val="0"/>
      <w:spacing w:line="360" w:lineRule="auto"/>
      <w:ind w:firstLine="420"/>
      <w:jc w:val="left"/>
    </w:pPr>
    <w:rPr>
      <w:rFonts w:ascii="宋体" w:hAnsi="宋体"/>
      <w:kern w:val="0"/>
      <w:sz w:val="24"/>
      <w:szCs w:val="24"/>
    </w:rPr>
  </w:style>
  <w:style w:type="paragraph" w:styleId="12">
    <w:name w:val="toc 3"/>
    <w:basedOn w:val="1"/>
    <w:next w:val="1"/>
    <w:unhideWhenUsed/>
    <w:qFormat/>
    <w:uiPriority w:val="39"/>
    <w:pPr>
      <w:ind w:left="840" w:leftChars="400"/>
    </w:pPr>
  </w:style>
  <w:style w:type="paragraph" w:styleId="13">
    <w:name w:val="Plain Text"/>
    <w:basedOn w:val="1"/>
    <w:qFormat/>
    <w:uiPriority w:val="0"/>
    <w:rPr>
      <w:rFonts w:ascii="宋体" w:hAnsi="Courier New"/>
      <w:szCs w:val="20"/>
    </w:rPr>
  </w:style>
  <w:style w:type="paragraph" w:styleId="14">
    <w:name w:val="footer"/>
    <w:basedOn w:val="1"/>
    <w:link w:val="31"/>
    <w:qFormat/>
    <w:uiPriority w:val="99"/>
    <w:pPr>
      <w:tabs>
        <w:tab w:val="center" w:pos="4153"/>
        <w:tab w:val="right" w:pos="8306"/>
      </w:tabs>
      <w:snapToGrid w:val="0"/>
    </w:pPr>
    <w:rPr>
      <w:sz w:val="18"/>
      <w:szCs w:val="20"/>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6">
    <w:name w:val="footnote text"/>
    <w:basedOn w:val="1"/>
    <w:qFormat/>
    <w:uiPriority w:val="0"/>
    <w:pPr>
      <w:snapToGrid w:val="0"/>
    </w:pPr>
    <w:rPr>
      <w:sz w:val="18"/>
    </w:rPr>
  </w:style>
  <w:style w:type="paragraph" w:styleId="17">
    <w:name w:val="toc 2"/>
    <w:basedOn w:val="1"/>
    <w:next w:val="1"/>
    <w:unhideWhenUsed/>
    <w:qFormat/>
    <w:uiPriority w:val="39"/>
    <w:pPr>
      <w:ind w:left="420" w:leftChars="200"/>
    </w:pPr>
  </w:style>
  <w:style w:type="paragraph" w:styleId="18">
    <w:name w:val="Normal (Web)"/>
    <w:basedOn w:val="1"/>
    <w:qFormat/>
    <w:uiPriority w:val="0"/>
    <w:pPr>
      <w:spacing w:before="100" w:beforeAutospacing="1" w:after="100" w:afterAutospacing="1"/>
    </w:pPr>
    <w:rPr>
      <w:rFonts w:ascii="宋体" w:hAnsi="宋体" w:cs="宋体"/>
      <w:kern w:val="0"/>
      <w:sz w:val="24"/>
    </w:rPr>
  </w:style>
  <w:style w:type="paragraph" w:styleId="19">
    <w:name w:val="Body Text First Indent"/>
    <w:basedOn w:val="10"/>
    <w:qFormat/>
    <w:uiPriority w:val="0"/>
    <w:pPr>
      <w:spacing w:after="120"/>
      <w:ind w:firstLine="420"/>
    </w:pPr>
  </w:style>
  <w:style w:type="character" w:styleId="22">
    <w:name w:val="Strong"/>
    <w:basedOn w:val="21"/>
    <w:qFormat/>
    <w:uiPriority w:val="0"/>
    <w:rPr>
      <w:b/>
    </w:rPr>
  </w:style>
  <w:style w:type="character" w:styleId="23">
    <w:name w:val="page number"/>
    <w:basedOn w:val="21"/>
    <w:qFormat/>
    <w:uiPriority w:val="0"/>
  </w:style>
  <w:style w:type="character" w:styleId="24">
    <w:name w:val="HTML Sample"/>
    <w:basedOn w:val="21"/>
    <w:qFormat/>
    <w:uiPriority w:val="0"/>
    <w:rPr>
      <w:rFonts w:ascii="Courier New" w:hAnsi="Courier New"/>
    </w:rPr>
  </w:style>
  <w:style w:type="paragraph" w:customStyle="1" w:styleId="25">
    <w:name w:val="Table Paragraph"/>
    <w:basedOn w:val="1"/>
    <w:qFormat/>
    <w:uiPriority w:val="1"/>
    <w:rPr>
      <w:rFonts w:ascii="Noto Sans Mono CJK JP Regular" w:hAnsi="Noto Sans Mono CJK JP Regular" w:eastAsia="Noto Sans Mono CJK JP Regular" w:cs="Noto Sans Mono CJK JP Regular"/>
    </w:rPr>
  </w:style>
  <w:style w:type="paragraph" w:customStyle="1" w:styleId="26">
    <w:name w:val="p0"/>
    <w:basedOn w:val="1"/>
    <w:qFormat/>
    <w:uiPriority w:val="0"/>
    <w:rPr>
      <w:kern w:val="0"/>
      <w:szCs w:val="21"/>
    </w:rPr>
  </w:style>
  <w:style w:type="paragraph" w:customStyle="1" w:styleId="27">
    <w:name w:val="样式3"/>
    <w:basedOn w:val="13"/>
    <w:qFormat/>
    <w:uiPriority w:val="0"/>
    <w:pPr>
      <w:spacing w:line="0" w:lineRule="atLeast"/>
      <w:outlineLvl w:val="0"/>
    </w:pPr>
    <w:rPr>
      <w:sz w:val="28"/>
    </w:rPr>
  </w:style>
  <w:style w:type="paragraph" w:customStyle="1" w:styleId="28">
    <w:name w:val="List Paragraph"/>
    <w:basedOn w:val="1"/>
    <w:qFormat/>
    <w:uiPriority w:val="34"/>
    <w:pPr>
      <w:ind w:firstLine="420" w:firstLineChars="200"/>
    </w:pPr>
    <w:rPr>
      <w:rFonts w:ascii="Calibri" w:hAnsi="Calibri"/>
      <w:szCs w:val="22"/>
    </w:rPr>
  </w:style>
  <w:style w:type="paragraph" w:customStyle="1" w:styleId="29">
    <w:name w:val="列表段落1"/>
    <w:basedOn w:val="1"/>
    <w:qFormat/>
    <w:uiPriority w:val="34"/>
    <w:pPr>
      <w:ind w:firstLine="420" w:firstLineChars="200"/>
    </w:pPr>
  </w:style>
  <w:style w:type="character" w:customStyle="1" w:styleId="30">
    <w:name w:val="font01"/>
    <w:basedOn w:val="21"/>
    <w:qFormat/>
    <w:uiPriority w:val="0"/>
    <w:rPr>
      <w:rFonts w:hint="eastAsia" w:ascii="宋体" w:hAnsi="宋体" w:eastAsia="宋体" w:cs="宋体"/>
      <w:color w:val="000000"/>
      <w:sz w:val="22"/>
      <w:szCs w:val="22"/>
      <w:u w:val="none"/>
    </w:rPr>
  </w:style>
  <w:style w:type="character" w:customStyle="1" w:styleId="31">
    <w:name w:val="页脚 字符"/>
    <w:basedOn w:val="21"/>
    <w:link w:val="14"/>
    <w:qFormat/>
    <w:uiPriority w:val="99"/>
    <w:rPr>
      <w:kern w:val="2"/>
      <w:sz w:val="18"/>
    </w:rPr>
  </w:style>
  <w:style w:type="paragraph" w:customStyle="1" w:styleId="32">
    <w:name w:val="标书正文"/>
    <w:basedOn w:val="1"/>
    <w:qFormat/>
    <w:uiPriority w:val="0"/>
    <w:pPr>
      <w:spacing w:line="560" w:lineRule="exact"/>
      <w:ind w:firstLine="723" w:firstLineChars="200"/>
      <w:jc w:val="center"/>
    </w:pPr>
    <w:rPr>
      <w:rFonts w:ascii="仿宋_GB2312" w:eastAsia="仿宋_GB2312"/>
      <w:b/>
      <w:sz w:val="36"/>
    </w:rPr>
  </w:style>
  <w:style w:type="paragraph" w:customStyle="1" w:styleId="33">
    <w:name w:val="detail-info"/>
    <w:basedOn w:val="1"/>
    <w:qFormat/>
    <w:uiPriority w:val="0"/>
    <w:pPr>
      <w:pBdr>
        <w:top w:val="none" w:color="auto" w:sz="0" w:space="0"/>
        <w:left w:val="none" w:color="auto" w:sz="0" w:space="0"/>
        <w:bottom w:val="dotted" w:color="999999" w:sz="6" w:space="7"/>
        <w:right w:val="none" w:color="auto" w:sz="0" w:space="0"/>
      </w:pBdr>
      <w:spacing w:after="300" w:afterAutospacing="0"/>
      <w:jc w:val="left"/>
    </w:pPr>
    <w:rPr>
      <w:color w:val="666666"/>
      <w:kern w:val="0"/>
      <w:sz w:val="21"/>
      <w:szCs w:val="21"/>
      <w:lang w:val="en-US" w:eastAsia="zh-CN" w:bidi="ar"/>
    </w:rPr>
  </w:style>
  <w:style w:type="paragraph" w:customStyle="1" w:styleId="34">
    <w:name w:val="列出段落1"/>
    <w:basedOn w:val="1"/>
    <w:qFormat/>
    <w:uiPriority w:val="34"/>
    <w:pPr>
      <w:ind w:firstLine="420"/>
    </w:pPr>
    <w:rPr>
      <w:rFonts w:ascii="Times New Roman" w:hAnsi="Times New Roman"/>
      <w:kern w:val="0"/>
      <w:sz w:val="20"/>
      <w:szCs w:val="20"/>
    </w:rPr>
  </w:style>
  <w:style w:type="paragraph" w:customStyle="1" w:styleId="35">
    <w:name w:val="正文首行缩进1"/>
    <w:qFormat/>
    <w:uiPriority w:val="0"/>
    <w:pPr>
      <w:spacing w:line="360" w:lineRule="auto"/>
      <w:ind w:firstLine="200" w:firstLineChars="200"/>
    </w:pPr>
    <w:rPr>
      <w:rFonts w:ascii="Times New Roman" w:hAnsi="Times New Roman" w:eastAsia="宋体" w:cs="Times New Roman"/>
      <w:szCs w:val="24"/>
      <w:lang w:val="en-US" w:eastAsia="zh-CN" w:bidi="ar-SA"/>
    </w:rPr>
  </w:style>
  <w:style w:type="paragraph" w:customStyle="1" w:styleId="36">
    <w:name w:val="正文-无缩进"/>
    <w:basedOn w:val="1"/>
    <w:qFormat/>
    <w:uiPriority w:val="0"/>
    <w:pPr>
      <w:ind w:firstLine="0" w:firstLineChars="0"/>
    </w:pPr>
  </w:style>
  <w:style w:type="paragraph" w:customStyle="1" w:styleId="37">
    <w:name w:val="列表段落3"/>
    <w:basedOn w:val="1"/>
    <w:qFormat/>
    <w:uiPriority w:val="0"/>
    <w:pPr>
      <w:ind w:firstLine="420"/>
    </w:pPr>
    <w:rPr>
      <w:rFonts w:ascii="Calibri" w:hAnsi="Calibri"/>
    </w:rPr>
  </w:style>
  <w:style w:type="paragraph" w:customStyle="1" w:styleId="38">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character" w:customStyle="1" w:styleId="39">
    <w:name w:val="font11"/>
    <w:basedOn w:val="21"/>
    <w:qFormat/>
    <w:uiPriority w:val="0"/>
    <w:rPr>
      <w:rFonts w:hint="eastAsia" w:ascii="宋体" w:hAnsi="宋体" w:eastAsia="宋体" w:cs="宋体"/>
      <w:color w:val="333333"/>
      <w:sz w:val="24"/>
      <w:szCs w:val="24"/>
      <w:u w:val="none"/>
    </w:rPr>
  </w:style>
  <w:style w:type="character" w:customStyle="1" w:styleId="40">
    <w:name w:val="font21"/>
    <w:basedOn w:val="21"/>
    <w:qFormat/>
    <w:uiPriority w:val="0"/>
    <w:rPr>
      <w:rFonts w:ascii="等线 Regular" w:hAnsi="等线 Regular" w:eastAsia="等线 Regular" w:cs="等线 Regular"/>
      <w:color w:val="333333"/>
      <w:sz w:val="24"/>
      <w:szCs w:val="24"/>
      <w:u w:val="none"/>
    </w:rPr>
  </w:style>
  <w:style w:type="character" w:customStyle="1" w:styleId="41">
    <w:name w:val="font31"/>
    <w:basedOn w:val="21"/>
    <w:qFormat/>
    <w:uiPriority w:val="0"/>
    <w:rPr>
      <w:rFonts w:ascii="等线 Regular" w:hAnsi="等线 Regular" w:eastAsia="等线 Regular" w:cs="等线 Regular"/>
      <w:color w:val="333333"/>
      <w:sz w:val="24"/>
      <w:szCs w:val="24"/>
      <w:u w:val="none"/>
    </w:rPr>
  </w:style>
  <w:style w:type="character" w:customStyle="1" w:styleId="42">
    <w:name w:val="font51"/>
    <w:basedOn w:val="21"/>
    <w:qFormat/>
    <w:uiPriority w:val="0"/>
    <w:rPr>
      <w:rFonts w:ascii="等线 Regular" w:hAnsi="等线 Regular" w:eastAsia="等线 Regular" w:cs="等线 Regular"/>
      <w:color w:val="000000"/>
      <w:sz w:val="22"/>
      <w:szCs w:val="22"/>
      <w:u w:val="none"/>
    </w:rPr>
  </w:style>
  <w:style w:type="character" w:customStyle="1" w:styleId="43">
    <w:name w:val="font41"/>
    <w:basedOn w:val="21"/>
    <w:qFormat/>
    <w:uiPriority w:val="0"/>
    <w:rPr>
      <w:rFonts w:hint="eastAsia" w:ascii="宋体" w:hAnsi="宋体" w:eastAsia="宋体" w:cs="宋体"/>
      <w:color w:val="000000"/>
      <w:sz w:val="24"/>
      <w:szCs w:val="24"/>
      <w:u w:val="none"/>
    </w:rPr>
  </w:style>
  <w:style w:type="character" w:customStyle="1" w:styleId="44">
    <w:name w:val="font61"/>
    <w:basedOn w:val="21"/>
    <w:qFormat/>
    <w:uiPriority w:val="0"/>
    <w:rPr>
      <w:rFonts w:hint="default" w:ascii="等线 Regular" w:hAnsi="等线 Regular" w:eastAsia="等线 Regular" w:cs="等线 Regular"/>
      <w:color w:val="000000"/>
      <w:sz w:val="24"/>
      <w:szCs w:val="24"/>
      <w:u w:val="none"/>
    </w:rPr>
  </w:style>
  <w:style w:type="paragraph" w:customStyle="1" w:styleId="45">
    <w:name w:val="表格样式"/>
    <w:basedOn w:val="1"/>
    <w:qFormat/>
    <w:uiPriority w:val="0"/>
    <w:pPr>
      <w:wordWrap w:val="0"/>
      <w:spacing w:after="0" w:line="240" w:lineRule="auto"/>
      <w:jc w:val="left"/>
    </w:pPr>
    <w:rPr>
      <w:rFonts w:ascii="仿宋" w:hAnsi="仿宋"/>
      <w:szCs w:val="22"/>
    </w:rPr>
  </w:style>
  <w:style w:type="paragraph" w:customStyle="1" w:styleId="46">
    <w:name w:val="列表段落1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157</Pages>
  <Words>113799</Words>
  <Characters>123910</Characters>
  <Lines>545</Lines>
  <Paragraphs>153</Paragraphs>
  <TotalTime>41</TotalTime>
  <ScaleCrop>false</ScaleCrop>
  <LinksUpToDate>false</LinksUpToDate>
  <CharactersWithSpaces>131707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2020-12-15T02:27:00Z</dcterms:created>
  <dc:creator>翟旭</dc:creator>
  <cp:lastModifiedBy>翟旭</cp:lastModifiedBy>
  <cp:lastPrinted>2022-05-22T15:51:00Z</cp:lastPrinted>
  <dcterms:modified xsi:type="dcterms:W3CDTF">2022-05-24T15:45:31Z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F9A4B4C1FA454414AFE18130CB9A225D</vt:lpwstr>
  </property>
</Properties>
</file>