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A7ECF">
      <w:pPr>
        <w:pStyle w:val="69"/>
        <w:spacing w:line="360" w:lineRule="auto"/>
        <w:rPr>
          <w:rFonts w:ascii="仿宋" w:hAnsi="仿宋" w:eastAsia="仿宋" w:cs="仿宋"/>
          <w:b/>
          <w:color w:val="auto"/>
          <w:sz w:val="32"/>
          <w:szCs w:val="31"/>
        </w:rPr>
      </w:pPr>
    </w:p>
    <w:p w14:paraId="7C43225B">
      <w:pPr>
        <w:pStyle w:val="69"/>
        <w:spacing w:line="360" w:lineRule="auto"/>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巴州聚诚项目管理有限责任公司</w:t>
      </w:r>
    </w:p>
    <w:p w14:paraId="097392D7">
      <w:pPr>
        <w:pStyle w:val="69"/>
        <w:spacing w:line="360" w:lineRule="auto"/>
        <w:rPr>
          <w:rFonts w:ascii="仿宋" w:hAnsi="仿宋" w:eastAsia="仿宋" w:cs="仿宋"/>
          <w:b/>
          <w:color w:val="auto"/>
          <w:sz w:val="52"/>
          <w:szCs w:val="52"/>
        </w:rPr>
      </w:pPr>
    </w:p>
    <w:p w14:paraId="77A56128">
      <w:pPr>
        <w:pStyle w:val="69"/>
        <w:spacing w:line="360" w:lineRule="auto"/>
        <w:rPr>
          <w:rFonts w:ascii="仿宋" w:hAnsi="仿宋" w:eastAsia="仿宋" w:cs="仿宋"/>
          <w:b/>
          <w:color w:val="auto"/>
          <w:sz w:val="52"/>
          <w:szCs w:val="52"/>
        </w:rPr>
      </w:pPr>
    </w:p>
    <w:p w14:paraId="261B6FD6">
      <w:pPr>
        <w:pStyle w:val="69"/>
        <w:spacing w:line="360" w:lineRule="auto"/>
        <w:jc w:val="center"/>
        <w:rPr>
          <w:rFonts w:ascii="仿宋" w:hAnsi="仿宋" w:eastAsia="仿宋" w:cs="仿宋"/>
          <w:b/>
          <w:color w:val="auto"/>
          <w:sz w:val="96"/>
          <w:szCs w:val="96"/>
        </w:rPr>
      </w:pPr>
      <w:r>
        <w:rPr>
          <w:rFonts w:hint="eastAsia" w:ascii="仿宋" w:hAnsi="仿宋" w:eastAsia="仿宋" w:cs="仿宋"/>
          <w:b/>
          <w:color w:val="auto"/>
          <w:sz w:val="96"/>
          <w:szCs w:val="96"/>
        </w:rPr>
        <w:t>招标文件</w:t>
      </w:r>
    </w:p>
    <w:p w14:paraId="0DDF96C1">
      <w:pPr>
        <w:pStyle w:val="69"/>
        <w:spacing w:line="360" w:lineRule="auto"/>
        <w:rPr>
          <w:rFonts w:ascii="仿宋" w:hAnsi="仿宋" w:eastAsia="仿宋" w:cs="仿宋"/>
          <w:color w:val="auto"/>
          <w:sz w:val="32"/>
        </w:rPr>
      </w:pPr>
      <w:r>
        <w:rPr>
          <w:rFonts w:hint="eastAsia" w:ascii="仿宋" w:hAnsi="仿宋" w:eastAsia="仿宋" w:cs="仿宋"/>
          <w:color w:val="auto"/>
          <w:sz w:val="32"/>
        </w:rPr>
        <w:t xml:space="preserve">                                               </w:t>
      </w:r>
    </w:p>
    <w:p w14:paraId="2798F4C5">
      <w:pPr>
        <w:pStyle w:val="69"/>
        <w:spacing w:line="360" w:lineRule="auto"/>
        <w:rPr>
          <w:rFonts w:ascii="仿宋" w:hAnsi="仿宋" w:eastAsia="仿宋" w:cs="仿宋"/>
          <w:color w:val="auto"/>
          <w:sz w:val="32"/>
        </w:rPr>
      </w:pPr>
      <w:r>
        <w:rPr>
          <w:rFonts w:hint="eastAsia" w:ascii="仿宋" w:hAnsi="仿宋" w:eastAsia="仿宋" w:cs="仿宋"/>
          <w:color w:val="auto"/>
          <w:sz w:val="32"/>
        </w:rPr>
        <w:t xml:space="preserve">                                               </w:t>
      </w:r>
    </w:p>
    <w:p w14:paraId="35AA6554">
      <w:pPr>
        <w:pStyle w:val="69"/>
        <w:spacing w:line="360" w:lineRule="auto"/>
        <w:rPr>
          <w:rFonts w:ascii="仿宋" w:hAnsi="仿宋" w:eastAsia="仿宋" w:cs="仿宋"/>
          <w:color w:val="auto"/>
          <w:sz w:val="32"/>
        </w:rPr>
      </w:pPr>
    </w:p>
    <w:p w14:paraId="55094E56">
      <w:pPr>
        <w:pStyle w:val="69"/>
        <w:spacing w:line="360" w:lineRule="auto"/>
        <w:rPr>
          <w:rFonts w:ascii="仿宋" w:hAnsi="仿宋" w:eastAsia="仿宋" w:cs="仿宋"/>
          <w:color w:val="auto"/>
          <w:sz w:val="32"/>
        </w:rPr>
      </w:pPr>
    </w:p>
    <w:p w14:paraId="1D024185">
      <w:pPr>
        <w:widowControl/>
        <w:spacing w:line="360" w:lineRule="auto"/>
        <w:rPr>
          <w:rFonts w:hint="eastAsia" w:ascii="仿宋" w:hAnsi="仿宋" w:eastAsia="仿宋" w:cs="仿宋"/>
          <w:b/>
          <w:sz w:val="32"/>
          <w:szCs w:val="31"/>
          <w:lang w:eastAsia="zh-CN"/>
        </w:rPr>
      </w:pPr>
      <w:r>
        <w:rPr>
          <w:rFonts w:hint="eastAsia" w:ascii="仿宋" w:hAnsi="仿宋" w:eastAsia="仿宋" w:cs="仿宋"/>
          <w:b/>
          <w:sz w:val="32"/>
          <w:szCs w:val="31"/>
        </w:rPr>
        <w:t xml:space="preserve">      </w:t>
      </w:r>
      <w:r>
        <w:rPr>
          <w:rFonts w:hint="eastAsia" w:ascii="仿宋" w:hAnsi="仿宋" w:eastAsia="仿宋" w:cs="仿宋"/>
          <w:b/>
          <w:sz w:val="32"/>
          <w:szCs w:val="31"/>
          <w:lang w:eastAsia="zh-CN"/>
        </w:rPr>
        <w:t>招标项目名称：2025年度文化和旅游志愿服务项目</w:t>
      </w:r>
    </w:p>
    <w:p w14:paraId="4FEAC906">
      <w:pPr>
        <w:pStyle w:val="17"/>
        <w:tabs>
          <w:tab w:val="left" w:pos="720"/>
          <w:tab w:val="left" w:pos="900"/>
          <w:tab w:val="left" w:pos="1260"/>
          <w:tab w:val="left" w:pos="2160"/>
          <w:tab w:val="left" w:pos="2880"/>
          <w:tab w:val="left" w:pos="3600"/>
          <w:tab w:val="left" w:pos="4320"/>
          <w:tab w:val="left" w:pos="5040"/>
          <w:tab w:val="left" w:pos="5760"/>
        </w:tabs>
      </w:pPr>
    </w:p>
    <w:p w14:paraId="6C4ADFFF">
      <w:pPr>
        <w:widowControl/>
        <w:ind w:firstLine="964" w:firstLineChars="300"/>
        <w:jc w:val="left"/>
        <w:rPr>
          <w:rFonts w:hint="eastAsia" w:ascii="仿宋" w:hAnsi="仿宋" w:eastAsia="仿宋" w:cs="仿宋"/>
          <w:b/>
          <w:sz w:val="32"/>
          <w:szCs w:val="31"/>
          <w:lang w:eastAsia="zh-CN"/>
        </w:rPr>
      </w:pPr>
      <w:r>
        <w:rPr>
          <w:rFonts w:hint="eastAsia" w:ascii="仿宋" w:hAnsi="仿宋" w:eastAsia="仿宋" w:cs="仿宋"/>
          <w:b/>
          <w:sz w:val="32"/>
          <w:szCs w:val="31"/>
        </w:rPr>
        <w:t>采 购 单 位：</w:t>
      </w:r>
      <w:r>
        <w:rPr>
          <w:rFonts w:hint="eastAsia" w:ascii="仿宋" w:hAnsi="仿宋" w:eastAsia="仿宋" w:cs="仿宋"/>
          <w:b/>
          <w:sz w:val="32"/>
          <w:szCs w:val="31"/>
          <w:lang w:eastAsia="zh-CN"/>
        </w:rPr>
        <w:t> 巴音郭楞蒙古自治州文化体育广播电</w:t>
      </w:r>
    </w:p>
    <w:p w14:paraId="14AC9B6F">
      <w:pPr>
        <w:widowControl/>
        <w:jc w:val="left"/>
        <w:rPr>
          <w:rFonts w:hint="eastAsia" w:ascii="仿宋" w:hAnsi="仿宋" w:eastAsia="仿宋" w:cs="仿宋"/>
          <w:b/>
          <w:sz w:val="32"/>
          <w:szCs w:val="31"/>
          <w:lang w:eastAsia="zh-CN"/>
        </w:rPr>
      </w:pPr>
    </w:p>
    <w:p w14:paraId="0B739A1E">
      <w:pPr>
        <w:widowControl/>
        <w:jc w:val="left"/>
        <w:rPr>
          <w:rFonts w:hint="eastAsia" w:ascii="仿宋" w:hAnsi="仿宋" w:eastAsia="仿宋" w:cs="仿宋"/>
          <w:b/>
          <w:sz w:val="32"/>
          <w:szCs w:val="31"/>
          <w:lang w:eastAsia="zh-CN"/>
        </w:rPr>
      </w:pPr>
      <w:r>
        <w:rPr>
          <w:rFonts w:hint="eastAsia" w:ascii="仿宋" w:hAnsi="仿宋" w:eastAsia="仿宋" w:cs="仿宋"/>
          <w:b/>
          <w:sz w:val="32"/>
          <w:szCs w:val="31"/>
          <w:lang w:eastAsia="zh-CN"/>
        </w:rPr>
        <w:t>视和旅游局   </w:t>
      </w:r>
    </w:p>
    <w:p w14:paraId="70350744">
      <w:pPr>
        <w:widowControl/>
        <w:ind w:firstLine="964" w:firstLineChars="300"/>
        <w:jc w:val="left"/>
        <w:rPr>
          <w:rFonts w:hint="eastAsia" w:ascii="仿宋" w:hAnsi="仿宋" w:eastAsia="仿宋" w:cs="仿宋"/>
          <w:b/>
          <w:sz w:val="32"/>
          <w:szCs w:val="31"/>
          <w:lang w:eastAsia="zh-CN"/>
        </w:rPr>
      </w:pPr>
    </w:p>
    <w:p w14:paraId="1F8D4FAE">
      <w:pPr>
        <w:widowControl/>
        <w:spacing w:line="360" w:lineRule="auto"/>
        <w:ind w:firstLine="964" w:firstLineChars="300"/>
        <w:rPr>
          <w:rFonts w:hint="eastAsia" w:ascii="仿宋" w:hAnsi="仿宋" w:eastAsia="仿宋" w:cs="仿宋"/>
          <w:b/>
          <w:sz w:val="32"/>
          <w:szCs w:val="31"/>
          <w:lang w:eastAsia="zh-CN"/>
        </w:rPr>
      </w:pPr>
      <w:r>
        <w:rPr>
          <w:rFonts w:hint="eastAsia" w:ascii="仿宋" w:hAnsi="仿宋" w:eastAsia="仿宋" w:cs="仿宋"/>
          <w:b/>
          <w:sz w:val="32"/>
          <w:szCs w:val="31"/>
        </w:rPr>
        <w:t>招标项目编号：</w:t>
      </w:r>
      <w:r>
        <w:rPr>
          <w:rFonts w:hint="eastAsia" w:ascii="仿宋" w:hAnsi="仿宋" w:eastAsia="仿宋" w:cs="仿宋"/>
          <w:b/>
          <w:sz w:val="32"/>
          <w:szCs w:val="31"/>
          <w:lang w:eastAsia="zh-CN"/>
        </w:rPr>
        <w:t>BZJC</w:t>
      </w:r>
      <w:r>
        <w:rPr>
          <w:rFonts w:hint="eastAsia" w:ascii="仿宋" w:hAnsi="仿宋" w:eastAsia="仿宋" w:cs="仿宋"/>
          <w:b/>
          <w:sz w:val="32"/>
          <w:szCs w:val="31"/>
          <w:lang w:val="en-US" w:eastAsia="zh-CN"/>
        </w:rPr>
        <w:t>ZFCGJZCS</w:t>
      </w:r>
      <w:r>
        <w:rPr>
          <w:rFonts w:hint="eastAsia" w:ascii="仿宋" w:hAnsi="仿宋" w:eastAsia="仿宋" w:cs="仿宋"/>
          <w:b/>
          <w:sz w:val="32"/>
          <w:szCs w:val="31"/>
          <w:lang w:eastAsia="zh-CN"/>
        </w:rPr>
        <w:t>202</w:t>
      </w:r>
      <w:r>
        <w:rPr>
          <w:rFonts w:hint="eastAsia" w:ascii="仿宋" w:hAnsi="仿宋" w:eastAsia="仿宋" w:cs="仿宋"/>
          <w:b/>
          <w:sz w:val="32"/>
          <w:szCs w:val="31"/>
          <w:lang w:val="en-US" w:eastAsia="zh-CN"/>
        </w:rPr>
        <w:t>5</w:t>
      </w:r>
      <w:r>
        <w:rPr>
          <w:rFonts w:hint="eastAsia" w:ascii="仿宋" w:hAnsi="仿宋" w:eastAsia="仿宋" w:cs="仿宋"/>
          <w:b/>
          <w:sz w:val="32"/>
          <w:szCs w:val="31"/>
          <w:lang w:eastAsia="zh-CN"/>
        </w:rPr>
        <w:t>-0</w:t>
      </w:r>
      <w:r>
        <w:rPr>
          <w:rFonts w:hint="eastAsia" w:ascii="仿宋" w:hAnsi="仿宋" w:eastAsia="仿宋" w:cs="仿宋"/>
          <w:b/>
          <w:sz w:val="32"/>
          <w:szCs w:val="31"/>
          <w:lang w:val="en-US" w:eastAsia="zh-CN"/>
        </w:rPr>
        <w:t>1</w:t>
      </w:r>
      <w:r>
        <w:rPr>
          <w:rFonts w:hint="eastAsia" w:ascii="仿宋" w:hAnsi="仿宋" w:eastAsia="仿宋" w:cs="仿宋"/>
          <w:b/>
          <w:sz w:val="32"/>
          <w:szCs w:val="31"/>
          <w:lang w:eastAsia="zh-CN"/>
        </w:rPr>
        <w:t>号</w:t>
      </w:r>
    </w:p>
    <w:p w14:paraId="3AE640C7">
      <w:pPr>
        <w:pStyle w:val="69"/>
        <w:spacing w:line="360" w:lineRule="auto"/>
        <w:ind w:firstLine="948" w:firstLineChars="295"/>
        <w:rPr>
          <w:rFonts w:ascii="仿宋" w:hAnsi="仿宋" w:eastAsia="仿宋" w:cs="仿宋"/>
          <w:b/>
          <w:color w:val="auto"/>
          <w:sz w:val="32"/>
          <w:szCs w:val="31"/>
        </w:rPr>
      </w:pPr>
    </w:p>
    <w:p w14:paraId="7F9DDA00">
      <w:pPr>
        <w:pStyle w:val="69"/>
        <w:spacing w:line="360" w:lineRule="auto"/>
        <w:ind w:firstLine="948" w:firstLineChars="295"/>
        <w:rPr>
          <w:rFonts w:ascii="仿宋" w:hAnsi="仿宋" w:eastAsia="仿宋" w:cs="仿宋"/>
          <w:b/>
          <w:color w:val="auto"/>
          <w:sz w:val="32"/>
          <w:szCs w:val="31"/>
        </w:rPr>
      </w:pPr>
      <w:r>
        <w:rPr>
          <w:rFonts w:hint="eastAsia" w:ascii="仿宋" w:hAnsi="仿宋" w:eastAsia="仿宋" w:cs="仿宋"/>
          <w:b/>
          <w:color w:val="auto"/>
          <w:sz w:val="32"/>
          <w:szCs w:val="31"/>
        </w:rPr>
        <w:t>采购代理机构：</w:t>
      </w:r>
      <w:r>
        <w:rPr>
          <w:rFonts w:hint="eastAsia" w:ascii="仿宋" w:hAnsi="仿宋" w:eastAsia="仿宋" w:cs="仿宋"/>
          <w:b/>
          <w:color w:val="auto"/>
          <w:sz w:val="32"/>
          <w:szCs w:val="31"/>
          <w:lang w:val="en-US" w:eastAsia="zh-CN"/>
        </w:rPr>
        <w:t>巴州聚诚项目管理</w:t>
      </w:r>
      <w:r>
        <w:rPr>
          <w:rFonts w:hint="eastAsia" w:ascii="仿宋" w:hAnsi="仿宋" w:eastAsia="仿宋" w:cs="仿宋"/>
          <w:b/>
          <w:color w:val="auto"/>
          <w:sz w:val="32"/>
          <w:szCs w:val="31"/>
        </w:rPr>
        <w:t>有限</w:t>
      </w:r>
      <w:r>
        <w:rPr>
          <w:rFonts w:hint="eastAsia" w:ascii="仿宋" w:hAnsi="仿宋" w:eastAsia="仿宋" w:cs="仿宋"/>
          <w:b/>
          <w:color w:val="auto"/>
          <w:sz w:val="32"/>
          <w:szCs w:val="31"/>
          <w:lang w:val="en-US" w:eastAsia="zh-CN"/>
        </w:rPr>
        <w:t>责任</w:t>
      </w:r>
      <w:r>
        <w:rPr>
          <w:rFonts w:hint="eastAsia" w:ascii="仿宋" w:hAnsi="仿宋" w:eastAsia="仿宋" w:cs="仿宋"/>
          <w:b/>
          <w:color w:val="auto"/>
          <w:sz w:val="32"/>
          <w:szCs w:val="31"/>
        </w:rPr>
        <w:t>公司</w:t>
      </w:r>
    </w:p>
    <w:p w14:paraId="75C8282F">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right="0"/>
        <w:jc w:val="center"/>
        <w:textAlignment w:val="auto"/>
        <w:rPr>
          <w:rFonts w:hint="default" w:ascii="Times New Roman" w:hAnsi="Times New Roman" w:cs="Times New Roman"/>
          <w:b/>
          <w:sz w:val="36"/>
          <w:szCs w:val="36"/>
          <w:highlight w:val="none"/>
          <w:lang w:val="en-US" w:eastAsia="zh-CN"/>
        </w:rPr>
      </w:pPr>
    </w:p>
    <w:p w14:paraId="20951372">
      <w:pPr>
        <w:pStyle w:val="1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default" w:ascii="Times New Roman" w:hAnsi="Times New Roman" w:eastAsia="宋体" w:cs="Times New Roman"/>
          <w:b/>
          <w:sz w:val="36"/>
          <w:szCs w:val="36"/>
          <w:highlight w:val="none"/>
        </w:rPr>
      </w:pPr>
      <w:r>
        <w:rPr>
          <w:rFonts w:hint="eastAsia" w:ascii="Times New Roman" w:hAnsi="Times New Roman" w:eastAsia="宋体" w:cs="Times New Roman"/>
          <w:b/>
          <w:sz w:val="36"/>
          <w:szCs w:val="36"/>
          <w:highlight w:val="none"/>
          <w:lang w:val="en-US" w:eastAsia="zh-CN"/>
        </w:rPr>
        <w:t>巴州聚诚项目管理</w:t>
      </w:r>
      <w:r>
        <w:rPr>
          <w:rFonts w:hint="eastAsia" w:ascii="Times New Roman" w:hAnsi="Times New Roman" w:eastAsia="宋体" w:cs="Times New Roman"/>
          <w:b/>
          <w:sz w:val="36"/>
          <w:szCs w:val="36"/>
          <w:highlight w:val="none"/>
        </w:rPr>
        <w:t>有限</w:t>
      </w:r>
      <w:r>
        <w:rPr>
          <w:rFonts w:hint="eastAsia" w:ascii="Times New Roman" w:hAnsi="Times New Roman" w:eastAsia="宋体" w:cs="Times New Roman"/>
          <w:b/>
          <w:sz w:val="36"/>
          <w:szCs w:val="36"/>
          <w:highlight w:val="none"/>
          <w:lang w:val="en-US" w:eastAsia="zh-CN"/>
        </w:rPr>
        <w:t>责任</w:t>
      </w:r>
      <w:r>
        <w:rPr>
          <w:rFonts w:hint="eastAsia" w:ascii="Times New Roman" w:hAnsi="Times New Roman" w:eastAsia="宋体" w:cs="Times New Roman"/>
          <w:b/>
          <w:sz w:val="36"/>
          <w:szCs w:val="36"/>
          <w:highlight w:val="none"/>
        </w:rPr>
        <w:t>公司</w:t>
      </w:r>
      <w:r>
        <w:rPr>
          <w:rFonts w:hint="default" w:ascii="Times New Roman" w:hAnsi="Times New Roman" w:eastAsia="宋体" w:cs="Times New Roman"/>
          <w:b/>
          <w:sz w:val="36"/>
          <w:szCs w:val="36"/>
          <w:highlight w:val="none"/>
          <w:lang w:val="en-US" w:eastAsia="zh-CN"/>
        </w:rPr>
        <w:t>关于</w:t>
      </w:r>
      <w:r>
        <w:rPr>
          <w:rFonts w:hint="eastAsia" w:ascii="Times New Roman" w:hAnsi="Times New Roman" w:eastAsia="宋体" w:cs="Times New Roman"/>
          <w:b/>
          <w:sz w:val="36"/>
          <w:szCs w:val="36"/>
          <w:highlight w:val="none"/>
          <w:lang w:eastAsia="zh-CN"/>
        </w:rPr>
        <w:t>2025年度文化和旅游志愿服务项目</w:t>
      </w:r>
      <w:r>
        <w:rPr>
          <w:rFonts w:hint="default" w:ascii="Times New Roman" w:hAnsi="Times New Roman" w:eastAsia="宋体" w:cs="Times New Roman"/>
          <w:b/>
          <w:sz w:val="36"/>
          <w:szCs w:val="36"/>
          <w:highlight w:val="none"/>
          <w:lang w:val="en-US" w:eastAsia="zh-CN"/>
        </w:rPr>
        <w:t>的</w:t>
      </w:r>
      <w:r>
        <w:rPr>
          <w:rFonts w:hint="default" w:ascii="Times New Roman" w:hAnsi="Times New Roman" w:eastAsia="宋体" w:cs="Times New Roman"/>
          <w:b/>
          <w:sz w:val="36"/>
          <w:szCs w:val="36"/>
          <w:highlight w:val="none"/>
        </w:rPr>
        <w:t>竞争性磋商公告</w:t>
      </w:r>
    </w:p>
    <w:p w14:paraId="0D6F3040">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r>
        <w:rPr>
          <w:rFonts w:hint="default" w:ascii="Times New Roman" w:hAnsi="Times New Roman" w:cs="Times New Roman"/>
          <w:sz w:val="27"/>
          <w:highlight w:val="none"/>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133350</wp:posOffset>
                </wp:positionV>
                <wp:extent cx="5629275" cy="1741805"/>
                <wp:effectExtent l="7620" t="7620" r="20955" b="22225"/>
                <wp:wrapNone/>
                <wp:docPr id="1" name="矩形 19"/>
                <wp:cNvGraphicFramePr/>
                <a:graphic xmlns:a="http://schemas.openxmlformats.org/drawingml/2006/main">
                  <a:graphicData uri="http://schemas.microsoft.com/office/word/2010/wordprocessingShape">
                    <wps:wsp>
                      <wps:cNvSpPr/>
                      <wps:spPr>
                        <a:xfrm>
                          <a:off x="0" y="0"/>
                          <a:ext cx="5629275" cy="174180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026683BE">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31A15A44">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pPr>
                            <w:r>
                              <w:rPr>
                                <w:rFonts w:hint="eastAsia" w:ascii="仿宋" w:hAnsi="仿宋" w:eastAsia="仿宋" w:cs="仿宋"/>
                                <w:i w:val="0"/>
                                <w:caps w:val="0"/>
                                <w:color w:val="000000"/>
                                <w:spacing w:val="0"/>
                                <w:sz w:val="27"/>
                                <w:szCs w:val="27"/>
                                <w:lang w:eastAsia="zh-CN"/>
                              </w:rPr>
                              <w:t>2025年度文化和旅游志愿服务项目</w:t>
                            </w:r>
                            <w:r>
                              <w:rPr>
                                <w:rFonts w:hint="eastAsia" w:ascii="仿宋" w:hAnsi="仿宋" w:eastAsia="仿宋" w:cs="仿宋"/>
                                <w:i w:val="0"/>
                                <w:caps w:val="0"/>
                                <w:color w:val="000000"/>
                                <w:spacing w:val="0"/>
                                <w:sz w:val="27"/>
                                <w:szCs w:val="27"/>
                              </w:rPr>
                              <w:t>的潜在供应商应登陆政采云平台在线申请获取采购文件（进入“项目采购”应用，在获取采购文件菜单中选择项目，申请获取采购文件），并于</w:t>
                            </w:r>
                            <w:r>
                              <w:rPr>
                                <w:rFonts w:hint="eastAsia" w:ascii="仿宋" w:hAnsi="仿宋" w:eastAsia="仿宋" w:cs="仿宋"/>
                                <w:i w:val="0"/>
                                <w:caps w:val="0"/>
                                <w:color w:val="000000"/>
                                <w:spacing w:val="0"/>
                                <w:sz w:val="27"/>
                                <w:szCs w:val="27"/>
                                <w:highlight w:val="none"/>
                              </w:rPr>
                              <w:t>202</w:t>
                            </w:r>
                            <w:r>
                              <w:rPr>
                                <w:rFonts w:hint="eastAsia" w:ascii="仿宋" w:hAnsi="仿宋" w:eastAsia="仿宋" w:cs="仿宋"/>
                                <w:i w:val="0"/>
                                <w:caps w:val="0"/>
                                <w:color w:val="000000"/>
                                <w:spacing w:val="0"/>
                                <w:sz w:val="27"/>
                                <w:szCs w:val="27"/>
                                <w:highlight w:val="none"/>
                                <w:lang w:val="en-US" w:eastAsia="zh-CN"/>
                              </w:rPr>
                              <w:t>5</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21</w:t>
                            </w:r>
                            <w:r>
                              <w:rPr>
                                <w:rFonts w:hint="eastAsia" w:ascii="仿宋" w:hAnsi="仿宋" w:eastAsia="仿宋" w:cs="仿宋"/>
                                <w:i w:val="0"/>
                                <w:caps w:val="0"/>
                                <w:color w:val="000000"/>
                                <w:spacing w:val="0"/>
                                <w:sz w:val="27"/>
                                <w:szCs w:val="27"/>
                                <w:highlight w:val="none"/>
                              </w:rPr>
                              <w:t>日 1</w:t>
                            </w:r>
                            <w:r>
                              <w:rPr>
                                <w:rFonts w:hint="eastAsia" w:ascii="仿宋" w:hAnsi="仿宋" w:eastAsia="仿宋" w:cs="仿宋"/>
                                <w:i w:val="0"/>
                                <w:caps w:val="0"/>
                                <w:color w:val="000000"/>
                                <w:spacing w:val="0"/>
                                <w:sz w:val="27"/>
                                <w:szCs w:val="27"/>
                                <w:highlight w:val="none"/>
                                <w:lang w:val="en-US" w:eastAsia="zh-CN"/>
                              </w:rPr>
                              <w:t>1</w:t>
                            </w:r>
                            <w:r>
                              <w:rPr>
                                <w:rFonts w:hint="eastAsia" w:ascii="仿宋" w:hAnsi="仿宋" w:eastAsia="仿宋" w:cs="仿宋"/>
                                <w:i w:val="0"/>
                                <w:caps w:val="0"/>
                                <w:color w:val="000000"/>
                                <w:spacing w:val="0"/>
                                <w:sz w:val="27"/>
                                <w:szCs w:val="27"/>
                                <w:highlight w:val="none"/>
                              </w:rPr>
                              <w:t>:</w:t>
                            </w:r>
                            <w:r>
                              <w:rPr>
                                <w:rFonts w:hint="eastAsia" w:ascii="仿宋" w:hAnsi="仿宋" w:eastAsia="仿宋" w:cs="仿宋"/>
                                <w:i w:val="0"/>
                                <w:caps w:val="0"/>
                                <w:color w:val="000000"/>
                                <w:spacing w:val="0"/>
                                <w:sz w:val="27"/>
                                <w:szCs w:val="27"/>
                                <w:highlight w:val="none"/>
                                <w:lang w:val="en-US" w:eastAsia="zh-CN"/>
                              </w:rPr>
                              <w:t>0</w:t>
                            </w:r>
                            <w:r>
                              <w:rPr>
                                <w:rFonts w:hint="eastAsia" w:ascii="仿宋" w:hAnsi="仿宋" w:eastAsia="仿宋" w:cs="仿宋"/>
                                <w:i w:val="0"/>
                                <w:caps w:val="0"/>
                                <w:color w:val="000000"/>
                                <w:spacing w:val="0"/>
                                <w:sz w:val="27"/>
                                <w:szCs w:val="27"/>
                                <w:highlight w:val="none"/>
                              </w:rPr>
                              <w:t>0（北</w:t>
                            </w:r>
                            <w:r>
                              <w:rPr>
                                <w:rFonts w:hint="eastAsia" w:ascii="仿宋" w:hAnsi="仿宋" w:eastAsia="仿宋" w:cs="仿宋"/>
                                <w:i w:val="0"/>
                                <w:caps w:val="0"/>
                                <w:color w:val="000000"/>
                                <w:spacing w:val="0"/>
                                <w:sz w:val="27"/>
                                <w:szCs w:val="27"/>
                              </w:rPr>
                              <w:t>京时间）前提交响应文件。</w:t>
                            </w:r>
                          </w:p>
                        </w:txbxContent>
                      </wps:txbx>
                      <wps:bodyPr vert="horz" wrap="square" anchor="t" anchorCtr="0" upright="1"/>
                    </wps:wsp>
                  </a:graphicData>
                </a:graphic>
              </wp:anchor>
            </w:drawing>
          </mc:Choice>
          <mc:Fallback>
            <w:pict>
              <v:rect id="矩形 19" o:spid="_x0000_s1026" o:spt="1" style="position:absolute;left:0pt;margin-left:-3.95pt;margin-top:10.5pt;height:137.15pt;width:443.25pt;z-index:251659264;mso-width-relative:page;mso-height-relative:page;" fillcolor="#FFFFFF" filled="t" stroked="t" coordsize="21600,21600" o:gfxdata="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5mT&#10;P9gAAAAJAQAADwAAAAAAAAABACAAAAAiAAAAZHJzL2Rvd25yZXYueG1sUEsBAhQAFAAAAAgAh07i&#10;QL11tKJbAgAA5gQAAA4AAAAAAAAAAQAgAAAAJwEAAGRycy9lMm9Eb2MueG1sUEsFBgAAAAAGAAYA&#10;WQEAAPQFAAAAAA==&#10;">
                <v:fill type="gradient" on="t" color2="#FFFFFF" angle="90" focus="100%" focussize="0,0">
                  <o:fill type="gradientUnscaled" v:ext="backwardCompatible"/>
                </v:fill>
                <v:stroke weight="1.25pt" color="#000000" joinstyle="miter"/>
                <v:imagedata o:title=""/>
                <o:lock v:ext="edit" aspectratio="f"/>
                <v:textbox>
                  <w:txbxContent>
                    <w:p w14:paraId="026683BE">
                      <w:pPr>
                        <w:pStyle w:val="2"/>
                        <w:keepNext w:val="0"/>
                        <w:keepLines w:val="0"/>
                        <w:widowControl/>
                        <w:suppressLineNumbers w:val="0"/>
                        <w:spacing w:line="450" w:lineRule="atLeast"/>
                        <w:jc w:val="both"/>
                        <w:rPr>
                          <w:rFonts w:hint="eastAsia"/>
                          <w:lang w:val="en-US" w:eastAsia="zh-CN"/>
                        </w:rPr>
                      </w:pPr>
                      <w:r>
                        <w:rPr>
                          <w:rFonts w:hint="eastAsia" w:ascii="宋体" w:hAnsi="宋体" w:eastAsia="宋体" w:cs="宋体"/>
                          <w:sz w:val="27"/>
                          <w:szCs w:val="27"/>
                        </w:rPr>
                        <w:t>项目概况</w:t>
                      </w:r>
                    </w:p>
                    <w:p w14:paraId="31A15A44">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pPr>
                      <w:r>
                        <w:rPr>
                          <w:rFonts w:hint="eastAsia" w:ascii="仿宋" w:hAnsi="仿宋" w:eastAsia="仿宋" w:cs="仿宋"/>
                          <w:i w:val="0"/>
                          <w:caps w:val="0"/>
                          <w:color w:val="000000"/>
                          <w:spacing w:val="0"/>
                          <w:sz w:val="27"/>
                          <w:szCs w:val="27"/>
                          <w:lang w:eastAsia="zh-CN"/>
                        </w:rPr>
                        <w:t>2025年度文化和旅游志愿服务项目</w:t>
                      </w:r>
                      <w:r>
                        <w:rPr>
                          <w:rFonts w:hint="eastAsia" w:ascii="仿宋" w:hAnsi="仿宋" w:eastAsia="仿宋" w:cs="仿宋"/>
                          <w:i w:val="0"/>
                          <w:caps w:val="0"/>
                          <w:color w:val="000000"/>
                          <w:spacing w:val="0"/>
                          <w:sz w:val="27"/>
                          <w:szCs w:val="27"/>
                        </w:rPr>
                        <w:t>的潜在供应商应登陆政采云平台在线申请获取采购文件（进入“项目采购”应用，在获取采购文件菜单中选择项目，申请获取采购文件），并于</w:t>
                      </w:r>
                      <w:r>
                        <w:rPr>
                          <w:rFonts w:hint="eastAsia" w:ascii="仿宋" w:hAnsi="仿宋" w:eastAsia="仿宋" w:cs="仿宋"/>
                          <w:i w:val="0"/>
                          <w:caps w:val="0"/>
                          <w:color w:val="000000"/>
                          <w:spacing w:val="0"/>
                          <w:sz w:val="27"/>
                          <w:szCs w:val="27"/>
                          <w:highlight w:val="none"/>
                        </w:rPr>
                        <w:t>202</w:t>
                      </w:r>
                      <w:r>
                        <w:rPr>
                          <w:rFonts w:hint="eastAsia" w:ascii="仿宋" w:hAnsi="仿宋" w:eastAsia="仿宋" w:cs="仿宋"/>
                          <w:i w:val="0"/>
                          <w:caps w:val="0"/>
                          <w:color w:val="000000"/>
                          <w:spacing w:val="0"/>
                          <w:sz w:val="27"/>
                          <w:szCs w:val="27"/>
                          <w:highlight w:val="none"/>
                          <w:lang w:val="en-US" w:eastAsia="zh-CN"/>
                        </w:rPr>
                        <w:t>5</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21</w:t>
                      </w:r>
                      <w:r>
                        <w:rPr>
                          <w:rFonts w:hint="eastAsia" w:ascii="仿宋" w:hAnsi="仿宋" w:eastAsia="仿宋" w:cs="仿宋"/>
                          <w:i w:val="0"/>
                          <w:caps w:val="0"/>
                          <w:color w:val="000000"/>
                          <w:spacing w:val="0"/>
                          <w:sz w:val="27"/>
                          <w:szCs w:val="27"/>
                          <w:highlight w:val="none"/>
                        </w:rPr>
                        <w:t>日 1</w:t>
                      </w:r>
                      <w:r>
                        <w:rPr>
                          <w:rFonts w:hint="eastAsia" w:ascii="仿宋" w:hAnsi="仿宋" w:eastAsia="仿宋" w:cs="仿宋"/>
                          <w:i w:val="0"/>
                          <w:caps w:val="0"/>
                          <w:color w:val="000000"/>
                          <w:spacing w:val="0"/>
                          <w:sz w:val="27"/>
                          <w:szCs w:val="27"/>
                          <w:highlight w:val="none"/>
                          <w:lang w:val="en-US" w:eastAsia="zh-CN"/>
                        </w:rPr>
                        <w:t>1</w:t>
                      </w:r>
                      <w:r>
                        <w:rPr>
                          <w:rFonts w:hint="eastAsia" w:ascii="仿宋" w:hAnsi="仿宋" w:eastAsia="仿宋" w:cs="仿宋"/>
                          <w:i w:val="0"/>
                          <w:caps w:val="0"/>
                          <w:color w:val="000000"/>
                          <w:spacing w:val="0"/>
                          <w:sz w:val="27"/>
                          <w:szCs w:val="27"/>
                          <w:highlight w:val="none"/>
                        </w:rPr>
                        <w:t>:</w:t>
                      </w:r>
                      <w:r>
                        <w:rPr>
                          <w:rFonts w:hint="eastAsia" w:ascii="仿宋" w:hAnsi="仿宋" w:eastAsia="仿宋" w:cs="仿宋"/>
                          <w:i w:val="0"/>
                          <w:caps w:val="0"/>
                          <w:color w:val="000000"/>
                          <w:spacing w:val="0"/>
                          <w:sz w:val="27"/>
                          <w:szCs w:val="27"/>
                          <w:highlight w:val="none"/>
                          <w:lang w:val="en-US" w:eastAsia="zh-CN"/>
                        </w:rPr>
                        <w:t>0</w:t>
                      </w:r>
                      <w:r>
                        <w:rPr>
                          <w:rFonts w:hint="eastAsia" w:ascii="仿宋" w:hAnsi="仿宋" w:eastAsia="仿宋" w:cs="仿宋"/>
                          <w:i w:val="0"/>
                          <w:caps w:val="0"/>
                          <w:color w:val="000000"/>
                          <w:spacing w:val="0"/>
                          <w:sz w:val="27"/>
                          <w:szCs w:val="27"/>
                          <w:highlight w:val="none"/>
                        </w:rPr>
                        <w:t>0（北</w:t>
                      </w:r>
                      <w:r>
                        <w:rPr>
                          <w:rFonts w:hint="eastAsia" w:ascii="仿宋" w:hAnsi="仿宋" w:eastAsia="仿宋" w:cs="仿宋"/>
                          <w:i w:val="0"/>
                          <w:caps w:val="0"/>
                          <w:color w:val="000000"/>
                          <w:spacing w:val="0"/>
                          <w:sz w:val="27"/>
                          <w:szCs w:val="27"/>
                        </w:rPr>
                        <w:t>京时间）前提交响应文件。</w:t>
                      </w:r>
                    </w:p>
                  </w:txbxContent>
                </v:textbox>
              </v:rect>
            </w:pict>
          </mc:Fallback>
        </mc:AlternateContent>
      </w:r>
    </w:p>
    <w:p w14:paraId="4DE039BE">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p>
    <w:p w14:paraId="38FA12A4">
      <w:pPr>
        <w:pStyle w:val="2"/>
        <w:keepNext w:val="0"/>
        <w:keepLines w:val="0"/>
        <w:widowControl/>
        <w:suppressLineNumbers w:val="0"/>
        <w:spacing w:line="450" w:lineRule="atLeast"/>
        <w:jc w:val="both"/>
        <w:rPr>
          <w:rFonts w:hint="default" w:ascii="Times New Roman" w:hAnsi="Times New Roman" w:eastAsia="宋体" w:cs="Times New Roman"/>
          <w:sz w:val="27"/>
          <w:szCs w:val="27"/>
          <w:highlight w:val="none"/>
        </w:rPr>
      </w:pPr>
    </w:p>
    <w:p w14:paraId="196F1F92">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Style w:val="38"/>
          <w:rFonts w:hint="default" w:ascii="Times New Roman" w:hAnsi="Times New Roman" w:eastAsia="宋体" w:cs="Times New Roman"/>
          <w:sz w:val="27"/>
          <w:szCs w:val="27"/>
          <w:highlight w:val="none"/>
        </w:rPr>
      </w:pPr>
    </w:p>
    <w:p w14:paraId="5F07B9C3">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360" w:lineRule="exact"/>
        <w:ind w:left="0" w:right="0"/>
        <w:jc w:val="both"/>
        <w:textAlignment w:val="auto"/>
        <w:rPr>
          <w:rFonts w:hint="default" w:ascii="Times New Roman" w:hAnsi="Times New Roman" w:eastAsia="黑体" w:cs="Times New Roman"/>
          <w:sz w:val="31"/>
          <w:szCs w:val="31"/>
          <w:highlight w:val="none"/>
        </w:rPr>
      </w:pPr>
      <w:r>
        <w:rPr>
          <w:rStyle w:val="38"/>
          <w:rFonts w:hint="default" w:ascii="Times New Roman" w:hAnsi="Times New Roman" w:eastAsia="宋体" w:cs="Times New Roman"/>
          <w:sz w:val="27"/>
          <w:szCs w:val="27"/>
          <w:highlight w:val="none"/>
        </w:rPr>
        <w:t>一、项目基本情况</w:t>
      </w:r>
    </w:p>
    <w:p w14:paraId="4BB78E01">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line="450" w:lineRule="atLeast"/>
        <w:ind w:left="0" w:right="0"/>
        <w:jc w:val="both"/>
        <w:rPr>
          <w:rStyle w:val="38"/>
          <w:rFonts w:hint="eastAsia" w:ascii="Times New Roman" w:hAnsi="Times New Roman" w:eastAsia="宋体" w:cs="Times New Roman"/>
          <w:sz w:val="27"/>
          <w:szCs w:val="27"/>
          <w:highlight w:val="none"/>
          <w:lang w:val="en-US" w:eastAsia="zh-CN"/>
        </w:rPr>
      </w:pPr>
    </w:p>
    <w:p w14:paraId="0D8C276C">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line="450" w:lineRule="atLeast"/>
        <w:ind w:left="0" w:right="0"/>
        <w:jc w:val="both"/>
        <w:rPr>
          <w:rStyle w:val="38"/>
          <w:rFonts w:hint="eastAsia" w:ascii="Times New Roman" w:hAnsi="Times New Roman" w:eastAsia="宋体" w:cs="Times New Roman"/>
          <w:sz w:val="27"/>
          <w:szCs w:val="27"/>
          <w:highlight w:val="none"/>
          <w:lang w:val="en-US" w:eastAsia="zh-CN"/>
        </w:rPr>
      </w:pPr>
      <w:r>
        <w:rPr>
          <w:rStyle w:val="38"/>
          <w:rFonts w:hint="eastAsia" w:ascii="Times New Roman" w:hAnsi="Times New Roman" w:eastAsia="宋体" w:cs="Times New Roman"/>
          <w:sz w:val="27"/>
          <w:szCs w:val="27"/>
          <w:highlight w:val="none"/>
          <w:lang w:val="en-US" w:eastAsia="zh-CN"/>
        </w:rPr>
        <w:t>一、项目基本情况</w:t>
      </w:r>
    </w:p>
    <w:p w14:paraId="21CD5EEC">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项目编号：</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BZJCZFCGJZCS2025-01号</w:t>
      </w:r>
    </w:p>
    <w:p w14:paraId="50DB3794">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项目名称：</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2025年度文化和旅游志愿服务项目</w:t>
      </w:r>
    </w:p>
    <w:p w14:paraId="0EEE73EC">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采购方式：竞争性磋商</w:t>
      </w:r>
    </w:p>
    <w:p w14:paraId="7C0944A5">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预算金额（元）：</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300000</w:t>
      </w:r>
    </w:p>
    <w:p w14:paraId="66E36B06">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最高限价（元）：</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300000</w:t>
      </w:r>
    </w:p>
    <w:p w14:paraId="42AF359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u w:val="none"/>
          <w:lang w:val="en-US" w:eastAsia="zh-CN" w:bidi="ar-SA"/>
        </w:rPr>
        <w:t>简要规格描述：</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为促进我州各级文化事业和旅游产业健康发展，推动城乡基层文化繁荣发展，丰富人民群众精神文化生活，充分发挥文化和旅游志愿者在公共文化服务、旅游公共服务方面的积极作用，构建政府与社会，在编与志愿共同服务保障的长效机制，采购面向州本级、八县一市共10场文化和旅游志愿服务培训及10场文旅志愿服务示范活动。其中，每场培训人数不少于40人，培训时长不少于1天。</w:t>
      </w:r>
    </w:p>
    <w:p w14:paraId="2E0D2891">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合同履约期限：详见磋商文件</w:t>
      </w:r>
    </w:p>
    <w:p w14:paraId="1EE45192">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本项目（</w:t>
      </w:r>
      <w:r>
        <w:rPr>
          <w:rFonts w:hint="eastAsia" w:ascii="Times New Roman" w:hAnsi="Times New Roman" w:eastAsia="仿宋" w:cs="Times New Roman"/>
          <w:i w:val="0"/>
          <w:caps w:val="0"/>
          <w:color w:val="000000"/>
          <w:spacing w:val="0"/>
          <w:kern w:val="2"/>
          <w:sz w:val="27"/>
          <w:szCs w:val="27"/>
          <w:highlight w:val="none"/>
          <w:lang w:val="en-US" w:eastAsia="zh-CN" w:bidi="ar-SA"/>
        </w:rPr>
        <w:t>否</w:t>
      </w:r>
      <w:r>
        <w:rPr>
          <w:rFonts w:hint="default" w:ascii="Times New Roman" w:hAnsi="Times New Roman" w:eastAsia="仿宋" w:cs="Times New Roman"/>
          <w:i w:val="0"/>
          <w:caps w:val="0"/>
          <w:color w:val="000000"/>
          <w:spacing w:val="0"/>
          <w:kern w:val="2"/>
          <w:sz w:val="27"/>
          <w:szCs w:val="27"/>
          <w:highlight w:val="none"/>
          <w:lang w:val="en-US" w:eastAsia="zh-CN" w:bidi="ar-SA"/>
        </w:rPr>
        <w:t>）接受联合体投标</w:t>
      </w:r>
    </w:p>
    <w:p w14:paraId="03912871">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leftChars="0" w:right="0" w:firstLine="0" w:firstLineChars="0"/>
        <w:jc w:val="both"/>
        <w:textAlignment w:val="auto"/>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二、申请人的资格要求</w:t>
      </w:r>
    </w:p>
    <w:p w14:paraId="3C59EFE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1、满足《中华人民共和国政府采购法》第二十二条规定；</w:t>
      </w:r>
    </w:p>
    <w:p w14:paraId="7F46BE20">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eastAsia" w:ascii="Times New Roman" w:hAnsi="Times New Roman" w:eastAsia="仿宋" w:cs="Times New Roman"/>
          <w:i w:val="0"/>
          <w:caps w:val="0"/>
          <w:color w:val="000000"/>
          <w:spacing w:val="0"/>
          <w:kern w:val="2"/>
          <w:sz w:val="27"/>
          <w:szCs w:val="27"/>
          <w:highlight w:val="none"/>
          <w:u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2、落实政府采购政策需满足的资格要求：</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供应商为小微企业</w:t>
      </w:r>
    </w:p>
    <w:p w14:paraId="7370A3C9">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（1）财政部、国家发展改革委、生态环境部、市场监管总局《关于调整优化节能产品、环境标志产品政府采购执行机制的通知》（财库[2019]9号文）； </w:t>
      </w:r>
    </w:p>
    <w:p w14:paraId="05D189D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（2）财政部、生态环境部《关于印发环境标志产品政府采购品目清单的通知》（财库[2019]18号文）； </w:t>
      </w:r>
    </w:p>
    <w:p w14:paraId="34A6CEB1">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（3）财政部、发展改革委《关于印发节能产品政府采购品目清单的通知》（财库[2019]19号文）； </w:t>
      </w:r>
    </w:p>
    <w:p w14:paraId="386788DC">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（4）市场监管总局《市场监管总局关于发布参与实施政府采购节能产品、环境标志产品认证机构名录的公告》（2019年第16号）； </w:t>
      </w:r>
    </w:p>
    <w:p w14:paraId="030F0A7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（5）财政部、工业和信息化部《关于印发《政府采购促进中小企业发展管理办法》的通知》（财库[2020]46号文）； </w:t>
      </w:r>
    </w:p>
    <w:p w14:paraId="719073D7">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（6）财政部、民政部、中国残疾人联合会《关于促进残疾人就业政府采购政策的通知》（财库[2017]141号）； </w:t>
      </w:r>
    </w:p>
    <w:p w14:paraId="124C1343">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( 7）财政部、司法部《关于政府采购支持监狱企业发展有关问题的通知》（财库[2014]68号文）。（中小企业优惠、监狱企业、节能产品、环境标志产品等）。</w:t>
      </w:r>
    </w:p>
    <w:p w14:paraId="3AEADF0F">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3、投标人未被“信用中国”（www.creditchina.gov.cn）、中国政府采购网（www.ccgp.gov.cn）列入失信被执行人、重大税收违法案件当事人名单、政府采购严重违法失信行为记录名单；</w:t>
      </w:r>
    </w:p>
    <w:p w14:paraId="6F342BEA">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4、本项目的特定资格要求：无；</w:t>
      </w:r>
    </w:p>
    <w:p w14:paraId="5FD6D09D">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Fonts w:hint="default" w:ascii="Times New Roman" w:hAnsi="Times New Roman" w:eastAsia="黑体" w:cs="Times New Roman"/>
          <w:sz w:val="27"/>
          <w:szCs w:val="27"/>
          <w:highlight w:val="none"/>
        </w:rPr>
      </w:pPr>
      <w:r>
        <w:rPr>
          <w:rStyle w:val="38"/>
          <w:rFonts w:hint="default" w:ascii="Times New Roman" w:hAnsi="Times New Roman" w:eastAsia="宋体" w:cs="Times New Roman"/>
          <w:sz w:val="27"/>
          <w:szCs w:val="27"/>
          <w:highlight w:val="none"/>
        </w:rPr>
        <w:t>三、获取采购文件</w:t>
      </w:r>
    </w:p>
    <w:p w14:paraId="0FBACE50">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时间：</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202</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年0</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7</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10</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日至202</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年0</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7</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17</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日，每天上午00:00至12:00，下午12:00至23:59</w:t>
      </w:r>
      <w:r>
        <w:rPr>
          <w:rFonts w:hint="default" w:ascii="Times New Roman" w:hAnsi="Times New Roman" w:eastAsia="仿宋" w:cs="Times New Roman"/>
          <w:i w:val="0"/>
          <w:caps w:val="0"/>
          <w:color w:val="000000"/>
          <w:spacing w:val="0"/>
          <w:kern w:val="2"/>
          <w:sz w:val="27"/>
          <w:szCs w:val="27"/>
          <w:highlight w:val="none"/>
          <w:lang w:val="en-US" w:eastAsia="zh-CN" w:bidi="ar-SA"/>
        </w:rPr>
        <w:t>（北京时间，法定节假日除外）</w:t>
      </w:r>
    </w:p>
    <w:p w14:paraId="0A3B74A8">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3F51AEC9">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方式：供应商登陆政采云平台在线申请获取采购文件（进入“项目采购”应用，在获取采购文件菜单中选择项目，申请获取采购文件）</w:t>
      </w:r>
    </w:p>
    <w:p w14:paraId="548181C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售价（元）：0</w:t>
      </w:r>
    </w:p>
    <w:p w14:paraId="6C4F1324">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四、响应文件提交</w:t>
      </w:r>
    </w:p>
    <w:p w14:paraId="67F60B13">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截止时间：</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202</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年</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07</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21</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日 1</w:t>
      </w:r>
      <w:r>
        <w:rPr>
          <w:rFonts w:hint="eastAsia" w:ascii="Times New Roman" w:hAnsi="Times New Roman" w:eastAsia="仿宋" w:cs="Times New Roman"/>
          <w:i w:val="0"/>
          <w:caps w:val="0"/>
          <w:color w:val="000000"/>
          <w:spacing w:val="0"/>
          <w:kern w:val="2"/>
          <w:sz w:val="27"/>
          <w:szCs w:val="27"/>
          <w:highlight w:val="none"/>
          <w:u w:val="none"/>
          <w:lang w:val="en-US" w:eastAsia="zh-CN" w:bidi="ar-SA"/>
        </w:rPr>
        <w:t>1</w:t>
      </w:r>
      <w:r>
        <w:rPr>
          <w:rFonts w:hint="default" w:ascii="Times New Roman" w:hAnsi="Times New Roman" w:eastAsia="仿宋" w:cs="Times New Roman"/>
          <w:i w:val="0"/>
          <w:caps w:val="0"/>
          <w:color w:val="000000"/>
          <w:spacing w:val="0"/>
          <w:kern w:val="2"/>
          <w:sz w:val="27"/>
          <w:szCs w:val="27"/>
          <w:highlight w:val="none"/>
          <w:u w:val="none"/>
          <w:lang w:val="en-US" w:eastAsia="zh-CN" w:bidi="ar-SA"/>
        </w:rPr>
        <w:t>:00</w:t>
      </w:r>
      <w:r>
        <w:rPr>
          <w:rFonts w:hint="default" w:ascii="Times New Roman" w:hAnsi="Times New Roman" w:eastAsia="仿宋" w:cs="Times New Roman"/>
          <w:i w:val="0"/>
          <w:caps w:val="0"/>
          <w:color w:val="000000"/>
          <w:spacing w:val="0"/>
          <w:kern w:val="2"/>
          <w:sz w:val="27"/>
          <w:szCs w:val="27"/>
          <w:highlight w:val="none"/>
          <w:lang w:val="en-US" w:eastAsia="zh-CN" w:bidi="ar-SA"/>
        </w:rPr>
        <w:t>（北京时间）</w:t>
      </w:r>
    </w:p>
    <w:p w14:paraId="16473216">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188A845F">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五、响应文件开启</w:t>
      </w:r>
    </w:p>
    <w:p w14:paraId="1446F4B7">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开启时间：202</w:t>
      </w:r>
      <w:r>
        <w:rPr>
          <w:rFonts w:hint="eastAsia" w:ascii="Times New Roman" w:hAnsi="Times New Roman" w:eastAsia="仿宋" w:cs="Times New Roman"/>
          <w:i w:val="0"/>
          <w:caps w:val="0"/>
          <w:color w:val="000000"/>
          <w:spacing w:val="0"/>
          <w:kern w:val="2"/>
          <w:sz w:val="27"/>
          <w:szCs w:val="27"/>
          <w:highlight w:val="none"/>
          <w:lang w:val="en-US" w:eastAsia="zh-CN" w:bidi="ar-SA"/>
        </w:rPr>
        <w:t>5</w:t>
      </w:r>
      <w:r>
        <w:rPr>
          <w:rFonts w:hint="default" w:ascii="Times New Roman" w:hAnsi="Times New Roman" w:eastAsia="仿宋" w:cs="Times New Roman"/>
          <w:i w:val="0"/>
          <w:caps w:val="0"/>
          <w:color w:val="000000"/>
          <w:spacing w:val="0"/>
          <w:kern w:val="2"/>
          <w:sz w:val="27"/>
          <w:szCs w:val="27"/>
          <w:highlight w:val="none"/>
          <w:lang w:val="en-US" w:eastAsia="zh-CN" w:bidi="ar-SA"/>
        </w:rPr>
        <w:t>年</w:t>
      </w:r>
      <w:r>
        <w:rPr>
          <w:rFonts w:hint="eastAsia" w:ascii="Times New Roman" w:hAnsi="Times New Roman" w:eastAsia="仿宋" w:cs="Times New Roman"/>
          <w:i w:val="0"/>
          <w:caps w:val="0"/>
          <w:color w:val="000000"/>
          <w:spacing w:val="0"/>
          <w:kern w:val="2"/>
          <w:sz w:val="27"/>
          <w:szCs w:val="27"/>
          <w:highlight w:val="none"/>
          <w:lang w:val="en-US" w:eastAsia="zh-CN" w:bidi="ar-SA"/>
        </w:rPr>
        <w:t>07</w:t>
      </w:r>
      <w:r>
        <w:rPr>
          <w:rFonts w:hint="default" w:ascii="Times New Roman" w:hAnsi="Times New Roman" w:eastAsia="仿宋" w:cs="Times New Roman"/>
          <w:i w:val="0"/>
          <w:caps w:val="0"/>
          <w:color w:val="000000"/>
          <w:spacing w:val="0"/>
          <w:kern w:val="2"/>
          <w:sz w:val="27"/>
          <w:szCs w:val="27"/>
          <w:highlight w:val="none"/>
          <w:lang w:val="en-US" w:eastAsia="zh-CN" w:bidi="ar-SA"/>
        </w:rPr>
        <w:t>月</w:t>
      </w:r>
      <w:r>
        <w:rPr>
          <w:rFonts w:hint="eastAsia" w:ascii="Times New Roman" w:hAnsi="Times New Roman" w:eastAsia="仿宋" w:cs="Times New Roman"/>
          <w:i w:val="0"/>
          <w:caps w:val="0"/>
          <w:color w:val="000000"/>
          <w:spacing w:val="0"/>
          <w:kern w:val="2"/>
          <w:sz w:val="27"/>
          <w:szCs w:val="27"/>
          <w:highlight w:val="none"/>
          <w:lang w:val="en-US" w:eastAsia="zh-CN" w:bidi="ar-SA"/>
        </w:rPr>
        <w:t>21</w:t>
      </w:r>
      <w:r>
        <w:rPr>
          <w:rFonts w:hint="default" w:ascii="Times New Roman" w:hAnsi="Times New Roman" w:eastAsia="仿宋" w:cs="Times New Roman"/>
          <w:i w:val="0"/>
          <w:caps w:val="0"/>
          <w:color w:val="000000"/>
          <w:spacing w:val="0"/>
          <w:kern w:val="2"/>
          <w:sz w:val="27"/>
          <w:szCs w:val="27"/>
          <w:highlight w:val="none"/>
          <w:lang w:val="en-US" w:eastAsia="zh-CN" w:bidi="ar-SA"/>
        </w:rPr>
        <w:t>日 1</w:t>
      </w:r>
      <w:r>
        <w:rPr>
          <w:rFonts w:hint="eastAsia" w:ascii="Times New Roman" w:hAnsi="Times New Roman" w:eastAsia="仿宋" w:cs="Times New Roman"/>
          <w:i w:val="0"/>
          <w:caps w:val="0"/>
          <w:color w:val="000000"/>
          <w:spacing w:val="0"/>
          <w:kern w:val="2"/>
          <w:sz w:val="27"/>
          <w:szCs w:val="27"/>
          <w:highlight w:val="none"/>
          <w:lang w:val="en-US" w:eastAsia="zh-CN" w:bidi="ar-SA"/>
        </w:rPr>
        <w:t>1</w:t>
      </w:r>
      <w:r>
        <w:rPr>
          <w:rFonts w:hint="default" w:ascii="Times New Roman" w:hAnsi="Times New Roman" w:eastAsia="仿宋" w:cs="Times New Roman"/>
          <w:i w:val="0"/>
          <w:caps w:val="0"/>
          <w:color w:val="000000"/>
          <w:spacing w:val="0"/>
          <w:kern w:val="2"/>
          <w:sz w:val="27"/>
          <w:szCs w:val="27"/>
          <w:highlight w:val="none"/>
          <w:lang w:val="en-US" w:eastAsia="zh-CN" w:bidi="ar-SA"/>
        </w:rPr>
        <w:t>:00（北京时间）</w:t>
      </w:r>
    </w:p>
    <w:p w14:paraId="768356B8">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地点：政采云平台</w:t>
      </w:r>
    </w:p>
    <w:p w14:paraId="3DDFFD7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六、公告期限</w:t>
      </w:r>
    </w:p>
    <w:p w14:paraId="6BA9CC93">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自本公告发布之日起3个工作日。</w:t>
      </w:r>
    </w:p>
    <w:p w14:paraId="27E1D990">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both"/>
        <w:textAlignment w:val="auto"/>
        <w:rPr>
          <w:rStyle w:val="38"/>
          <w:rFonts w:hint="default" w:ascii="Times New Roman" w:hAnsi="Times New Roman" w:eastAsia="宋体" w:cs="Times New Roman"/>
          <w:sz w:val="27"/>
          <w:szCs w:val="27"/>
          <w:highlight w:val="none"/>
          <w:lang w:val="en-US" w:eastAsia="zh-CN"/>
        </w:rPr>
      </w:pPr>
      <w:r>
        <w:rPr>
          <w:rStyle w:val="38"/>
          <w:rFonts w:hint="default" w:ascii="Times New Roman" w:hAnsi="Times New Roman" w:eastAsia="宋体" w:cs="Times New Roman"/>
          <w:sz w:val="27"/>
          <w:szCs w:val="27"/>
          <w:highlight w:val="none"/>
          <w:lang w:val="en-US" w:eastAsia="zh-CN"/>
        </w:rPr>
        <w:t>七、其他补充事宜</w:t>
      </w:r>
    </w:p>
    <w:p w14:paraId="46CC4A78">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1、本项目为电子招投标项目，投标人需要使用CA加密设备，凡参加本项目供应商可通过新疆数字证书认证中心官网（</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begin"/>
      </w:r>
      <w:r>
        <w:rPr>
          <w:rFonts w:hint="default" w:ascii="Times New Roman" w:hAnsi="Times New Roman" w:eastAsia="仿宋" w:cs="Times New Roman"/>
          <w:i w:val="0"/>
          <w:caps w:val="0"/>
          <w:color w:val="000000"/>
          <w:spacing w:val="0"/>
          <w:kern w:val="2"/>
          <w:sz w:val="27"/>
          <w:szCs w:val="27"/>
          <w:highlight w:val="none"/>
          <w:lang w:val="en-US" w:eastAsia="zh-CN" w:bidi="ar-SA"/>
        </w:rPr>
        <w:instrText xml:space="preserve"> HYPERLINK "https://www.xjca.com.cn/%EF%BC%89%E6%88%96%E4%B8%8B%E8%BD%BD%E2%80%9C%E6%96%B0%E7%96%86%E6%94%BF%E5%8A%A1%E9%80%9A%E2%80%9DAPP%E8%87%AA%E8%A1%8C%E8%BF%9B%E8%A1%8C%E7%94%B3%E9%A2%86" \t "_blank" </w:instrTex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separate"/>
      </w:r>
      <w:r>
        <w:rPr>
          <w:rFonts w:hint="default" w:ascii="Times New Roman" w:hAnsi="Times New Roman" w:eastAsia="仿宋" w:cs="Times New Roman"/>
          <w:i w:val="0"/>
          <w:caps w:val="0"/>
          <w:color w:val="000000"/>
          <w:spacing w:val="0"/>
          <w:kern w:val="2"/>
          <w:sz w:val="27"/>
          <w:szCs w:val="27"/>
          <w:highlight w:val="none"/>
          <w:lang w:val="en-US" w:eastAsia="zh-CN" w:bidi="ar-SA"/>
        </w:rPr>
        <w:t>https://www.xjca.com.cn/）或下载“新疆政务通”APP自行进行申领</w:t>
      </w:r>
      <w:r>
        <w:rPr>
          <w:rFonts w:hint="default" w:ascii="Times New Roman" w:hAnsi="Times New Roman" w:eastAsia="仿宋" w:cs="Times New Roman"/>
          <w:i w:val="0"/>
          <w:caps w:val="0"/>
          <w:color w:val="000000"/>
          <w:spacing w:val="0"/>
          <w:kern w:val="2"/>
          <w:sz w:val="27"/>
          <w:szCs w:val="27"/>
          <w:highlight w:val="none"/>
          <w:lang w:val="en-US" w:eastAsia="zh-CN" w:bidi="ar-SA"/>
        </w:rPr>
        <w:fldChar w:fldCharType="end"/>
      </w:r>
      <w:r>
        <w:rPr>
          <w:rFonts w:hint="default" w:ascii="Times New Roman" w:hAnsi="Times New Roman" w:eastAsia="仿宋" w:cs="Times New Roman"/>
          <w:i w:val="0"/>
          <w:caps w:val="0"/>
          <w:color w:val="000000"/>
          <w:spacing w:val="0"/>
          <w:kern w:val="2"/>
          <w:sz w:val="27"/>
          <w:szCs w:val="27"/>
          <w:highlight w:val="none"/>
          <w:lang w:val="en-US" w:eastAsia="zh-CN" w:bidi="ar-SA"/>
        </w:rPr>
        <w:t>。如原有兵团或公共资源使用的CA，可与新疆CA联系，申请增加电子证书即可，无需重复申领。新疆CA服务热线0991-2819290。</w:t>
      </w:r>
    </w:p>
    <w:p w14:paraId="53F07D3D">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2、本项目实行网上投标，采用电子投标文件，若供应商参与投标，自行承担投标一切费用。</w:t>
      </w:r>
    </w:p>
    <w:p w14:paraId="6896E9C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3、各供应商应在开标前应确保成为新疆维吾尔自治区政府采购网正式注册入库供应商，并完成CA数字证书申领。因未注册入库、未办理CA数字证书等原因造成无法响应或响应失败等后果由供应商自行承担。</w:t>
      </w:r>
    </w:p>
    <w:p w14:paraId="333BA397">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6B10A2B5">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0" w:firstLineChars="200"/>
        <w:jc w:val="both"/>
        <w:textAlignment w:val="auto"/>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5、投标供应商应当在投标截止时间前，将生成的“电子加密投标文件”按照要求上传递交至政采云平台指定地点，供应商无需到场。</w:t>
      </w:r>
    </w:p>
    <w:p w14:paraId="00E03379">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default" w:ascii="Times New Roman" w:hAnsi="Times New Roman" w:eastAsia="仿宋" w:cs="Times New Roman"/>
          <w:b/>
          <w:bCs/>
          <w:i w:val="0"/>
          <w:caps w:val="0"/>
          <w:color w:val="000000"/>
          <w:spacing w:val="0"/>
          <w:kern w:val="2"/>
          <w:sz w:val="27"/>
          <w:szCs w:val="27"/>
          <w:highlight w:val="none"/>
          <w:lang w:val="en-US" w:eastAsia="zh-CN" w:bidi="ar-SA"/>
        </w:rPr>
      </w:pPr>
      <w:r>
        <w:rPr>
          <w:rFonts w:hint="default" w:ascii="Times New Roman" w:hAnsi="Times New Roman" w:eastAsia="仿宋" w:cs="Times New Roman"/>
          <w:b/>
          <w:bCs/>
          <w:i w:val="0"/>
          <w:caps w:val="0"/>
          <w:color w:val="000000"/>
          <w:spacing w:val="0"/>
          <w:kern w:val="2"/>
          <w:sz w:val="27"/>
          <w:szCs w:val="27"/>
          <w:highlight w:val="none"/>
          <w:lang w:val="en-US" w:eastAsia="zh-CN" w:bidi="ar-SA"/>
        </w:rPr>
        <w:t>特别提示：</w:t>
      </w:r>
    </w:p>
    <w:p w14:paraId="7403B130">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1、采购限额标准以上，200万元以下的货物和服务采购项目、400万元以下的工程采购项目，适宜由中小企业提供的，采购人应当专门面向中小企业采购。</w:t>
      </w:r>
    </w:p>
    <w:p w14:paraId="6FC3BE57">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2、超过200万元的货物和服务采购项目，预留该部分采购项目预算总额的30%以上专门面向中小企业采购，其中预留给小微企业的比例不低于60%。</w:t>
      </w:r>
    </w:p>
    <w:p w14:paraId="3E6EB33D">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3、超过400万元的工程采购项目中适宜由中小企业提供的，预留该部分采购项目预算总额的40%以上专门面向中小企业采购，其中预留给小微企业的比例不低于60%。</w:t>
      </w:r>
    </w:p>
    <w:p w14:paraId="7BA2B4AE">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0C010C3">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542" w:firstLineChars="200"/>
        <w:jc w:val="both"/>
        <w:textAlignment w:val="auto"/>
        <w:rPr>
          <w:rFonts w:hint="eastAsia" w:ascii="Times New Roman" w:hAnsi="Times New Roman" w:eastAsia="仿宋" w:cs="Times New Roman"/>
          <w:b/>
          <w:bCs/>
          <w:i w:val="0"/>
          <w:caps w:val="0"/>
          <w:color w:val="000000"/>
          <w:spacing w:val="0"/>
          <w:kern w:val="2"/>
          <w:sz w:val="27"/>
          <w:szCs w:val="27"/>
          <w:highlight w:val="none"/>
          <w:lang w:val="en-US" w:eastAsia="zh-CN" w:bidi="ar-SA"/>
        </w:rPr>
      </w:pPr>
      <w:r>
        <w:rPr>
          <w:rFonts w:hint="eastAsia" w:ascii="Times New Roman" w:hAnsi="Times New Roman" w:eastAsia="仿宋" w:cs="Times New Roman"/>
          <w:b/>
          <w:bCs/>
          <w:i w:val="0"/>
          <w:caps w:val="0"/>
          <w:color w:val="000000"/>
          <w:spacing w:val="0"/>
          <w:kern w:val="2"/>
          <w:sz w:val="27"/>
          <w:szCs w:val="27"/>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392444">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line="480" w:lineRule="atLeast"/>
        <w:ind w:left="0" w:right="0"/>
        <w:jc w:val="both"/>
        <w:rPr>
          <w:rFonts w:hint="default" w:ascii="Times New Roman" w:hAnsi="Times New Roman" w:eastAsia="黑体" w:cs="Times New Roman"/>
          <w:sz w:val="31"/>
          <w:szCs w:val="31"/>
        </w:rPr>
      </w:pPr>
      <w:r>
        <w:rPr>
          <w:rStyle w:val="38"/>
          <w:rFonts w:hint="default" w:ascii="Times New Roman" w:hAnsi="Times New Roman" w:eastAsia="宋体" w:cs="Times New Roman"/>
          <w:sz w:val="27"/>
          <w:szCs w:val="27"/>
        </w:rPr>
        <w:t>八、凡对本次招标提出询问，请按以下方式联系</w:t>
      </w:r>
    </w:p>
    <w:p w14:paraId="74FECB72">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default" w:ascii="Times New Roman" w:hAnsi="Times New Roman" w:eastAsia="仿宋" w:cs="Times New Roman"/>
          <w:i w:val="0"/>
          <w:caps w:val="0"/>
          <w:color w:val="000000"/>
          <w:spacing w:val="0"/>
          <w:kern w:val="2"/>
          <w:sz w:val="27"/>
          <w:szCs w:val="27"/>
          <w:lang w:val="en-US" w:eastAsia="zh-CN" w:bidi="ar-SA"/>
        </w:rPr>
        <w:t>1.采购人信息</w:t>
      </w:r>
    </w:p>
    <w:p w14:paraId="4D05CBBE">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 xml:space="preserve">名 </w:t>
      </w:r>
      <w:r>
        <w:rPr>
          <w:rFonts w:hint="default" w:ascii="Times New Roman" w:hAnsi="Times New Roman" w:eastAsia="仿宋" w:cs="Times New Roman"/>
          <w:i w:val="0"/>
          <w:caps w:val="0"/>
          <w:color w:val="000000"/>
          <w:spacing w:val="0"/>
          <w:kern w:val="2"/>
          <w:sz w:val="27"/>
          <w:szCs w:val="27"/>
          <w:lang w:val="en-US" w:eastAsia="zh-CN" w:bidi="ar-SA"/>
        </w:rPr>
        <w:t>称：</w:t>
      </w:r>
      <w:r>
        <w:rPr>
          <w:rFonts w:hint="eastAsia" w:ascii="Times New Roman" w:hAnsi="Times New Roman" w:eastAsia="仿宋" w:cs="Times New Roman"/>
          <w:i w:val="0"/>
          <w:caps w:val="0"/>
          <w:color w:val="000000"/>
          <w:spacing w:val="0"/>
          <w:kern w:val="2"/>
          <w:sz w:val="27"/>
          <w:szCs w:val="27"/>
          <w:highlight w:val="none"/>
          <w:lang w:val="en-US" w:eastAsia="zh-CN" w:bidi="ar-SA"/>
        </w:rPr>
        <w:t>巴音郭楞蒙古自治州文化体育广播电视和旅游局</w:t>
      </w:r>
      <w:r>
        <w:rPr>
          <w:rFonts w:hint="default" w:ascii="Times New Roman" w:hAnsi="Times New Roman" w:eastAsia="仿宋" w:cs="Times New Roman"/>
          <w:i w:val="0"/>
          <w:caps w:val="0"/>
          <w:color w:val="000000"/>
          <w:spacing w:val="0"/>
          <w:kern w:val="2"/>
          <w:sz w:val="27"/>
          <w:szCs w:val="27"/>
          <w:highlight w:val="none"/>
          <w:lang w:val="en-US" w:eastAsia="zh-CN" w:bidi="ar-SA"/>
        </w:rPr>
        <w:t> </w:t>
      </w:r>
      <w:r>
        <w:rPr>
          <w:rFonts w:hint="eastAsia" w:ascii="Times New Roman" w:hAnsi="Times New Roman" w:eastAsia="仿宋" w:cs="Times New Roman"/>
          <w:i w:val="0"/>
          <w:caps w:val="0"/>
          <w:color w:val="000000"/>
          <w:spacing w:val="0"/>
          <w:kern w:val="2"/>
          <w:sz w:val="27"/>
          <w:szCs w:val="27"/>
          <w:highlight w:val="none"/>
          <w:lang w:val="en-US" w:eastAsia="zh-CN" w:bidi="ar-SA"/>
        </w:rPr>
        <w:t>    </w:t>
      </w:r>
    </w:p>
    <w:p w14:paraId="7DE752A9">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联系人：</w:t>
      </w:r>
      <w:r>
        <w:rPr>
          <w:rFonts w:hint="eastAsia" w:ascii="Times New Roman" w:hAnsi="Times New Roman" w:eastAsia="仿宋" w:cs="Times New Roman"/>
          <w:i w:val="0"/>
          <w:caps w:val="0"/>
          <w:color w:val="000000"/>
          <w:spacing w:val="0"/>
          <w:kern w:val="2"/>
          <w:sz w:val="27"/>
          <w:szCs w:val="27"/>
          <w:highlight w:val="none"/>
          <w:lang w:val="en-US" w:eastAsia="zh-CN" w:bidi="ar-SA"/>
        </w:rPr>
        <w:t>宋女士</w:t>
      </w:r>
    </w:p>
    <w:p w14:paraId="546C3FB5">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highlight w:val="none"/>
          <w:lang w:val="en-US" w:eastAsia="zh-CN" w:bidi="ar-SA"/>
        </w:rPr>
      </w:pPr>
      <w:r>
        <w:rPr>
          <w:rFonts w:hint="default" w:ascii="Times New Roman" w:hAnsi="Times New Roman" w:eastAsia="仿宋" w:cs="Times New Roman"/>
          <w:i w:val="0"/>
          <w:caps w:val="0"/>
          <w:color w:val="000000"/>
          <w:spacing w:val="0"/>
          <w:kern w:val="2"/>
          <w:sz w:val="27"/>
          <w:szCs w:val="27"/>
          <w:highlight w:val="none"/>
          <w:lang w:val="en-US" w:eastAsia="zh-CN" w:bidi="ar-SA"/>
        </w:rPr>
        <w:t>联</w:t>
      </w:r>
      <w:r>
        <w:rPr>
          <w:rFonts w:hint="default" w:ascii="Times New Roman" w:hAnsi="Times New Roman" w:eastAsia="仿宋" w:cs="Times New Roman"/>
          <w:i w:val="0"/>
          <w:caps w:val="0"/>
          <w:color w:val="000000"/>
          <w:spacing w:val="0"/>
          <w:kern w:val="2"/>
          <w:sz w:val="27"/>
          <w:szCs w:val="27"/>
          <w:lang w:val="en-US" w:eastAsia="zh-CN" w:bidi="ar-SA"/>
        </w:rPr>
        <w:t>系方式</w:t>
      </w:r>
      <w:r>
        <w:rPr>
          <w:rFonts w:hint="default" w:ascii="Times New Roman" w:hAnsi="Times New Roman" w:eastAsia="仿宋" w:cs="Times New Roman"/>
          <w:i w:val="0"/>
          <w:caps w:val="0"/>
          <w:color w:val="000000"/>
          <w:spacing w:val="0"/>
          <w:kern w:val="2"/>
          <w:sz w:val="27"/>
          <w:szCs w:val="27"/>
          <w:highlight w:val="none"/>
          <w:lang w:val="en-US" w:eastAsia="zh-CN" w:bidi="ar-SA"/>
        </w:rPr>
        <w:t>：</w:t>
      </w:r>
      <w:r>
        <w:rPr>
          <w:rFonts w:hint="eastAsia" w:ascii="Times New Roman" w:hAnsi="Times New Roman" w:eastAsia="仿宋" w:cs="Times New Roman"/>
          <w:i w:val="0"/>
          <w:caps w:val="0"/>
          <w:color w:val="000000"/>
          <w:spacing w:val="0"/>
          <w:kern w:val="2"/>
          <w:sz w:val="27"/>
          <w:szCs w:val="27"/>
          <w:highlight w:val="none"/>
          <w:lang w:val="en-US" w:eastAsia="zh-CN" w:bidi="ar-SA"/>
        </w:rPr>
        <w:t>0996-2683912</w:t>
      </w:r>
    </w:p>
    <w:p w14:paraId="0B32DB88">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2.采购代理机构信息</w:t>
      </w:r>
    </w:p>
    <w:p w14:paraId="130B68C1">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名 称：巴州聚诚项目管理有限责任公司</w:t>
      </w:r>
    </w:p>
    <w:p w14:paraId="1BF116D8">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地 址：巴州库尔勒市塔指西路天河美镇办公楼一楼</w:t>
      </w:r>
    </w:p>
    <w:p w14:paraId="7275A804">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联系方式：18997609812</w:t>
      </w:r>
    </w:p>
    <w:p w14:paraId="24F15921">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项目联系方式</w:t>
      </w:r>
    </w:p>
    <w:p w14:paraId="367A1ED7">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eastAsia"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项目联系人：刘琼</w:t>
      </w:r>
    </w:p>
    <w:p w14:paraId="32FF9187">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r>
        <w:rPr>
          <w:rFonts w:hint="eastAsia" w:ascii="Times New Roman" w:hAnsi="Times New Roman" w:eastAsia="仿宋" w:cs="Times New Roman"/>
          <w:i w:val="0"/>
          <w:caps w:val="0"/>
          <w:color w:val="000000"/>
          <w:spacing w:val="0"/>
          <w:kern w:val="2"/>
          <w:sz w:val="27"/>
          <w:szCs w:val="27"/>
          <w:lang w:val="en-US" w:eastAsia="zh-CN" w:bidi="ar-SA"/>
        </w:rPr>
        <w:t>电 话：18997609812</w:t>
      </w:r>
    </w:p>
    <w:p w14:paraId="6792F795">
      <w:pPr>
        <w:pStyle w:val="18"/>
        <w:keepNext w:val="0"/>
        <w:keepLines w:val="0"/>
        <w:pageBreakBefore w:val="0"/>
        <w:widowControl/>
        <w:suppressLineNumbers w:val="0"/>
        <w:kinsoku/>
        <w:wordWrap/>
        <w:overflowPunct/>
        <w:topLinePunct w:val="0"/>
        <w:bidi w:val="0"/>
        <w:snapToGrid/>
        <w:spacing w:before="0" w:beforeLines="0" w:beforeAutospacing="0" w:after="0" w:afterLines="0" w:afterAutospacing="0"/>
        <w:ind w:left="0" w:right="0" w:firstLine="540" w:firstLineChars="200"/>
        <w:jc w:val="both"/>
        <w:rPr>
          <w:rFonts w:hint="default" w:ascii="Times New Roman" w:hAnsi="Times New Roman" w:eastAsia="仿宋" w:cs="Times New Roman"/>
          <w:i w:val="0"/>
          <w:caps w:val="0"/>
          <w:color w:val="000000"/>
          <w:spacing w:val="0"/>
          <w:kern w:val="2"/>
          <w:sz w:val="27"/>
          <w:szCs w:val="27"/>
          <w:lang w:val="en-US" w:eastAsia="zh-CN" w:bidi="ar-SA"/>
        </w:rPr>
      </w:pPr>
    </w:p>
    <w:p w14:paraId="61DC4962">
      <w:pPr>
        <w:keepNext w:val="0"/>
        <w:keepLines w:val="0"/>
        <w:pageBreakBefore w:val="0"/>
        <w:kinsoku/>
        <w:wordWrap/>
        <w:overflowPunct/>
        <w:topLinePunct w:val="0"/>
        <w:bidi w:val="0"/>
        <w:snapToGrid/>
        <w:jc w:val="both"/>
        <w:rPr>
          <w:rFonts w:hint="default" w:ascii="Times New Roman" w:hAnsi="Times New Roman" w:cs="Times New Roman"/>
        </w:rPr>
      </w:pPr>
    </w:p>
    <w:p w14:paraId="670290CB">
      <w:pPr>
        <w:pStyle w:val="9"/>
        <w:keepNext w:val="0"/>
        <w:keepLines w:val="0"/>
        <w:pageBreakBefore w:val="0"/>
        <w:kinsoku/>
        <w:wordWrap/>
        <w:overflowPunct/>
        <w:topLinePunct w:val="0"/>
        <w:bidi w:val="0"/>
        <w:snapToGrid/>
        <w:jc w:val="both"/>
        <w:rPr>
          <w:rFonts w:hint="default" w:ascii="Times New Roman" w:hAnsi="Times New Roman" w:cs="Times New Roman"/>
        </w:rPr>
      </w:pPr>
    </w:p>
    <w:p w14:paraId="4168E177">
      <w:pPr>
        <w:keepNext w:val="0"/>
        <w:keepLines w:val="0"/>
        <w:pageBreakBefore w:val="0"/>
        <w:kinsoku/>
        <w:wordWrap/>
        <w:overflowPunct/>
        <w:topLinePunct w:val="0"/>
        <w:bidi w:val="0"/>
        <w:snapToGrid/>
        <w:jc w:val="both"/>
        <w:rPr>
          <w:rFonts w:hint="default" w:ascii="Times New Roman" w:hAnsi="Times New Roman" w:cs="Times New Roman"/>
        </w:rPr>
      </w:pPr>
    </w:p>
    <w:p w14:paraId="1D7AA436">
      <w:pPr>
        <w:pStyle w:val="9"/>
        <w:ind w:left="0" w:leftChars="0" w:firstLine="0" w:firstLineChars="0"/>
        <w:rPr>
          <w:rFonts w:hint="default" w:ascii="Times New Roman" w:hAnsi="Times New Roman" w:cs="Times New Roman"/>
        </w:rPr>
      </w:pPr>
    </w:p>
    <w:p w14:paraId="1E22AEAE">
      <w:pPr>
        <w:jc w:val="center"/>
        <w:rPr>
          <w:rFonts w:hint="default" w:ascii="Times New Roman" w:hAnsi="Times New Roman" w:eastAsia="仿宋" w:cs="Times New Roman"/>
          <w:b/>
          <w:sz w:val="72"/>
        </w:rPr>
      </w:pPr>
    </w:p>
    <w:p w14:paraId="64749108">
      <w:pPr>
        <w:jc w:val="center"/>
        <w:rPr>
          <w:rFonts w:hint="eastAsia" w:ascii="Times New Roman" w:hAnsi="Times New Roman" w:eastAsia="仿宋" w:cs="Times New Roman"/>
          <w:b/>
          <w:sz w:val="72"/>
          <w:lang w:eastAsia="zh-CN"/>
        </w:rPr>
      </w:pPr>
    </w:p>
    <w:p w14:paraId="750CA4D9">
      <w:pPr>
        <w:pStyle w:val="4"/>
        <w:rPr>
          <w:rFonts w:hint="eastAsia" w:ascii="Times New Roman" w:hAnsi="Times New Roman" w:eastAsia="仿宋" w:cs="Times New Roman"/>
          <w:b/>
          <w:sz w:val="72"/>
          <w:lang w:eastAsia="zh-CN"/>
        </w:rPr>
      </w:pPr>
    </w:p>
    <w:p w14:paraId="4F51A17E">
      <w:pPr>
        <w:rPr>
          <w:rFonts w:hint="eastAsia" w:ascii="Times New Roman" w:hAnsi="Times New Roman" w:eastAsia="仿宋" w:cs="Times New Roman"/>
          <w:b/>
          <w:sz w:val="72"/>
          <w:lang w:eastAsia="zh-CN"/>
        </w:rPr>
      </w:pPr>
    </w:p>
    <w:p w14:paraId="0ED50EA4">
      <w:pPr>
        <w:pStyle w:val="4"/>
        <w:rPr>
          <w:rFonts w:hint="eastAsia" w:ascii="Times New Roman" w:hAnsi="Times New Roman" w:eastAsia="仿宋" w:cs="Times New Roman"/>
          <w:b/>
          <w:sz w:val="72"/>
          <w:lang w:eastAsia="zh-CN"/>
        </w:rPr>
      </w:pPr>
    </w:p>
    <w:p w14:paraId="012F2697">
      <w:pPr>
        <w:rPr>
          <w:rFonts w:hint="eastAsia" w:ascii="Times New Roman" w:hAnsi="Times New Roman" w:eastAsia="仿宋" w:cs="Times New Roman"/>
          <w:b/>
          <w:sz w:val="72"/>
          <w:lang w:eastAsia="zh-CN"/>
        </w:rPr>
      </w:pPr>
    </w:p>
    <w:p w14:paraId="7F97094B">
      <w:pPr>
        <w:pStyle w:val="4"/>
        <w:rPr>
          <w:rFonts w:hint="eastAsia" w:ascii="Times New Roman" w:hAnsi="Times New Roman" w:eastAsia="仿宋" w:cs="Times New Roman"/>
          <w:b/>
          <w:sz w:val="72"/>
          <w:lang w:eastAsia="zh-CN"/>
        </w:rPr>
      </w:pPr>
    </w:p>
    <w:p w14:paraId="7784C7BA">
      <w:pPr>
        <w:rPr>
          <w:rFonts w:hint="eastAsia" w:ascii="Times New Roman" w:hAnsi="Times New Roman" w:eastAsia="仿宋" w:cs="Times New Roman"/>
          <w:b/>
          <w:sz w:val="72"/>
          <w:lang w:eastAsia="zh-CN"/>
        </w:rPr>
      </w:pPr>
    </w:p>
    <w:p w14:paraId="29A754C0">
      <w:pPr>
        <w:jc w:val="center"/>
        <w:rPr>
          <w:rFonts w:hint="default" w:ascii="Times New Roman" w:hAnsi="Times New Roman" w:eastAsia="仿宋" w:cs="Times New Roman"/>
          <w:b/>
          <w:sz w:val="72"/>
        </w:rPr>
      </w:pPr>
    </w:p>
    <w:p w14:paraId="1BB49A79">
      <w:pPr>
        <w:jc w:val="center"/>
        <w:rPr>
          <w:rFonts w:hint="default" w:ascii="Times New Roman" w:hAnsi="Times New Roman" w:eastAsia="仿宋" w:cs="Times New Roman"/>
          <w:b/>
          <w:sz w:val="72"/>
        </w:rPr>
      </w:pPr>
    </w:p>
    <w:p w14:paraId="43C33CF6">
      <w:pPr>
        <w:jc w:val="center"/>
        <w:rPr>
          <w:rFonts w:hint="default" w:ascii="Times New Roman" w:hAnsi="Times New Roman" w:eastAsia="仿宋" w:cs="Times New Roman"/>
          <w:b/>
          <w:sz w:val="72"/>
        </w:rPr>
      </w:pPr>
    </w:p>
    <w:p w14:paraId="08B26A91">
      <w:pPr>
        <w:jc w:val="center"/>
        <w:rPr>
          <w:rFonts w:hint="default" w:ascii="Times New Roman" w:hAnsi="Times New Roman" w:eastAsia="仿宋" w:cs="Times New Roman"/>
          <w:b/>
          <w:sz w:val="72"/>
        </w:rPr>
      </w:pPr>
      <w:r>
        <w:rPr>
          <w:rFonts w:hint="default" w:ascii="Times New Roman" w:hAnsi="Times New Roman" w:eastAsia="仿宋" w:cs="Times New Roman"/>
          <w:b/>
          <w:sz w:val="72"/>
        </w:rPr>
        <w:t>目    录</w:t>
      </w:r>
    </w:p>
    <w:p w14:paraId="4E52DD05">
      <w:pPr>
        <w:jc w:val="center"/>
        <w:rPr>
          <w:rFonts w:hint="default" w:ascii="Times New Roman" w:hAnsi="Times New Roman" w:eastAsia="仿宋" w:cs="Times New Roman"/>
          <w:b/>
          <w:sz w:val="72"/>
        </w:rPr>
      </w:pPr>
    </w:p>
    <w:p w14:paraId="0FBFE928">
      <w:pPr>
        <w:spacing w:line="7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投标人须知前附表</w:t>
      </w:r>
    </w:p>
    <w:p w14:paraId="06485A8B">
      <w:pPr>
        <w:spacing w:line="400" w:lineRule="exact"/>
        <w:rPr>
          <w:rFonts w:hint="default" w:ascii="Times New Roman" w:hAnsi="Times New Roman" w:eastAsia="仿宋" w:cs="Times New Roman"/>
          <w:b/>
          <w:sz w:val="32"/>
        </w:rPr>
      </w:pPr>
    </w:p>
    <w:p w14:paraId="433BE331">
      <w:pPr>
        <w:spacing w:line="400" w:lineRule="exact"/>
        <w:ind w:firstLine="643" w:firstLineChars="200"/>
        <w:rPr>
          <w:rFonts w:hint="default" w:ascii="Times New Roman" w:hAnsi="Times New Roman" w:eastAsia="仿宋" w:cs="Times New Roman"/>
          <w:b/>
          <w:sz w:val="32"/>
        </w:rPr>
      </w:pPr>
      <w:r>
        <w:rPr>
          <w:rFonts w:hint="default" w:ascii="Times New Roman" w:hAnsi="Times New Roman" w:eastAsia="仿宋" w:cs="Times New Roman"/>
          <w:b/>
          <w:sz w:val="32"/>
        </w:rPr>
        <w:t>第</w:t>
      </w:r>
      <w:r>
        <w:rPr>
          <w:rFonts w:hint="default" w:ascii="Times New Roman" w:hAnsi="Times New Roman" w:eastAsia="仿宋" w:cs="Times New Roman"/>
          <w:b/>
          <w:sz w:val="32"/>
          <w:lang w:eastAsia="zh-CN"/>
        </w:rPr>
        <w:t>一</w:t>
      </w:r>
      <w:r>
        <w:rPr>
          <w:rFonts w:hint="default" w:ascii="Times New Roman" w:hAnsi="Times New Roman" w:eastAsia="仿宋" w:cs="Times New Roman"/>
          <w:b/>
          <w:sz w:val="32"/>
        </w:rPr>
        <w:t xml:space="preserve">部分 </w:t>
      </w:r>
    </w:p>
    <w:p w14:paraId="2678D410">
      <w:pPr>
        <w:spacing w:line="400" w:lineRule="exact"/>
        <w:rPr>
          <w:rFonts w:hint="default" w:ascii="Times New Roman" w:hAnsi="Times New Roman" w:eastAsia="仿宋" w:cs="Times New Roman"/>
          <w:sz w:val="32"/>
        </w:rPr>
      </w:pPr>
    </w:p>
    <w:p w14:paraId="64FCD21A">
      <w:pPr>
        <w:spacing w:line="4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投标须知</w:t>
      </w:r>
    </w:p>
    <w:p w14:paraId="5B1E263B">
      <w:pPr>
        <w:spacing w:line="400" w:lineRule="exact"/>
        <w:rPr>
          <w:rFonts w:hint="default" w:ascii="Times New Roman" w:hAnsi="Times New Roman" w:eastAsia="仿宋" w:cs="Times New Roman"/>
          <w:sz w:val="32"/>
        </w:rPr>
      </w:pPr>
    </w:p>
    <w:p w14:paraId="4CB6B2C8">
      <w:pPr>
        <w:spacing w:line="400" w:lineRule="exact"/>
        <w:ind w:firstLine="643" w:firstLineChars="200"/>
        <w:rPr>
          <w:rFonts w:hint="default" w:ascii="Times New Roman" w:hAnsi="Times New Roman" w:eastAsia="仿宋" w:cs="Times New Roman"/>
          <w:b/>
          <w:sz w:val="32"/>
        </w:rPr>
      </w:pPr>
      <w:r>
        <w:rPr>
          <w:rFonts w:hint="default" w:ascii="Times New Roman" w:hAnsi="Times New Roman" w:eastAsia="仿宋" w:cs="Times New Roman"/>
          <w:b/>
          <w:sz w:val="32"/>
        </w:rPr>
        <w:t>第</w:t>
      </w:r>
      <w:r>
        <w:rPr>
          <w:rFonts w:hint="default" w:ascii="Times New Roman" w:hAnsi="Times New Roman" w:eastAsia="仿宋" w:cs="Times New Roman"/>
          <w:b/>
          <w:sz w:val="32"/>
          <w:lang w:eastAsia="zh-CN"/>
        </w:rPr>
        <w:t>二</w:t>
      </w:r>
      <w:r>
        <w:rPr>
          <w:rFonts w:hint="default" w:ascii="Times New Roman" w:hAnsi="Times New Roman" w:eastAsia="仿宋" w:cs="Times New Roman"/>
          <w:b/>
          <w:sz w:val="32"/>
        </w:rPr>
        <w:t xml:space="preserve">部分 </w:t>
      </w:r>
    </w:p>
    <w:p w14:paraId="72140CCC">
      <w:pPr>
        <w:spacing w:line="400" w:lineRule="exact"/>
        <w:rPr>
          <w:rFonts w:hint="default" w:ascii="Times New Roman" w:hAnsi="Times New Roman" w:eastAsia="仿宋" w:cs="Times New Roman"/>
          <w:sz w:val="32"/>
        </w:rPr>
      </w:pPr>
    </w:p>
    <w:p w14:paraId="7FFB8E46">
      <w:pPr>
        <w:spacing w:line="400" w:lineRule="exact"/>
        <w:ind w:firstLine="642"/>
        <w:rPr>
          <w:rFonts w:hint="default" w:ascii="Times New Roman" w:hAnsi="Times New Roman" w:eastAsia="仿宋" w:cs="Times New Roman"/>
          <w:b w:val="0"/>
          <w:bCs/>
          <w:sz w:val="32"/>
          <w:szCs w:val="22"/>
          <w:lang w:val="en-US" w:eastAsia="zh-CN"/>
        </w:rPr>
      </w:pPr>
      <w:r>
        <w:rPr>
          <w:rFonts w:hint="default" w:ascii="Times New Roman" w:hAnsi="Times New Roman" w:eastAsia="仿宋" w:cs="Times New Roman"/>
          <w:b w:val="0"/>
          <w:bCs/>
          <w:sz w:val="32"/>
          <w:szCs w:val="22"/>
          <w:lang w:val="en-US" w:eastAsia="zh-CN"/>
        </w:rPr>
        <w:t xml:space="preserve">竞争性磋商文件顺序及格式范本 </w:t>
      </w:r>
    </w:p>
    <w:p w14:paraId="452E4242">
      <w:pPr>
        <w:pStyle w:val="14"/>
        <w:rPr>
          <w:rFonts w:hint="default" w:ascii="Times New Roman" w:hAnsi="Times New Roman" w:cs="Times New Roman"/>
          <w:lang w:val="en-US" w:eastAsia="zh-CN"/>
        </w:rPr>
      </w:pPr>
    </w:p>
    <w:p w14:paraId="54C5E8A4">
      <w:pPr>
        <w:spacing w:line="400" w:lineRule="exact"/>
        <w:ind w:firstLine="643" w:firstLineChars="200"/>
        <w:rPr>
          <w:rFonts w:hint="default" w:ascii="Times New Roman" w:hAnsi="Times New Roman" w:eastAsia="仿宋" w:cs="Times New Roman"/>
          <w:b/>
          <w:sz w:val="32"/>
          <w:szCs w:val="22"/>
          <w:lang w:eastAsia="zh-CN"/>
        </w:rPr>
      </w:pPr>
      <w:r>
        <w:rPr>
          <w:rFonts w:hint="default" w:ascii="Times New Roman" w:hAnsi="Times New Roman" w:eastAsia="仿宋" w:cs="Times New Roman"/>
          <w:b/>
          <w:sz w:val="32"/>
          <w:szCs w:val="22"/>
          <w:lang w:eastAsia="zh-CN"/>
        </w:rPr>
        <w:t>第三部分</w:t>
      </w:r>
    </w:p>
    <w:p w14:paraId="1C060A3F">
      <w:pPr>
        <w:spacing w:line="400" w:lineRule="exact"/>
        <w:ind w:firstLine="643" w:firstLineChars="200"/>
        <w:rPr>
          <w:rFonts w:hint="default" w:ascii="Times New Roman" w:hAnsi="Times New Roman" w:eastAsia="仿宋" w:cs="Times New Roman"/>
          <w:b/>
          <w:sz w:val="32"/>
          <w:szCs w:val="22"/>
          <w:lang w:eastAsia="zh-CN"/>
        </w:rPr>
      </w:pPr>
    </w:p>
    <w:p w14:paraId="7339038D">
      <w:pPr>
        <w:spacing w:line="400" w:lineRule="exact"/>
        <w:ind w:firstLine="642"/>
        <w:rPr>
          <w:rFonts w:hint="default" w:ascii="Times New Roman" w:hAnsi="Times New Roman" w:eastAsia="仿宋" w:cs="Times New Roman"/>
          <w:b w:val="0"/>
          <w:bCs/>
          <w:sz w:val="32"/>
          <w:lang w:val="en-US" w:eastAsia="zh-CN"/>
        </w:rPr>
      </w:pPr>
      <w:r>
        <w:rPr>
          <w:rFonts w:hint="default" w:ascii="Times New Roman" w:hAnsi="Times New Roman" w:eastAsia="仿宋" w:cs="Times New Roman"/>
          <w:b w:val="0"/>
          <w:bCs/>
          <w:sz w:val="32"/>
          <w:lang w:val="en-US" w:eastAsia="zh-CN"/>
        </w:rPr>
        <w:t>评标标准</w:t>
      </w:r>
    </w:p>
    <w:p w14:paraId="55ECC7D4">
      <w:pPr>
        <w:spacing w:line="400" w:lineRule="exact"/>
        <w:ind w:firstLine="642"/>
        <w:rPr>
          <w:rFonts w:hint="default" w:ascii="Times New Roman" w:hAnsi="Times New Roman" w:eastAsia="仿宋" w:cs="Times New Roman"/>
          <w:b/>
          <w:sz w:val="32"/>
          <w:lang w:val="en-US" w:eastAsia="zh-CN"/>
        </w:rPr>
      </w:pPr>
    </w:p>
    <w:p w14:paraId="55E411A4">
      <w:pPr>
        <w:spacing w:line="400" w:lineRule="exact"/>
        <w:ind w:firstLine="643" w:firstLineChars="200"/>
        <w:rPr>
          <w:rFonts w:hint="default" w:ascii="Times New Roman" w:hAnsi="Times New Roman" w:eastAsia="仿宋" w:cs="Times New Roman"/>
          <w:b/>
          <w:sz w:val="32"/>
        </w:rPr>
      </w:pPr>
      <w:r>
        <w:rPr>
          <w:rFonts w:hint="default" w:ascii="Times New Roman" w:hAnsi="Times New Roman" w:eastAsia="仿宋" w:cs="Times New Roman"/>
          <w:b/>
          <w:sz w:val="32"/>
        </w:rPr>
        <w:t xml:space="preserve">第四部分 </w:t>
      </w:r>
    </w:p>
    <w:p w14:paraId="75AFF8F2">
      <w:pPr>
        <w:spacing w:line="400" w:lineRule="exact"/>
        <w:rPr>
          <w:rFonts w:hint="default" w:ascii="Times New Roman" w:hAnsi="Times New Roman" w:eastAsia="仿宋" w:cs="Times New Roman"/>
          <w:sz w:val="32"/>
        </w:rPr>
      </w:pPr>
    </w:p>
    <w:p w14:paraId="4BAF505D">
      <w:pPr>
        <w:spacing w:line="400" w:lineRule="exact"/>
        <w:ind w:firstLine="640" w:firstLineChars="200"/>
        <w:rPr>
          <w:rFonts w:hint="default" w:ascii="Times New Roman" w:hAnsi="Times New Roman" w:eastAsia="仿宋" w:cs="Times New Roman"/>
          <w:sz w:val="32"/>
        </w:rPr>
      </w:pPr>
      <w:r>
        <w:rPr>
          <w:rFonts w:hint="default" w:ascii="Times New Roman" w:hAnsi="Times New Roman" w:eastAsia="仿宋" w:cs="Times New Roman"/>
          <w:b w:val="0"/>
          <w:bCs/>
          <w:sz w:val="32"/>
          <w:szCs w:val="22"/>
          <w:lang w:val="en-US" w:eastAsia="zh-CN"/>
        </w:rPr>
        <w:t>服务内容及说明</w:t>
      </w:r>
    </w:p>
    <w:p w14:paraId="4F6309E6">
      <w:pPr>
        <w:spacing w:line="400" w:lineRule="exact"/>
        <w:rPr>
          <w:rFonts w:hint="default" w:ascii="Times New Roman" w:hAnsi="Times New Roman" w:eastAsia="仿宋" w:cs="Times New Roman"/>
          <w:sz w:val="32"/>
        </w:rPr>
      </w:pPr>
    </w:p>
    <w:p w14:paraId="4E98932C">
      <w:pPr>
        <w:spacing w:line="400" w:lineRule="exact"/>
        <w:ind w:firstLine="643" w:firstLineChars="200"/>
        <w:rPr>
          <w:rFonts w:hint="default" w:ascii="Times New Roman" w:hAnsi="Times New Roman" w:eastAsia="仿宋" w:cs="Times New Roman"/>
          <w:b/>
          <w:sz w:val="32"/>
          <w:szCs w:val="22"/>
          <w:lang w:val="en-US" w:eastAsia="zh-CN"/>
        </w:rPr>
      </w:pPr>
      <w:r>
        <w:rPr>
          <w:rFonts w:hint="default" w:ascii="Times New Roman" w:hAnsi="Times New Roman" w:eastAsia="仿宋" w:cs="Times New Roman"/>
          <w:b/>
          <w:sz w:val="32"/>
          <w:szCs w:val="22"/>
          <w:lang w:val="en-US" w:eastAsia="zh-CN"/>
        </w:rPr>
        <w:t>第五部分</w:t>
      </w:r>
    </w:p>
    <w:p w14:paraId="1340A7FA">
      <w:pPr>
        <w:pStyle w:val="55"/>
        <w:rPr>
          <w:rFonts w:hint="default" w:ascii="Times New Roman" w:hAnsi="Times New Roman" w:cs="Times New Roman"/>
          <w:lang w:val="en-US" w:eastAsia="zh-CN"/>
        </w:rPr>
      </w:pPr>
    </w:p>
    <w:p w14:paraId="35DD0AE3">
      <w:pPr>
        <w:rPr>
          <w:rFonts w:hint="default" w:ascii="Times New Roman" w:hAnsi="Times New Roman" w:eastAsia="仿宋" w:cs="Times New Roman"/>
          <w:b w:val="0"/>
          <w:bCs/>
          <w:sz w:val="32"/>
          <w:szCs w:val="22"/>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 w:cs="Times New Roman"/>
          <w:b w:val="0"/>
          <w:bCs/>
          <w:sz w:val="32"/>
          <w:szCs w:val="22"/>
          <w:lang w:val="en-US" w:eastAsia="zh-CN"/>
        </w:rPr>
        <w:t>竞争性磋商投标文件格式</w:t>
      </w:r>
    </w:p>
    <w:p w14:paraId="192C4D44">
      <w:pPr>
        <w:spacing w:line="700" w:lineRule="exact"/>
        <w:jc w:val="center"/>
        <w:rPr>
          <w:rFonts w:hint="default" w:ascii="Times New Roman" w:hAnsi="Times New Roman" w:eastAsia="仿宋" w:cs="Times New Roman"/>
          <w:b/>
          <w:color w:val="000000"/>
          <w:sz w:val="36"/>
          <w:szCs w:val="36"/>
          <w:highlight w:val="none"/>
        </w:rPr>
      </w:pPr>
    </w:p>
    <w:p w14:paraId="29F13F57">
      <w:pPr>
        <w:spacing w:line="700" w:lineRule="exact"/>
        <w:jc w:val="center"/>
        <w:rPr>
          <w:rFonts w:hint="default" w:ascii="Times New Roman" w:hAnsi="Times New Roman" w:eastAsia="仿宋" w:cs="Times New Roman"/>
          <w:b/>
          <w:color w:val="000000"/>
          <w:sz w:val="36"/>
          <w:szCs w:val="36"/>
          <w:highlight w:val="none"/>
        </w:rPr>
      </w:pPr>
    </w:p>
    <w:p w14:paraId="5F79ACC7">
      <w:pPr>
        <w:spacing w:line="700" w:lineRule="exact"/>
        <w:jc w:val="center"/>
        <w:rPr>
          <w:rFonts w:hint="default" w:ascii="Times New Roman" w:hAnsi="Times New Roman" w:eastAsia="仿宋" w:cs="Times New Roman"/>
          <w:b/>
          <w:color w:val="000000"/>
          <w:sz w:val="36"/>
          <w:szCs w:val="36"/>
          <w:highlight w:val="none"/>
        </w:rPr>
      </w:pPr>
    </w:p>
    <w:p w14:paraId="203908A4">
      <w:pPr>
        <w:spacing w:line="700" w:lineRule="exact"/>
        <w:jc w:val="center"/>
        <w:rPr>
          <w:rFonts w:hint="default" w:ascii="Times New Roman" w:hAnsi="Times New Roman" w:eastAsia="仿宋" w:cs="Times New Roman"/>
          <w:b/>
          <w:color w:val="000000"/>
          <w:sz w:val="36"/>
          <w:szCs w:val="36"/>
          <w:highlight w:val="none"/>
        </w:rPr>
      </w:pPr>
      <w:r>
        <w:rPr>
          <w:rFonts w:hint="default" w:ascii="Times New Roman" w:hAnsi="Times New Roman" w:eastAsia="仿宋" w:cs="Times New Roman"/>
          <w:b/>
          <w:color w:val="000000"/>
          <w:sz w:val="36"/>
          <w:szCs w:val="36"/>
          <w:highlight w:val="none"/>
        </w:rPr>
        <w:t>投标人须知前附表</w:t>
      </w:r>
    </w:p>
    <w:tbl>
      <w:tblPr>
        <w:tblStyle w:val="35"/>
        <w:tblW w:w="10290" w:type="dxa"/>
        <w:tblInd w:w="-1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570"/>
      </w:tblGrid>
      <w:tr w14:paraId="301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3032FFEE">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序号</w:t>
            </w:r>
          </w:p>
        </w:tc>
        <w:tc>
          <w:tcPr>
            <w:tcW w:w="9570" w:type="dxa"/>
            <w:tcBorders>
              <w:top w:val="single" w:color="auto" w:sz="4" w:space="0"/>
              <w:left w:val="single" w:color="auto" w:sz="4" w:space="0"/>
              <w:bottom w:val="single" w:color="auto" w:sz="4" w:space="0"/>
              <w:right w:val="single" w:color="auto" w:sz="4" w:space="0"/>
            </w:tcBorders>
            <w:vAlign w:val="center"/>
          </w:tcPr>
          <w:p w14:paraId="5DC8A20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内容、要求</w:t>
            </w:r>
          </w:p>
        </w:tc>
      </w:tr>
      <w:tr w14:paraId="01B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20" w:type="dxa"/>
            <w:tcBorders>
              <w:top w:val="single" w:color="auto" w:sz="4" w:space="0"/>
              <w:left w:val="single" w:color="auto" w:sz="4" w:space="0"/>
              <w:bottom w:val="single" w:color="auto" w:sz="4" w:space="0"/>
              <w:right w:val="single" w:color="auto" w:sz="4" w:space="0"/>
            </w:tcBorders>
            <w:vAlign w:val="center"/>
          </w:tcPr>
          <w:p w14:paraId="794C9DE7">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63B50D6E">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项目名称：</w:t>
            </w:r>
            <w:r>
              <w:rPr>
                <w:rFonts w:hint="eastAsia" w:ascii="Times New Roman" w:hAnsi="Times New Roman" w:eastAsia="宋体" w:cs="Times New Roman"/>
                <w:kern w:val="2"/>
                <w:sz w:val="21"/>
                <w:szCs w:val="20"/>
                <w:highlight w:val="none"/>
                <w:lang w:val="en-US" w:eastAsia="zh-CN" w:bidi="ar-SA"/>
              </w:rPr>
              <w:t>2025年度文化和旅游志愿服务项目</w:t>
            </w:r>
          </w:p>
          <w:p w14:paraId="745494E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项目编号：</w:t>
            </w:r>
            <w:r>
              <w:rPr>
                <w:rFonts w:hint="eastAsia" w:ascii="Times New Roman" w:hAnsi="Times New Roman" w:eastAsia="宋体" w:cs="Times New Roman"/>
                <w:kern w:val="2"/>
                <w:sz w:val="21"/>
                <w:szCs w:val="20"/>
                <w:highlight w:val="none"/>
                <w:lang w:val="en-US" w:eastAsia="zh-CN" w:bidi="ar-SA"/>
              </w:rPr>
              <w:t>BZJCZFCGJZCS2025-01号</w:t>
            </w:r>
          </w:p>
          <w:p w14:paraId="2CDD2158">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服务期：</w:t>
            </w:r>
            <w:r>
              <w:rPr>
                <w:rFonts w:hint="eastAsia" w:ascii="Times New Roman" w:hAnsi="Times New Roman" w:eastAsia="宋体" w:cs="Times New Roman"/>
                <w:kern w:val="2"/>
                <w:sz w:val="21"/>
                <w:szCs w:val="20"/>
                <w:highlight w:val="none"/>
                <w:lang w:val="en-US" w:eastAsia="zh-CN" w:bidi="ar-SA"/>
              </w:rPr>
              <w:t>2025年</w:t>
            </w:r>
            <w:r>
              <w:rPr>
                <w:rFonts w:hint="default" w:ascii="Times New Roman" w:hAnsi="Times New Roman" w:eastAsia="宋体" w:cs="Times New Roman"/>
                <w:kern w:val="2"/>
                <w:sz w:val="21"/>
                <w:szCs w:val="20"/>
                <w:highlight w:val="none"/>
                <w:lang w:val="en-US" w:eastAsia="zh-CN" w:bidi="ar-SA"/>
              </w:rPr>
              <w:t>7月2</w:t>
            </w:r>
            <w:r>
              <w:rPr>
                <w:rFonts w:hint="eastAsia" w:cs="Times New Roman"/>
                <w:kern w:val="2"/>
                <w:sz w:val="21"/>
                <w:szCs w:val="20"/>
                <w:highlight w:val="none"/>
                <w:lang w:val="en-US" w:eastAsia="zh-CN" w:bidi="ar-SA"/>
              </w:rPr>
              <w:t>4</w:t>
            </w:r>
            <w:r>
              <w:rPr>
                <w:rFonts w:hint="default" w:ascii="Times New Roman" w:hAnsi="Times New Roman" w:eastAsia="宋体" w:cs="Times New Roman"/>
                <w:kern w:val="2"/>
                <w:sz w:val="21"/>
                <w:szCs w:val="20"/>
                <w:highlight w:val="none"/>
                <w:lang w:val="en-US" w:eastAsia="zh-CN" w:bidi="ar-SA"/>
              </w:rPr>
              <w:t>日至</w:t>
            </w:r>
            <w:r>
              <w:rPr>
                <w:rFonts w:hint="eastAsia" w:ascii="Times New Roman" w:hAnsi="Times New Roman" w:eastAsia="宋体" w:cs="Times New Roman"/>
                <w:kern w:val="2"/>
                <w:sz w:val="21"/>
                <w:szCs w:val="20"/>
                <w:highlight w:val="none"/>
                <w:lang w:val="en-US" w:eastAsia="zh-CN" w:bidi="ar-SA"/>
              </w:rPr>
              <w:t>2025年</w:t>
            </w:r>
            <w:r>
              <w:rPr>
                <w:rFonts w:hint="default" w:ascii="Times New Roman" w:hAnsi="Times New Roman" w:eastAsia="宋体" w:cs="Times New Roman"/>
                <w:kern w:val="2"/>
                <w:sz w:val="21"/>
                <w:szCs w:val="20"/>
                <w:highlight w:val="none"/>
                <w:lang w:val="en-US" w:eastAsia="zh-CN" w:bidi="ar-SA"/>
              </w:rPr>
              <w:t>8月10日</w:t>
            </w:r>
            <w:r>
              <w:rPr>
                <w:rFonts w:hint="eastAsia" w:cs="Times New Roman"/>
                <w:kern w:val="2"/>
                <w:sz w:val="21"/>
                <w:szCs w:val="20"/>
                <w:highlight w:val="none"/>
                <w:lang w:val="en-US" w:eastAsia="zh-CN" w:bidi="ar-SA"/>
              </w:rPr>
              <w:t>(具体服务时间以采购单位签订合同时间为准）</w:t>
            </w:r>
          </w:p>
          <w:p w14:paraId="61535EDE">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服务地点：采购单位指定地点</w:t>
            </w:r>
          </w:p>
          <w:p w14:paraId="52C1087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本项目采购标的对应的中小企业划分标准所属行业：</w:t>
            </w:r>
            <w:r>
              <w:rPr>
                <w:rFonts w:hint="default" w:ascii="Times New Roman" w:hAnsi="Times New Roman" w:eastAsia="宋体" w:cs="Times New Roman"/>
                <w:b/>
                <w:bCs/>
                <w:kern w:val="2"/>
                <w:sz w:val="21"/>
                <w:szCs w:val="20"/>
                <w:highlight w:val="none"/>
                <w:u w:val="single"/>
                <w:lang w:val="en-US" w:eastAsia="zh-CN" w:bidi="ar-SA"/>
              </w:rPr>
              <w:t xml:space="preserve"> 其他未列明行业  </w:t>
            </w:r>
            <w:r>
              <w:rPr>
                <w:rFonts w:hint="default" w:ascii="Times New Roman" w:hAnsi="Times New Roman" w:eastAsia="宋体" w:cs="Times New Roman"/>
                <w:kern w:val="2"/>
                <w:sz w:val="21"/>
                <w:szCs w:val="20"/>
                <w:highlight w:val="none"/>
                <w:lang w:val="en-US" w:eastAsia="zh-CN" w:bidi="ar-SA"/>
              </w:rPr>
              <w:t>。</w:t>
            </w:r>
          </w:p>
        </w:tc>
      </w:tr>
      <w:tr w14:paraId="6E4B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720" w:type="dxa"/>
            <w:tcBorders>
              <w:top w:val="single" w:color="auto" w:sz="4" w:space="0"/>
              <w:left w:val="single" w:color="auto" w:sz="4" w:space="0"/>
              <w:bottom w:val="single" w:color="auto" w:sz="4" w:space="0"/>
              <w:right w:val="single" w:color="auto" w:sz="4" w:space="0"/>
            </w:tcBorders>
            <w:vAlign w:val="center"/>
          </w:tcPr>
          <w:p w14:paraId="6F5821CA">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1BFEC1C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投标报价及费用：</w:t>
            </w:r>
          </w:p>
          <w:p w14:paraId="77DB26C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1.本项目投标报价为：</w:t>
            </w:r>
            <w:r>
              <w:rPr>
                <w:rFonts w:hint="eastAsia" w:cs="Times New Roman"/>
                <w:kern w:val="2"/>
                <w:sz w:val="21"/>
                <w:szCs w:val="20"/>
                <w:highlight w:val="none"/>
                <w:lang w:val="en-US" w:eastAsia="zh-CN" w:bidi="ar-SA"/>
              </w:rPr>
              <w:t>300000</w:t>
            </w:r>
            <w:r>
              <w:rPr>
                <w:rFonts w:hint="default" w:ascii="Times New Roman" w:hAnsi="Times New Roman" w:eastAsia="宋体" w:cs="Times New Roman"/>
                <w:kern w:val="2"/>
                <w:sz w:val="21"/>
                <w:szCs w:val="20"/>
                <w:highlight w:val="none"/>
                <w:lang w:val="en-US" w:eastAsia="zh-CN" w:bidi="ar-SA"/>
              </w:rPr>
              <w:t>元。</w:t>
            </w:r>
          </w:p>
          <w:p w14:paraId="2F15270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投标额限定：投标报价不得超过最高限价：</w:t>
            </w:r>
            <w:r>
              <w:rPr>
                <w:rFonts w:hint="eastAsia" w:cs="Times New Roman"/>
                <w:kern w:val="2"/>
                <w:sz w:val="21"/>
                <w:szCs w:val="20"/>
                <w:highlight w:val="none"/>
                <w:lang w:val="en-US" w:eastAsia="zh-CN" w:bidi="ar-SA"/>
              </w:rPr>
              <w:t>300000</w:t>
            </w:r>
            <w:r>
              <w:rPr>
                <w:rFonts w:hint="default" w:ascii="Times New Roman" w:hAnsi="Times New Roman" w:eastAsia="宋体" w:cs="Times New Roman"/>
                <w:kern w:val="2"/>
                <w:sz w:val="21"/>
                <w:szCs w:val="20"/>
                <w:highlight w:val="none"/>
                <w:lang w:val="en-US" w:eastAsia="zh-CN" w:bidi="ar-SA"/>
              </w:rPr>
              <w:t>元。</w:t>
            </w:r>
          </w:p>
          <w:p w14:paraId="007C76D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2.不论投标结果如何，投标人均应自行承担所有与投标有关的全部费用。</w:t>
            </w:r>
          </w:p>
        </w:tc>
      </w:tr>
      <w:tr w14:paraId="4B64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14:paraId="5F3933E3">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w:t>
            </w:r>
          </w:p>
        </w:tc>
        <w:tc>
          <w:tcPr>
            <w:tcW w:w="9570" w:type="dxa"/>
            <w:tcBorders>
              <w:top w:val="single" w:color="auto" w:sz="4" w:space="0"/>
              <w:left w:val="single" w:color="auto" w:sz="4" w:space="0"/>
              <w:bottom w:val="single" w:color="auto" w:sz="4" w:space="0"/>
              <w:right w:val="single" w:color="auto" w:sz="4" w:space="0"/>
            </w:tcBorders>
            <w:vAlign w:val="center"/>
          </w:tcPr>
          <w:p w14:paraId="115EA73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1、满足《中华人民共和国政府采购法》第二十二条规定；</w:t>
            </w:r>
          </w:p>
          <w:p w14:paraId="27DB250B">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2、落实政府采购政策需满足的资格要求：</w:t>
            </w:r>
            <w:r>
              <w:rPr>
                <w:rFonts w:hint="eastAsia" w:ascii="Times New Roman" w:hAnsi="Times New Roman" w:eastAsia="宋体" w:cs="Times New Roman"/>
                <w:kern w:val="2"/>
                <w:sz w:val="21"/>
                <w:szCs w:val="20"/>
                <w:highlight w:val="none"/>
                <w:lang w:val="en-US" w:eastAsia="zh-CN" w:bidi="ar-SA"/>
              </w:rPr>
              <w:t>供应商为</w:t>
            </w:r>
            <w:r>
              <w:rPr>
                <w:rFonts w:hint="eastAsia" w:cs="Times New Roman"/>
                <w:kern w:val="2"/>
                <w:sz w:val="21"/>
                <w:szCs w:val="20"/>
                <w:highlight w:val="none"/>
                <w:lang w:val="en-US" w:eastAsia="zh-CN" w:bidi="ar-SA"/>
              </w:rPr>
              <w:t>小微</w:t>
            </w:r>
            <w:r>
              <w:rPr>
                <w:rFonts w:hint="eastAsia" w:ascii="Times New Roman" w:hAnsi="Times New Roman" w:eastAsia="宋体" w:cs="Times New Roman"/>
                <w:kern w:val="2"/>
                <w:sz w:val="21"/>
                <w:szCs w:val="20"/>
                <w:highlight w:val="none"/>
                <w:lang w:val="en-US" w:eastAsia="zh-CN" w:bidi="ar-SA"/>
              </w:rPr>
              <w:t>企业</w:t>
            </w:r>
          </w:p>
          <w:p w14:paraId="224848E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（1）财政部、国家发展改革委、生态环境部、市场监管总局《关于调整优化节能产品、环境标志产品政府采购执行机制的通知》（财库[2019]9号文）； </w:t>
            </w:r>
          </w:p>
          <w:p w14:paraId="40AE3F1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（2）财政部、生态环境部《关于印发环境标志产品政府采购品目清单的通知》（财库[2019]18号文）； </w:t>
            </w:r>
          </w:p>
          <w:p w14:paraId="3C6D1B0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（3）财政部、发展改革委《关于印发节能产品政府采购品目清单的通知》（财库[2019]19号文）； </w:t>
            </w:r>
          </w:p>
          <w:p w14:paraId="76B24DB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（4）市场监管总局《市场监管总局关于发布参与实施政府采购节能产品、环境标志产品认证机构名录的公告》（2019年第16号）； </w:t>
            </w:r>
          </w:p>
          <w:p w14:paraId="2E1E787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（5）财政部、工业和信息化部《关于印发《政府采购促进中小企业发展管理办法》的通知》（财库[2020]46号文）； </w:t>
            </w:r>
          </w:p>
          <w:p w14:paraId="2E5B88F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（6）财政部、民政部、中国残疾人联合会《关于促进残疾人就业政府采购政策的通知》（财库[2017]141号）； </w:t>
            </w:r>
          </w:p>
          <w:p w14:paraId="17A50BF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( 7）财政部、司法部《关于政府采购支持监狱企业发展有关问题的通知》（财库[2014]68号文）。（中小企业优惠、监狱企业、节能产品、环境标志产品等）。</w:t>
            </w:r>
          </w:p>
          <w:p w14:paraId="717AD30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3、投标人未被“信用中国”（www.creditchina.gov.cn）、中国政府采购网（www.ccgp.gov.cn）列入失信被执行人、重大税收违法案件当事人名单、政府采购严重违法失信行为记录名单；</w:t>
            </w:r>
          </w:p>
          <w:p w14:paraId="53F4318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4、本项目的特定资格要求：无； </w:t>
            </w:r>
          </w:p>
        </w:tc>
      </w:tr>
      <w:tr w14:paraId="088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tcBorders>
              <w:top w:val="single" w:color="auto" w:sz="4" w:space="0"/>
              <w:left w:val="single" w:color="auto" w:sz="4" w:space="0"/>
              <w:bottom w:val="single" w:color="auto" w:sz="4" w:space="0"/>
              <w:right w:val="single" w:color="auto" w:sz="4" w:space="0"/>
            </w:tcBorders>
            <w:vAlign w:val="center"/>
          </w:tcPr>
          <w:p w14:paraId="33837DCC">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4</w:t>
            </w:r>
          </w:p>
        </w:tc>
        <w:tc>
          <w:tcPr>
            <w:tcW w:w="9570" w:type="dxa"/>
            <w:tcBorders>
              <w:top w:val="single" w:color="auto" w:sz="4" w:space="0"/>
              <w:left w:val="single" w:color="auto" w:sz="4" w:space="0"/>
              <w:bottom w:val="single" w:color="auto" w:sz="4" w:space="0"/>
              <w:right w:val="single" w:color="auto" w:sz="4" w:space="0"/>
            </w:tcBorders>
            <w:vAlign w:val="center"/>
          </w:tcPr>
          <w:p w14:paraId="2219FC6C">
            <w:pPr>
              <w:spacing w:line="360" w:lineRule="auto"/>
              <w:rPr>
                <w:rFonts w:hint="default" w:ascii="Times New Roman" w:hAnsi="Times New Roman" w:eastAsia="宋体" w:cs="Times New Roman"/>
                <w:b/>
                <w:bCs/>
                <w:kern w:val="2"/>
                <w:sz w:val="21"/>
                <w:szCs w:val="20"/>
                <w:highlight w:val="none"/>
                <w:u w:val="none"/>
                <w:lang w:val="en-US" w:eastAsia="zh-CN" w:bidi="ar-SA"/>
              </w:rPr>
            </w:pPr>
            <w:r>
              <w:rPr>
                <w:rFonts w:hint="default" w:ascii="Times New Roman" w:hAnsi="Times New Roman" w:eastAsia="宋体" w:cs="Times New Roman"/>
                <w:b/>
                <w:bCs/>
                <w:kern w:val="2"/>
                <w:sz w:val="21"/>
                <w:szCs w:val="20"/>
                <w:highlight w:val="none"/>
                <w:u w:val="none"/>
                <w:lang w:val="en-US" w:eastAsia="zh-CN" w:bidi="ar-SA"/>
              </w:rPr>
              <w:t>投标报价时资格审查的必备条件。投标人必须单独上传,如果不能提供或有缺项则视为对招标文件资格审查内容的不响应，其投标将被拒绝。</w:t>
            </w:r>
          </w:p>
          <w:p w14:paraId="61FC572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(1)营业执照副本原件或具有同等法律效力的证明文件原件；</w:t>
            </w:r>
          </w:p>
          <w:p w14:paraId="10FB779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(2)法人代表授权委托书原件及被授权人《居民身份证》原件；</w:t>
            </w:r>
          </w:p>
          <w:p w14:paraId="6F27D96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3</w:t>
            </w: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投标保证金缴纳凭证</w:t>
            </w:r>
            <w:r>
              <w:rPr>
                <w:rFonts w:hint="eastAsia" w:ascii="Times New Roman" w:hAnsi="Times New Roman" w:eastAsia="宋体" w:cs="Times New Roman"/>
                <w:kern w:val="2"/>
                <w:sz w:val="21"/>
                <w:szCs w:val="20"/>
                <w:highlight w:val="none"/>
                <w:lang w:val="zh-CN" w:eastAsia="zh-CN" w:bidi="ar-SA"/>
              </w:rPr>
              <w:t>或</w:t>
            </w:r>
            <w:r>
              <w:rPr>
                <w:rFonts w:hint="eastAsia" w:ascii="Times New Roman" w:hAnsi="Times New Roman" w:eastAsia="宋体" w:cs="Times New Roman"/>
                <w:kern w:val="2"/>
                <w:sz w:val="21"/>
                <w:szCs w:val="20"/>
                <w:highlight w:val="none"/>
                <w:lang w:val="en-US" w:eastAsia="zh-CN" w:bidi="ar-SA"/>
              </w:rPr>
              <w:t>金融机构、担保机构出具的保函；</w:t>
            </w:r>
          </w:p>
          <w:p w14:paraId="36B8ED42">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(4)</w:t>
            </w:r>
            <w:r>
              <w:rPr>
                <w:rFonts w:hint="default" w:ascii="Times New Roman" w:hAnsi="Times New Roman" w:eastAsia="宋体" w:cs="Times New Roman"/>
                <w:kern w:val="2"/>
                <w:sz w:val="21"/>
                <w:szCs w:val="20"/>
                <w:highlight w:val="none"/>
                <w:lang w:val="en-US" w:eastAsia="zh-CN" w:bidi="ar-SA"/>
              </w:rPr>
              <w:t>具有履行合同所必须的设备和专业技术能力的承诺函</w:t>
            </w:r>
            <w:r>
              <w:rPr>
                <w:rFonts w:hint="eastAsia" w:cs="Times New Roman"/>
                <w:kern w:val="2"/>
                <w:sz w:val="21"/>
                <w:szCs w:val="20"/>
                <w:highlight w:val="none"/>
                <w:lang w:val="en-US" w:eastAsia="zh-CN" w:bidi="ar-SA"/>
              </w:rPr>
              <w:t>;</w:t>
            </w:r>
          </w:p>
          <w:p w14:paraId="2F358B0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)投标人未被“信用中国”（www.creditchina.gov.cn）、中国政府采购网（www.ccgp.gov.cn）列入失信被执行人、重大税收违法案件当事人名单、政府采购严重违法失信行为记录名单</w:t>
            </w:r>
            <w:r>
              <w:rPr>
                <w:rFonts w:hint="eastAsia" w:cs="Times New Roman"/>
                <w:kern w:val="2"/>
                <w:sz w:val="21"/>
                <w:szCs w:val="20"/>
                <w:highlight w:val="none"/>
                <w:lang w:val="en-US" w:eastAsia="zh-CN" w:bidi="ar-SA"/>
              </w:rPr>
              <w:t>（提供截图）</w:t>
            </w: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 xml:space="preserve"> </w:t>
            </w:r>
          </w:p>
          <w:p w14:paraId="67A3D293">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6</w:t>
            </w: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 xml:space="preserve"> </w:t>
            </w:r>
            <w:r>
              <w:rPr>
                <w:rFonts w:hint="default" w:ascii="Times New Roman" w:hAnsi="Times New Roman" w:eastAsia="宋体" w:cs="Times New Roman"/>
                <w:kern w:val="2"/>
                <w:sz w:val="21"/>
                <w:szCs w:val="20"/>
                <w:highlight w:val="none"/>
                <w:lang w:val="en-US" w:eastAsia="zh-CN" w:bidi="ar-SA"/>
              </w:rPr>
              <w:t>参与政府采购活动前3年内未被列入失信、重大税收违法案件、财政部门禁止参加政府采购活动的承诺书；</w:t>
            </w:r>
          </w:p>
          <w:p w14:paraId="3BEA4FB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7</w:t>
            </w:r>
            <w:r>
              <w:rPr>
                <w:rFonts w:hint="default" w:ascii="Times New Roman" w:hAnsi="Times New Roman" w:eastAsia="宋体"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u w:val="none"/>
                <w:lang w:val="en-US" w:eastAsia="zh-CN" w:bidi="ar-SA"/>
              </w:rPr>
              <w:t>依法缴纳税收和社会保障资金的相关材料（提供提交投标文件截止时间前一年内</w:t>
            </w:r>
            <w:r>
              <w:rPr>
                <w:rFonts w:hint="eastAsia" w:cs="Times New Roman"/>
                <w:kern w:val="2"/>
                <w:sz w:val="21"/>
                <w:szCs w:val="20"/>
                <w:highlight w:val="none"/>
                <w:u w:val="none"/>
                <w:lang w:val="en-US" w:eastAsia="zh-CN" w:bidi="ar-SA"/>
              </w:rPr>
              <w:t>任意1</w:t>
            </w:r>
            <w:r>
              <w:rPr>
                <w:rFonts w:hint="default" w:ascii="Times New Roman" w:hAnsi="Times New Roman" w:eastAsia="宋体" w:cs="Times New Roman"/>
                <w:kern w:val="2"/>
                <w:sz w:val="21"/>
                <w:szCs w:val="20"/>
                <w:highlight w:val="none"/>
                <w:u w:val="none"/>
                <w:lang w:val="en-US" w:eastAsia="zh-CN" w:bidi="ar-SA"/>
              </w:rPr>
              <w:t>个月依法缴纳税收及缴纳社会保障资金的证明材料。投标人依法享受缓缴、免缴税收、社会保障资金的提供证明材料。</w:t>
            </w:r>
            <w:r>
              <w:rPr>
                <w:rFonts w:hint="default" w:ascii="Times New Roman" w:hAnsi="Times New Roman" w:eastAsia="宋体" w:cs="Times New Roman"/>
                <w:kern w:val="2"/>
                <w:sz w:val="21"/>
                <w:szCs w:val="20"/>
                <w:highlight w:val="none"/>
                <w:lang w:val="en-US" w:eastAsia="zh-CN" w:bidi="ar-SA"/>
              </w:rPr>
              <w:t>）</w:t>
            </w:r>
          </w:p>
          <w:p w14:paraId="7F020BD0">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8</w:t>
            </w:r>
            <w:r>
              <w:rPr>
                <w:rFonts w:hint="default" w:ascii="Times New Roman" w:hAnsi="Times New Roman" w:eastAsia="宋体"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具有良好的商业信誉和健全的财务会计制度(提供2023年度或2024年度经审计过的财务审计报告或财务报表（财务报表应至少包括资产负债表、利润表、现金流量表或财务状况变动表等）或银行出具的近三个月的资</w:t>
            </w:r>
            <w:r>
              <w:rPr>
                <w:rFonts w:hint="eastAsia" w:cs="Times New Roman"/>
                <w:kern w:val="2"/>
                <w:sz w:val="21"/>
                <w:szCs w:val="20"/>
                <w:highlight w:val="none"/>
                <w:lang w:val="en-US" w:eastAsia="zh-CN" w:bidi="ar-SA"/>
              </w:rPr>
              <w:t>金</w:t>
            </w:r>
            <w:r>
              <w:rPr>
                <w:rFonts w:hint="eastAsia" w:ascii="Times New Roman" w:hAnsi="Times New Roman" w:eastAsia="宋体" w:cs="Times New Roman"/>
                <w:kern w:val="2"/>
                <w:sz w:val="21"/>
                <w:szCs w:val="20"/>
                <w:highlight w:val="none"/>
                <w:lang w:val="en-US" w:eastAsia="zh-CN" w:bidi="ar-SA"/>
              </w:rPr>
              <w:t>证明，新成立不足一年的投标人无法提供审计报告，则需提供开户银行出具的有效的资</w:t>
            </w:r>
            <w:r>
              <w:rPr>
                <w:rFonts w:hint="eastAsia" w:cs="Times New Roman"/>
                <w:kern w:val="2"/>
                <w:sz w:val="21"/>
                <w:szCs w:val="20"/>
                <w:highlight w:val="none"/>
                <w:lang w:val="en-US" w:eastAsia="zh-CN" w:bidi="ar-SA"/>
              </w:rPr>
              <w:t>金</w:t>
            </w:r>
            <w:r>
              <w:rPr>
                <w:rFonts w:hint="eastAsia" w:ascii="Times New Roman" w:hAnsi="Times New Roman" w:eastAsia="宋体" w:cs="Times New Roman"/>
                <w:kern w:val="2"/>
                <w:sz w:val="21"/>
                <w:szCs w:val="20"/>
                <w:highlight w:val="none"/>
                <w:lang w:val="en-US" w:eastAsia="zh-CN" w:bidi="ar-SA"/>
              </w:rPr>
              <w:t>证明；</w:t>
            </w:r>
          </w:p>
          <w:p w14:paraId="1FEBA2B6">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(9)采购政策：供应商为</w:t>
            </w:r>
            <w:r>
              <w:rPr>
                <w:rFonts w:hint="eastAsia" w:cs="Times New Roman"/>
                <w:kern w:val="2"/>
                <w:sz w:val="21"/>
                <w:szCs w:val="20"/>
                <w:highlight w:val="none"/>
                <w:lang w:val="en-US" w:eastAsia="zh-CN" w:bidi="ar-SA"/>
              </w:rPr>
              <w:t>中小</w:t>
            </w:r>
            <w:r>
              <w:rPr>
                <w:rFonts w:hint="eastAsia" w:ascii="Times New Roman" w:hAnsi="Times New Roman" w:eastAsia="宋体" w:cs="Times New Roman"/>
                <w:kern w:val="2"/>
                <w:sz w:val="21"/>
                <w:szCs w:val="20"/>
                <w:highlight w:val="none"/>
                <w:lang w:val="en-US" w:eastAsia="zh-CN" w:bidi="ar-SA"/>
              </w:rPr>
              <w:t>企业.请根据要求单独上传《中小企业声明函》。格式以采购文件要求为准。</w:t>
            </w:r>
          </w:p>
        </w:tc>
      </w:tr>
      <w:tr w14:paraId="16CE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0" w:type="dxa"/>
            <w:tcBorders>
              <w:top w:val="single" w:color="auto" w:sz="4" w:space="0"/>
              <w:left w:val="single" w:color="auto" w:sz="4" w:space="0"/>
              <w:bottom w:val="single" w:color="auto" w:sz="4" w:space="0"/>
              <w:right w:val="single" w:color="auto" w:sz="4" w:space="0"/>
            </w:tcBorders>
            <w:vAlign w:val="center"/>
          </w:tcPr>
          <w:p w14:paraId="70363F6F">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5</w:t>
            </w:r>
          </w:p>
        </w:tc>
        <w:tc>
          <w:tcPr>
            <w:tcW w:w="9570" w:type="dxa"/>
            <w:tcBorders>
              <w:top w:val="single" w:color="auto" w:sz="4" w:space="0"/>
              <w:left w:val="single" w:color="auto" w:sz="4" w:space="0"/>
              <w:bottom w:val="single" w:color="auto" w:sz="4" w:space="0"/>
              <w:right w:val="single" w:color="auto" w:sz="4" w:space="0"/>
            </w:tcBorders>
            <w:vAlign w:val="center"/>
          </w:tcPr>
          <w:p w14:paraId="0356BF64">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投标保证金的形式：公对公、支票、汇票、本票、保函等非现金形式</w:t>
            </w:r>
          </w:p>
          <w:p w14:paraId="683F2117">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缴纳响应截止时间：2025年07月</w:t>
            </w:r>
            <w:r>
              <w:rPr>
                <w:rFonts w:hint="eastAsia" w:cs="Times New Roman"/>
                <w:kern w:val="2"/>
                <w:sz w:val="21"/>
                <w:szCs w:val="20"/>
                <w:highlight w:val="none"/>
                <w:lang w:val="en-US" w:eastAsia="zh-CN" w:bidi="ar-SA"/>
              </w:rPr>
              <w:t>21</w:t>
            </w:r>
            <w:r>
              <w:rPr>
                <w:rFonts w:hint="eastAsia" w:ascii="Times New Roman" w:hAnsi="Times New Roman" w:eastAsia="宋体" w:cs="Times New Roman"/>
                <w:kern w:val="2"/>
                <w:sz w:val="21"/>
                <w:szCs w:val="20"/>
                <w:highlight w:val="none"/>
                <w:lang w:val="en-US" w:eastAsia="zh-CN" w:bidi="ar-SA"/>
              </w:rPr>
              <w:t>日1</w:t>
            </w:r>
            <w:r>
              <w:rPr>
                <w:rFonts w:hint="eastAsia" w:cs="Times New Roman"/>
                <w:kern w:val="2"/>
                <w:sz w:val="21"/>
                <w:szCs w:val="20"/>
                <w:highlight w:val="none"/>
                <w:lang w:val="en-US" w:eastAsia="zh-CN" w:bidi="ar-SA"/>
              </w:rPr>
              <w:t>1</w:t>
            </w:r>
            <w:r>
              <w:rPr>
                <w:rFonts w:hint="eastAsia" w:ascii="Times New Roman" w:hAnsi="Times New Roman" w:eastAsia="宋体" w:cs="Times New Roman"/>
                <w:kern w:val="2"/>
                <w:sz w:val="21"/>
                <w:szCs w:val="20"/>
                <w:highlight w:val="none"/>
                <w:lang w:val="en-US" w:eastAsia="zh-CN" w:bidi="ar-SA"/>
              </w:rPr>
              <w:t>时00分</w:t>
            </w:r>
          </w:p>
          <w:p w14:paraId="2EB1DC01">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一、投标保证金</w:t>
            </w:r>
          </w:p>
          <w:p w14:paraId="37A8E35F">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投标保证金的金额：6000元（陆仟元整）</w:t>
            </w:r>
          </w:p>
          <w:p w14:paraId="6C8458FF">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投标保证金必须在截止时间前缴纳至以下账号：</w:t>
            </w:r>
          </w:p>
          <w:p w14:paraId="4246E7D8">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户名：巴州聚诚项目管理有限责任公司</w:t>
            </w:r>
          </w:p>
          <w:p w14:paraId="417E7A04">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开户行：中国建设银行股份有限公司巴音郭楞蒙古自治州分行营业部</w:t>
            </w:r>
          </w:p>
          <w:p w14:paraId="014AF632">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账号：65050170608600002227</w:t>
            </w:r>
          </w:p>
          <w:p w14:paraId="1BF6A9C4">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行号：105888000217</w:t>
            </w:r>
          </w:p>
          <w:p w14:paraId="1588160B">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投标人办理保证金时，须备注：[BZJCZFCGJZCS2025-01号投标保证金或投标保证金]</w:t>
            </w:r>
          </w:p>
          <w:p w14:paraId="335BE49C">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二、电子保函</w:t>
            </w:r>
          </w:p>
          <w:p w14:paraId="037FECED">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政采云平台电子保函：投标人登录http://www.ccgp-xinjiang.gov.cn/网址点击电子保函→立即申请</w:t>
            </w:r>
          </w:p>
        </w:tc>
      </w:tr>
      <w:tr w14:paraId="45CE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0" w:type="dxa"/>
            <w:tcBorders>
              <w:top w:val="single" w:color="auto" w:sz="4" w:space="0"/>
              <w:left w:val="single" w:color="auto" w:sz="4" w:space="0"/>
              <w:bottom w:val="single" w:color="auto" w:sz="4" w:space="0"/>
              <w:right w:val="single" w:color="auto" w:sz="4" w:space="0"/>
            </w:tcBorders>
            <w:vAlign w:val="center"/>
          </w:tcPr>
          <w:p w14:paraId="336333A0">
            <w:pPr>
              <w:spacing w:line="360" w:lineRule="auto"/>
              <w:jc w:val="center"/>
              <w:rPr>
                <w:rFonts w:hint="default" w:ascii="Times New Roman" w:hAnsi="Times New Roman" w:eastAsia="仿宋" w:cs="Times New Roman"/>
                <w:szCs w:val="21"/>
                <w:highlight w:val="none"/>
                <w:lang w:val="en-US" w:eastAsia="zh-CN"/>
              </w:rPr>
            </w:pPr>
            <w:r>
              <w:rPr>
                <w:rFonts w:hint="default" w:ascii="Times New Roman" w:hAnsi="Times New Roman" w:eastAsia="仿宋" w:cs="Times New Roman"/>
                <w:szCs w:val="21"/>
                <w:highlight w:val="none"/>
                <w:lang w:val="en-US" w:eastAsia="zh-CN"/>
              </w:rPr>
              <w:t>6</w:t>
            </w:r>
          </w:p>
        </w:tc>
        <w:tc>
          <w:tcPr>
            <w:tcW w:w="9570" w:type="dxa"/>
            <w:tcBorders>
              <w:top w:val="single" w:color="auto" w:sz="4" w:space="0"/>
              <w:left w:val="single" w:color="auto" w:sz="4" w:space="0"/>
              <w:bottom w:val="single" w:color="auto" w:sz="4" w:space="0"/>
              <w:right w:val="single" w:color="auto" w:sz="4" w:space="0"/>
            </w:tcBorders>
            <w:vAlign w:val="center"/>
          </w:tcPr>
          <w:p w14:paraId="135355FB">
            <w:pPr>
              <w:spacing w:line="360" w:lineRule="auto"/>
              <w:rPr>
                <w:rFonts w:hint="default" w:ascii="Times New Roman" w:hAnsi="Times New Roman" w:eastAsia="宋体" w:cs="Times New Roman"/>
                <w:kern w:val="2"/>
                <w:sz w:val="21"/>
                <w:szCs w:val="20"/>
                <w:highlight w:val="none"/>
                <w:u w:val="none"/>
                <w:lang w:val="en-US" w:eastAsia="zh-CN" w:bidi="ar-SA"/>
              </w:rPr>
            </w:pPr>
            <w:r>
              <w:rPr>
                <w:rFonts w:hint="default" w:ascii="Times New Roman" w:hAnsi="Times New Roman" w:eastAsia="宋体" w:cs="Times New Roman"/>
                <w:kern w:val="2"/>
                <w:sz w:val="21"/>
                <w:szCs w:val="20"/>
                <w:highlight w:val="none"/>
                <w:u w:val="none"/>
                <w:lang w:val="en-US" w:eastAsia="zh-CN" w:bidi="ar-SA"/>
              </w:rPr>
              <w:t>支持中小企业发展：</w:t>
            </w:r>
            <w:r>
              <w:rPr>
                <w:rFonts w:hint="eastAsia" w:cs="Times New Roman"/>
                <w:kern w:val="2"/>
                <w:sz w:val="21"/>
                <w:szCs w:val="20"/>
                <w:highlight w:val="none"/>
                <w:u w:val="none"/>
                <w:lang w:val="en-US" w:eastAsia="zh-CN" w:bidi="ar-SA"/>
              </w:rPr>
              <w:t>☑</w:t>
            </w:r>
            <w:r>
              <w:rPr>
                <w:rFonts w:hint="default" w:ascii="Times New Roman" w:hAnsi="Times New Roman" w:eastAsia="宋体" w:cs="Times New Roman"/>
                <w:kern w:val="2"/>
                <w:sz w:val="21"/>
                <w:szCs w:val="20"/>
                <w:highlight w:val="none"/>
                <w:u w:val="none"/>
                <w:lang w:val="en-US" w:eastAsia="zh-CN" w:bidi="ar-SA"/>
              </w:rPr>
              <w:t>专门面向中小企业采购项目（不享受价格扣除）</w:t>
            </w:r>
          </w:p>
          <w:p w14:paraId="46385490">
            <w:pPr>
              <w:spacing w:line="360" w:lineRule="auto"/>
              <w:rPr>
                <w:rFonts w:hint="eastAsia"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□本项目为非专门面向</w:t>
            </w:r>
            <w:r>
              <w:rPr>
                <w:rFonts w:hint="default" w:ascii="Times New Roman" w:hAnsi="Times New Roman" w:eastAsia="宋体" w:cs="Times New Roman"/>
                <w:kern w:val="2"/>
                <w:sz w:val="21"/>
                <w:szCs w:val="20"/>
                <w:highlight w:val="none"/>
                <w:lang w:val="en-US" w:eastAsia="zh-CN" w:bidi="ar-SA"/>
              </w:rPr>
              <w:t>中小企业采购项目</w:t>
            </w:r>
          </w:p>
          <w:p w14:paraId="022CAA3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非专门面向中小企业采购项目（价格扣除）：</w:t>
            </w:r>
          </w:p>
          <w:p w14:paraId="7B2AC26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对小型和微型企业产品的价格给予10%-20%的扣除，用扣除后的价格参与评标，本项目的扣除比例为：小型企业扣除10%、微型企业扣除10%。</w:t>
            </w:r>
          </w:p>
          <w:p w14:paraId="6C6970C1">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残疾人福利性单位视同小型、微型企业。残疾人福利性单位属于小型、微型企业的，不重复享受政策。</w:t>
            </w:r>
          </w:p>
          <w:p w14:paraId="3B3A421C">
            <w:pPr>
              <w:spacing w:line="360" w:lineRule="auto"/>
              <w:rPr>
                <w:rFonts w:hint="default" w:ascii="Times New Roman" w:hAnsi="Times New Roman" w:eastAsia="仿宋" w:cs="Times New Roman"/>
                <w:sz w:val="18"/>
                <w:szCs w:val="18"/>
                <w:highlight w:val="none"/>
                <w:lang w:val="zh-CN" w:eastAsia="zh-CN"/>
              </w:rPr>
            </w:pPr>
            <w:r>
              <w:rPr>
                <w:rFonts w:hint="default" w:ascii="Times New Roman" w:hAnsi="Times New Roman" w:eastAsia="宋体" w:cs="Times New Roman"/>
                <w:kern w:val="2"/>
                <w:sz w:val="21"/>
                <w:szCs w:val="20"/>
                <w:highlight w:val="none"/>
                <w:lang w:val="en-US" w:eastAsia="zh-CN" w:bidi="ar-SA"/>
              </w:rPr>
              <w:t xml:space="preserve">□非专门面向中小企业采购项目（其他优惠）： </w:t>
            </w:r>
          </w:p>
        </w:tc>
      </w:tr>
      <w:tr w14:paraId="0A30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tcBorders>
              <w:top w:val="single" w:color="auto" w:sz="4" w:space="0"/>
              <w:left w:val="single" w:color="auto" w:sz="4" w:space="0"/>
              <w:bottom w:val="single" w:color="auto" w:sz="4" w:space="0"/>
              <w:right w:val="single" w:color="auto" w:sz="4" w:space="0"/>
            </w:tcBorders>
            <w:vAlign w:val="center"/>
          </w:tcPr>
          <w:p w14:paraId="461C1373">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7</w:t>
            </w:r>
          </w:p>
        </w:tc>
        <w:tc>
          <w:tcPr>
            <w:tcW w:w="9570" w:type="dxa"/>
            <w:tcBorders>
              <w:top w:val="single" w:color="auto" w:sz="4" w:space="0"/>
              <w:left w:val="single" w:color="auto" w:sz="4" w:space="0"/>
              <w:bottom w:val="single" w:color="auto" w:sz="4" w:space="0"/>
              <w:right w:val="single" w:color="auto" w:sz="4" w:space="0"/>
            </w:tcBorders>
            <w:vAlign w:val="center"/>
          </w:tcPr>
          <w:p w14:paraId="47AF6E6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中标人应自中标通知书发出后30日内与采购人签订合同。</w:t>
            </w:r>
          </w:p>
        </w:tc>
      </w:tr>
      <w:tr w14:paraId="01D5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tcBorders>
              <w:top w:val="single" w:color="auto" w:sz="4" w:space="0"/>
              <w:left w:val="single" w:color="auto" w:sz="4" w:space="0"/>
              <w:bottom w:val="single" w:color="auto" w:sz="4" w:space="0"/>
              <w:right w:val="single" w:color="auto" w:sz="4" w:space="0"/>
            </w:tcBorders>
            <w:vAlign w:val="center"/>
          </w:tcPr>
          <w:p w14:paraId="4E3B2499">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8</w:t>
            </w:r>
          </w:p>
        </w:tc>
        <w:tc>
          <w:tcPr>
            <w:tcW w:w="9570" w:type="dxa"/>
            <w:tcBorders>
              <w:top w:val="single" w:color="auto" w:sz="4" w:space="0"/>
              <w:left w:val="single" w:color="auto" w:sz="4" w:space="0"/>
              <w:bottom w:val="single" w:color="auto" w:sz="4" w:space="0"/>
              <w:right w:val="single" w:color="auto" w:sz="4" w:space="0"/>
            </w:tcBorders>
            <w:vAlign w:val="center"/>
          </w:tcPr>
          <w:p w14:paraId="249AD04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付款方式：</w:t>
            </w:r>
          </w:p>
          <w:p w14:paraId="70E0F7AF">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1、付款币种：本次招标所述的项目资金均以人民币支付；</w:t>
            </w:r>
          </w:p>
          <w:p w14:paraId="175AAA3F">
            <w:pPr>
              <w:pStyle w:val="8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w:t>
            </w:r>
            <w:r>
              <w:rPr>
                <w:rFonts w:hint="default" w:ascii="Times New Roman" w:hAnsi="Times New Roman" w:eastAsia="宋体" w:cs="Times New Roman"/>
                <w:kern w:val="2"/>
                <w:sz w:val="21"/>
                <w:szCs w:val="20"/>
                <w:highlight w:val="none"/>
                <w:u w:val="none"/>
                <w:lang w:val="en-US" w:eastAsia="zh-CN" w:bidi="ar-SA"/>
              </w:rPr>
              <w:t>付款方式：签订合同</w:t>
            </w:r>
            <w:r>
              <w:rPr>
                <w:rFonts w:hint="eastAsia" w:ascii="Times New Roman" w:hAnsi="Times New Roman" w:cs="Times New Roman"/>
                <w:kern w:val="2"/>
                <w:sz w:val="21"/>
                <w:szCs w:val="20"/>
                <w:highlight w:val="none"/>
                <w:u w:val="none"/>
                <w:lang w:val="en-US" w:eastAsia="zh-CN" w:bidi="ar-SA"/>
              </w:rPr>
              <w:t>时双方协商</w:t>
            </w:r>
            <w:r>
              <w:rPr>
                <w:rFonts w:hint="default" w:ascii="Times New Roman" w:hAnsi="Times New Roman" w:eastAsia="宋体" w:cs="Times New Roman"/>
                <w:kern w:val="2"/>
                <w:sz w:val="21"/>
                <w:szCs w:val="20"/>
                <w:highlight w:val="none"/>
                <w:u w:val="none"/>
                <w:lang w:val="en-US" w:eastAsia="zh-CN" w:bidi="ar-SA"/>
              </w:rPr>
              <w:t>。</w:t>
            </w:r>
          </w:p>
        </w:tc>
      </w:tr>
      <w:tr w14:paraId="3CB6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0" w:type="dxa"/>
            <w:tcBorders>
              <w:top w:val="single" w:color="auto" w:sz="4" w:space="0"/>
              <w:left w:val="single" w:color="auto" w:sz="4" w:space="0"/>
              <w:bottom w:val="single" w:color="auto" w:sz="4" w:space="0"/>
              <w:right w:val="single" w:color="auto" w:sz="4" w:space="0"/>
            </w:tcBorders>
            <w:vAlign w:val="center"/>
          </w:tcPr>
          <w:p w14:paraId="26BB99E7">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9</w:t>
            </w:r>
          </w:p>
        </w:tc>
        <w:tc>
          <w:tcPr>
            <w:tcW w:w="9570" w:type="dxa"/>
            <w:tcBorders>
              <w:top w:val="single" w:color="auto" w:sz="4" w:space="0"/>
              <w:left w:val="single" w:color="auto" w:sz="4" w:space="0"/>
              <w:bottom w:val="single" w:color="auto" w:sz="4" w:space="0"/>
              <w:right w:val="single" w:color="auto" w:sz="4" w:space="0"/>
            </w:tcBorders>
            <w:vAlign w:val="center"/>
          </w:tcPr>
          <w:p w14:paraId="755B194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答疑与澄清：投标人如认为竞争性磋商文件表述不清晰、存在歧视性或者其他违法内容的，应当于开标五日前，以书面形式要求</w:t>
            </w:r>
            <w:r>
              <w:rPr>
                <w:rFonts w:hint="eastAsia" w:cs="Times New Roman"/>
                <w:kern w:val="2"/>
                <w:sz w:val="21"/>
                <w:szCs w:val="20"/>
                <w:highlight w:val="none"/>
                <w:lang w:val="en-US" w:eastAsia="zh-CN" w:bidi="ar-SA"/>
              </w:rPr>
              <w:t>巴州聚诚项目管理有限责任公司</w:t>
            </w:r>
            <w:r>
              <w:rPr>
                <w:rFonts w:hint="default" w:ascii="Times New Roman" w:hAnsi="Times New Roman" w:eastAsia="宋体" w:cs="Times New Roman"/>
                <w:kern w:val="2"/>
                <w:sz w:val="21"/>
                <w:szCs w:val="20"/>
                <w:highlight w:val="none"/>
                <w:lang w:val="en-US" w:eastAsia="zh-CN" w:bidi="ar-SA"/>
              </w:rPr>
              <w:t>作出书面解释、澄清或者向</w:t>
            </w:r>
            <w:r>
              <w:rPr>
                <w:rFonts w:hint="eastAsia" w:cs="Times New Roman"/>
                <w:kern w:val="2"/>
                <w:sz w:val="21"/>
                <w:szCs w:val="20"/>
                <w:highlight w:val="none"/>
                <w:lang w:val="en-US" w:eastAsia="zh-CN" w:bidi="ar-SA"/>
              </w:rPr>
              <w:t>巴州聚诚项目管理有限责任公司</w:t>
            </w:r>
            <w:r>
              <w:rPr>
                <w:rFonts w:hint="default" w:ascii="Times New Roman" w:hAnsi="Times New Roman" w:eastAsia="宋体" w:cs="Times New Roman"/>
                <w:kern w:val="2"/>
                <w:sz w:val="21"/>
                <w:szCs w:val="20"/>
                <w:highlight w:val="none"/>
                <w:lang w:val="en-US" w:eastAsia="zh-CN" w:bidi="ar-SA"/>
              </w:rPr>
              <w:t>提出书面质疑；逾期不再受理。</w:t>
            </w:r>
          </w:p>
        </w:tc>
      </w:tr>
      <w:tr w14:paraId="38AD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20" w:type="dxa"/>
            <w:tcBorders>
              <w:top w:val="single" w:color="auto" w:sz="4" w:space="0"/>
              <w:left w:val="single" w:color="auto" w:sz="4" w:space="0"/>
              <w:bottom w:val="single" w:color="auto" w:sz="4" w:space="0"/>
              <w:right w:val="single" w:color="auto" w:sz="4" w:space="0"/>
            </w:tcBorders>
            <w:vAlign w:val="center"/>
          </w:tcPr>
          <w:p w14:paraId="27DCC9C9">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10</w:t>
            </w:r>
          </w:p>
        </w:tc>
        <w:tc>
          <w:tcPr>
            <w:tcW w:w="9570" w:type="dxa"/>
            <w:tcBorders>
              <w:top w:val="single" w:color="auto" w:sz="4" w:space="0"/>
              <w:left w:val="single" w:color="auto" w:sz="4" w:space="0"/>
              <w:bottom w:val="single" w:color="auto" w:sz="4" w:space="0"/>
              <w:right w:val="single" w:color="auto" w:sz="4" w:space="0"/>
            </w:tcBorders>
            <w:vAlign w:val="center"/>
          </w:tcPr>
          <w:p w14:paraId="65571CC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default" w:ascii="Times New Roman" w:hAnsi="Times New Roman"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lang w:val="en-US" w:eastAsia="zh-CN" w:bidi="ar-SA"/>
              </w:rPr>
              <w:t>投标人应详细阅读招标方的招标文件中的条款、规范、表示、条件和格式等所有内容，按招标文件的要求编制竞争性磋商文件和提供要求上传的竞争性磋商文件，并保证所提供全部材料的真实性；竞争性磋商文件必须对招标文件提出的要求和条件做出实质性响应。否则，其投标可能将被拒绝。</w:t>
            </w:r>
          </w:p>
          <w:p w14:paraId="12CEA3E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w:t>
            </w:r>
            <w:r>
              <w:rPr>
                <w:rFonts w:hint="default" w:ascii="Times New Roman" w:hAnsi="Times New Roman" w:cs="Times New Roman"/>
                <w:kern w:val="2"/>
                <w:sz w:val="21"/>
                <w:szCs w:val="20"/>
                <w:highlight w:val="none"/>
                <w:lang w:val="en-US" w:eastAsia="zh-CN" w:bidi="ar-SA"/>
              </w:rPr>
              <w:t>、</w:t>
            </w:r>
            <w:r>
              <w:rPr>
                <w:rFonts w:hint="default" w:ascii="Times New Roman" w:hAnsi="Times New Roman" w:eastAsia="宋体" w:cs="Times New Roman"/>
                <w:kern w:val="2"/>
                <w:sz w:val="21"/>
                <w:szCs w:val="20"/>
                <w:highlight w:val="none"/>
                <w:lang w:val="en-US" w:eastAsia="zh-CN" w:bidi="ar-SA"/>
              </w:rPr>
              <w:t>竞争性磋商响应文件必须使用政府采购云平台投标文件制作工具，制作完成需将加密投标文件在投标截止时间前上传至政采云平台对应位置。</w:t>
            </w:r>
          </w:p>
          <w:p w14:paraId="76B91DF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2.1供应商备份文件可自愿在202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年</w:t>
            </w:r>
            <w:r>
              <w:rPr>
                <w:rFonts w:hint="eastAsia" w:cs="Times New Roman"/>
                <w:kern w:val="2"/>
                <w:sz w:val="21"/>
                <w:szCs w:val="20"/>
                <w:highlight w:val="none"/>
                <w:lang w:val="en-US" w:eastAsia="zh-CN" w:bidi="ar-SA"/>
              </w:rPr>
              <w:t>07</w:t>
            </w:r>
            <w:r>
              <w:rPr>
                <w:rFonts w:hint="default" w:ascii="Times New Roman" w:hAnsi="Times New Roman" w:eastAsia="宋体" w:cs="Times New Roman"/>
                <w:kern w:val="2"/>
                <w:sz w:val="21"/>
                <w:szCs w:val="20"/>
                <w:highlight w:val="none"/>
                <w:lang w:val="en-US" w:eastAsia="zh-CN" w:bidi="ar-SA"/>
              </w:rPr>
              <w:t>月</w:t>
            </w:r>
            <w:r>
              <w:rPr>
                <w:rFonts w:hint="eastAsia" w:cs="Times New Roman"/>
                <w:kern w:val="2"/>
                <w:sz w:val="21"/>
                <w:szCs w:val="20"/>
                <w:highlight w:val="none"/>
                <w:lang w:val="en-US" w:eastAsia="zh-CN" w:bidi="ar-SA"/>
              </w:rPr>
              <w:t>21</w:t>
            </w:r>
            <w:r>
              <w:rPr>
                <w:rFonts w:hint="default" w:ascii="Times New Roman" w:hAnsi="Times New Roman" w:eastAsia="宋体" w:cs="Times New Roman"/>
                <w:kern w:val="2"/>
                <w:sz w:val="21"/>
                <w:szCs w:val="20"/>
                <w:highlight w:val="none"/>
                <w:lang w:val="en-US" w:eastAsia="zh-CN" w:bidi="ar-SA"/>
              </w:rPr>
              <w:t>日1</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时00分前（北京时间）以U盘邮寄或电子邮件方式提供给代理机构（具体联系人：</w:t>
            </w:r>
            <w:r>
              <w:rPr>
                <w:rFonts w:hint="eastAsia" w:ascii="Times New Roman" w:hAnsi="Times New Roman" w:eastAsia="宋体" w:cs="Times New Roman"/>
                <w:kern w:val="2"/>
                <w:sz w:val="21"/>
                <w:szCs w:val="20"/>
                <w:highlight w:val="none"/>
                <w:lang w:val="en-US" w:eastAsia="zh-CN" w:bidi="ar-SA"/>
              </w:rPr>
              <w:t>刘琼，邮箱号：1270049997@qq.com</w:t>
            </w:r>
            <w:r>
              <w:rPr>
                <w:rFonts w:hint="default" w:ascii="Times New Roman" w:hAnsi="Times New Roman" w:eastAsia="宋体" w:cs="Times New Roman"/>
                <w:kern w:val="2"/>
                <w:sz w:val="21"/>
                <w:szCs w:val="20"/>
                <w:highlight w:val="none"/>
                <w:lang w:val="en-US" w:eastAsia="zh-CN" w:bidi="ar-SA"/>
              </w:rPr>
              <w:t>）。</w:t>
            </w:r>
          </w:p>
          <w:p w14:paraId="4CC8B2A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注：</w:t>
            </w:r>
          </w:p>
          <w:p w14:paraId="5B12DFF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（1）与加密标书同时生成的备份标书，在出现异常情况进行异常处理时使用。比如当加密标书无法正常解密时，可以在开启标书信息前，通过异常处理上传备份标书。</w:t>
            </w:r>
          </w:p>
          <w:p w14:paraId="379556E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（3）平台会校验标书一致性及标书身份识别，切勿手动修改标书。</w:t>
            </w:r>
          </w:p>
          <w:p w14:paraId="43B9198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（4）供应商生成的后缀格式为.bfbs的备份标书是无法查看的，主要是为了在开标解密时异常处理使用。</w:t>
            </w:r>
          </w:p>
          <w:p w14:paraId="48595F0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（5）凡因个人原因无法正常解密投标文件（且没提供备份文件至采购代理机构），致使供应商无法参与评标，供应商自行承担后果。</w:t>
            </w:r>
          </w:p>
          <w:p w14:paraId="3C9E619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电报、电话、传真、电子邮件等形式的投标概不接受。</w:t>
            </w:r>
          </w:p>
        </w:tc>
      </w:tr>
      <w:tr w14:paraId="4ADD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20" w:type="dxa"/>
            <w:tcBorders>
              <w:top w:val="single" w:color="auto" w:sz="4" w:space="0"/>
              <w:left w:val="single" w:color="auto" w:sz="4" w:space="0"/>
              <w:bottom w:val="single" w:color="auto" w:sz="4" w:space="0"/>
              <w:right w:val="single" w:color="auto" w:sz="4" w:space="0"/>
            </w:tcBorders>
            <w:vAlign w:val="center"/>
          </w:tcPr>
          <w:p w14:paraId="160C0030">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17733726">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投标截止时间及地点：202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年</w:t>
            </w:r>
            <w:r>
              <w:rPr>
                <w:rFonts w:hint="eastAsia" w:cs="Times New Roman"/>
                <w:kern w:val="2"/>
                <w:sz w:val="21"/>
                <w:szCs w:val="20"/>
                <w:highlight w:val="none"/>
                <w:lang w:val="en-US" w:eastAsia="zh-CN" w:bidi="ar-SA"/>
              </w:rPr>
              <w:t>07</w:t>
            </w:r>
            <w:r>
              <w:rPr>
                <w:rFonts w:hint="default" w:ascii="Times New Roman" w:hAnsi="Times New Roman" w:eastAsia="宋体" w:cs="Times New Roman"/>
                <w:kern w:val="2"/>
                <w:sz w:val="21"/>
                <w:szCs w:val="20"/>
                <w:highlight w:val="none"/>
                <w:lang w:val="en-US" w:eastAsia="zh-CN" w:bidi="ar-SA"/>
              </w:rPr>
              <w:t>月</w:t>
            </w:r>
            <w:r>
              <w:rPr>
                <w:rFonts w:hint="eastAsia" w:cs="Times New Roman"/>
                <w:kern w:val="2"/>
                <w:sz w:val="21"/>
                <w:szCs w:val="20"/>
                <w:highlight w:val="none"/>
                <w:lang w:val="en-US" w:eastAsia="zh-CN" w:bidi="ar-SA"/>
              </w:rPr>
              <w:t>21</w:t>
            </w:r>
            <w:r>
              <w:rPr>
                <w:rFonts w:hint="default" w:ascii="Times New Roman" w:hAnsi="Times New Roman" w:eastAsia="宋体" w:cs="Times New Roman"/>
                <w:kern w:val="2"/>
                <w:sz w:val="21"/>
                <w:szCs w:val="20"/>
                <w:highlight w:val="none"/>
                <w:lang w:val="en-US" w:eastAsia="zh-CN" w:bidi="ar-SA"/>
              </w:rPr>
              <w:t>日  1</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：00时（北京时间）前将竞争性磋商响应文件上传至政采云平台对应位置，逾期上传作无效标处理。</w:t>
            </w:r>
          </w:p>
        </w:tc>
      </w:tr>
      <w:tr w14:paraId="5F06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20" w:type="dxa"/>
            <w:tcBorders>
              <w:top w:val="single" w:color="auto" w:sz="4" w:space="0"/>
              <w:left w:val="single" w:color="auto" w:sz="4" w:space="0"/>
              <w:bottom w:val="single" w:color="auto" w:sz="4" w:space="0"/>
              <w:right w:val="single" w:color="auto" w:sz="4" w:space="0"/>
            </w:tcBorders>
            <w:vAlign w:val="center"/>
          </w:tcPr>
          <w:p w14:paraId="61435E78">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59DA8F3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开标时间：202</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年</w:t>
            </w:r>
            <w:r>
              <w:rPr>
                <w:rFonts w:hint="eastAsia" w:cs="Times New Roman"/>
                <w:kern w:val="2"/>
                <w:sz w:val="21"/>
                <w:szCs w:val="20"/>
                <w:highlight w:val="none"/>
                <w:lang w:val="en-US" w:eastAsia="zh-CN" w:bidi="ar-SA"/>
              </w:rPr>
              <w:t>07</w:t>
            </w:r>
            <w:r>
              <w:rPr>
                <w:rFonts w:hint="default" w:ascii="Times New Roman" w:hAnsi="Times New Roman" w:eastAsia="宋体" w:cs="Times New Roman"/>
                <w:kern w:val="2"/>
                <w:sz w:val="21"/>
                <w:szCs w:val="20"/>
                <w:highlight w:val="none"/>
                <w:lang w:val="en-US" w:eastAsia="zh-CN" w:bidi="ar-SA"/>
              </w:rPr>
              <w:t>月</w:t>
            </w:r>
            <w:r>
              <w:rPr>
                <w:rFonts w:hint="eastAsia" w:cs="Times New Roman"/>
                <w:kern w:val="2"/>
                <w:sz w:val="21"/>
                <w:szCs w:val="20"/>
                <w:highlight w:val="none"/>
                <w:lang w:val="en-US" w:eastAsia="zh-CN" w:bidi="ar-SA"/>
              </w:rPr>
              <w:t>21</w:t>
            </w:r>
            <w:bookmarkStart w:id="56" w:name="_GoBack"/>
            <w:bookmarkEnd w:id="56"/>
            <w:r>
              <w:rPr>
                <w:rFonts w:hint="default" w:ascii="Times New Roman" w:hAnsi="Times New Roman" w:eastAsia="宋体" w:cs="Times New Roman"/>
                <w:kern w:val="2"/>
                <w:sz w:val="21"/>
                <w:szCs w:val="20"/>
                <w:highlight w:val="none"/>
                <w:lang w:val="en-US" w:eastAsia="zh-CN" w:bidi="ar-SA"/>
              </w:rPr>
              <w:t>日  1</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：00时（北京时间）</w:t>
            </w:r>
          </w:p>
          <w:p w14:paraId="781F5B3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开标地点：政采云平台</w:t>
            </w:r>
          </w:p>
        </w:tc>
      </w:tr>
      <w:tr w14:paraId="2789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7D916BFD">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3</w:t>
            </w:r>
          </w:p>
        </w:tc>
        <w:tc>
          <w:tcPr>
            <w:tcW w:w="9570" w:type="dxa"/>
            <w:tcBorders>
              <w:top w:val="single" w:color="auto" w:sz="4" w:space="0"/>
              <w:left w:val="single" w:color="auto" w:sz="4" w:space="0"/>
              <w:bottom w:val="single" w:color="auto" w:sz="4" w:space="0"/>
              <w:right w:val="single" w:color="auto" w:sz="4" w:space="0"/>
            </w:tcBorders>
            <w:vAlign w:val="center"/>
          </w:tcPr>
          <w:p w14:paraId="2BDC874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评审方法：综合评分法</w:t>
            </w:r>
          </w:p>
        </w:tc>
      </w:tr>
      <w:tr w14:paraId="4B61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05C925B7">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4</w:t>
            </w:r>
          </w:p>
        </w:tc>
        <w:tc>
          <w:tcPr>
            <w:tcW w:w="9570" w:type="dxa"/>
            <w:tcBorders>
              <w:top w:val="single" w:color="auto" w:sz="4" w:space="0"/>
              <w:left w:val="single" w:color="auto" w:sz="4" w:space="0"/>
              <w:bottom w:val="single" w:color="auto" w:sz="4" w:space="0"/>
              <w:right w:val="single" w:color="auto" w:sz="4" w:space="0"/>
            </w:tcBorders>
            <w:vAlign w:val="center"/>
          </w:tcPr>
          <w:p w14:paraId="24EC3E9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中标公示：采购结果在《新疆政府采购网》公告栏发布中标公示。</w:t>
            </w:r>
          </w:p>
        </w:tc>
      </w:tr>
      <w:tr w14:paraId="5995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tcBorders>
              <w:top w:val="single" w:color="auto" w:sz="4" w:space="0"/>
              <w:left w:val="single" w:color="auto" w:sz="4" w:space="0"/>
              <w:bottom w:val="single" w:color="auto" w:sz="4" w:space="0"/>
              <w:right w:val="single" w:color="auto" w:sz="4" w:space="0"/>
            </w:tcBorders>
            <w:vAlign w:val="center"/>
          </w:tcPr>
          <w:p w14:paraId="778A7D2E">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5</w:t>
            </w:r>
          </w:p>
        </w:tc>
        <w:tc>
          <w:tcPr>
            <w:tcW w:w="9570" w:type="dxa"/>
            <w:tcBorders>
              <w:top w:val="single" w:color="auto" w:sz="4" w:space="0"/>
              <w:left w:val="single" w:color="auto" w:sz="4" w:space="0"/>
              <w:bottom w:val="single" w:color="auto" w:sz="4" w:space="0"/>
              <w:right w:val="single" w:color="auto" w:sz="4" w:space="0"/>
            </w:tcBorders>
            <w:vAlign w:val="center"/>
          </w:tcPr>
          <w:p w14:paraId="1299E56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履约保证金的收取及退还:中标单位和采购人签订合同时约定。</w:t>
            </w:r>
          </w:p>
        </w:tc>
      </w:tr>
      <w:tr w14:paraId="137C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0" w:type="dxa"/>
            <w:tcBorders>
              <w:top w:val="single" w:color="auto" w:sz="4" w:space="0"/>
              <w:left w:val="single" w:color="auto" w:sz="4" w:space="0"/>
              <w:bottom w:val="single" w:color="auto" w:sz="4" w:space="0"/>
              <w:right w:val="single" w:color="auto" w:sz="4" w:space="0"/>
            </w:tcBorders>
            <w:vAlign w:val="center"/>
          </w:tcPr>
          <w:p w14:paraId="6827436E">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6</w:t>
            </w:r>
          </w:p>
        </w:tc>
        <w:tc>
          <w:tcPr>
            <w:tcW w:w="9570" w:type="dxa"/>
            <w:tcBorders>
              <w:top w:val="single" w:color="auto" w:sz="4" w:space="0"/>
              <w:left w:val="single" w:color="auto" w:sz="4" w:space="0"/>
              <w:bottom w:val="single" w:color="auto" w:sz="4" w:space="0"/>
              <w:right w:val="single" w:color="auto" w:sz="4" w:space="0"/>
            </w:tcBorders>
            <w:vAlign w:val="center"/>
          </w:tcPr>
          <w:p w14:paraId="4A0C43E9">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本项目采用竞争性磋商的方式评选确定得分最高的为中标单位。</w:t>
            </w:r>
          </w:p>
        </w:tc>
      </w:tr>
      <w:tr w14:paraId="28B3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2CBA8FC5">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7</w:t>
            </w:r>
          </w:p>
        </w:tc>
        <w:tc>
          <w:tcPr>
            <w:tcW w:w="9570" w:type="dxa"/>
            <w:tcBorders>
              <w:top w:val="single" w:color="auto" w:sz="4" w:space="0"/>
              <w:left w:val="single" w:color="auto" w:sz="4" w:space="0"/>
              <w:bottom w:val="single" w:color="auto" w:sz="4" w:space="0"/>
              <w:right w:val="single" w:color="auto" w:sz="4" w:space="0"/>
            </w:tcBorders>
            <w:vAlign w:val="center"/>
          </w:tcPr>
          <w:p w14:paraId="2B22E34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本次竞争性磋商文件由采购人及</w:t>
            </w:r>
            <w:r>
              <w:rPr>
                <w:rFonts w:hint="eastAsia" w:ascii="Times New Roman" w:hAnsi="Times New Roman" w:eastAsia="宋体" w:cs="Times New Roman"/>
                <w:kern w:val="2"/>
                <w:sz w:val="21"/>
                <w:szCs w:val="20"/>
                <w:highlight w:val="none"/>
                <w:lang w:val="en-US" w:eastAsia="zh-CN" w:bidi="ar-SA"/>
              </w:rPr>
              <w:t>巴州聚诚项目管理有限责任公司</w:t>
            </w:r>
            <w:r>
              <w:rPr>
                <w:rFonts w:hint="default" w:ascii="Times New Roman" w:hAnsi="Times New Roman" w:eastAsia="宋体" w:cs="Times New Roman"/>
                <w:kern w:val="2"/>
                <w:sz w:val="21"/>
                <w:szCs w:val="20"/>
                <w:highlight w:val="none"/>
                <w:lang w:val="en-US" w:eastAsia="zh-CN" w:bidi="ar-SA"/>
              </w:rPr>
              <w:t>解释。</w:t>
            </w:r>
          </w:p>
        </w:tc>
      </w:tr>
      <w:tr w14:paraId="3267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4C150564">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8</w:t>
            </w:r>
          </w:p>
        </w:tc>
        <w:tc>
          <w:tcPr>
            <w:tcW w:w="9570" w:type="dxa"/>
            <w:tcBorders>
              <w:top w:val="single" w:color="auto" w:sz="4" w:space="0"/>
              <w:left w:val="single" w:color="auto" w:sz="4" w:space="0"/>
              <w:bottom w:val="single" w:color="auto" w:sz="4" w:space="0"/>
              <w:right w:val="single" w:color="auto" w:sz="4" w:space="0"/>
            </w:tcBorders>
            <w:vAlign w:val="center"/>
          </w:tcPr>
          <w:p w14:paraId="26EAE7CC">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招标代理服务费</w:t>
            </w:r>
          </w:p>
          <w:p w14:paraId="49DBD6C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59C3F32E">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2、代理报酬的收取金额：</w:t>
            </w:r>
            <w:r>
              <w:rPr>
                <w:rFonts w:hint="eastAsia" w:cs="Times New Roman"/>
                <w:kern w:val="2"/>
                <w:sz w:val="21"/>
                <w:szCs w:val="20"/>
                <w:highlight w:val="none"/>
                <w:lang w:val="en-US" w:eastAsia="zh-CN" w:bidi="ar-SA"/>
              </w:rPr>
              <w:t>中标金额的1.5%</w:t>
            </w:r>
          </w:p>
          <w:p w14:paraId="499D711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3、代理报酬支付方式：中标供应商支付</w:t>
            </w:r>
          </w:p>
          <w:p w14:paraId="1095F08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4、代理报酬的支付时间：领取中标通知书时支付</w:t>
            </w:r>
          </w:p>
          <w:p w14:paraId="0575CAC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针对招标代理服务费，如中标人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5C98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8" w:hRule="atLeast"/>
        </w:trPr>
        <w:tc>
          <w:tcPr>
            <w:tcW w:w="720" w:type="dxa"/>
            <w:tcBorders>
              <w:top w:val="single" w:color="auto" w:sz="4" w:space="0"/>
              <w:left w:val="single" w:color="auto" w:sz="4" w:space="0"/>
              <w:bottom w:val="single" w:color="auto" w:sz="4" w:space="0"/>
              <w:right w:val="single" w:color="auto" w:sz="4" w:space="0"/>
            </w:tcBorders>
            <w:vAlign w:val="center"/>
          </w:tcPr>
          <w:p w14:paraId="6310AC7D">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w:t>
            </w:r>
            <w:r>
              <w:rPr>
                <w:rFonts w:hint="eastAsia" w:cs="Times New Roman"/>
                <w:kern w:val="2"/>
                <w:sz w:val="21"/>
                <w:szCs w:val="20"/>
                <w:highlight w:val="none"/>
                <w:lang w:val="en-US" w:eastAsia="zh-CN" w:bidi="ar-SA"/>
              </w:rPr>
              <w:t>9</w:t>
            </w:r>
          </w:p>
        </w:tc>
        <w:tc>
          <w:tcPr>
            <w:tcW w:w="9570" w:type="dxa"/>
            <w:tcBorders>
              <w:top w:val="single" w:color="auto" w:sz="4" w:space="0"/>
              <w:left w:val="single" w:color="auto" w:sz="4" w:space="0"/>
              <w:bottom w:val="single" w:color="auto" w:sz="4" w:space="0"/>
              <w:right w:val="single" w:color="auto" w:sz="4" w:space="0"/>
            </w:tcBorders>
            <w:vAlign w:val="center"/>
          </w:tcPr>
          <w:p w14:paraId="2774B848">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政府采购政策支持</w:t>
            </w:r>
          </w:p>
          <w:p w14:paraId="41A50BEC">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（1）财政部、国家发展改革委、生态环境部、市场监管总局《关于调整优化节能产品、环境标志产品政府采购执行机制的通知》（财库[2019]9号文）； </w:t>
            </w:r>
          </w:p>
          <w:p w14:paraId="16516B88">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（2）财政部、生态环境部《关于印发环境标志产品政府采购品目清单的通知》（财库[2019]18号文）； </w:t>
            </w:r>
          </w:p>
          <w:p w14:paraId="06270299">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（3）财政部、发展改革委《关于印发节能产品政府采购品目清单的通知》（财库[2019]19号文）； </w:t>
            </w:r>
          </w:p>
          <w:p w14:paraId="5088438F">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（4）市场监管总局《市场监管总局关于发布参与实施政府采购节能产品、环境标志产品认证机构名录的公告》（2019年第16号）； </w:t>
            </w:r>
          </w:p>
          <w:p w14:paraId="7570D55D">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（5）财政部、工业和信息化部《关于印发《政府采购促进中小企业发展管理办法》的通知》（财库[2020]46号文）； </w:t>
            </w:r>
          </w:p>
          <w:p w14:paraId="35EEA4CE">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（6）财政部、民政部、中国残疾人联合会《关于促进残疾人就业政府采购政策的通知》（财库[2017]141号）； </w:t>
            </w:r>
          </w:p>
          <w:p w14:paraId="075AC9F9">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(7）财政部、司法部《关于政府采购支持监狱企业发展有关问题的通知》（财库[2014]68号文）。（中小企业优惠、监狱企业、节能产品、环境标志产品等）。</w:t>
            </w:r>
          </w:p>
        </w:tc>
      </w:tr>
      <w:tr w14:paraId="2886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7F59D8AB">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20</w:t>
            </w:r>
          </w:p>
        </w:tc>
        <w:tc>
          <w:tcPr>
            <w:tcW w:w="9570" w:type="dxa"/>
            <w:tcBorders>
              <w:top w:val="single" w:color="auto" w:sz="4" w:space="0"/>
              <w:left w:val="single" w:color="auto" w:sz="4" w:space="0"/>
              <w:bottom w:val="single" w:color="auto" w:sz="4" w:space="0"/>
              <w:right w:val="single" w:color="auto" w:sz="4" w:space="0"/>
            </w:tcBorders>
            <w:vAlign w:val="center"/>
          </w:tcPr>
          <w:p w14:paraId="26ADDF13">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投标人报价明显低于其他通过符合性审查投标人的报价：</w:t>
            </w:r>
          </w:p>
          <w:p w14:paraId="1CBABED0">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tc>
      </w:tr>
      <w:tr w14:paraId="1180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21BF9BA1">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2</w:t>
            </w:r>
            <w:r>
              <w:rPr>
                <w:rFonts w:hint="eastAsia" w:cs="Times New Roman"/>
                <w:kern w:val="2"/>
                <w:sz w:val="21"/>
                <w:szCs w:val="20"/>
                <w:highlight w:val="none"/>
                <w:lang w:val="en-US" w:eastAsia="zh-CN" w:bidi="ar-SA"/>
              </w:rPr>
              <w:t>1</w:t>
            </w:r>
          </w:p>
        </w:tc>
        <w:tc>
          <w:tcPr>
            <w:tcW w:w="9570" w:type="dxa"/>
            <w:tcBorders>
              <w:top w:val="single" w:color="auto" w:sz="4" w:space="0"/>
              <w:left w:val="single" w:color="auto" w:sz="4" w:space="0"/>
              <w:bottom w:val="single" w:color="auto" w:sz="4" w:space="0"/>
              <w:right w:val="single" w:color="auto" w:sz="4" w:space="0"/>
            </w:tcBorders>
            <w:vAlign w:val="center"/>
          </w:tcPr>
          <w:p w14:paraId="16D53C8D">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供应商不得存在下列情形之一：</w:t>
            </w:r>
          </w:p>
          <w:p w14:paraId="19BBA714">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（1）与采购人存在利害关系且可能影响招标公正性；</w:t>
            </w:r>
          </w:p>
          <w:p w14:paraId="60C3C6D8">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（2）与本招标项目的其他供应商为同一个单位负责人；</w:t>
            </w:r>
          </w:p>
          <w:p w14:paraId="29EB188D">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（3）与本招标项目的其他供应商存在控股、管理关系；</w:t>
            </w:r>
          </w:p>
          <w:p w14:paraId="07B53C89">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（4）被依法暂停或者取消投标资格；</w:t>
            </w:r>
          </w:p>
          <w:p w14:paraId="49C60B05">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（5）被责令停产停业、暂扣或者吊销许可证、暂扣或者吊销执照；</w:t>
            </w:r>
          </w:p>
          <w:p w14:paraId="55EAD652">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（6）进入清算程序，或被宣告破产，或其他丧失履约能力的情形；</w:t>
            </w:r>
          </w:p>
          <w:p w14:paraId="577C8B89">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（7）被工商行政管理机关在全国企业信用信息公示系统中列入严重违法失信企业名单；</w:t>
            </w:r>
          </w:p>
          <w:p w14:paraId="546EFDBB">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（8）被最高人民法院在“信用中国”网站（www.creditchina.gov.cn）或各级信用信息共享平台中列入失信被执行人名单；</w:t>
            </w:r>
          </w:p>
          <w:p w14:paraId="4DEBFBAB">
            <w:pPr>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（9）法律法规或供应商须知前附表规定的其他情形。</w:t>
            </w:r>
          </w:p>
        </w:tc>
      </w:tr>
      <w:tr w14:paraId="1673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54B7C0BC">
            <w:pPr>
              <w:spacing w:line="360" w:lineRule="auto"/>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cs="Times New Roman"/>
                <w:kern w:val="2"/>
                <w:sz w:val="21"/>
                <w:szCs w:val="20"/>
                <w:highlight w:val="none"/>
                <w:lang w:val="en-US" w:eastAsia="zh-CN" w:bidi="ar-SA"/>
              </w:rPr>
              <w:t>2</w:t>
            </w:r>
            <w:r>
              <w:rPr>
                <w:rFonts w:hint="eastAsia" w:cs="Times New Roman"/>
                <w:kern w:val="2"/>
                <w:sz w:val="21"/>
                <w:szCs w:val="20"/>
                <w:highlight w:val="none"/>
                <w:lang w:val="en-US" w:eastAsia="zh-CN" w:bidi="ar-SA"/>
              </w:rPr>
              <w:t>2</w:t>
            </w:r>
          </w:p>
        </w:tc>
        <w:tc>
          <w:tcPr>
            <w:tcW w:w="9570" w:type="dxa"/>
            <w:tcBorders>
              <w:top w:val="single" w:color="auto" w:sz="4" w:space="0"/>
              <w:left w:val="single" w:color="auto" w:sz="4" w:space="0"/>
              <w:bottom w:val="single" w:color="auto" w:sz="4" w:space="0"/>
              <w:right w:val="single" w:color="auto" w:sz="4" w:space="0"/>
            </w:tcBorders>
            <w:vAlign w:val="center"/>
          </w:tcPr>
          <w:p w14:paraId="70C672C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招标文件的澄清和质疑：</w:t>
            </w:r>
          </w:p>
          <w:p w14:paraId="623C298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综合说明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w:t>
            </w:r>
          </w:p>
          <w:p w14:paraId="6024C3E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投标人提起质疑应当符合下列条件：必须是参与被质疑项目的投标人；必须在规定的质疑有效期内提起质疑；政府采购监督管理部门规定的其他条件。</w:t>
            </w:r>
          </w:p>
          <w:p w14:paraId="0F20E909">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2、供应商认为采购文件、采购过程、中标或者成交结果使自己的权益受到损害的，可以在知道或者应知其权益受到损害之日起7个工作日内，以书面形式向采购人、采购代理机构提出质疑。</w:t>
            </w:r>
          </w:p>
          <w:p w14:paraId="4B4A7250">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提出质疑的供应商（以下简称质疑供应商）应当是参与所质疑项目采购活动的供应商。</w:t>
            </w:r>
          </w:p>
          <w:p w14:paraId="05FC3910">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3、对采购文件提出质疑的，应当在获取采购文件或者采购文件公告期限届满之日起7个工作日内提出。</w:t>
            </w:r>
          </w:p>
          <w:p w14:paraId="7EEE5ED5">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4、质疑函应当包括下列内容：</w:t>
            </w:r>
          </w:p>
          <w:p w14:paraId="1321E31F">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（一）供应商的姓名或者名称、地址、邮编、联系人及联系电话；</w:t>
            </w:r>
          </w:p>
          <w:p w14:paraId="2FEDADF1">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（二）质疑项目的名称、编号；</w:t>
            </w:r>
          </w:p>
          <w:p w14:paraId="628DB9DC">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（三）具体、明确的质疑事项和与质疑事项相关的请求；</w:t>
            </w:r>
          </w:p>
          <w:p w14:paraId="4A7AA25E">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（四）事实依据；</w:t>
            </w:r>
          </w:p>
          <w:p w14:paraId="7D3BEF22">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（五）必要的法律依据；</w:t>
            </w:r>
          </w:p>
          <w:p w14:paraId="73DEB22C">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（六）提出质疑的日期。</w:t>
            </w:r>
          </w:p>
          <w:p w14:paraId="0FD05D37">
            <w:pPr>
              <w:spacing w:line="360" w:lineRule="auto"/>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供应商为自然人的，应当由本人签字；供应商为法人或者其他组织的，应当由法定代表人、主要负责人，或者其授权代表签字或者盖章，并加盖公章。</w:t>
            </w:r>
          </w:p>
          <w:p w14:paraId="4AE8A337">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5、接受质疑函的方式：现场递交纸质版及Word格式电子版质疑文件或电子邮件等方式提交。</w:t>
            </w:r>
          </w:p>
          <w:p w14:paraId="41904596">
            <w:pPr>
              <w:spacing w:line="360" w:lineRule="auto"/>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6</w:t>
            </w:r>
            <w:r>
              <w:rPr>
                <w:rFonts w:hint="default" w:ascii="Times New Roman" w:hAnsi="Times New Roman" w:eastAsia="宋体" w:cs="Times New Roman"/>
                <w:kern w:val="2"/>
                <w:sz w:val="21"/>
                <w:szCs w:val="20"/>
                <w:highlight w:val="none"/>
                <w:lang w:val="en-US" w:eastAsia="zh-CN" w:bidi="ar-SA"/>
              </w:rPr>
              <w:t xml:space="preserve">、对招标文件的澄清和质疑 </w:t>
            </w:r>
          </w:p>
          <w:p w14:paraId="031F21D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投标人应尽早领取招标文件，若对招标文件有疑问需要澄清或质疑，须在开标7日前由澄清或质疑方的法定代表人或授权投标人（必须为法定代表人授权进行该项目投标的被授权人）以书面形式向采购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 </w:t>
            </w:r>
          </w:p>
          <w:p w14:paraId="585B2BBB">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采购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采购人回函确认。未确认情况应当视为对质疑答复的知晓，也将视为对质疑答复内容接受的默认。对于未在投标文件中对修改内容做实质性响应的，对其产生的不利因素由未确认者自行承担。同时采购人可以酌情延长投标截止时间。 </w:t>
            </w:r>
          </w:p>
          <w:p w14:paraId="6B6E2A7C">
            <w:pPr>
              <w:spacing w:line="360" w:lineRule="auto"/>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7</w:t>
            </w:r>
            <w:r>
              <w:rPr>
                <w:rFonts w:hint="default" w:ascii="Times New Roman" w:hAnsi="Times New Roman" w:eastAsia="宋体" w:cs="Times New Roman"/>
                <w:kern w:val="2"/>
                <w:sz w:val="21"/>
                <w:szCs w:val="20"/>
                <w:highlight w:val="none"/>
                <w:lang w:val="en-US" w:eastAsia="zh-CN" w:bidi="ar-SA"/>
              </w:rPr>
              <w:t xml:space="preserve">、对招标过程和拟中标结果的质疑 </w:t>
            </w:r>
          </w:p>
          <w:p w14:paraId="306F1F6D">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70AB205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 xml:space="preserve">采购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采购人回函确认。未确认情况应当视为对质疑答复的知晓，也将视为对质疑答复内容接受的默认。 </w:t>
            </w:r>
          </w:p>
          <w:p w14:paraId="514DE311">
            <w:pPr>
              <w:spacing w:line="360" w:lineRule="auto"/>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8</w:t>
            </w:r>
            <w:r>
              <w:rPr>
                <w:rFonts w:hint="default" w:ascii="Times New Roman" w:hAnsi="Times New Roman" w:eastAsia="宋体" w:cs="Times New Roman"/>
                <w:kern w:val="2"/>
                <w:sz w:val="21"/>
                <w:szCs w:val="20"/>
                <w:highlight w:val="none"/>
                <w:lang w:val="en-US" w:eastAsia="zh-CN" w:bidi="ar-SA"/>
              </w:rPr>
              <w:t xml:space="preserve">、澄清或质疑不予受理的情况，有下列情形之一的，属于无效质疑，被质疑人不予受理，由此产生的影响由投标人自行承担： </w:t>
            </w:r>
          </w:p>
          <w:p w14:paraId="2AD52A37">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1</w:t>
            </w:r>
            <w:r>
              <w:rPr>
                <w:rFonts w:hint="default" w:ascii="Times New Roman" w:hAnsi="Times New Roman" w:eastAsia="宋体" w:cs="Times New Roman"/>
                <w:kern w:val="2"/>
                <w:sz w:val="21"/>
                <w:szCs w:val="20"/>
                <w:highlight w:val="none"/>
                <w:lang w:val="en-US" w:eastAsia="zh-CN" w:bidi="ar-SA"/>
              </w:rPr>
              <w:t>）不是参与该政府采购项目活动投标人的；</w:t>
            </w:r>
          </w:p>
          <w:p w14:paraId="1590870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2</w:t>
            </w:r>
            <w:r>
              <w:rPr>
                <w:rFonts w:hint="default" w:ascii="Times New Roman" w:hAnsi="Times New Roman" w:eastAsia="宋体" w:cs="Times New Roman"/>
                <w:kern w:val="2"/>
                <w:sz w:val="21"/>
                <w:szCs w:val="20"/>
                <w:highlight w:val="none"/>
                <w:lang w:val="en-US" w:eastAsia="zh-CN" w:bidi="ar-SA"/>
              </w:rPr>
              <w:t>）被质疑人为采购人或政府采购代理机构之外的；</w:t>
            </w:r>
          </w:p>
          <w:p w14:paraId="59EAD23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3</w:t>
            </w:r>
            <w:r>
              <w:rPr>
                <w:rFonts w:hint="default" w:ascii="Times New Roman" w:hAnsi="Times New Roman" w:eastAsia="宋体" w:cs="Times New Roman"/>
                <w:kern w:val="2"/>
                <w:sz w:val="21"/>
                <w:szCs w:val="20"/>
                <w:highlight w:val="none"/>
                <w:lang w:val="en-US" w:eastAsia="zh-CN" w:bidi="ar-SA"/>
              </w:rPr>
              <w:t>）所有质疑事项超过质疑有效期的；</w:t>
            </w:r>
          </w:p>
          <w:p w14:paraId="3DA8421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4</w:t>
            </w:r>
            <w:r>
              <w:rPr>
                <w:rFonts w:hint="default" w:ascii="Times New Roman" w:hAnsi="Times New Roman" w:eastAsia="宋体" w:cs="Times New Roman"/>
                <w:kern w:val="2"/>
                <w:sz w:val="21"/>
                <w:szCs w:val="20"/>
                <w:highlight w:val="none"/>
                <w:lang w:val="en-US" w:eastAsia="zh-CN" w:bidi="ar-SA"/>
              </w:rPr>
              <w:t>）以具有法律效力的文书送达之外方式提出的；</w:t>
            </w:r>
          </w:p>
          <w:p w14:paraId="25DD96D2">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5</w:t>
            </w:r>
            <w:r>
              <w:rPr>
                <w:rFonts w:hint="default" w:ascii="Times New Roman" w:hAnsi="Times New Roman" w:eastAsia="宋体" w:cs="Times New Roman"/>
                <w:kern w:val="2"/>
                <w:sz w:val="21"/>
                <w:szCs w:val="20"/>
                <w:highlight w:val="none"/>
                <w:lang w:val="en-US" w:eastAsia="zh-CN" w:bidi="ar-SA"/>
              </w:rPr>
              <w:t xml:space="preserve">）未按上述规定递交澄清或质疑函的； </w:t>
            </w:r>
          </w:p>
          <w:p w14:paraId="5098B313">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w:t>
            </w:r>
            <w:r>
              <w:rPr>
                <w:rFonts w:hint="eastAsia" w:cs="Times New Roman"/>
                <w:kern w:val="2"/>
                <w:sz w:val="21"/>
                <w:szCs w:val="20"/>
                <w:highlight w:val="none"/>
                <w:lang w:val="en-US" w:eastAsia="zh-CN" w:bidi="ar-SA"/>
              </w:rPr>
              <w:t>6</w:t>
            </w:r>
            <w:r>
              <w:rPr>
                <w:rFonts w:hint="default" w:ascii="Times New Roman" w:hAnsi="Times New Roman" w:eastAsia="宋体" w:cs="Times New Roman"/>
                <w:kern w:val="2"/>
                <w:sz w:val="21"/>
                <w:szCs w:val="20"/>
                <w:highlight w:val="none"/>
                <w:lang w:val="en-US" w:eastAsia="zh-CN" w:bidi="ar-SA"/>
              </w:rPr>
              <w:t xml:space="preserve">）其它不符合受理条件的情形。 </w:t>
            </w:r>
          </w:p>
          <w:p w14:paraId="636EAA7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5、其他</w:t>
            </w:r>
          </w:p>
          <w:p w14:paraId="5E8E2AB5">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澄清或质疑函递交地点：</w:t>
            </w:r>
            <w:r>
              <w:rPr>
                <w:rFonts w:hint="eastAsia" w:ascii="Times New Roman" w:hAnsi="Times New Roman" w:eastAsia="宋体" w:cs="Times New Roman"/>
                <w:kern w:val="2"/>
                <w:sz w:val="21"/>
                <w:szCs w:val="20"/>
                <w:highlight w:val="none"/>
                <w:lang w:val="en-US" w:eastAsia="zh-CN" w:bidi="ar-SA"/>
              </w:rPr>
              <w:t>巴州库尔勒市塔指西路天河美镇办公楼一楼巴州聚诚项目管理有限责任公司/电子邮箱：1270049997@qq.com</w:t>
            </w:r>
          </w:p>
          <w:p w14:paraId="333E7713">
            <w:pPr>
              <w:spacing w:line="360" w:lineRule="auto"/>
              <w:rPr>
                <w:rFonts w:hint="eastAsia"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联系电话：</w:t>
            </w:r>
            <w:r>
              <w:rPr>
                <w:rFonts w:hint="eastAsia" w:ascii="Times New Roman" w:hAnsi="Times New Roman" w:eastAsia="宋体" w:cs="Times New Roman"/>
                <w:kern w:val="2"/>
                <w:sz w:val="21"/>
                <w:szCs w:val="20"/>
                <w:highlight w:val="none"/>
                <w:lang w:val="en-US" w:eastAsia="zh-CN" w:bidi="ar-SA"/>
              </w:rPr>
              <w:t>联系人： 刘琼</w:t>
            </w:r>
          </w:p>
          <w:p w14:paraId="6F822EB6">
            <w:pPr>
              <w:spacing w:line="360" w:lineRule="auto"/>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电 话：18997609812</w:t>
            </w:r>
          </w:p>
        </w:tc>
      </w:tr>
      <w:tr w14:paraId="7705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20" w:type="dxa"/>
            <w:tcBorders>
              <w:top w:val="single" w:color="auto" w:sz="4" w:space="0"/>
              <w:left w:val="single" w:color="auto" w:sz="4" w:space="0"/>
              <w:bottom w:val="single" w:color="auto" w:sz="4" w:space="0"/>
              <w:right w:val="single" w:color="auto" w:sz="4" w:space="0"/>
            </w:tcBorders>
            <w:vAlign w:val="center"/>
          </w:tcPr>
          <w:p w14:paraId="677EAE2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备注</w:t>
            </w:r>
          </w:p>
        </w:tc>
        <w:tc>
          <w:tcPr>
            <w:tcW w:w="9570" w:type="dxa"/>
            <w:tcBorders>
              <w:top w:val="single" w:color="auto" w:sz="4" w:space="0"/>
              <w:left w:val="single" w:color="auto" w:sz="4" w:space="0"/>
              <w:bottom w:val="single" w:color="auto" w:sz="4" w:space="0"/>
              <w:right w:val="single" w:color="auto" w:sz="4" w:space="0"/>
            </w:tcBorders>
            <w:vAlign w:val="center"/>
          </w:tcPr>
          <w:p w14:paraId="547B9D20">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本次采用政府采购云平台线上招标、投标，请各潜在投标人及时办理CA锁和学习政府采购云平台线上投标相关知识。请在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2135CB0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2、请投标单位提前自学线上开标流程；投标截止时间当天，线上开标环节，投标文件解密时长30分钟，投标供应商请自备笔记本电脑及CA锁进行投标文件解密以及操作投标事项，请投标人提前调试好在线参标电脑各项配置。</w:t>
            </w:r>
          </w:p>
          <w:p w14:paraId="7E485C0A">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3、招标文件中采购清单、技术需求等如有偏差，如有疑义请澄清中及时提出；否则视为充分理解招标文件各项要求。</w:t>
            </w:r>
          </w:p>
          <w:p w14:paraId="12FB58D8">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4、投标文件中有弄虚作假的内容，其投标文件作废。</w:t>
            </w:r>
          </w:p>
          <w:p w14:paraId="67C35F84">
            <w:pPr>
              <w:spacing w:line="360" w:lineRule="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5、招标文件中如有内容冲突的地方，以投标须知要求为准。</w:t>
            </w:r>
          </w:p>
        </w:tc>
      </w:tr>
    </w:tbl>
    <w:p w14:paraId="5DD462DB">
      <w:pPr>
        <w:spacing w:line="360" w:lineRule="auto"/>
        <w:rPr>
          <w:rFonts w:hint="default" w:ascii="Times New Roman" w:hAnsi="Times New Roman" w:eastAsia="宋体" w:cs="Times New Roman"/>
          <w:kern w:val="2"/>
          <w:sz w:val="21"/>
          <w:szCs w:val="20"/>
          <w:lang w:val="en-US" w:eastAsia="zh-CN" w:bidi="ar-SA"/>
        </w:rPr>
      </w:pPr>
    </w:p>
    <w:p w14:paraId="587BE727">
      <w:pPr>
        <w:widowControl/>
        <w:spacing w:line="480" w:lineRule="exact"/>
        <w:jc w:val="center"/>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36"/>
          <w:szCs w:val="36"/>
        </w:rPr>
        <w:br w:type="page"/>
      </w:r>
      <w:r>
        <w:rPr>
          <w:rFonts w:hint="default" w:ascii="Times New Roman" w:hAnsi="Times New Roman" w:eastAsia="仿宋" w:cs="Times New Roman"/>
          <w:b/>
          <w:color w:val="000000"/>
          <w:sz w:val="36"/>
          <w:szCs w:val="36"/>
        </w:rPr>
        <w:t>第</w:t>
      </w:r>
      <w:r>
        <w:rPr>
          <w:rFonts w:hint="default" w:ascii="Times New Roman" w:hAnsi="Times New Roman" w:eastAsia="仿宋" w:cs="Times New Roman"/>
          <w:b/>
          <w:color w:val="000000"/>
          <w:sz w:val="36"/>
          <w:szCs w:val="36"/>
          <w:lang w:eastAsia="zh-CN"/>
        </w:rPr>
        <w:t>一</w:t>
      </w:r>
      <w:r>
        <w:rPr>
          <w:rFonts w:hint="default" w:ascii="Times New Roman" w:hAnsi="Times New Roman" w:eastAsia="仿宋" w:cs="Times New Roman"/>
          <w:b/>
          <w:color w:val="000000"/>
          <w:sz w:val="36"/>
          <w:szCs w:val="36"/>
        </w:rPr>
        <w:t>部分  投标人须知</w:t>
      </w:r>
    </w:p>
    <w:p w14:paraId="7C4BA9C3">
      <w:pPr>
        <w:spacing w:line="360" w:lineRule="auto"/>
        <w:ind w:firstLine="482" w:firstLineChars="200"/>
        <w:jc w:val="center"/>
        <w:rPr>
          <w:rFonts w:hint="default" w:ascii="Times New Roman" w:hAnsi="Times New Roman" w:eastAsia="仿宋" w:cs="Times New Roman"/>
          <w:b/>
          <w:color w:val="000000"/>
          <w:sz w:val="24"/>
          <w:szCs w:val="24"/>
          <w:shd w:val="clear" w:color="auto" w:fill="FFFFFF"/>
        </w:rPr>
      </w:pPr>
    </w:p>
    <w:p w14:paraId="66B01757">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一、总则</w:t>
      </w:r>
    </w:p>
    <w:p w14:paraId="7832F26A">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0" w:name="_Toc177825120"/>
      <w:bookmarkStart w:id="1" w:name="_Toc177824872"/>
      <w:bookmarkStart w:id="2" w:name="_Toc177870537"/>
      <w:bookmarkStart w:id="3" w:name="_Toc177824939"/>
      <w:r>
        <w:rPr>
          <w:rFonts w:hint="default" w:ascii="Times New Roman" w:hAnsi="Times New Roman" w:eastAsia="仿宋" w:cs="Times New Roman"/>
          <w:color w:val="000000"/>
          <w:sz w:val="24"/>
          <w:szCs w:val="24"/>
          <w:shd w:val="clear" w:color="auto" w:fill="FFFFFF"/>
        </w:rPr>
        <w:t>（一）适用范围</w:t>
      </w:r>
      <w:bookmarkEnd w:id="0"/>
      <w:bookmarkEnd w:id="1"/>
      <w:bookmarkEnd w:id="2"/>
      <w:bookmarkEnd w:id="3"/>
    </w:p>
    <w:p w14:paraId="2629EB43">
      <w:pPr>
        <w:spacing w:line="360" w:lineRule="auto"/>
        <w:ind w:firstLine="480" w:firstLineChars="200"/>
        <w:rPr>
          <w:rFonts w:hint="default" w:ascii="Times New Roman" w:hAnsi="Times New Roman" w:eastAsia="仿宋" w:cs="Times New Roman"/>
          <w:color w:val="000000"/>
          <w:kern w:val="2"/>
          <w:sz w:val="24"/>
          <w:szCs w:val="24"/>
          <w:highlight w:val="none"/>
          <w:u w:val="none"/>
          <w:shd w:val="clear" w:color="auto" w:fill="FFFFFF"/>
          <w:lang w:val="en-US" w:eastAsia="zh-CN" w:bidi="ar-SA"/>
        </w:rPr>
      </w:pPr>
      <w:r>
        <w:rPr>
          <w:rFonts w:hint="default" w:ascii="Times New Roman" w:hAnsi="Times New Roman" w:eastAsia="仿宋" w:cs="Times New Roman"/>
          <w:color w:val="000000"/>
          <w:sz w:val="24"/>
          <w:szCs w:val="24"/>
          <w:highlight w:val="none"/>
          <w:shd w:val="clear" w:color="auto" w:fill="FFFFFF"/>
        </w:rPr>
        <w:t>本次竞争性</w:t>
      </w:r>
      <w:r>
        <w:rPr>
          <w:rFonts w:hint="default" w:ascii="Times New Roman" w:hAnsi="Times New Roman" w:eastAsia="仿宋" w:cs="Times New Roman"/>
          <w:color w:val="000000"/>
          <w:kern w:val="2"/>
          <w:sz w:val="24"/>
          <w:szCs w:val="24"/>
          <w:highlight w:val="none"/>
          <w:u w:val="none"/>
          <w:shd w:val="clear" w:color="auto" w:fill="FFFFFF"/>
          <w:lang w:val="en-US" w:eastAsia="zh-CN" w:bidi="ar-SA"/>
        </w:rPr>
        <w:t>磋商文件适用于：</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2025年度文化和旅游志愿服务项目</w:t>
      </w:r>
      <w:r>
        <w:rPr>
          <w:rFonts w:hint="default" w:ascii="Times New Roman" w:hAnsi="Times New Roman" w:eastAsia="仿宋" w:cs="Times New Roman"/>
          <w:color w:val="000000"/>
          <w:kern w:val="2"/>
          <w:sz w:val="24"/>
          <w:szCs w:val="24"/>
          <w:highlight w:val="none"/>
          <w:u w:val="none"/>
          <w:shd w:val="clear" w:color="auto" w:fill="FFFFFF"/>
          <w:lang w:val="en-US" w:eastAsia="zh-CN" w:bidi="ar-SA"/>
        </w:rPr>
        <w:t>的招标、评标、定标、合同履约等（法律、法规另有规定的，从其规定）。</w:t>
      </w:r>
    </w:p>
    <w:p w14:paraId="28CB3106">
      <w:pPr>
        <w:spacing w:line="360" w:lineRule="auto"/>
        <w:ind w:firstLine="480" w:firstLineChars="200"/>
        <w:rPr>
          <w:rFonts w:hint="default" w:ascii="Times New Roman" w:hAnsi="Times New Roman" w:eastAsia="仿宋" w:cs="Times New Roman"/>
          <w:color w:val="000000"/>
          <w:kern w:val="2"/>
          <w:sz w:val="24"/>
          <w:szCs w:val="24"/>
          <w:highlight w:val="none"/>
          <w:u w:val="none"/>
          <w:shd w:val="clear" w:color="auto" w:fill="FFFFFF"/>
          <w:lang w:val="en-US" w:eastAsia="zh-CN" w:bidi="ar-SA"/>
        </w:rPr>
      </w:pPr>
      <w:bookmarkStart w:id="4" w:name="_Toc177824940"/>
      <w:bookmarkStart w:id="5" w:name="_Toc177825121"/>
      <w:bookmarkStart w:id="6" w:name="_Toc177824873"/>
      <w:bookmarkStart w:id="7" w:name="_Toc177870538"/>
      <w:r>
        <w:rPr>
          <w:rFonts w:hint="default" w:ascii="Times New Roman" w:hAnsi="Times New Roman" w:eastAsia="仿宋" w:cs="Times New Roman"/>
          <w:color w:val="000000"/>
          <w:kern w:val="2"/>
          <w:sz w:val="24"/>
          <w:szCs w:val="24"/>
          <w:highlight w:val="none"/>
          <w:u w:val="none"/>
          <w:shd w:val="clear" w:color="auto" w:fill="FFFFFF"/>
          <w:lang w:val="en-US" w:eastAsia="zh-CN" w:bidi="ar-SA"/>
        </w:rPr>
        <w:t>（二）定义</w:t>
      </w:r>
      <w:bookmarkEnd w:id="4"/>
      <w:bookmarkEnd w:id="5"/>
      <w:bookmarkEnd w:id="6"/>
      <w:bookmarkEnd w:id="7"/>
    </w:p>
    <w:p w14:paraId="74B8C8DE">
      <w:pPr>
        <w:pStyle w:val="69"/>
        <w:spacing w:line="360" w:lineRule="auto"/>
        <w:ind w:firstLine="480" w:firstLineChars="200"/>
        <w:rPr>
          <w:rFonts w:hint="default" w:ascii="Times New Roman" w:hAnsi="Times New Roman" w:eastAsia="仿宋" w:cs="Times New Roman"/>
          <w:color w:val="000000"/>
          <w:kern w:val="2"/>
          <w:sz w:val="24"/>
          <w:szCs w:val="24"/>
          <w:highlight w:val="none"/>
          <w:shd w:val="clear" w:color="auto" w:fill="FFFFFF"/>
          <w:lang w:val="en-US" w:eastAsia="zh-CN" w:bidi="ar-SA"/>
        </w:rPr>
      </w:pPr>
      <w:r>
        <w:rPr>
          <w:rFonts w:hint="default" w:ascii="Times New Roman" w:hAnsi="Times New Roman" w:eastAsia="仿宋" w:cs="Times New Roman"/>
          <w:color w:val="000000"/>
          <w:sz w:val="24"/>
          <w:szCs w:val="24"/>
          <w:highlight w:val="none"/>
          <w:shd w:val="clear" w:color="auto" w:fill="FFFFFF"/>
        </w:rPr>
        <w:t>1</w:t>
      </w:r>
      <w:r>
        <w:rPr>
          <w:rFonts w:hint="default" w:ascii="Times New Roman" w:hAnsi="Times New Roman" w:eastAsia="仿宋" w:cs="Times New Roman"/>
          <w:color w:val="000000"/>
          <w:sz w:val="24"/>
          <w:szCs w:val="24"/>
          <w:highlight w:val="none"/>
          <w:shd w:val="clear" w:color="auto" w:fill="FFFFFF"/>
          <w:lang w:val="en-US" w:eastAsia="zh-CN"/>
        </w:rPr>
        <w:t>.</w:t>
      </w:r>
      <w:r>
        <w:rPr>
          <w:rFonts w:hint="default" w:ascii="Times New Roman" w:hAnsi="Times New Roman" w:eastAsia="仿宋" w:cs="Times New Roman"/>
          <w:color w:val="000000"/>
          <w:sz w:val="24"/>
          <w:szCs w:val="24"/>
          <w:highlight w:val="none"/>
          <w:shd w:val="clear" w:color="auto" w:fill="FFFFFF"/>
        </w:rPr>
        <w:t>“招标方”系</w:t>
      </w:r>
      <w:r>
        <w:rPr>
          <w:rFonts w:hint="default" w:ascii="Times New Roman" w:hAnsi="Times New Roman" w:eastAsia="仿宋" w:cs="Times New Roman"/>
          <w:color w:val="000000"/>
          <w:sz w:val="24"/>
          <w:szCs w:val="24"/>
          <w:highlight w:val="none"/>
          <w:shd w:val="clear" w:color="auto" w:fill="FFFFFF"/>
          <w:lang w:val="en-US" w:eastAsia="zh-CN"/>
        </w:rPr>
        <w:t>指</w:t>
      </w:r>
      <w:r>
        <w:rPr>
          <w:rFonts w:hint="eastAsia" w:ascii="Times New Roman" w:hAnsi="Times New Roman" w:eastAsia="仿宋" w:cs="Times New Roman"/>
          <w:color w:val="000000"/>
          <w:sz w:val="24"/>
          <w:szCs w:val="24"/>
          <w:highlight w:val="none"/>
          <w:shd w:val="clear" w:color="auto" w:fill="FFFFFF"/>
          <w:lang w:val="en-US" w:eastAsia="zh-CN"/>
        </w:rPr>
        <w:t> 巴音郭楞蒙古自治州文化体育广播电视和旅游局</w:t>
      </w:r>
      <w:r>
        <w:rPr>
          <w:rFonts w:hint="default" w:ascii="Times New Roman" w:hAnsi="Times New Roman" w:eastAsia="仿宋" w:cs="Times New Roman"/>
          <w:color w:val="000000"/>
          <w:kern w:val="2"/>
          <w:sz w:val="24"/>
          <w:szCs w:val="24"/>
          <w:highlight w:val="none"/>
          <w:shd w:val="clear" w:color="auto" w:fill="FFFFFF"/>
          <w:lang w:val="en-US" w:eastAsia="zh-CN" w:bidi="ar-SA"/>
        </w:rPr>
        <w:t> </w:t>
      </w:r>
    </w:p>
    <w:p w14:paraId="54450811">
      <w:pPr>
        <w:pStyle w:val="69"/>
        <w:spacing w:line="360" w:lineRule="auto"/>
        <w:ind w:firstLine="480" w:firstLineChars="200"/>
        <w:rPr>
          <w:rFonts w:hint="default" w:ascii="Times New Roman" w:hAnsi="Times New Roman" w:eastAsia="仿宋" w:cs="Times New Roman"/>
          <w:color w:val="000000"/>
          <w:sz w:val="24"/>
          <w:szCs w:val="24"/>
          <w:highlight w:val="none"/>
          <w:u w:val="none"/>
          <w:shd w:val="clear" w:color="auto" w:fill="FFFFFF"/>
        </w:rPr>
      </w:pPr>
      <w:r>
        <w:rPr>
          <w:rFonts w:hint="default" w:ascii="Times New Roman" w:hAnsi="Times New Roman" w:eastAsia="仿宋" w:cs="Times New Roman"/>
          <w:color w:val="000000"/>
          <w:sz w:val="24"/>
          <w:szCs w:val="24"/>
          <w:highlight w:val="none"/>
          <w:shd w:val="clear" w:color="auto" w:fill="FFFFFF"/>
          <w:lang w:val="en-US" w:eastAsia="zh-CN"/>
        </w:rPr>
        <w:t>2.代理机构</w:t>
      </w:r>
      <w:r>
        <w:rPr>
          <w:rFonts w:hint="default" w:ascii="Times New Roman" w:hAnsi="Times New Roman" w:eastAsia="仿宋" w:cs="Times New Roman"/>
          <w:color w:val="000000"/>
          <w:sz w:val="24"/>
          <w:szCs w:val="24"/>
          <w:highlight w:val="none"/>
          <w:shd w:val="clear" w:color="auto" w:fill="FFFFFF"/>
        </w:rPr>
        <w:t>系</w:t>
      </w:r>
      <w:r>
        <w:rPr>
          <w:rFonts w:hint="default" w:ascii="Times New Roman" w:hAnsi="Times New Roman" w:eastAsia="仿宋" w:cs="Times New Roman"/>
          <w:color w:val="000000"/>
          <w:sz w:val="24"/>
          <w:szCs w:val="24"/>
          <w:highlight w:val="none"/>
          <w:shd w:val="clear" w:color="auto" w:fill="FFFFFF"/>
          <w:lang w:val="en-US" w:eastAsia="zh-CN"/>
        </w:rPr>
        <w:t>指</w:t>
      </w:r>
      <w:r>
        <w:rPr>
          <w:rFonts w:hint="eastAsia" w:eastAsia="仿宋" w:cs="Times New Roman"/>
          <w:color w:val="000000"/>
          <w:sz w:val="24"/>
          <w:szCs w:val="24"/>
          <w:highlight w:val="none"/>
          <w:shd w:val="clear" w:color="auto" w:fill="FFFFFF"/>
          <w:lang w:val="en-US" w:eastAsia="zh-CN"/>
        </w:rPr>
        <w:t>巴州聚诚项目管理有限责任公司</w:t>
      </w:r>
    </w:p>
    <w:p w14:paraId="10CC7894">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2</w:t>
      </w:r>
      <w:r>
        <w:rPr>
          <w:rFonts w:hint="default" w:ascii="Times New Roman" w:hAnsi="Times New Roman" w:eastAsia="仿宋" w:cs="Times New Roman"/>
          <w:color w:val="000000"/>
          <w:sz w:val="24"/>
          <w:szCs w:val="24"/>
          <w:highlight w:val="none"/>
          <w:shd w:val="clear" w:color="auto" w:fill="FFFFFF"/>
          <w:lang w:val="en-US" w:eastAsia="zh-CN"/>
        </w:rPr>
        <w:t>.</w:t>
      </w:r>
      <w:r>
        <w:rPr>
          <w:rFonts w:hint="default" w:ascii="Times New Roman" w:hAnsi="Times New Roman" w:eastAsia="仿宋" w:cs="Times New Roman"/>
          <w:color w:val="000000"/>
          <w:sz w:val="24"/>
          <w:szCs w:val="24"/>
          <w:highlight w:val="none"/>
          <w:shd w:val="clear" w:color="auto" w:fill="FFFFFF"/>
        </w:rPr>
        <w:t xml:space="preserve"> “投标方”、“投标人”系指</w:t>
      </w:r>
      <w:r>
        <w:rPr>
          <w:rFonts w:hint="default" w:ascii="Times New Roman" w:hAnsi="Times New Roman" w:eastAsia="仿宋" w:cs="Times New Roman"/>
          <w:color w:val="000000"/>
          <w:sz w:val="24"/>
          <w:szCs w:val="24"/>
          <w:highlight w:val="none"/>
          <w:u w:val="none"/>
          <w:shd w:val="clear" w:color="auto" w:fill="FFFFFF"/>
        </w:rPr>
        <w:t>有资格的投标人及投标表现人</w:t>
      </w:r>
      <w:r>
        <w:rPr>
          <w:rFonts w:hint="default" w:ascii="Times New Roman" w:hAnsi="Times New Roman" w:eastAsia="仿宋" w:cs="Times New Roman"/>
          <w:color w:val="000000"/>
          <w:sz w:val="24"/>
          <w:szCs w:val="24"/>
          <w:highlight w:val="none"/>
          <w:shd w:val="clear" w:color="auto" w:fill="FFFFFF"/>
        </w:rPr>
        <w:t>。</w:t>
      </w:r>
    </w:p>
    <w:p w14:paraId="7FC1AEC8">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rPr>
        <w:t>3</w:t>
      </w:r>
      <w:r>
        <w:rPr>
          <w:rFonts w:hint="default" w:ascii="Times New Roman" w:hAnsi="Times New Roman" w:eastAsia="仿宋" w:cs="Times New Roman"/>
          <w:color w:val="000000"/>
          <w:sz w:val="24"/>
          <w:szCs w:val="24"/>
          <w:highlight w:val="none"/>
          <w:shd w:val="clear" w:color="auto" w:fill="FFFFFF"/>
          <w:lang w:val="en-US" w:eastAsia="zh-CN"/>
        </w:rPr>
        <w:t>.</w:t>
      </w:r>
      <w:r>
        <w:rPr>
          <w:rFonts w:hint="default" w:ascii="Times New Roman" w:hAnsi="Times New Roman" w:eastAsia="仿宋" w:cs="Times New Roman"/>
          <w:color w:val="000000"/>
          <w:sz w:val="24"/>
          <w:szCs w:val="24"/>
          <w:highlight w:val="none"/>
          <w:shd w:val="clear" w:color="auto" w:fill="FFFFFF"/>
        </w:rPr>
        <w:t xml:space="preserve"> “服务”系指招标文件规定投标人须承担的</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2025年度文化和旅游志愿服务项目</w:t>
      </w:r>
      <w:r>
        <w:rPr>
          <w:rFonts w:hint="default" w:ascii="Times New Roman" w:hAnsi="Times New Roman" w:eastAsia="仿宋" w:cs="Times New Roman"/>
          <w:color w:val="000000"/>
          <w:sz w:val="24"/>
          <w:szCs w:val="24"/>
          <w:highlight w:val="none"/>
          <w:shd w:val="clear" w:color="auto" w:fill="FFFFFF"/>
        </w:rPr>
        <w:t>的责任。</w:t>
      </w:r>
    </w:p>
    <w:p w14:paraId="4C6D0CC2">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60" w:lineRule="exact"/>
        <w:ind w:left="0" w:right="0" w:firstLine="480" w:firstLineChars="200"/>
        <w:jc w:val="both"/>
        <w:textAlignment w:val="auto"/>
        <w:rPr>
          <w:rFonts w:hint="default" w:ascii="Times New Roman" w:hAnsi="Times New Roman" w:eastAsia="仿宋" w:cs="Times New Roman"/>
          <w:color w:val="000000"/>
          <w:kern w:val="2"/>
          <w:sz w:val="24"/>
          <w:szCs w:val="24"/>
          <w:highlight w:val="none"/>
          <w:u w:val="single"/>
          <w:shd w:val="clear" w:color="auto" w:fill="FFFFFF"/>
          <w:lang w:val="en-US" w:eastAsia="zh-CN" w:bidi="ar-SA"/>
        </w:rPr>
      </w:pPr>
      <w:r>
        <w:rPr>
          <w:rFonts w:hint="default" w:ascii="Times New Roman" w:hAnsi="Times New Roman" w:eastAsia="仿宋" w:cs="Times New Roman"/>
          <w:color w:val="000000"/>
          <w:sz w:val="24"/>
          <w:szCs w:val="24"/>
          <w:highlight w:val="none"/>
          <w:shd w:val="clear" w:color="auto" w:fill="FFFFFF"/>
          <w:lang w:val="en-US" w:eastAsia="zh-CN"/>
        </w:rPr>
        <w:t>4.招标服务：</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为促进我州各级文化事业和旅游产业健康发展，推动城乡基层文化繁荣发展，丰富人民群众精神文化生活，充分发挥文化和旅游志愿者在公共文化服务、旅游公共服务方面的积极作用，构建政府与社会，在编与志愿共同服务保障的长效机制，采购面向州本级、八县一市共10场文化和旅游志愿服务培训及10场文旅志愿服务示范活动。其中，每场培训人数不少于40人，培训时长不少于1天。</w:t>
      </w:r>
    </w:p>
    <w:p w14:paraId="26CF86FB">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r>
        <w:rPr>
          <w:rFonts w:hint="default" w:ascii="Times New Roman" w:hAnsi="Times New Roman" w:eastAsia="仿宋" w:cs="Times New Roman"/>
          <w:color w:val="000000"/>
          <w:sz w:val="24"/>
          <w:szCs w:val="24"/>
          <w:highlight w:val="none"/>
          <w:shd w:val="clear" w:color="auto" w:fill="FFFFFF"/>
          <w:lang w:val="en-US" w:eastAsia="zh-CN"/>
        </w:rPr>
        <w:t>5</w:t>
      </w:r>
      <w:r>
        <w:rPr>
          <w:rFonts w:hint="default" w:ascii="Times New Roman" w:hAnsi="Times New Roman" w:eastAsia="仿宋" w:cs="Times New Roman"/>
          <w:color w:val="000000"/>
          <w:sz w:val="24"/>
          <w:szCs w:val="24"/>
          <w:highlight w:val="none"/>
          <w:shd w:val="clear" w:color="auto" w:fill="FFFFFF"/>
        </w:rPr>
        <w:t>.“★”系指实质性要求条款。</w:t>
      </w:r>
    </w:p>
    <w:p w14:paraId="29D49929">
      <w:pPr>
        <w:spacing w:line="360" w:lineRule="auto"/>
        <w:ind w:firstLine="480" w:firstLineChars="200"/>
        <w:rPr>
          <w:rFonts w:hint="default" w:ascii="Times New Roman" w:hAnsi="Times New Roman" w:eastAsia="仿宋" w:cs="Times New Roman"/>
          <w:color w:val="000000"/>
          <w:sz w:val="24"/>
          <w:szCs w:val="24"/>
          <w:highlight w:val="none"/>
          <w:shd w:val="clear" w:color="auto" w:fill="FFFFFF"/>
        </w:rPr>
      </w:pPr>
      <w:bookmarkStart w:id="8" w:name="_Toc177870539"/>
      <w:r>
        <w:rPr>
          <w:rFonts w:hint="default" w:ascii="Times New Roman" w:hAnsi="Times New Roman" w:eastAsia="仿宋" w:cs="Times New Roman"/>
          <w:color w:val="000000"/>
          <w:sz w:val="24"/>
          <w:szCs w:val="24"/>
          <w:highlight w:val="none"/>
          <w:shd w:val="clear" w:color="auto" w:fill="FFFFFF"/>
        </w:rPr>
        <w:t>（三）采购方式</w:t>
      </w:r>
      <w:bookmarkEnd w:id="8"/>
    </w:p>
    <w:p w14:paraId="3190EB4C">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highlight w:val="none"/>
          <w:shd w:val="clear" w:color="auto" w:fill="FFFFFF"/>
        </w:rPr>
        <w:t>本项目采用</w:t>
      </w:r>
      <w:r>
        <w:rPr>
          <w:rFonts w:hint="default" w:ascii="Times New Roman" w:hAnsi="Times New Roman" w:eastAsia="仿宋" w:cs="Times New Roman"/>
          <w:color w:val="000000"/>
          <w:sz w:val="24"/>
          <w:szCs w:val="24"/>
          <w:highlight w:val="none"/>
          <w:u w:val="single"/>
          <w:shd w:val="clear" w:color="auto" w:fill="FFFFFF"/>
        </w:rPr>
        <w:t>竞争性磋商</w:t>
      </w:r>
      <w:r>
        <w:rPr>
          <w:rFonts w:hint="default" w:ascii="Times New Roman" w:hAnsi="Times New Roman" w:eastAsia="仿宋" w:cs="Times New Roman"/>
          <w:color w:val="000000"/>
          <w:sz w:val="24"/>
          <w:szCs w:val="24"/>
          <w:highlight w:val="none"/>
          <w:shd w:val="clear" w:color="auto" w:fill="FFFFFF"/>
        </w:rPr>
        <w:t>的方式进行</w:t>
      </w:r>
      <w:r>
        <w:rPr>
          <w:rFonts w:hint="default" w:ascii="Times New Roman" w:hAnsi="Times New Roman" w:eastAsia="仿宋" w:cs="Times New Roman"/>
          <w:color w:val="000000"/>
          <w:sz w:val="24"/>
          <w:szCs w:val="24"/>
          <w:shd w:val="clear" w:color="auto" w:fill="FFFFFF"/>
        </w:rPr>
        <w:t>。</w:t>
      </w:r>
    </w:p>
    <w:p w14:paraId="30E36D4C">
      <w:pPr>
        <w:spacing w:line="360" w:lineRule="auto"/>
        <w:ind w:firstLine="480" w:firstLineChars="200"/>
        <w:rPr>
          <w:rFonts w:hint="default" w:ascii="Times New Roman" w:hAnsi="Times New Roman" w:eastAsia="仿宋" w:cs="Times New Roman"/>
          <w:color w:val="000000"/>
          <w:sz w:val="24"/>
          <w:szCs w:val="24"/>
          <w:shd w:val="clear" w:color="auto" w:fill="FFFFFF"/>
        </w:rPr>
      </w:pPr>
      <w:bookmarkStart w:id="9" w:name="_Toc177870540"/>
      <w:bookmarkStart w:id="10" w:name="_Toc177824941"/>
      <w:bookmarkStart w:id="11" w:name="_Toc177825122"/>
      <w:bookmarkStart w:id="12" w:name="_Toc177824874"/>
      <w:r>
        <w:rPr>
          <w:rFonts w:hint="default" w:ascii="Times New Roman" w:hAnsi="Times New Roman" w:eastAsia="仿宋" w:cs="Times New Roman"/>
          <w:color w:val="000000"/>
          <w:sz w:val="24"/>
          <w:szCs w:val="24"/>
          <w:shd w:val="clear" w:color="auto" w:fill="FFFFFF"/>
        </w:rPr>
        <w:t>（四）投标委托</w:t>
      </w:r>
      <w:bookmarkEnd w:id="9"/>
      <w:bookmarkEnd w:id="10"/>
      <w:bookmarkEnd w:id="11"/>
      <w:bookmarkEnd w:id="12"/>
    </w:p>
    <w:p w14:paraId="74EA3AC4">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投标人代表须携带居民身份证、法人代表证明书（或法定代表人出具的授权委托书）</w:t>
      </w:r>
      <w:r>
        <w:rPr>
          <w:rFonts w:hint="default" w:ascii="Times New Roman" w:hAnsi="Times New Roman" w:eastAsia="仿宋" w:cs="Times New Roman"/>
          <w:color w:val="000000"/>
          <w:sz w:val="24"/>
          <w:szCs w:val="24"/>
          <w:shd w:val="clear" w:color="auto" w:fill="FFFFFF"/>
          <w:lang w:eastAsia="zh-CN"/>
        </w:rPr>
        <w:t>线上</w:t>
      </w:r>
      <w:r>
        <w:rPr>
          <w:rFonts w:hint="default" w:ascii="Times New Roman" w:hAnsi="Times New Roman" w:eastAsia="仿宋" w:cs="Times New Roman"/>
          <w:color w:val="000000"/>
          <w:sz w:val="24"/>
          <w:szCs w:val="24"/>
          <w:shd w:val="clear" w:color="auto" w:fill="FFFFFF"/>
        </w:rPr>
        <w:t>参加投标。</w:t>
      </w:r>
    </w:p>
    <w:p w14:paraId="0336FB15">
      <w:pPr>
        <w:spacing w:line="360" w:lineRule="auto"/>
        <w:ind w:firstLine="480" w:firstLineChars="200"/>
        <w:rPr>
          <w:rFonts w:hint="default" w:ascii="Times New Roman" w:hAnsi="Times New Roman" w:eastAsia="仿宋" w:cs="Times New Roman"/>
          <w:color w:val="000000"/>
          <w:sz w:val="24"/>
          <w:szCs w:val="24"/>
          <w:shd w:val="clear" w:color="auto" w:fill="FFFFFF"/>
        </w:rPr>
      </w:pPr>
      <w:bookmarkStart w:id="13" w:name="_Toc177870541"/>
      <w:bookmarkStart w:id="14" w:name="_Toc177824942"/>
      <w:bookmarkStart w:id="15" w:name="_Toc177824875"/>
      <w:bookmarkStart w:id="16" w:name="_Toc177825123"/>
      <w:r>
        <w:rPr>
          <w:rFonts w:hint="default" w:ascii="Times New Roman" w:hAnsi="Times New Roman" w:eastAsia="仿宋" w:cs="Times New Roman"/>
          <w:color w:val="000000"/>
          <w:sz w:val="24"/>
          <w:szCs w:val="24"/>
          <w:shd w:val="clear" w:color="auto" w:fill="FFFFFF"/>
        </w:rPr>
        <w:t>（五）投标费用</w:t>
      </w:r>
      <w:bookmarkEnd w:id="13"/>
      <w:bookmarkEnd w:id="14"/>
      <w:bookmarkEnd w:id="15"/>
      <w:bookmarkEnd w:id="16"/>
    </w:p>
    <w:p w14:paraId="638D87EF">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无论投标结果如何，凡参与招标、投标活动有关的所有费用将由投标方自行承担。</w:t>
      </w:r>
    </w:p>
    <w:p w14:paraId="31DC3C50">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（六）联合体投标、转包及分包</w:t>
      </w:r>
    </w:p>
    <w:p w14:paraId="4A663CC7">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本项目</w:t>
      </w:r>
      <w:r>
        <w:rPr>
          <w:rFonts w:hint="eastAsia" w:eastAsia="仿宋" w:cs="Times New Roman"/>
          <w:color w:val="000000"/>
          <w:sz w:val="24"/>
          <w:szCs w:val="24"/>
          <w:shd w:val="clear" w:color="auto" w:fill="FFFFFF"/>
          <w:lang w:eastAsia="zh-CN"/>
        </w:rPr>
        <w:t>不</w:t>
      </w:r>
      <w:r>
        <w:rPr>
          <w:rFonts w:hint="default" w:ascii="Times New Roman" w:hAnsi="Times New Roman" w:eastAsia="仿宋" w:cs="Times New Roman"/>
          <w:color w:val="000000"/>
          <w:sz w:val="24"/>
          <w:szCs w:val="24"/>
          <w:shd w:val="clear" w:color="auto" w:fill="FFFFFF"/>
        </w:rPr>
        <w:t>接受联合体投标。本项目不允许转包或分包。</w:t>
      </w:r>
    </w:p>
    <w:p w14:paraId="34DF8A54">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（七）特别说明：</w:t>
      </w:r>
    </w:p>
    <w:p w14:paraId="60C466C4">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★1.投标人投标所使用的资格、信誉、荣誉、</w:t>
      </w:r>
      <w:r>
        <w:rPr>
          <w:rFonts w:hint="default" w:ascii="Times New Roman" w:hAnsi="Times New Roman" w:eastAsia="仿宋" w:cs="Times New Roman"/>
          <w:color w:val="000000"/>
          <w:sz w:val="24"/>
          <w:szCs w:val="24"/>
          <w:shd w:val="clear" w:color="auto" w:fill="FFFFFF"/>
          <w:lang w:eastAsia="zh-CN"/>
        </w:rPr>
        <w:t>履约能力材料</w:t>
      </w:r>
      <w:r>
        <w:rPr>
          <w:rFonts w:hint="default" w:ascii="Times New Roman" w:hAnsi="Times New Roman" w:eastAsia="仿宋" w:cs="Times New Roman"/>
          <w:color w:val="000000"/>
          <w:sz w:val="24"/>
          <w:szCs w:val="24"/>
          <w:shd w:val="clear" w:color="auto" w:fill="FFFFFF"/>
        </w:rPr>
        <w:t>与企业认证必须为本企业所拥有。投标人投标所使用的采购项目实施人员可以为其控股公司的工作人员。</w:t>
      </w:r>
    </w:p>
    <w:p w14:paraId="12EC04A1">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2.投标人在投标活动中提供任何虚假材料或从事其他违法活动的,其投标无效，并报监管部门查处、中标后发现的,中标人须依照《中华人民共和国消费者权益保护法》第49条之规定执行，且民事赔偿并不免除违法投标人的行政与刑事责任。</w:t>
      </w:r>
    </w:p>
    <w:p w14:paraId="7F00E5CC">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★3.投标人应仔细阅读竞争性磋商文件的所有内容，按照竞争性磋商文件的要求提交</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应对竞争性磋商文件的要求作出实质性响应，并对所提供的全部资料的真实性承担法律责任。</w:t>
      </w:r>
    </w:p>
    <w:p w14:paraId="04DE93AF">
      <w:pPr>
        <w:spacing w:line="360" w:lineRule="auto"/>
        <w:ind w:firstLine="482" w:firstLineChars="200"/>
        <w:jc w:val="center"/>
        <w:rPr>
          <w:rFonts w:hint="default" w:ascii="Times New Roman" w:hAnsi="Times New Roman" w:eastAsia="仿宋" w:cs="Times New Roman"/>
          <w:b/>
          <w:color w:val="000000"/>
          <w:sz w:val="24"/>
          <w:szCs w:val="24"/>
          <w:shd w:val="clear" w:color="auto" w:fill="FFFFFF"/>
        </w:rPr>
      </w:pPr>
      <w:bookmarkStart w:id="17" w:name="_Toc177870544"/>
    </w:p>
    <w:p w14:paraId="3DF2D54A">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二</w:t>
      </w:r>
      <w:r>
        <w:rPr>
          <w:rFonts w:hint="eastAsia" w:ascii="Times New Roman" w:hAnsi="Times New Roman"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竞争性磋商文件</w:t>
      </w:r>
      <w:bookmarkEnd w:id="17"/>
    </w:p>
    <w:p w14:paraId="666D7083">
      <w:pPr>
        <w:spacing w:line="360" w:lineRule="auto"/>
        <w:ind w:firstLine="241" w:firstLineChars="100"/>
        <w:rPr>
          <w:rFonts w:hint="default" w:ascii="Times New Roman" w:hAnsi="Times New Roman" w:eastAsia="仿宋" w:cs="Times New Roman"/>
          <w:b/>
          <w:color w:val="000000"/>
          <w:sz w:val="24"/>
          <w:szCs w:val="24"/>
          <w:shd w:val="clear" w:color="auto" w:fill="FFFFFF"/>
        </w:rPr>
      </w:pPr>
      <w:r>
        <w:rPr>
          <w:rFonts w:hint="default" w:ascii="Times New Roman" w:hAnsi="Times New Roman" w:eastAsia="仿宋" w:cs="Times New Roman"/>
          <w:b/>
          <w:color w:val="000000"/>
          <w:sz w:val="24"/>
          <w:szCs w:val="24"/>
        </w:rPr>
        <w:t>（一）竞争性磋商文件的构成。竞争性磋商文件由以下部份组成：</w:t>
      </w:r>
    </w:p>
    <w:p w14:paraId="33B8D5D6">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1、投标人须知前附表</w:t>
      </w:r>
    </w:p>
    <w:p w14:paraId="4CA72938">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 xml:space="preserve">2、第一部分 </w:t>
      </w:r>
      <w:r>
        <w:rPr>
          <w:rFonts w:hint="default" w:ascii="Times New Roman" w:hAnsi="Times New Roman" w:eastAsia="仿宋" w:cs="Times New Roman"/>
          <w:color w:val="000000"/>
          <w:sz w:val="24"/>
          <w:szCs w:val="24"/>
          <w:shd w:val="clear" w:color="auto" w:fill="FFFFFF"/>
          <w:lang w:eastAsia="zh-CN"/>
        </w:rPr>
        <w:t>投标须知</w:t>
      </w:r>
    </w:p>
    <w:p w14:paraId="1652BE15">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rPr>
        <w:t xml:space="preserve">3、第二部分 </w:t>
      </w:r>
      <w:r>
        <w:rPr>
          <w:rFonts w:hint="default" w:ascii="Times New Roman" w:hAnsi="Times New Roman" w:eastAsia="仿宋" w:cs="Times New Roman"/>
          <w:color w:val="000000"/>
          <w:sz w:val="24"/>
          <w:szCs w:val="24"/>
          <w:shd w:val="clear" w:color="auto" w:fill="FFFFFF"/>
          <w:lang w:eastAsia="zh-CN"/>
        </w:rPr>
        <w:t>竞争性磋商文件顺序及格式规范</w:t>
      </w:r>
      <w:r>
        <w:rPr>
          <w:rFonts w:hint="default" w:ascii="Times New Roman" w:hAnsi="Times New Roman" w:eastAsia="仿宋" w:cs="Times New Roman"/>
          <w:color w:val="000000"/>
          <w:sz w:val="24"/>
          <w:szCs w:val="24"/>
          <w:shd w:val="clear" w:color="auto" w:fill="FFFFFF"/>
          <w:lang w:val="en-US" w:eastAsia="zh-CN"/>
        </w:rPr>
        <w:t xml:space="preserve"> </w:t>
      </w:r>
    </w:p>
    <w:p w14:paraId="76AD58E9">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 xml:space="preserve">4、第三部分 </w:t>
      </w:r>
      <w:r>
        <w:rPr>
          <w:rFonts w:hint="default" w:ascii="Times New Roman" w:hAnsi="Times New Roman" w:eastAsia="仿宋" w:cs="Times New Roman"/>
          <w:color w:val="000000"/>
          <w:sz w:val="24"/>
          <w:szCs w:val="24"/>
          <w:shd w:val="clear" w:color="auto" w:fill="FFFFFF"/>
          <w:lang w:eastAsia="zh-CN"/>
        </w:rPr>
        <w:t>评标标准</w:t>
      </w:r>
    </w:p>
    <w:p w14:paraId="1C71370C">
      <w:pPr>
        <w:spacing w:line="360" w:lineRule="auto"/>
        <w:ind w:firstLine="480" w:firstLineChars="200"/>
        <w:rPr>
          <w:rFonts w:hint="default" w:ascii="Times New Roman" w:hAnsi="Times New Roman" w:eastAsia="仿宋" w:cs="Times New Roman"/>
          <w:color w:val="000000"/>
          <w:sz w:val="24"/>
          <w:szCs w:val="24"/>
          <w:shd w:val="clear" w:color="auto" w:fill="FFFFFF"/>
          <w:lang w:eastAsia="zh-CN"/>
        </w:rPr>
      </w:pPr>
      <w:r>
        <w:rPr>
          <w:rFonts w:hint="default" w:ascii="Times New Roman" w:hAnsi="Times New Roman" w:eastAsia="仿宋" w:cs="Times New Roman"/>
          <w:color w:val="000000"/>
          <w:sz w:val="24"/>
          <w:szCs w:val="24"/>
          <w:shd w:val="clear" w:color="auto" w:fill="FFFFFF"/>
        </w:rPr>
        <w:t xml:space="preserve">5、第四部分 </w:t>
      </w:r>
      <w:r>
        <w:rPr>
          <w:rFonts w:hint="default" w:ascii="Times New Roman" w:hAnsi="Times New Roman" w:eastAsia="仿宋" w:cs="Times New Roman"/>
          <w:color w:val="000000"/>
          <w:sz w:val="24"/>
          <w:szCs w:val="24"/>
          <w:shd w:val="clear" w:color="auto" w:fill="FFFFFF"/>
          <w:lang w:eastAsia="zh-CN"/>
        </w:rPr>
        <w:t>服务内容及说明</w:t>
      </w:r>
    </w:p>
    <w:p w14:paraId="55465E1D">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lang w:val="en-US" w:eastAsia="zh-CN"/>
        </w:rPr>
        <w:t>6、第五部分 竞争性磋商投标文件格式</w:t>
      </w:r>
    </w:p>
    <w:p w14:paraId="75334CBF">
      <w:pPr>
        <w:pStyle w:val="14"/>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color w:val="000000"/>
          <w:sz w:val="24"/>
          <w:szCs w:val="24"/>
        </w:rPr>
        <w:t>（二）竞争性磋商文件的</w:t>
      </w:r>
      <w:r>
        <w:rPr>
          <w:rFonts w:hint="default" w:ascii="Times New Roman" w:hAnsi="Times New Roman" w:eastAsia="仿宋" w:cs="Times New Roman"/>
          <w:b/>
          <w:sz w:val="24"/>
          <w:szCs w:val="24"/>
        </w:rPr>
        <w:t>澄清和质疑</w:t>
      </w:r>
      <w:bookmarkStart w:id="18" w:name="_Toc239047318"/>
    </w:p>
    <w:p w14:paraId="5A0EF050">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1、综合说明</w:t>
      </w:r>
      <w:bookmarkEnd w:id="18"/>
    </w:p>
    <w:p w14:paraId="3A11FBEE">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14:paraId="09325F51">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2、对竞争性磋商文件的澄清和质疑</w:t>
      </w:r>
      <w:bookmarkEnd w:id="19"/>
    </w:p>
    <w:p w14:paraId="68CD7244">
      <w:pPr>
        <w:spacing w:line="360" w:lineRule="auto"/>
        <w:ind w:firstLine="480" w:firstLineChars="200"/>
        <w:rPr>
          <w:rFonts w:hint="eastAsia" w:ascii="仿宋" w:hAnsi="仿宋" w:eastAsia="仿宋" w:cs="仿宋"/>
          <w:bCs/>
          <w:sz w:val="24"/>
          <w:highlight w:val="none"/>
          <w:lang w:val="en-US" w:eastAsia="zh-CN"/>
        </w:rPr>
      </w:pPr>
      <w:bookmarkStart w:id="20" w:name="_Toc239047320"/>
      <w:r>
        <w:rPr>
          <w:rFonts w:hint="eastAsia" w:ascii="仿宋" w:hAnsi="仿宋" w:eastAsia="仿宋" w:cs="仿宋"/>
          <w:bCs/>
          <w:sz w:val="24"/>
          <w:highlight w:val="none"/>
        </w:rPr>
        <w:t>投标人对招标文件如有疑点，</w:t>
      </w:r>
      <w:r>
        <w:rPr>
          <w:rFonts w:hint="eastAsia" w:ascii="仿宋" w:hAnsi="仿宋" w:eastAsia="仿宋" w:cs="仿宋"/>
          <w:bCs/>
          <w:sz w:val="24"/>
          <w:highlight w:val="none"/>
          <w:lang w:val="en-US" w:eastAsia="zh-CN"/>
        </w:rPr>
        <w:t>供应商对采购文件提出质疑的，应当在获取采购文件或者采购文件公告期限届满之日起 7 个工作日内提出。</w:t>
      </w:r>
    </w:p>
    <w:p w14:paraId="703827E9">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在评标过程中，</w:t>
      </w:r>
      <w:r>
        <w:rPr>
          <w:rFonts w:hint="default" w:ascii="Times New Roman" w:hAnsi="Times New Roman" w:eastAsia="仿宋" w:cs="Times New Roman"/>
          <w:color w:val="000000"/>
          <w:sz w:val="24"/>
          <w:szCs w:val="24"/>
          <w:shd w:val="clear" w:color="auto" w:fill="FFFFFF"/>
          <w:lang w:val="zh-CN"/>
        </w:rPr>
        <w:t>评标委员会</w:t>
      </w:r>
      <w:r>
        <w:rPr>
          <w:rFonts w:hint="default" w:ascii="Times New Roman" w:hAnsi="Times New Roman" w:eastAsia="仿宋" w:cs="Times New Roman"/>
          <w:color w:val="000000"/>
          <w:sz w:val="24"/>
          <w:szCs w:val="24"/>
          <w:shd w:val="clear" w:color="auto" w:fill="FFFFFF"/>
        </w:rPr>
        <w:t>各成员如对</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中含义不明确、同类问题表述不一致或者有明显文字和计算错误的内容，需要供应商进行必要澄清、说明或者纠正，</w:t>
      </w:r>
      <w:r>
        <w:rPr>
          <w:rFonts w:hint="default" w:ascii="Times New Roman" w:hAnsi="Times New Roman" w:eastAsia="仿宋" w:cs="Times New Roman"/>
          <w:color w:val="000000"/>
          <w:sz w:val="24"/>
          <w:szCs w:val="24"/>
          <w:shd w:val="clear" w:color="auto" w:fill="FFFFFF"/>
          <w:lang w:val="zh-CN"/>
        </w:rPr>
        <w:t>应以书面形式要求供应商在招标方规定的时间内现场作出必要的澄清、说明或者补正，</w:t>
      </w:r>
      <w:r>
        <w:rPr>
          <w:rFonts w:hint="default" w:ascii="Times New Roman" w:hAnsi="Times New Roman" w:eastAsia="仿宋" w:cs="Times New Roman"/>
          <w:color w:val="000000"/>
          <w:sz w:val="24"/>
          <w:szCs w:val="24"/>
          <w:shd w:val="clear" w:color="auto" w:fill="FFFFFF"/>
        </w:rPr>
        <w:t>和分别单独</w:t>
      </w:r>
      <w:r>
        <w:rPr>
          <w:rFonts w:hint="default" w:ascii="Times New Roman" w:hAnsi="Times New Roman" w:eastAsia="仿宋" w:cs="Times New Roman"/>
          <w:color w:val="000000"/>
          <w:sz w:val="24"/>
          <w:szCs w:val="24"/>
          <w:shd w:val="clear" w:color="auto" w:fill="FFFFFF"/>
          <w:lang w:val="zh-CN"/>
        </w:rPr>
        <w:t>（或集中）</w:t>
      </w:r>
      <w:r>
        <w:rPr>
          <w:rFonts w:hint="default" w:ascii="Times New Roman" w:hAnsi="Times New Roman" w:eastAsia="仿宋" w:cs="Times New Roman"/>
          <w:color w:val="000000"/>
          <w:sz w:val="24"/>
          <w:szCs w:val="24"/>
          <w:shd w:val="clear" w:color="auto" w:fill="FFFFFF"/>
        </w:rPr>
        <w:t>进行询标（答疑）。</w:t>
      </w:r>
    </w:p>
    <w:p w14:paraId="1C33E4B2">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为有助于对</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进行审查、评估和比较，评标委员会及其成员将对认为需要投标人进行询标（答疑）、澄清等时，投标方有责任按照招标方通知的时间、地点进行询标（答疑）和澄清。询标（答疑）和澄清时，投标方代表应作书面记录，并对重要内容做出书面答复。</w:t>
      </w:r>
    </w:p>
    <w:p w14:paraId="4F3CF5E1">
      <w:pPr>
        <w:spacing w:line="360" w:lineRule="auto"/>
        <w:ind w:firstLine="480" w:firstLineChars="200"/>
        <w:rPr>
          <w:rFonts w:hint="default" w:ascii="Times New Roman" w:hAnsi="Times New Roman" w:eastAsia="仿宋" w:cs="Times New Roman"/>
          <w:color w:val="000000"/>
          <w:sz w:val="24"/>
          <w:szCs w:val="24"/>
          <w:shd w:val="clear" w:color="auto" w:fill="FFFFFF"/>
          <w:lang w:val="zh-CN"/>
        </w:rPr>
      </w:pPr>
      <w:r>
        <w:rPr>
          <w:rFonts w:hint="default" w:ascii="Times New Roman" w:hAnsi="Times New Roman" w:eastAsia="仿宋" w:cs="Times New Roman"/>
          <w:color w:val="000000"/>
          <w:sz w:val="24"/>
          <w:szCs w:val="24"/>
          <w:shd w:val="clear" w:color="auto" w:fill="FFFFFF"/>
          <w:lang w:val="zh-CN"/>
        </w:rPr>
        <w:t>评标委员会在初步评审的基础上，单独（或集体）讨论、分析、综合各种因素后，可决定是否与各投标供应商再次进行询标（答疑）。</w:t>
      </w:r>
    </w:p>
    <w:p w14:paraId="429A65CA">
      <w:pPr>
        <w:spacing w:line="360" w:lineRule="auto"/>
        <w:ind w:firstLine="480" w:firstLineChars="200"/>
        <w:rPr>
          <w:rFonts w:hint="default" w:ascii="Times New Roman" w:hAnsi="Times New Roman" w:eastAsia="仿宋" w:cs="Times New Roman"/>
          <w:color w:val="000000"/>
          <w:sz w:val="24"/>
          <w:szCs w:val="24"/>
          <w:shd w:val="clear" w:color="auto" w:fill="FFFFFF"/>
        </w:rPr>
      </w:pPr>
      <w:r>
        <w:rPr>
          <w:rFonts w:hint="default" w:ascii="Times New Roman" w:hAnsi="Times New Roman" w:eastAsia="仿宋" w:cs="Times New Roman"/>
          <w:color w:val="000000"/>
          <w:sz w:val="24"/>
          <w:szCs w:val="24"/>
          <w:shd w:val="clear" w:color="auto" w:fill="FFFFFF"/>
        </w:rPr>
        <w:t>招标方要对供应商的澄清、说明或者补正，</w:t>
      </w:r>
      <w:r>
        <w:rPr>
          <w:rFonts w:hint="default" w:ascii="Times New Roman" w:hAnsi="Times New Roman" w:eastAsia="仿宋" w:cs="Times New Roman"/>
          <w:color w:val="000000"/>
          <w:sz w:val="24"/>
          <w:szCs w:val="24"/>
          <w:shd w:val="clear" w:color="auto" w:fill="FFFFFF"/>
          <w:lang w:val="zh-CN"/>
        </w:rPr>
        <w:t>采用书面形式，</w:t>
      </w:r>
      <w:r>
        <w:rPr>
          <w:rFonts w:hint="default" w:ascii="Times New Roman" w:hAnsi="Times New Roman" w:eastAsia="仿宋" w:cs="Times New Roman"/>
          <w:color w:val="000000"/>
          <w:sz w:val="24"/>
          <w:szCs w:val="24"/>
          <w:shd w:val="clear" w:color="auto" w:fill="FFFFFF"/>
        </w:rPr>
        <w:t>由招标方做好书面记录，并由其</w:t>
      </w:r>
      <w:r>
        <w:rPr>
          <w:rFonts w:hint="default" w:ascii="Times New Roman" w:hAnsi="Times New Roman" w:eastAsia="仿宋" w:cs="Times New Roman"/>
          <w:color w:val="000000"/>
          <w:sz w:val="24"/>
          <w:szCs w:val="24"/>
          <w:shd w:val="clear" w:color="auto" w:fill="FFFFFF"/>
          <w:lang w:val="zh-CN"/>
        </w:rPr>
        <w:t>法定代表人或</w:t>
      </w:r>
      <w:r>
        <w:rPr>
          <w:rFonts w:hint="default" w:ascii="Times New Roman" w:hAnsi="Times New Roman" w:eastAsia="仿宋" w:cs="Times New Roman"/>
          <w:color w:val="000000"/>
          <w:sz w:val="24"/>
          <w:szCs w:val="24"/>
          <w:shd w:val="clear" w:color="auto" w:fill="FFFFFF"/>
        </w:rPr>
        <w:t>授权的代表签字或加盖招标方公章，其澄清、说明或者补正不得超出投标报价文件的范围或者改变其实质性内容，并作为</w:t>
      </w:r>
      <w:r>
        <w:rPr>
          <w:rFonts w:hint="default" w:ascii="Times New Roman" w:hAnsi="Times New Roman" w:eastAsia="仿宋" w:cs="Times New Roman"/>
          <w:color w:val="000000"/>
          <w:sz w:val="24"/>
          <w:szCs w:val="24"/>
          <w:shd w:val="clear" w:color="auto" w:fill="FFFFFF"/>
          <w:lang w:eastAsia="zh-CN"/>
        </w:rPr>
        <w:t>竞争性磋商文件</w:t>
      </w:r>
      <w:r>
        <w:rPr>
          <w:rFonts w:hint="default" w:ascii="Times New Roman" w:hAnsi="Times New Roman" w:eastAsia="仿宋" w:cs="Times New Roman"/>
          <w:color w:val="000000"/>
          <w:sz w:val="24"/>
          <w:szCs w:val="24"/>
          <w:shd w:val="clear" w:color="auto" w:fill="FFFFFF"/>
        </w:rPr>
        <w:t>的组成部分。</w:t>
      </w:r>
    </w:p>
    <w:p w14:paraId="5D46FD07">
      <w:pPr>
        <w:spacing w:line="360" w:lineRule="auto"/>
        <w:ind w:firstLine="480" w:firstLineChars="200"/>
        <w:rPr>
          <w:rFonts w:hint="default" w:ascii="Times New Roman" w:hAnsi="Times New Roman" w:eastAsia="仿宋" w:cs="Times New Roman"/>
          <w:color w:val="000000"/>
          <w:sz w:val="24"/>
          <w:szCs w:val="24"/>
          <w:shd w:val="clear" w:color="auto" w:fill="FFFFFF"/>
          <w:lang w:val="zh-CN"/>
        </w:rPr>
      </w:pPr>
      <w:r>
        <w:rPr>
          <w:rFonts w:hint="default" w:ascii="Times New Roman" w:hAnsi="Times New Roman" w:eastAsia="仿宋" w:cs="Times New Roman"/>
          <w:color w:val="000000"/>
          <w:sz w:val="24"/>
          <w:szCs w:val="24"/>
          <w:shd w:val="clear" w:color="auto" w:fill="FFFFFF"/>
          <w:lang w:val="zh-CN"/>
        </w:rPr>
        <w:t>投标供应商拒不进行澄清、说明或者补正的，或者不能在招标方规定时间内做出书面澄清、说明或者补正的，评标委员会将取消其继续参加评标的资格。</w:t>
      </w:r>
    </w:p>
    <w:p w14:paraId="239D8EDE">
      <w:pPr>
        <w:spacing w:line="360" w:lineRule="auto"/>
        <w:ind w:firstLine="480" w:firstLineChars="200"/>
        <w:rPr>
          <w:rFonts w:hint="default" w:ascii="Times New Roman" w:hAnsi="Times New Roman" w:eastAsia="仿宋" w:cs="Times New Roman"/>
          <w:color w:val="000000"/>
          <w:sz w:val="24"/>
          <w:szCs w:val="24"/>
          <w:shd w:val="clear" w:color="auto" w:fill="FFFFFF"/>
          <w:lang w:val="en-US" w:eastAsia="zh-CN"/>
        </w:rPr>
      </w:pPr>
      <w:r>
        <w:rPr>
          <w:rFonts w:hint="default" w:ascii="Times New Roman" w:hAnsi="Times New Roman" w:eastAsia="仿宋" w:cs="Times New Roman"/>
          <w:color w:val="000000"/>
          <w:sz w:val="24"/>
          <w:szCs w:val="24"/>
          <w:shd w:val="clear" w:color="auto" w:fill="FFFFFF"/>
          <w:lang w:val="zh-CN"/>
        </w:rPr>
        <w:t>参加投标的供应商应当对评标（审）的承诺和最终报价以书面形式确认，并由其法定代表人或其授权人签署或加盖公章</w:t>
      </w:r>
      <w:r>
        <w:rPr>
          <w:rFonts w:hint="default" w:ascii="Times New Roman" w:hAnsi="Times New Roman" w:eastAsia="仿宋" w:cs="Times New Roman"/>
          <w:color w:val="000000"/>
          <w:sz w:val="24"/>
          <w:szCs w:val="24"/>
          <w:shd w:val="clear" w:color="auto" w:fill="FFFFFF"/>
          <w:lang w:val="en-US" w:eastAsia="zh-CN"/>
        </w:rPr>
        <w:t>。</w:t>
      </w:r>
    </w:p>
    <w:p w14:paraId="40E1A884">
      <w:pPr>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3、</w:t>
      </w:r>
      <w:r>
        <w:rPr>
          <w:rFonts w:hint="default" w:ascii="Times New Roman" w:hAnsi="Times New Roman" w:eastAsia="仿宋" w:cs="Times New Roman"/>
          <w:b/>
          <w:bCs/>
          <w:sz w:val="24"/>
          <w:szCs w:val="24"/>
        </w:rPr>
        <w:t>对招标过程和拟中标结果的质疑</w:t>
      </w:r>
      <w:bookmarkEnd w:id="20"/>
    </w:p>
    <w:p w14:paraId="1A9DF1A2">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shd w:val="clear" w:color="auto" w:fill="FFFFFF"/>
        </w:rPr>
        <w:t>投标方对中标公告有异议的，应当在中标公告发布之日起七个工作日内，以书面形式向招标方提出质疑。招标方应当在收到投标方书面质疑后七个工作日内，对质疑内容做出答复。质疑投标人对答复不满意或者招标方未在规定时间内答复的，可以在答复期满后十五个工作日内按有关规定，向同级人民政府财政部门投诉。质疑</w:t>
      </w:r>
      <w:r>
        <w:rPr>
          <w:rFonts w:hint="default" w:ascii="Times New Roman" w:hAnsi="Times New Roman" w:eastAsia="仿宋" w:cs="Times New Roman"/>
          <w:color w:val="000000"/>
          <w:sz w:val="24"/>
          <w:szCs w:val="24"/>
          <w:shd w:val="clear" w:color="auto" w:fill="FFFFFF"/>
          <w:lang w:eastAsia="zh-CN"/>
        </w:rPr>
        <w:t>函</w:t>
      </w:r>
      <w:r>
        <w:rPr>
          <w:rFonts w:hint="default" w:ascii="Times New Roman" w:hAnsi="Times New Roman" w:eastAsia="仿宋" w:cs="Times New Roman"/>
          <w:color w:val="000000"/>
          <w:sz w:val="24"/>
          <w:szCs w:val="24"/>
          <w:shd w:val="clear" w:color="auto" w:fill="FFFFFF"/>
        </w:rPr>
        <w:t>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w:t>
      </w:r>
      <w:r>
        <w:rPr>
          <w:rFonts w:hint="default" w:ascii="Times New Roman" w:hAnsi="Times New Roman" w:eastAsia="仿宋" w:cs="Times New Roman"/>
          <w:color w:val="000000"/>
          <w:sz w:val="24"/>
          <w:szCs w:val="24"/>
          <w:highlight w:val="none"/>
          <w:shd w:val="clear" w:color="auto" w:fill="FFFFFF"/>
        </w:rPr>
        <w:t>件须正反面清晰、有效，并要求由该身份证持有人在复印件正反面非空白位置注明“该复印件用于</w:t>
      </w:r>
      <w:r>
        <w:rPr>
          <w:rFonts w:hint="default" w:ascii="Times New Roman" w:hAnsi="Times New Roman" w:eastAsia="仿宋" w:cs="Times New Roman"/>
          <w:sz w:val="24"/>
          <w:szCs w:val="24"/>
          <w:highlight w:val="none"/>
        </w:rPr>
        <w:t>在</w:t>
      </w:r>
      <w:r>
        <w:rPr>
          <w:rFonts w:hint="eastAsia" w:ascii="Times New Roman" w:hAnsi="Times New Roman" w:eastAsia="仿宋" w:cs="Times New Roman"/>
          <w:color w:val="000000"/>
          <w:kern w:val="2"/>
          <w:sz w:val="24"/>
          <w:szCs w:val="24"/>
          <w:highlight w:val="none"/>
          <w:u w:val="single"/>
          <w:shd w:val="clear" w:color="auto" w:fill="FFFFFF"/>
          <w:lang w:val="en-US" w:eastAsia="zh-CN" w:bidi="ar-SA"/>
        </w:rPr>
        <w:t>2025年度文化和旅游志愿服务项目</w:t>
      </w:r>
      <w:r>
        <w:rPr>
          <w:rFonts w:hint="default" w:ascii="Times New Roman" w:hAnsi="Times New Roman" w:eastAsia="仿宋" w:cs="Times New Roman"/>
          <w:sz w:val="24"/>
          <w:szCs w:val="24"/>
          <w:highlight w:val="none"/>
        </w:rPr>
        <w:t>”字样，并由身份证持有人签字确认。上述资料均须加盖公章。</w:t>
      </w:r>
    </w:p>
    <w:p w14:paraId="7C1752B6">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color w:val="000000"/>
          <w:sz w:val="24"/>
          <w:szCs w:val="24"/>
          <w:highlight w:val="none"/>
          <w:shd w:val="clear" w:color="auto" w:fill="FFFFFF"/>
          <w:lang w:eastAsia="zh-CN"/>
        </w:rPr>
        <w:t>采购人及招标代理机构</w:t>
      </w:r>
      <w:r>
        <w:rPr>
          <w:rFonts w:hint="default" w:ascii="Times New Roman" w:hAnsi="Times New Roman" w:eastAsia="仿宋" w:cs="Times New Roman"/>
          <w:sz w:val="24"/>
          <w:szCs w:val="24"/>
          <w:highlight w:val="none"/>
        </w:rPr>
        <w:t>应在受理投标人的书面质疑后，根据质疑函的具体内容及时向递交质疑函的投标人作出答复或不予</w:t>
      </w:r>
      <w:r>
        <w:rPr>
          <w:rFonts w:hint="default" w:ascii="Times New Roman" w:hAnsi="Times New Roman" w:eastAsia="仿宋" w:cs="Times New Roman"/>
          <w:sz w:val="24"/>
          <w:szCs w:val="24"/>
        </w:rPr>
        <w:t>答复，答复内容不得涉及商业秘密。作出答复的以书面形式通知递交质疑的投标人和其他有关投标人，或在</w:t>
      </w:r>
      <w:r>
        <w:rPr>
          <w:rFonts w:hint="default" w:ascii="Times New Roman" w:hAnsi="Times New Roman" w:eastAsia="仿宋" w:cs="Times New Roman"/>
          <w:sz w:val="24"/>
          <w:szCs w:val="24"/>
          <w:lang w:eastAsia="zh-CN"/>
        </w:rPr>
        <w:t>《新疆政府采购网》</w:t>
      </w:r>
      <w:r>
        <w:rPr>
          <w:rFonts w:hint="default" w:ascii="Times New Roman" w:hAnsi="Times New Roman" w:eastAsia="仿宋" w:cs="Times New Roman"/>
          <w:sz w:val="24"/>
          <w:szCs w:val="24"/>
        </w:rPr>
        <w:t>予以公告。递交质疑的投标人和其他有关投标人在被告知、收到上述公告、通知或答疑书后，应立即向采购人及</w:t>
      </w:r>
      <w:r>
        <w:rPr>
          <w:rFonts w:hint="default" w:ascii="Times New Roman" w:hAnsi="Times New Roman" w:eastAsia="仿宋" w:cs="Times New Roman"/>
          <w:color w:val="000000"/>
          <w:sz w:val="24"/>
          <w:szCs w:val="24"/>
          <w:shd w:val="clear" w:color="auto" w:fill="FFFFFF"/>
          <w:lang w:eastAsia="zh-CN"/>
        </w:rPr>
        <w:t>招标代理机构</w:t>
      </w:r>
      <w:r>
        <w:rPr>
          <w:rFonts w:hint="default" w:ascii="Times New Roman" w:hAnsi="Times New Roman" w:eastAsia="仿宋" w:cs="Times New Roman"/>
          <w:sz w:val="24"/>
          <w:szCs w:val="24"/>
        </w:rPr>
        <w:t>回函确认。未确认情况应当视为对质疑答复的知晓，也将视为对质疑答复内容接受的默认。</w:t>
      </w:r>
      <w:bookmarkStart w:id="21" w:name="_Toc239047321"/>
    </w:p>
    <w:p w14:paraId="22DCB761">
      <w:pPr>
        <w:adjustRightIn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4、澄清或质疑不予受理的情况</w:t>
      </w:r>
      <w:bookmarkEnd w:id="21"/>
      <w:r>
        <w:rPr>
          <w:rFonts w:hint="default" w:ascii="Times New Roman" w:hAnsi="Times New Roman" w:eastAsia="仿宋" w:cs="Times New Roman"/>
          <w:b/>
          <w:sz w:val="24"/>
          <w:szCs w:val="24"/>
        </w:rPr>
        <w:t>，有下列情形之一的，属于无效质疑，被质疑人不予受理，由此产生的影响由投标人自行承担：</w:t>
      </w:r>
    </w:p>
    <w:p w14:paraId="0CA95F8A">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)不是参与该政府采购项目活动供应商的;</w:t>
      </w:r>
    </w:p>
    <w:p w14:paraId="25A2D3D9">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)被质疑人为采购人或政府采购代理机构之外的；</w:t>
      </w:r>
    </w:p>
    <w:p w14:paraId="24379F4D">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3</w:t>
      </w:r>
      <w:r>
        <w:rPr>
          <w:rFonts w:hint="default" w:ascii="Times New Roman" w:hAnsi="Times New Roman" w:eastAsia="仿宋" w:cs="Times New Roman"/>
          <w:sz w:val="24"/>
          <w:szCs w:val="24"/>
          <w:highlight w:val="none"/>
        </w:rPr>
        <w:t>)所有质疑事项超过质疑有效期的；</w:t>
      </w:r>
    </w:p>
    <w:p w14:paraId="1C7AD470">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)以具有法律效力的文书送达之外方式提出的；</w:t>
      </w:r>
    </w:p>
    <w:p w14:paraId="54DD9BF7">
      <w:pPr>
        <w:adjustRightInd w:val="0"/>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5</w:t>
      </w:r>
      <w:r>
        <w:rPr>
          <w:rFonts w:hint="default" w:ascii="Times New Roman" w:hAnsi="Times New Roman" w:eastAsia="仿宋" w:cs="Times New Roman"/>
          <w:sz w:val="24"/>
          <w:szCs w:val="24"/>
          <w:highlight w:val="none"/>
        </w:rPr>
        <w:t>)未按上述规定递交澄清或质疑函的；</w:t>
      </w:r>
    </w:p>
    <w:p w14:paraId="5D17CA3A">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highlight w:val="none"/>
        </w:rPr>
        <w:t>(</w:t>
      </w:r>
      <w:r>
        <w:rPr>
          <w:rFonts w:hint="eastAsia" w:eastAsia="仿宋" w:cs="Times New Roman"/>
          <w:sz w:val="24"/>
          <w:szCs w:val="24"/>
          <w:highlight w:val="none"/>
          <w:lang w:val="en-US" w:eastAsia="zh-CN"/>
        </w:rPr>
        <w:t>6</w:t>
      </w:r>
      <w:r>
        <w:rPr>
          <w:rFonts w:hint="default" w:ascii="Times New Roman" w:hAnsi="Times New Roman" w:eastAsia="仿宋" w:cs="Times New Roman"/>
          <w:sz w:val="24"/>
          <w:szCs w:val="24"/>
          <w:highlight w:val="none"/>
        </w:rPr>
        <w:t>)</w:t>
      </w:r>
      <w:r>
        <w:rPr>
          <w:rFonts w:hint="default" w:ascii="Times New Roman" w:hAnsi="Times New Roman" w:eastAsia="仿宋" w:cs="Times New Roman"/>
          <w:sz w:val="24"/>
          <w:szCs w:val="24"/>
        </w:rPr>
        <w:t xml:space="preserve"> 其它不符合受理条件的情形。</w:t>
      </w:r>
      <w:bookmarkStart w:id="22" w:name="_Toc239047322"/>
    </w:p>
    <w:bookmarkEnd w:id="22"/>
    <w:p w14:paraId="39FEC350">
      <w:pPr>
        <w:pStyle w:val="14"/>
        <w:spacing w:line="360" w:lineRule="auto"/>
        <w:ind w:firstLine="463" w:firstLineChars="192"/>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（三）竞争性磋商文件的修改</w:t>
      </w:r>
    </w:p>
    <w:p w14:paraId="0CA55AFC">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1、在投标截止日前的任何时候，无论出于何种原因，</w:t>
      </w:r>
      <w:r>
        <w:rPr>
          <w:rFonts w:hint="default" w:ascii="Times New Roman" w:hAnsi="Times New Roman" w:eastAsia="仿宋" w:cs="Times New Roman"/>
          <w:sz w:val="24"/>
          <w:szCs w:val="24"/>
          <w:lang w:eastAsia="zh-CN"/>
        </w:rPr>
        <w:t>采购人及招标代理机构</w:t>
      </w:r>
      <w:r>
        <w:rPr>
          <w:rFonts w:hint="default" w:ascii="Times New Roman" w:hAnsi="Times New Roman" w:eastAsia="仿宋" w:cs="Times New Roman"/>
          <w:sz w:val="24"/>
          <w:szCs w:val="24"/>
        </w:rPr>
        <w:t>可主动地或在解答投标人提出的问题时对竞争性磋商文件进行修改，据此发出的补遗书将构成竞争性磋商文件的一部分。</w:t>
      </w:r>
    </w:p>
    <w:p w14:paraId="136F7E9E">
      <w:pPr>
        <w:adjustRightIn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2、竞争性磋商文件的修改将在</w:t>
      </w:r>
      <w:r>
        <w:rPr>
          <w:rFonts w:hint="default" w:ascii="Times New Roman" w:hAnsi="Times New Roman" w:eastAsia="仿宋" w:cs="Times New Roman"/>
          <w:sz w:val="24"/>
          <w:szCs w:val="24"/>
          <w:lang w:eastAsia="zh-CN"/>
        </w:rPr>
        <w:t>《新疆政府采购网》</w:t>
      </w:r>
      <w:r>
        <w:rPr>
          <w:rFonts w:hint="default" w:ascii="Times New Roman" w:hAnsi="Times New Roman" w:eastAsia="仿宋" w:cs="Times New Roman"/>
          <w:sz w:val="24"/>
          <w:szCs w:val="24"/>
        </w:rPr>
        <w:t>以变更通知的形式予以公布</w:t>
      </w:r>
      <w:r>
        <w:rPr>
          <w:rFonts w:hint="default" w:ascii="Times New Roman" w:hAnsi="Times New Roman" w:eastAsia="仿宋" w:cs="Times New Roman"/>
          <w:sz w:val="24"/>
          <w:szCs w:val="24"/>
          <w:lang w:eastAsia="zh-CN"/>
        </w:rPr>
        <w:t>同时</w:t>
      </w:r>
      <w:r>
        <w:rPr>
          <w:rFonts w:hint="default" w:ascii="Times New Roman" w:hAnsi="Times New Roman" w:eastAsia="仿宋" w:cs="Times New Roman"/>
          <w:sz w:val="24"/>
          <w:szCs w:val="24"/>
        </w:rPr>
        <w:t>以书面形式通知所有获取竞争性磋商文件的投标人，可以酌情延长投标日期。</w:t>
      </w:r>
    </w:p>
    <w:p w14:paraId="52DF58BE">
      <w:pPr>
        <w:pStyle w:val="14"/>
        <w:spacing w:line="360" w:lineRule="auto"/>
        <w:ind w:firstLine="463" w:firstLineChars="192"/>
        <w:rPr>
          <w:rFonts w:hint="default" w:ascii="Times New Roman" w:hAnsi="Times New Roman" w:eastAsia="仿宋" w:cs="Times New Roman"/>
          <w:b/>
          <w:color w:val="000000"/>
          <w:sz w:val="24"/>
          <w:szCs w:val="24"/>
        </w:rPr>
      </w:pPr>
      <w:r>
        <w:rPr>
          <w:rFonts w:hint="eastAsia" w:eastAsia="仿宋" w:cs="Times New Roman"/>
          <w:b/>
          <w:color w:val="000000"/>
          <w:sz w:val="24"/>
          <w:szCs w:val="24"/>
          <w:lang w:val="en-US" w:eastAsia="zh-CN"/>
        </w:rPr>
        <w:t>3、</w:t>
      </w:r>
      <w:r>
        <w:rPr>
          <w:rFonts w:hint="default" w:ascii="Times New Roman" w:hAnsi="Times New Roman" w:eastAsia="仿宋" w:cs="Times New Roman"/>
          <w:b/>
          <w:color w:val="000000"/>
          <w:sz w:val="24"/>
          <w:szCs w:val="24"/>
          <w:lang w:val="en-US" w:eastAsia="zh-CN"/>
        </w:rPr>
        <w:t>综合评审</w:t>
      </w:r>
      <w:r>
        <w:rPr>
          <w:rFonts w:hint="default" w:ascii="Times New Roman" w:hAnsi="Times New Roman" w:eastAsia="仿宋" w:cs="Times New Roman"/>
          <w:b/>
          <w:color w:val="000000"/>
          <w:sz w:val="24"/>
          <w:szCs w:val="24"/>
        </w:rPr>
        <w:t xml:space="preserve"> </w:t>
      </w:r>
    </w:p>
    <w:p w14:paraId="351010D1">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3.1</w:t>
      </w:r>
      <w:r>
        <w:rPr>
          <w:rFonts w:hint="default" w:ascii="Times New Roman" w:hAnsi="Times New Roman" w:eastAsia="仿宋" w:cs="Times New Roman"/>
          <w:sz w:val="24"/>
          <w:szCs w:val="24"/>
        </w:rPr>
        <w:t>评标委员会各成员应当遵循独立评审原则，</w:t>
      </w:r>
      <w:r>
        <w:rPr>
          <w:rFonts w:hint="default" w:ascii="Times New Roman" w:hAnsi="Times New Roman" w:eastAsia="仿宋" w:cs="Times New Roman"/>
          <w:sz w:val="24"/>
          <w:szCs w:val="24"/>
          <w:lang w:val="zh-CN"/>
        </w:rPr>
        <w:t>按照招标文件的评标方法和标准，</w:t>
      </w:r>
      <w:r>
        <w:rPr>
          <w:rFonts w:hint="default" w:ascii="Times New Roman" w:hAnsi="Times New Roman" w:eastAsia="仿宋" w:cs="Times New Roman"/>
          <w:sz w:val="24"/>
          <w:szCs w:val="24"/>
          <w:highlight w:val="none"/>
          <w:lang w:val="zh-CN"/>
        </w:rPr>
        <w:t>对资格资质</w:t>
      </w:r>
      <w:r>
        <w:rPr>
          <w:rFonts w:hint="eastAsia" w:eastAsia="仿宋" w:cs="Times New Roman"/>
          <w:sz w:val="24"/>
          <w:szCs w:val="24"/>
          <w:highlight w:val="none"/>
          <w:lang w:val="zh-CN"/>
        </w:rPr>
        <w:t>审</w:t>
      </w:r>
      <w:r>
        <w:rPr>
          <w:rFonts w:hint="eastAsia" w:eastAsia="仿宋" w:cs="Times New Roman"/>
          <w:sz w:val="24"/>
          <w:szCs w:val="24"/>
          <w:lang w:val="zh-CN"/>
        </w:rPr>
        <w:t>查</w:t>
      </w:r>
      <w:r>
        <w:rPr>
          <w:rFonts w:hint="default" w:ascii="Times New Roman" w:hAnsi="Times New Roman" w:eastAsia="仿宋" w:cs="Times New Roman"/>
          <w:sz w:val="24"/>
          <w:szCs w:val="24"/>
          <w:lang w:val="zh-CN"/>
        </w:rPr>
        <w:t>和</w:t>
      </w:r>
      <w:r>
        <w:rPr>
          <w:rFonts w:hint="eastAsia" w:eastAsia="仿宋" w:cs="Times New Roman"/>
          <w:sz w:val="24"/>
          <w:szCs w:val="24"/>
          <w:lang w:val="zh-CN"/>
        </w:rPr>
        <w:t>符</w:t>
      </w:r>
      <w:r>
        <w:rPr>
          <w:rFonts w:hint="default" w:ascii="Times New Roman" w:hAnsi="Times New Roman" w:eastAsia="仿宋" w:cs="Times New Roman"/>
          <w:sz w:val="24"/>
          <w:szCs w:val="24"/>
          <w:lang w:val="zh-CN"/>
        </w:rPr>
        <w:t>合性</w:t>
      </w:r>
      <w:r>
        <w:rPr>
          <w:rFonts w:hint="eastAsia" w:eastAsia="仿宋" w:cs="Times New Roman"/>
          <w:sz w:val="24"/>
          <w:szCs w:val="24"/>
          <w:lang w:val="zh-CN"/>
        </w:rPr>
        <w:t>审查</w:t>
      </w:r>
      <w:r>
        <w:rPr>
          <w:rFonts w:hint="default" w:ascii="Times New Roman" w:hAnsi="Times New Roman" w:eastAsia="仿宋" w:cs="Times New Roman"/>
          <w:sz w:val="24"/>
          <w:szCs w:val="24"/>
          <w:lang w:val="zh-CN"/>
        </w:rPr>
        <w:t>合格的竞争性磋商文件的商务和技术进行评估，综合比较与评价。并应当以书面方式发表各自（或集体）的具体综合评审意见。</w:t>
      </w:r>
    </w:p>
    <w:p w14:paraId="3FBFE8F5">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3.2</w:t>
      </w:r>
      <w:r>
        <w:rPr>
          <w:rFonts w:hint="default" w:ascii="Times New Roman" w:hAnsi="Times New Roman" w:eastAsia="仿宋" w:cs="Times New Roman"/>
          <w:sz w:val="24"/>
          <w:szCs w:val="24"/>
          <w:lang w:val="zh-CN"/>
        </w:rPr>
        <w:t>评估和综合比较与评价，应当</w:t>
      </w:r>
      <w:r>
        <w:rPr>
          <w:rFonts w:hint="default" w:ascii="Times New Roman" w:hAnsi="Times New Roman" w:eastAsia="仿宋" w:cs="Times New Roman"/>
          <w:sz w:val="24"/>
          <w:szCs w:val="24"/>
        </w:rPr>
        <w:t>严格</w:t>
      </w:r>
      <w:r>
        <w:rPr>
          <w:rFonts w:hint="default" w:ascii="Times New Roman" w:hAnsi="Times New Roman" w:eastAsia="仿宋" w:cs="Times New Roman"/>
          <w:sz w:val="24"/>
          <w:szCs w:val="24"/>
          <w:lang w:val="zh-CN"/>
        </w:rPr>
        <w:t>按照招标方设计格式要求，做好书面原始署名记录，</w:t>
      </w:r>
      <w:r>
        <w:rPr>
          <w:rFonts w:hint="default" w:ascii="Times New Roman" w:hAnsi="Times New Roman" w:eastAsia="仿宋" w:cs="Times New Roman"/>
          <w:sz w:val="24"/>
          <w:szCs w:val="24"/>
        </w:rPr>
        <w:t>连同书面评标报告提交招标方。</w:t>
      </w:r>
    </w:p>
    <w:p w14:paraId="45E846D1">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3.3</w:t>
      </w:r>
      <w:r>
        <w:rPr>
          <w:rFonts w:hint="default" w:ascii="Times New Roman" w:hAnsi="Times New Roman" w:eastAsia="仿宋" w:cs="Times New Roman"/>
          <w:sz w:val="24"/>
          <w:szCs w:val="24"/>
        </w:rPr>
        <w:t>“综合评分法”应当载明投标人的投标项目、所作的任何修正、对商业偏差的调整、对技术偏差的调整、对各评审因素的评估，以及对每一投标的最终评标结果。</w:t>
      </w:r>
    </w:p>
    <w:p w14:paraId="7274F68F">
      <w:pPr>
        <w:adjustRightInd w:val="0"/>
        <w:spacing w:line="360" w:lineRule="auto"/>
        <w:ind w:firstLine="480" w:firstLineChars="200"/>
        <w:rPr>
          <w:rFonts w:hint="default" w:ascii="Times New Roman" w:hAnsi="Times New Roman" w:eastAsia="仿宋" w:cs="Times New Roman"/>
          <w:sz w:val="24"/>
          <w:szCs w:val="24"/>
        </w:rPr>
      </w:pPr>
      <w:r>
        <w:rPr>
          <w:rFonts w:hint="eastAsia" w:eastAsia="仿宋" w:cs="Times New Roman"/>
          <w:sz w:val="24"/>
          <w:szCs w:val="24"/>
          <w:lang w:val="en-US" w:eastAsia="zh-CN"/>
        </w:rPr>
        <w:t>3.4</w:t>
      </w:r>
      <w:r>
        <w:rPr>
          <w:rFonts w:hint="default" w:ascii="Times New Roman" w:hAnsi="Times New Roman" w:eastAsia="仿宋" w:cs="Times New Roman"/>
          <w:sz w:val="24"/>
          <w:szCs w:val="24"/>
          <w:lang w:val="zh-CN"/>
        </w:rPr>
        <w:t>综合评审记录要突出重点、抓住关键（核</w:t>
      </w:r>
      <w:r>
        <w:rPr>
          <w:rFonts w:hint="default" w:ascii="Times New Roman" w:hAnsi="Times New Roman" w:eastAsia="仿宋" w:cs="Times New Roman"/>
          <w:sz w:val="24"/>
          <w:szCs w:val="24"/>
        </w:rPr>
        <w:t>心）、真实准确、简明扼要，体现公平、公正、合理。否则，经核实后，将按前款“第四部分”中“第四章”之规定执行。</w:t>
      </w:r>
    </w:p>
    <w:p w14:paraId="5D91E6A5">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rPr>
      </w:pPr>
      <w:r>
        <w:rPr>
          <w:rFonts w:hint="eastAsia" w:eastAsia="仿宋" w:cs="Times New Roman"/>
          <w:b/>
          <w:bCs w:val="0"/>
          <w:color w:val="auto"/>
          <w:sz w:val="24"/>
          <w:szCs w:val="24"/>
          <w:highlight w:val="none"/>
          <w:lang w:val="en-US" w:eastAsia="zh-CN"/>
        </w:rPr>
        <w:t>4、</w:t>
      </w:r>
      <w:r>
        <w:rPr>
          <w:rFonts w:hint="default" w:ascii="Times New Roman" w:hAnsi="Times New Roman" w:eastAsia="仿宋" w:cs="Times New Roman"/>
          <w:b/>
          <w:bCs w:val="0"/>
          <w:color w:val="auto"/>
          <w:sz w:val="24"/>
          <w:szCs w:val="24"/>
          <w:highlight w:val="none"/>
          <w:lang w:val="zh-CN"/>
        </w:rPr>
        <w:t>比较与评价</w:t>
      </w:r>
    </w:p>
    <w:p w14:paraId="1494BE83">
      <w:pPr>
        <w:adjustRightInd w:val="0"/>
        <w:spacing w:line="360" w:lineRule="auto"/>
        <w:ind w:firstLine="480" w:firstLineChars="200"/>
        <w:rPr>
          <w:rFonts w:hint="default" w:ascii="Times New Roman" w:hAnsi="Times New Roman" w:eastAsia="仿宋" w:cs="Times New Roman"/>
          <w:sz w:val="24"/>
          <w:szCs w:val="24"/>
          <w:lang w:val="zh-CN" w:eastAsia="zh-CN"/>
        </w:rPr>
      </w:pPr>
      <w:r>
        <w:rPr>
          <w:rFonts w:hint="eastAsia" w:ascii="Times New Roman" w:hAnsi="Times New Roman" w:eastAsia="仿宋" w:cs="Times New Roman"/>
          <w:sz w:val="24"/>
          <w:szCs w:val="24"/>
          <w:lang w:val="en-US" w:eastAsia="zh-CN"/>
        </w:rPr>
        <w:t>4.1</w:t>
      </w:r>
      <w:r>
        <w:rPr>
          <w:rFonts w:hint="default" w:ascii="Times New Roman" w:hAnsi="Times New Roman" w:eastAsia="仿宋" w:cs="Times New Roman"/>
          <w:sz w:val="24"/>
          <w:szCs w:val="24"/>
          <w:lang w:val="zh-CN"/>
        </w:rPr>
        <w:t>综合评标时，评标委员会各成员应当对每一个有效投标供应商的</w:t>
      </w:r>
      <w:r>
        <w:rPr>
          <w:rFonts w:hint="default" w:ascii="Times New Roman" w:hAnsi="Times New Roman" w:eastAsia="仿宋" w:cs="Times New Roman"/>
          <w:sz w:val="24"/>
          <w:szCs w:val="24"/>
          <w:lang w:val="zh-CN" w:eastAsia="zh-CN"/>
        </w:rPr>
        <w:t>竞争性</w:t>
      </w:r>
    </w:p>
    <w:p w14:paraId="6F745D77">
      <w:pPr>
        <w:adjustRightInd w:val="0"/>
        <w:spacing w:line="360" w:lineRule="auto"/>
        <w:rPr>
          <w:rFonts w:hint="default" w:ascii="Times New Roman" w:hAnsi="Times New Roman" w:eastAsia="仿宋" w:cs="Times New Roman"/>
          <w:sz w:val="24"/>
          <w:szCs w:val="24"/>
          <w:highlight w:val="none"/>
          <w:lang w:val="zh-CN"/>
        </w:rPr>
      </w:pPr>
      <w:r>
        <w:rPr>
          <w:rFonts w:hint="default" w:ascii="Times New Roman" w:hAnsi="Times New Roman" w:eastAsia="仿宋" w:cs="Times New Roman"/>
          <w:sz w:val="24"/>
          <w:szCs w:val="24"/>
          <w:lang w:val="zh-CN" w:eastAsia="zh-CN"/>
        </w:rPr>
        <w:t>磋商文件，根据招标文件中</w:t>
      </w:r>
      <w:r>
        <w:rPr>
          <w:rFonts w:hint="default" w:ascii="Times New Roman" w:hAnsi="Times New Roman" w:eastAsia="仿宋" w:cs="Times New Roman"/>
          <w:sz w:val="24"/>
          <w:szCs w:val="24"/>
          <w:highlight w:val="none"/>
          <w:lang w:val="zh-CN" w:eastAsia="zh-CN"/>
        </w:rPr>
        <w:t>要求的</w:t>
      </w:r>
      <w:r>
        <w:rPr>
          <w:rFonts w:hint="eastAsia" w:eastAsia="仿宋" w:cs="Times New Roman"/>
          <w:sz w:val="24"/>
          <w:szCs w:val="24"/>
          <w:highlight w:val="none"/>
          <w:lang w:val="zh-CN" w:eastAsia="zh-CN"/>
        </w:rPr>
        <w:t>服务</w:t>
      </w:r>
      <w:r>
        <w:rPr>
          <w:rFonts w:hint="default" w:ascii="Times New Roman" w:hAnsi="Times New Roman" w:eastAsia="仿宋" w:cs="Times New Roman"/>
          <w:sz w:val="24"/>
          <w:szCs w:val="24"/>
          <w:highlight w:val="none"/>
          <w:lang w:val="zh-CN" w:eastAsia="zh-CN"/>
        </w:rPr>
        <w:t>价格、</w:t>
      </w:r>
      <w:r>
        <w:rPr>
          <w:rFonts w:hint="eastAsia" w:ascii="Times New Roman" w:hAnsi="Times New Roman" w:eastAsia="仿宋" w:cs="Times New Roman"/>
          <w:color w:val="auto"/>
          <w:sz w:val="24"/>
          <w:highlight w:val="none"/>
          <w:lang w:val="en-US" w:eastAsia="zh-CN"/>
        </w:rPr>
        <w:t>项目管理方案、项目实施方案、宣传推广方案、应急处理方案、项目团队</w:t>
      </w:r>
      <w:r>
        <w:rPr>
          <w:rFonts w:hint="eastAsia" w:eastAsia="仿宋" w:cs="Times New Roman"/>
          <w:color w:val="auto"/>
          <w:sz w:val="24"/>
          <w:szCs w:val="22"/>
          <w:highlight w:val="none"/>
          <w:lang w:val="en-US" w:eastAsia="zh-CN"/>
        </w:rPr>
        <w:t>等</w:t>
      </w:r>
      <w:r>
        <w:rPr>
          <w:rFonts w:hint="eastAsia" w:ascii="Times New Roman" w:hAnsi="Times New Roman" w:eastAsia="仿宋" w:cs="Times New Roman"/>
          <w:color w:val="auto"/>
          <w:sz w:val="24"/>
          <w:szCs w:val="22"/>
          <w:highlight w:val="none"/>
          <w:u w:val="none"/>
          <w:lang w:val="en-US" w:eastAsia="zh-CN"/>
        </w:rPr>
        <w:t>情况</w:t>
      </w:r>
      <w:r>
        <w:rPr>
          <w:rFonts w:hint="eastAsia" w:ascii="Times New Roman" w:hAnsi="Times New Roman" w:eastAsia="仿宋" w:cs="Times New Roman"/>
          <w:sz w:val="24"/>
          <w:szCs w:val="24"/>
          <w:highlight w:val="none"/>
          <w:lang w:val="zh-CN"/>
        </w:rPr>
        <w:t>及</w:t>
      </w:r>
      <w:r>
        <w:rPr>
          <w:rFonts w:hint="default" w:ascii="Times New Roman" w:hAnsi="Times New Roman" w:eastAsia="仿宋" w:cs="Times New Roman"/>
          <w:sz w:val="24"/>
          <w:szCs w:val="24"/>
          <w:highlight w:val="none"/>
          <w:lang w:val="zh-CN"/>
        </w:rPr>
        <w:t>对招标文件的响应程度等指标，进行具体评估。</w:t>
      </w:r>
    </w:p>
    <w:p w14:paraId="731F6E2C">
      <w:pPr>
        <w:adjustRightInd w:val="0"/>
        <w:spacing w:line="360" w:lineRule="auto"/>
        <w:ind w:firstLine="480" w:firstLineChars="200"/>
        <w:rPr>
          <w:rFonts w:hint="default" w:ascii="Times New Roman" w:hAnsi="Times New Roman" w:cs="Times New Roman"/>
          <w:highlight w:val="none"/>
        </w:rPr>
      </w:pPr>
      <w:r>
        <w:rPr>
          <w:rFonts w:hint="eastAsia" w:eastAsia="仿宋" w:cs="Times New Roman"/>
          <w:sz w:val="24"/>
          <w:szCs w:val="24"/>
          <w:highlight w:val="none"/>
          <w:lang w:val="en-US" w:eastAsia="zh-CN"/>
        </w:rPr>
        <w:t>4.2</w:t>
      </w:r>
      <w:r>
        <w:rPr>
          <w:rFonts w:hint="default" w:ascii="Times New Roman" w:hAnsi="Times New Roman" w:eastAsia="仿宋" w:cs="Times New Roman"/>
          <w:sz w:val="24"/>
          <w:szCs w:val="24"/>
          <w:highlight w:val="none"/>
          <w:lang w:val="zh-CN"/>
        </w:rPr>
        <w:t>评标委员会成员应独立按照对每一个投标供应商所投</w:t>
      </w:r>
      <w:r>
        <w:rPr>
          <w:rFonts w:hint="eastAsia" w:eastAsia="仿宋" w:cs="Times New Roman"/>
          <w:sz w:val="24"/>
          <w:szCs w:val="24"/>
          <w:highlight w:val="none"/>
          <w:lang w:val="zh-CN"/>
        </w:rPr>
        <w:t>服务</w:t>
      </w:r>
      <w:r>
        <w:rPr>
          <w:rFonts w:hint="default" w:ascii="Times New Roman" w:hAnsi="Times New Roman" w:eastAsia="仿宋" w:cs="Times New Roman"/>
          <w:sz w:val="24"/>
          <w:szCs w:val="24"/>
          <w:highlight w:val="none"/>
          <w:lang w:val="zh-CN"/>
        </w:rPr>
        <w:t>的最终报价、</w:t>
      </w:r>
      <w:r>
        <w:rPr>
          <w:rFonts w:hint="eastAsia" w:ascii="Times New Roman" w:hAnsi="Times New Roman" w:eastAsia="仿宋" w:cs="Times New Roman"/>
          <w:color w:val="auto"/>
          <w:sz w:val="24"/>
          <w:highlight w:val="none"/>
          <w:lang w:val="en-US" w:eastAsia="zh-CN"/>
        </w:rPr>
        <w:t>项目管理方案、项目实施方案、宣传推广方案、应急处理方案、项目</w:t>
      </w:r>
      <w:r>
        <w:rPr>
          <w:rFonts w:hint="eastAsia" w:ascii="Times New Roman" w:hAnsi="Times New Roman" w:eastAsia="仿宋" w:cs="Times New Roman"/>
          <w:color w:val="auto"/>
          <w:sz w:val="24"/>
          <w:lang w:val="en-US" w:eastAsia="zh-CN"/>
        </w:rPr>
        <w:t>团队</w:t>
      </w:r>
      <w:r>
        <w:rPr>
          <w:rFonts w:hint="default" w:ascii="Times New Roman" w:hAnsi="Times New Roman" w:eastAsia="仿宋" w:cs="Times New Roman"/>
          <w:color w:val="auto"/>
          <w:sz w:val="24"/>
          <w:highlight w:val="none"/>
          <w:lang w:eastAsia="zh-CN"/>
        </w:rPr>
        <w:t>等</w:t>
      </w:r>
      <w:r>
        <w:rPr>
          <w:rFonts w:hint="default" w:ascii="Times New Roman" w:hAnsi="Times New Roman" w:eastAsia="仿宋" w:cs="Times New Roman"/>
          <w:sz w:val="24"/>
          <w:szCs w:val="24"/>
          <w:highlight w:val="none"/>
          <w:lang w:val="zh-CN"/>
        </w:rPr>
        <w:t>因素的具体综合评估，进行比较与评价。</w:t>
      </w:r>
    </w:p>
    <w:p w14:paraId="16C18FA5">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5、</w:t>
      </w:r>
      <w:r>
        <w:rPr>
          <w:rFonts w:hint="default" w:ascii="Times New Roman" w:hAnsi="Times New Roman" w:eastAsia="仿宋" w:cs="Times New Roman"/>
          <w:b/>
          <w:bCs w:val="0"/>
          <w:color w:val="auto"/>
          <w:sz w:val="24"/>
          <w:szCs w:val="24"/>
          <w:highlight w:val="none"/>
          <w:lang w:val="zh-CN"/>
        </w:rPr>
        <w:t>综合评分法的原则、方法和标准</w:t>
      </w:r>
    </w:p>
    <w:p w14:paraId="23C2EF0F">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5.1</w:t>
      </w:r>
      <w:r>
        <w:rPr>
          <w:rFonts w:hint="default" w:ascii="Times New Roman" w:hAnsi="Times New Roman" w:eastAsia="仿宋" w:cs="Times New Roman"/>
          <w:sz w:val="24"/>
          <w:szCs w:val="24"/>
          <w:lang w:val="zh-CN"/>
        </w:rPr>
        <w:t>采用综合评分法，是指在最大限度地满足招标文件实质性要求前提下，按照招标文件中规定的各项因素进行综合评审后，以评分得分最高的投标人作为中标候选供应商或者中标供应商的评标方法。</w:t>
      </w:r>
    </w:p>
    <w:p w14:paraId="5594613E">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5.2</w:t>
      </w:r>
      <w:r>
        <w:rPr>
          <w:rFonts w:hint="default" w:ascii="Times New Roman" w:hAnsi="Times New Roman" w:eastAsia="仿宋" w:cs="Times New Roman"/>
          <w:sz w:val="24"/>
          <w:szCs w:val="24"/>
          <w:lang w:val="zh-CN"/>
        </w:rPr>
        <w:t>综合评分方法：评标委员会成员应按照独立综合评审原则，根据对招标文件的响应程度和具体评标情况，独立对具体竞争性磋商文件的商务和技术指标进行评估和综合比较与评价后，独立（或集体）发表综合评审（议）意见，对每一个投标供应商做出打分决定；经招标方核对和汇总后，按得高分原则，由高到低进行排序后，最后根据评标委员会各成员签署的打分结果，得出评标结论。</w:t>
      </w:r>
    </w:p>
    <w:p w14:paraId="130BA3A1">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5.3</w:t>
      </w:r>
      <w:r>
        <w:rPr>
          <w:rFonts w:hint="default" w:ascii="Times New Roman" w:hAnsi="Times New Roman" w:eastAsia="仿宋" w:cs="Times New Roman"/>
          <w:sz w:val="24"/>
          <w:szCs w:val="24"/>
          <w:lang w:val="zh-CN"/>
        </w:rPr>
        <w:t>评标时，评标委员会各成员应当独立对每个有效投标人的竞争性磋商文件进行评价、打分，然后由招标方核对汇总出每个投标人每项评分因素的得分。</w:t>
      </w:r>
    </w:p>
    <w:p w14:paraId="2E8F8593">
      <w:pPr>
        <w:adjustRightInd w:val="0"/>
        <w:spacing w:line="360" w:lineRule="auto"/>
        <w:ind w:firstLine="480" w:firstLineChars="200"/>
        <w:rPr>
          <w:rFonts w:hint="default" w:ascii="Times New Roman" w:hAnsi="Times New Roman" w:eastAsia="仿宋" w:cs="Times New Roman"/>
          <w:sz w:val="24"/>
          <w:szCs w:val="24"/>
          <w:lang w:val="zh-CN"/>
        </w:rPr>
      </w:pPr>
      <w:r>
        <w:rPr>
          <w:rFonts w:hint="eastAsia" w:eastAsia="仿宋" w:cs="Times New Roman"/>
          <w:sz w:val="24"/>
          <w:szCs w:val="24"/>
          <w:lang w:val="en-US" w:eastAsia="zh-CN"/>
        </w:rPr>
        <w:t>5.4</w:t>
      </w:r>
      <w:r>
        <w:rPr>
          <w:rFonts w:hint="default" w:ascii="Times New Roman" w:hAnsi="Times New Roman" w:eastAsia="仿宋" w:cs="Times New Roman"/>
          <w:sz w:val="24"/>
          <w:szCs w:val="24"/>
          <w:lang w:val="zh-CN"/>
        </w:rPr>
        <w:t>评标委员会各成员要按照招标方规定格式，将每一个投标供应商的综合评审意见、打分结果、推荐理由等进行署名原始记录。</w:t>
      </w:r>
    </w:p>
    <w:p w14:paraId="1218619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6、</w:t>
      </w:r>
      <w:r>
        <w:rPr>
          <w:rFonts w:hint="default" w:ascii="Times New Roman" w:hAnsi="Times New Roman" w:eastAsia="仿宋" w:cs="Times New Roman"/>
          <w:b/>
          <w:bCs w:val="0"/>
          <w:color w:val="auto"/>
          <w:sz w:val="24"/>
          <w:szCs w:val="24"/>
          <w:highlight w:val="none"/>
          <w:lang w:val="zh-CN"/>
        </w:rPr>
        <w:t>综合评分主要包括技术、商务、报价等指标</w:t>
      </w:r>
    </w:p>
    <w:p w14:paraId="430826F2">
      <w:pPr>
        <w:tabs>
          <w:tab w:val="left" w:pos="317"/>
        </w:tabs>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6.</w:t>
      </w:r>
      <w:r>
        <w:rPr>
          <w:rFonts w:hint="default" w:ascii="Times New Roman" w:hAnsi="Times New Roman" w:eastAsia="仿宋" w:cs="Times New Roman"/>
          <w:color w:val="auto"/>
          <w:sz w:val="24"/>
          <w:lang w:val="zh-CN"/>
        </w:rPr>
        <w:t>1、技术部分指标与商务部分指标详见《评标（分）记录明细表》。</w:t>
      </w:r>
    </w:p>
    <w:p w14:paraId="6CB91F58">
      <w:pPr>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6.</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lang w:val="zh-CN"/>
        </w:rPr>
        <w:t>、报价指标：有效投标供应商的最终报价。</w:t>
      </w:r>
    </w:p>
    <w:p w14:paraId="3CD0E04A">
      <w:pPr>
        <w:adjustRightInd w:val="0"/>
        <w:spacing w:line="360" w:lineRule="auto"/>
        <w:ind w:firstLine="480" w:firstLineChars="200"/>
        <w:rPr>
          <w:rFonts w:hint="default" w:ascii="Times New Roman" w:hAnsi="Times New Roman" w:eastAsia="仿宋" w:cs="Times New Roman"/>
          <w:sz w:val="24"/>
          <w:szCs w:val="24"/>
          <w:highlight w:val="none"/>
          <w:lang w:val="zh-CN"/>
        </w:rPr>
      </w:pPr>
      <w:r>
        <w:rPr>
          <w:rFonts w:hint="eastAsia" w:eastAsia="仿宋" w:cs="Times New Roman"/>
          <w:color w:val="auto"/>
          <w:sz w:val="24"/>
          <w:szCs w:val="24"/>
          <w:lang w:val="en-US" w:eastAsia="zh-CN"/>
        </w:rPr>
        <w:t>6.</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lang w:val="zh-CN"/>
        </w:rPr>
        <w:t>综合评分具体指标和标准，见</w:t>
      </w:r>
      <w:r>
        <w:rPr>
          <w:rFonts w:hint="default" w:ascii="Times New Roman" w:hAnsi="Times New Roman" w:eastAsia="仿宋" w:cs="Times New Roman"/>
          <w:bCs/>
          <w:color w:val="auto"/>
          <w:sz w:val="24"/>
          <w:lang w:val="zh-CN"/>
        </w:rPr>
        <w:t>《</w:t>
      </w:r>
      <w:r>
        <w:rPr>
          <w:rFonts w:hint="default" w:ascii="Times New Roman" w:hAnsi="Times New Roman" w:eastAsia="仿宋" w:cs="Times New Roman"/>
          <w:bCs/>
          <w:color w:val="auto"/>
          <w:sz w:val="24"/>
          <w:szCs w:val="24"/>
        </w:rPr>
        <w:t>评标（分）记录明细表》。</w:t>
      </w:r>
    </w:p>
    <w:p w14:paraId="6C17995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7、</w:t>
      </w:r>
      <w:r>
        <w:rPr>
          <w:rFonts w:hint="default" w:ascii="Times New Roman" w:hAnsi="Times New Roman" w:eastAsia="仿宋" w:cs="Times New Roman"/>
          <w:b/>
          <w:bCs w:val="0"/>
          <w:color w:val="auto"/>
          <w:sz w:val="24"/>
          <w:szCs w:val="24"/>
          <w:highlight w:val="none"/>
          <w:lang w:val="zh-CN"/>
        </w:rPr>
        <w:t>综合评分原则</w:t>
      </w:r>
    </w:p>
    <w:p w14:paraId="7348FA3A">
      <w:pPr>
        <w:adjustRightInd w:val="0"/>
        <w:spacing w:line="360" w:lineRule="auto"/>
        <w:ind w:firstLine="480" w:firstLineChars="20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7.1</w:t>
      </w:r>
      <w:r>
        <w:rPr>
          <w:rFonts w:hint="default" w:ascii="Times New Roman" w:hAnsi="Times New Roman" w:eastAsia="仿宋" w:cs="Times New Roman"/>
          <w:bCs/>
          <w:color w:val="000000"/>
          <w:sz w:val="24"/>
          <w:szCs w:val="24"/>
          <w:lang w:val="zh-CN" w:eastAsia="zh-CN"/>
        </w:rPr>
        <w:t>评标委员会对所</w:t>
      </w:r>
      <w:r>
        <w:rPr>
          <w:rFonts w:hint="default" w:ascii="Times New Roman" w:hAnsi="Times New Roman" w:eastAsia="仿宋" w:cs="Times New Roman"/>
          <w:bCs/>
          <w:color w:val="000000"/>
          <w:sz w:val="24"/>
          <w:szCs w:val="24"/>
          <w:highlight w:val="none"/>
          <w:lang w:val="zh-CN" w:eastAsia="zh-CN"/>
        </w:rPr>
        <w:t>报</w:t>
      </w:r>
      <w:r>
        <w:rPr>
          <w:rFonts w:hint="eastAsia" w:eastAsia="仿宋" w:cs="Times New Roman"/>
          <w:bCs/>
          <w:color w:val="000000"/>
          <w:sz w:val="24"/>
          <w:szCs w:val="24"/>
          <w:highlight w:val="none"/>
          <w:lang w:val="zh-CN" w:eastAsia="zh-CN"/>
        </w:rPr>
        <w:t>服务</w:t>
      </w:r>
      <w:r>
        <w:rPr>
          <w:rFonts w:hint="default" w:ascii="Times New Roman" w:hAnsi="Times New Roman" w:eastAsia="仿宋" w:cs="Times New Roman"/>
          <w:bCs/>
          <w:color w:val="000000"/>
          <w:sz w:val="24"/>
          <w:szCs w:val="24"/>
          <w:highlight w:val="none"/>
          <w:lang w:val="zh-CN" w:eastAsia="zh-CN"/>
        </w:rPr>
        <w:t>价格、</w:t>
      </w:r>
      <w:r>
        <w:rPr>
          <w:rFonts w:hint="eastAsia" w:ascii="Times New Roman" w:hAnsi="Times New Roman" w:eastAsia="仿宋" w:cs="Times New Roman"/>
          <w:color w:val="auto"/>
          <w:sz w:val="24"/>
          <w:highlight w:val="none"/>
          <w:lang w:val="en-US" w:eastAsia="zh-CN"/>
        </w:rPr>
        <w:t>项目管理方案、项目实施方案、宣传推广方案、应急处理方案、项目团队</w:t>
      </w:r>
      <w:r>
        <w:rPr>
          <w:rFonts w:hint="default" w:ascii="Times New Roman" w:hAnsi="Times New Roman" w:eastAsia="仿宋" w:cs="Times New Roman"/>
          <w:color w:val="auto"/>
          <w:sz w:val="24"/>
          <w:highlight w:val="none"/>
          <w:lang w:eastAsia="zh-CN"/>
        </w:rPr>
        <w:t>等</w:t>
      </w:r>
      <w:r>
        <w:rPr>
          <w:rFonts w:hint="default" w:ascii="Times New Roman" w:hAnsi="Times New Roman" w:eastAsia="仿宋" w:cs="Times New Roman"/>
          <w:bCs/>
          <w:color w:val="000000"/>
          <w:sz w:val="24"/>
          <w:szCs w:val="24"/>
          <w:highlight w:val="none"/>
          <w:lang w:val="zh-CN"/>
        </w:rPr>
        <w:t>因素进行比较与评价，并进行打分和汇总。详见《评标（</w:t>
      </w:r>
      <w:r>
        <w:rPr>
          <w:rFonts w:hint="default" w:ascii="Times New Roman" w:hAnsi="Times New Roman" w:eastAsia="仿宋" w:cs="Times New Roman"/>
          <w:bCs/>
          <w:color w:val="000000"/>
          <w:sz w:val="24"/>
          <w:szCs w:val="24"/>
          <w:lang w:val="zh-CN"/>
        </w:rPr>
        <w:t>分）记录明细表》。</w:t>
      </w:r>
    </w:p>
    <w:p w14:paraId="6B9575E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2、评标委员会小组成员评标、打分时不得协商，应独立完成。</w:t>
      </w:r>
    </w:p>
    <w:p w14:paraId="2F3F55F7">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3、未满足招标文件要求的投标方，不予评分。</w:t>
      </w:r>
    </w:p>
    <w:p w14:paraId="7DEF544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4、评标打分应当按照技术部分、商务部分、报价部分的顺序进行，打分可保留两位小数。</w:t>
      </w:r>
    </w:p>
    <w:p w14:paraId="7B162F7D">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5、技术、商务部分应按各小项分档打分，竞争性磋商文件中各小项指标相近的，打分应属同一档次。在招标方同意的情况下，允许评标委员会小组各成员根据招标书文件部分要求的技术、功能和《评标（分）记录明细表》表格部分的性能指标要求，可以按各竞争性磋商文件（投标书和产品技术说明书）实际情况在档次打分范围内调整分值。</w:t>
      </w:r>
    </w:p>
    <w:p w14:paraId="1E723AA4">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000000"/>
          <w:sz w:val="24"/>
          <w:szCs w:val="24"/>
          <w:highlight w:val="none"/>
          <w:lang w:val="zh-CN"/>
        </w:rPr>
      </w:pPr>
      <w:r>
        <w:rPr>
          <w:rFonts w:hint="eastAsia" w:eastAsia="仿宋" w:cs="Times New Roman"/>
          <w:b/>
          <w:bCs w:val="0"/>
          <w:color w:val="000000"/>
          <w:sz w:val="24"/>
          <w:szCs w:val="24"/>
          <w:lang w:val="en-US" w:eastAsia="zh-CN"/>
        </w:rPr>
        <w:t>7.</w:t>
      </w:r>
      <w:r>
        <w:rPr>
          <w:rFonts w:hint="default" w:ascii="Times New Roman" w:hAnsi="Times New Roman" w:eastAsia="仿宋" w:cs="Times New Roman"/>
          <w:b/>
          <w:bCs w:val="0"/>
          <w:color w:val="000000"/>
          <w:sz w:val="24"/>
          <w:szCs w:val="24"/>
          <w:lang w:val="zh-CN"/>
        </w:rPr>
        <w:t>6、</w:t>
      </w:r>
      <w:r>
        <w:rPr>
          <w:rFonts w:hint="default" w:ascii="Times New Roman" w:hAnsi="Times New Roman" w:eastAsia="仿宋" w:cs="Times New Roman"/>
          <w:b/>
          <w:bCs w:val="0"/>
          <w:color w:val="000000"/>
          <w:sz w:val="24"/>
          <w:szCs w:val="24"/>
          <w:highlight w:val="none"/>
          <w:lang w:val="zh-CN"/>
        </w:rPr>
        <w:t>打分采取百分制，其中技术商务部分占总分的</w:t>
      </w:r>
      <w:r>
        <w:rPr>
          <w:rFonts w:hint="eastAsia" w:eastAsia="仿宋" w:cs="Times New Roman"/>
          <w:b/>
          <w:bCs w:val="0"/>
          <w:color w:val="000000"/>
          <w:sz w:val="24"/>
          <w:szCs w:val="24"/>
          <w:highlight w:val="none"/>
          <w:u w:val="single"/>
          <w:lang w:val="en-US" w:eastAsia="zh-CN"/>
        </w:rPr>
        <w:t>90</w:t>
      </w:r>
      <w:r>
        <w:rPr>
          <w:rFonts w:hint="default" w:ascii="Times New Roman" w:hAnsi="Times New Roman" w:eastAsia="仿宋" w:cs="Times New Roman"/>
          <w:b/>
          <w:bCs w:val="0"/>
          <w:color w:val="000000"/>
          <w:sz w:val="24"/>
          <w:szCs w:val="24"/>
          <w:highlight w:val="none"/>
          <w:u w:val="single"/>
          <w:lang w:val="zh-CN"/>
        </w:rPr>
        <w:t>%</w:t>
      </w:r>
      <w:r>
        <w:rPr>
          <w:rFonts w:hint="default" w:ascii="Times New Roman" w:hAnsi="Times New Roman" w:eastAsia="仿宋" w:cs="Times New Roman"/>
          <w:b/>
          <w:bCs w:val="0"/>
          <w:color w:val="000000"/>
          <w:sz w:val="24"/>
          <w:szCs w:val="24"/>
          <w:highlight w:val="none"/>
          <w:lang w:val="zh-CN"/>
        </w:rPr>
        <w:t>，报价部分占总分的</w:t>
      </w:r>
      <w:r>
        <w:rPr>
          <w:rFonts w:hint="eastAsia" w:eastAsia="仿宋" w:cs="Times New Roman"/>
          <w:b/>
          <w:bCs w:val="0"/>
          <w:color w:val="000000"/>
          <w:sz w:val="24"/>
          <w:szCs w:val="24"/>
          <w:highlight w:val="none"/>
          <w:u w:val="single"/>
          <w:lang w:val="en-US" w:eastAsia="zh-CN"/>
        </w:rPr>
        <w:t>10</w:t>
      </w:r>
      <w:r>
        <w:rPr>
          <w:rFonts w:hint="default" w:ascii="Times New Roman" w:hAnsi="Times New Roman" w:eastAsia="仿宋" w:cs="Times New Roman"/>
          <w:b/>
          <w:bCs w:val="0"/>
          <w:color w:val="000000"/>
          <w:sz w:val="24"/>
          <w:szCs w:val="24"/>
          <w:highlight w:val="none"/>
          <w:u w:val="single"/>
          <w:lang w:val="zh-CN"/>
        </w:rPr>
        <w:t>%。</w:t>
      </w:r>
    </w:p>
    <w:p w14:paraId="2C6AD27F">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zh-CN"/>
        </w:rPr>
        <w:t>7、招标方核对汇总评标委员会各成员评分时，将计算出每一个投标供应商技术部分和商务部分所得分数的合计数后，再计算出其合计数的算术平均数，加上该投标方报价部分的得分后，即为该投标方的最后综合得分。</w:t>
      </w:r>
    </w:p>
    <w:p w14:paraId="27F8E890">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、若发现打分有误或者有差错的，或发现存在个人印象或带有明显倾向性时，</w:t>
      </w:r>
      <w:r>
        <w:rPr>
          <w:rFonts w:hint="default" w:ascii="Times New Roman" w:hAnsi="Times New Roman" w:eastAsia="仿宋" w:cs="Times New Roman"/>
          <w:bCs/>
          <w:sz w:val="24"/>
        </w:rPr>
        <w:t>评标委员会应当客观、公正地履行职责。评标时，严禁存在</w:t>
      </w:r>
      <w:r>
        <w:rPr>
          <w:rFonts w:hint="default" w:ascii="Times New Roman" w:hAnsi="Times New Roman" w:eastAsia="仿宋" w:cs="Times New Roman"/>
          <w:sz w:val="24"/>
          <w:lang w:val="zh-CN"/>
        </w:rPr>
        <w:t>个人印象、个人关系或带有明显倾向性的行为发生。</w:t>
      </w:r>
      <w:r>
        <w:rPr>
          <w:rFonts w:hint="default" w:ascii="Times New Roman" w:hAnsi="Times New Roman" w:eastAsia="仿宋" w:cs="Times New Roman"/>
          <w:bCs/>
          <w:sz w:val="24"/>
        </w:rPr>
        <w:t>否则，经核实后，招标方将有权予以制止此类行为的发生，</w:t>
      </w:r>
      <w:r>
        <w:rPr>
          <w:rFonts w:hint="default" w:ascii="Times New Roman" w:hAnsi="Times New Roman" w:eastAsia="仿宋" w:cs="Times New Roman"/>
          <w:sz w:val="24"/>
          <w:lang w:val="zh-CN"/>
        </w:rPr>
        <w:t>责成其修正不果的，将做为不良记录记录在案，并按相关政策法规的规定和程序，向财政监管部门提出处罚建议意见。</w:t>
      </w:r>
    </w:p>
    <w:p w14:paraId="4D99AE89">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lang w:val="en-US" w:eastAsia="zh-CN"/>
        </w:rPr>
        <w:t>9、评标委员会成员对需要共同认定的事项存在争议的，应当按照少数服从多数的原则作出结论。持不同意见的评标委员会成员应当在评标报告上签署不同意见及理由，否则视为同意评标报告。</w:t>
      </w:r>
    </w:p>
    <w:p w14:paraId="53A1FC72">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bCs w:val="0"/>
          <w:color w:val="auto"/>
          <w:sz w:val="24"/>
          <w:szCs w:val="24"/>
          <w:highlight w:val="none"/>
          <w:lang w:val="zh-CN"/>
        </w:rPr>
      </w:pPr>
      <w:r>
        <w:rPr>
          <w:rFonts w:hint="eastAsia" w:eastAsia="仿宋" w:cs="Times New Roman"/>
          <w:b/>
          <w:bCs w:val="0"/>
          <w:color w:val="auto"/>
          <w:sz w:val="24"/>
          <w:szCs w:val="24"/>
          <w:highlight w:val="none"/>
          <w:lang w:val="en-US" w:eastAsia="zh-CN"/>
        </w:rPr>
        <w:t>8、</w:t>
      </w:r>
      <w:r>
        <w:rPr>
          <w:rFonts w:hint="default" w:ascii="Times New Roman" w:hAnsi="Times New Roman" w:eastAsia="仿宋" w:cs="Times New Roman"/>
          <w:b/>
          <w:bCs w:val="0"/>
          <w:color w:val="auto"/>
          <w:sz w:val="24"/>
          <w:szCs w:val="24"/>
          <w:highlight w:val="none"/>
          <w:lang w:val="zh-CN"/>
        </w:rPr>
        <w:t>《评标（分）记录明细表》</w:t>
      </w:r>
    </w:p>
    <w:p w14:paraId="45CED666">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Cs/>
          <w:color w:val="000000"/>
          <w:sz w:val="24"/>
          <w:szCs w:val="24"/>
          <w:lang w:val="zh-CN"/>
        </w:rPr>
      </w:pP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1、明细表包括技术部分、商务部分、报价部分、评审分标准、具体评审意见、综合评审意见、分数标准、得分、其他等组成。</w:t>
      </w:r>
    </w:p>
    <w:p w14:paraId="53A252A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eastAsia" w:ascii="Times New Roman" w:hAnsi="Times New Roman" w:eastAsia="仿宋" w:cs="Times New Roman"/>
          <w:b/>
          <w:color w:val="FF0000"/>
          <w:sz w:val="24"/>
          <w:szCs w:val="24"/>
          <w:highlight w:val="none"/>
          <w:lang w:val="en-US" w:eastAsia="zh-CN"/>
        </w:rPr>
      </w:pP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zh-CN"/>
        </w:rPr>
        <w:t>2、评标委员会各成员记录原则上不允许有涂改、划擦等，如有应按合规方式修正</w:t>
      </w:r>
      <w:r>
        <w:rPr>
          <w:rFonts w:hint="default" w:ascii="Times New Roman" w:hAnsi="Times New Roman" w:eastAsia="仿宋" w:cs="Times New Roman"/>
          <w:bCs/>
          <w:color w:val="000000"/>
          <w:sz w:val="24"/>
          <w:szCs w:val="24"/>
          <w:highlight w:val="none"/>
          <w:lang w:val="zh-CN"/>
        </w:rPr>
        <w:t>。在招标方核对汇总且确认之后，在未经许可时，不能再要回重新记录。</w:t>
      </w:r>
    </w:p>
    <w:p w14:paraId="48AAA98C">
      <w:pPr>
        <w:spacing w:line="360" w:lineRule="auto"/>
        <w:ind w:firstLine="482" w:firstLineChars="200"/>
        <w:rPr>
          <w:rFonts w:hint="default" w:ascii="Times New Roman" w:hAnsi="Times New Roman" w:eastAsia="仿宋" w:cs="Times New Roman"/>
          <w:b/>
          <w:color w:val="000000"/>
          <w:sz w:val="24"/>
          <w:szCs w:val="24"/>
          <w:shd w:val="clear" w:color="auto" w:fill="FFFFFF"/>
        </w:rPr>
      </w:pPr>
      <w:r>
        <w:rPr>
          <w:rFonts w:hint="eastAsia" w:eastAsia="仿宋" w:cs="Times New Roman"/>
          <w:b/>
          <w:color w:val="000000"/>
          <w:sz w:val="24"/>
          <w:szCs w:val="24"/>
          <w:shd w:val="clear" w:color="auto" w:fill="FFFFFF"/>
          <w:lang w:val="en-US" w:eastAsia="zh-CN"/>
        </w:rPr>
        <w:t>9、</w:t>
      </w:r>
      <w:r>
        <w:rPr>
          <w:rFonts w:hint="default" w:ascii="Times New Roman" w:hAnsi="Times New Roman" w:eastAsia="仿宋" w:cs="Times New Roman"/>
          <w:b/>
          <w:color w:val="000000"/>
          <w:sz w:val="24"/>
          <w:szCs w:val="24"/>
          <w:shd w:val="clear" w:color="auto" w:fill="FFFFFF"/>
        </w:rPr>
        <w:t>投标人的风险</w:t>
      </w:r>
    </w:p>
    <w:p w14:paraId="210E69AE">
      <w:pPr>
        <w:spacing w:line="360" w:lineRule="auto"/>
        <w:ind w:firstLine="480" w:firstLineChars="200"/>
        <w:rPr>
          <w:rFonts w:hint="default" w:ascii="Times New Roman" w:hAnsi="Times New Roman" w:eastAsia="仿宋" w:cs="Times New Roman"/>
          <w:b/>
          <w:color w:val="000000"/>
          <w:sz w:val="28"/>
          <w:szCs w:val="28"/>
          <w:shd w:val="clear" w:color="auto" w:fill="FFFFFF"/>
          <w:lang w:eastAsia="zh-CN"/>
        </w:rPr>
      </w:pPr>
      <w:r>
        <w:rPr>
          <w:rFonts w:hint="default" w:ascii="Times New Roman" w:hAnsi="Times New Roman" w:eastAsia="仿宋" w:cs="Times New Roman"/>
          <w:color w:val="000000"/>
          <w:sz w:val="24"/>
          <w:szCs w:val="24"/>
          <w:shd w:val="clear" w:color="auto" w:fill="FFFFFF"/>
        </w:rPr>
        <w:t>投标人没有按照</w:t>
      </w:r>
      <w:r>
        <w:rPr>
          <w:rFonts w:hint="default" w:ascii="Times New Roman" w:hAnsi="Times New Roman" w:eastAsia="仿宋" w:cs="Times New Roman"/>
          <w:sz w:val="24"/>
          <w:szCs w:val="24"/>
        </w:rPr>
        <w:t>竞争性磋商文件</w:t>
      </w:r>
      <w:r>
        <w:rPr>
          <w:rFonts w:hint="default" w:ascii="Times New Roman" w:hAnsi="Times New Roman" w:eastAsia="仿宋" w:cs="Times New Roman"/>
          <w:color w:val="000000"/>
          <w:sz w:val="24"/>
          <w:szCs w:val="24"/>
          <w:shd w:val="clear" w:color="auto" w:fill="FFFFFF"/>
        </w:rPr>
        <w:t>要求提供全部资料，或者投标人没有对</w:t>
      </w:r>
      <w:r>
        <w:rPr>
          <w:rFonts w:hint="default" w:ascii="Times New Roman" w:hAnsi="Times New Roman" w:eastAsia="仿宋" w:cs="Times New Roman"/>
          <w:sz w:val="24"/>
          <w:szCs w:val="24"/>
        </w:rPr>
        <w:t>竞争性磋商文件</w:t>
      </w:r>
      <w:r>
        <w:rPr>
          <w:rFonts w:hint="default" w:ascii="Times New Roman" w:hAnsi="Times New Roman" w:eastAsia="仿宋" w:cs="Times New Roman"/>
          <w:color w:val="000000"/>
          <w:sz w:val="24"/>
          <w:szCs w:val="24"/>
          <w:shd w:val="clear" w:color="auto" w:fill="FFFFFF"/>
        </w:rPr>
        <w:t>在各方面作出实质性响应是投标人的风险，并可能导致其投标被拒绝。</w:t>
      </w:r>
      <w:bookmarkStart w:id="23" w:name="_Toc177870545"/>
    </w:p>
    <w:p w14:paraId="5092853D">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lang w:eastAsia="zh-CN"/>
        </w:rPr>
      </w:pPr>
    </w:p>
    <w:p w14:paraId="2F4427F8">
      <w:pPr>
        <w:spacing w:line="360" w:lineRule="auto"/>
        <w:ind w:firstLine="562" w:firstLineChars="200"/>
        <w:jc w:val="center"/>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lang w:eastAsia="zh-CN"/>
        </w:rPr>
        <w:t>三</w:t>
      </w:r>
      <w:r>
        <w:rPr>
          <w:rFonts w:hint="default" w:ascii="Times New Roman" w:hAnsi="Times New Roman" w:eastAsia="仿宋" w:cs="Times New Roman"/>
          <w:b/>
          <w:color w:val="000000"/>
          <w:sz w:val="28"/>
          <w:szCs w:val="28"/>
          <w:highlight w:val="none"/>
          <w:shd w:val="clear" w:color="auto" w:fill="FFFFFF"/>
        </w:rPr>
        <w:t>、</w:t>
      </w:r>
      <w:bookmarkEnd w:id="23"/>
      <w:r>
        <w:rPr>
          <w:rFonts w:hint="default" w:ascii="Times New Roman" w:hAnsi="Times New Roman" w:eastAsia="仿宋" w:cs="Times New Roman"/>
          <w:b/>
          <w:color w:val="000000"/>
          <w:sz w:val="28"/>
          <w:szCs w:val="28"/>
          <w:highlight w:val="none"/>
          <w:shd w:val="clear" w:color="auto" w:fill="FFFFFF"/>
        </w:rPr>
        <w:t>竞争性磋商文件的编制</w:t>
      </w:r>
    </w:p>
    <w:p w14:paraId="52A21F2A">
      <w:pPr>
        <w:spacing w:line="360" w:lineRule="auto"/>
        <w:ind w:firstLine="281" w:firstLineChars="100"/>
        <w:rPr>
          <w:rFonts w:hint="default" w:ascii="Times New Roman" w:hAnsi="Times New Roman" w:eastAsia="仿宋" w:cs="Times New Roman"/>
          <w:b/>
          <w:color w:val="000000"/>
          <w:sz w:val="24"/>
          <w:szCs w:val="24"/>
          <w:shd w:val="clear" w:color="auto" w:fill="FFFFFF"/>
        </w:rPr>
      </w:pPr>
      <w:bookmarkStart w:id="24" w:name="_Toc177824943"/>
      <w:bookmarkStart w:id="25" w:name="_Toc177825124"/>
      <w:bookmarkStart w:id="26" w:name="_Toc177870546"/>
      <w:bookmarkStart w:id="27" w:name="_Toc177824876"/>
      <w:r>
        <w:rPr>
          <w:rFonts w:hint="eastAsia" w:eastAsia="仿宋" w:cs="Times New Roman"/>
          <w:b/>
          <w:color w:val="000000"/>
          <w:sz w:val="28"/>
          <w:szCs w:val="28"/>
          <w:shd w:val="clear" w:color="auto" w:fill="FFFFFF"/>
          <w:lang w:eastAsia="zh-CN"/>
        </w:rPr>
        <w:t>（一）</w:t>
      </w:r>
      <w:r>
        <w:rPr>
          <w:rFonts w:hint="default" w:ascii="Times New Roman" w:hAnsi="Times New Roman" w:eastAsia="仿宋" w:cs="Times New Roman"/>
          <w:b/>
          <w:color w:val="000000"/>
          <w:sz w:val="28"/>
          <w:szCs w:val="28"/>
          <w:shd w:val="clear" w:color="auto" w:fill="FFFFFF"/>
        </w:rPr>
        <w:t>竞争性磋商文件的组成</w:t>
      </w:r>
      <w:bookmarkEnd w:id="24"/>
      <w:bookmarkEnd w:id="25"/>
      <w:bookmarkEnd w:id="26"/>
      <w:bookmarkEnd w:id="27"/>
    </w:p>
    <w:p w14:paraId="796B4AC6">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1、</w:t>
      </w:r>
      <w:r>
        <w:rPr>
          <w:rFonts w:hint="default" w:ascii="Times New Roman" w:hAnsi="Times New Roman" w:eastAsia="仿宋" w:cs="Times New Roman"/>
          <w:color w:val="000000"/>
          <w:sz w:val="24"/>
          <w:szCs w:val="24"/>
          <w:highlight w:val="none"/>
          <w:lang w:eastAsia="zh-CN"/>
        </w:rPr>
        <w:t>磋商供应商</w:t>
      </w:r>
      <w:r>
        <w:rPr>
          <w:rFonts w:hint="eastAsia" w:eastAsia="仿宋" w:cs="Times New Roman"/>
          <w:color w:val="000000"/>
          <w:sz w:val="24"/>
          <w:szCs w:val="24"/>
          <w:highlight w:val="none"/>
          <w:lang w:eastAsia="zh-CN"/>
        </w:rPr>
        <w:t>可参</w:t>
      </w:r>
      <w:r>
        <w:rPr>
          <w:rFonts w:hint="default" w:ascii="Times New Roman" w:hAnsi="Times New Roman" w:eastAsia="仿宋" w:cs="Times New Roman"/>
          <w:color w:val="000000"/>
          <w:sz w:val="24"/>
          <w:szCs w:val="24"/>
          <w:highlight w:val="none"/>
          <w:lang w:eastAsia="zh-CN"/>
        </w:rPr>
        <w:t>照磋商文件的要求编制磋商响应文件。响应文件应对磋商文件提出的要求和条件作出实质性响应。并保证所提供的全部资料的真实性，否则按无效响应处理。</w:t>
      </w:r>
    </w:p>
    <w:p w14:paraId="40B51F86">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color w:val="000000"/>
          <w:sz w:val="24"/>
          <w:szCs w:val="24"/>
          <w:highlight w:val="none"/>
          <w:lang w:eastAsia="zh-CN"/>
        </w:rPr>
      </w:pPr>
      <w:r>
        <w:rPr>
          <w:rFonts w:hint="eastAsia" w:eastAsia="仿宋" w:cs="Times New Roman"/>
          <w:color w:val="000000"/>
          <w:sz w:val="24"/>
          <w:szCs w:val="24"/>
          <w:highlight w:val="none"/>
          <w:lang w:val="en-US" w:eastAsia="zh-CN"/>
        </w:rPr>
        <w:t>2、</w:t>
      </w:r>
      <w:r>
        <w:rPr>
          <w:rFonts w:hint="default" w:ascii="Times New Roman" w:hAnsi="Times New Roman" w:eastAsia="仿宋" w:cs="Times New Roman"/>
          <w:color w:val="000000"/>
          <w:sz w:val="24"/>
          <w:szCs w:val="24"/>
          <w:highlight w:val="none"/>
          <w:lang w:eastAsia="zh-CN"/>
        </w:rPr>
        <w:t>投标文件包括下列内容（磋商文件</w:t>
      </w:r>
      <w:r>
        <w:rPr>
          <w:rFonts w:hint="default" w:ascii="Times New Roman" w:hAnsi="Times New Roman" w:eastAsia="仿宋" w:cs="Times New Roman"/>
          <w:color w:val="000000"/>
          <w:sz w:val="24"/>
          <w:szCs w:val="24"/>
          <w:highlight w:val="none"/>
          <w:lang w:val="en-US" w:eastAsia="zh-CN"/>
        </w:rPr>
        <w:t xml:space="preserve"> “</w:t>
      </w:r>
      <w:r>
        <w:rPr>
          <w:rFonts w:hint="default" w:ascii="Times New Roman" w:hAnsi="Times New Roman" w:eastAsia="仿宋" w:cs="Times New Roman"/>
          <w:color w:val="000000"/>
          <w:sz w:val="24"/>
          <w:szCs w:val="24"/>
          <w:highlight w:val="none"/>
          <w:lang w:eastAsia="zh-CN"/>
        </w:rPr>
        <w:t>第五部分</w:t>
      </w:r>
      <w:r>
        <w:rPr>
          <w:rFonts w:hint="default" w:ascii="Times New Roman" w:hAnsi="Times New Roman" w:eastAsia="仿宋" w:cs="Times New Roman"/>
          <w:color w:val="000000"/>
          <w:sz w:val="24"/>
          <w:szCs w:val="24"/>
          <w:highlight w:val="none"/>
          <w:lang w:val="en-US" w:eastAsia="zh-CN"/>
        </w:rPr>
        <w:t xml:space="preserve">” 规定的内容 </w:t>
      </w:r>
      <w:r>
        <w:rPr>
          <w:rFonts w:hint="default" w:ascii="Times New Roman" w:hAnsi="Times New Roman" w:eastAsia="仿宋" w:cs="Times New Roman"/>
          <w:color w:val="000000"/>
          <w:sz w:val="24"/>
          <w:szCs w:val="24"/>
          <w:highlight w:val="none"/>
          <w:lang w:eastAsia="zh-CN"/>
        </w:rPr>
        <w:t>）：</w:t>
      </w:r>
    </w:p>
    <w:p w14:paraId="290F9B8E">
      <w:pPr>
        <w:spacing w:line="360" w:lineRule="auto"/>
        <w:ind w:firstLine="600" w:firstLineChars="250"/>
        <w:rPr>
          <w:rFonts w:hint="default" w:ascii="Times New Roman" w:hAnsi="Times New Roman" w:eastAsia="仿宋" w:cs="Times New Roman"/>
          <w:color w:val="auto"/>
          <w:sz w:val="24"/>
          <w:highlight w:val="none"/>
        </w:rPr>
      </w:pP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1、投标函</w:t>
      </w:r>
    </w:p>
    <w:p w14:paraId="4A398F3E">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eastAsia"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、法人代表授权委托书原件及授权代表身份证明原件</w:t>
      </w:r>
    </w:p>
    <w:p w14:paraId="1BFEAA6A">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3、开标一览表</w:t>
      </w:r>
    </w:p>
    <w:p w14:paraId="0159856A">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4、投标方资质证明文件，包括但不仅限于：</w:t>
      </w:r>
    </w:p>
    <w:p w14:paraId="33889DEE">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2.4.1</w:t>
      </w:r>
      <w:r>
        <w:rPr>
          <w:rFonts w:hint="default" w:ascii="Times New Roman" w:hAnsi="Times New Roman" w:eastAsia="仿宋" w:cs="Times New Roman"/>
          <w:color w:val="auto"/>
          <w:sz w:val="24"/>
        </w:rPr>
        <w:t>投标人营业执照复印件以及特定资质复印件</w:t>
      </w:r>
    </w:p>
    <w:p w14:paraId="327D2283">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2.4.2</w:t>
      </w:r>
      <w:r>
        <w:rPr>
          <w:rFonts w:hint="default" w:ascii="Times New Roman" w:hAnsi="Times New Roman" w:eastAsia="仿宋" w:cs="Times New Roman"/>
          <w:color w:val="auto"/>
          <w:sz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p>
    <w:p w14:paraId="12697F22">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2.4.3</w:t>
      </w:r>
      <w:r>
        <w:rPr>
          <w:rFonts w:hint="default" w:ascii="Times New Roman" w:hAnsi="Times New Roman" w:eastAsia="仿宋" w:cs="Times New Roman"/>
          <w:color w:val="auto"/>
          <w:sz w:val="24"/>
        </w:rPr>
        <w:t>有关行业的经营企业许可证、注册证复印件（特殊行业需提供本行业国家颁发的有关资质证明）</w:t>
      </w:r>
    </w:p>
    <w:p w14:paraId="186489AA">
      <w:pPr>
        <w:spacing w:line="360" w:lineRule="auto"/>
        <w:ind w:firstLine="600" w:firstLineChars="250"/>
        <w:rPr>
          <w:rFonts w:hint="default" w:ascii="Times New Roman" w:hAnsi="Times New Roman" w:eastAsia="仿宋" w:cs="Times New Roman"/>
          <w:color w:val="auto"/>
          <w:sz w:val="24"/>
          <w:szCs w:val="22"/>
        </w:rPr>
      </w:pPr>
      <w:r>
        <w:rPr>
          <w:rFonts w:hint="eastAsia" w:eastAsia="仿宋" w:cs="Times New Roman"/>
          <w:color w:val="auto"/>
          <w:sz w:val="24"/>
          <w:lang w:val="en-US" w:eastAsia="zh-CN"/>
        </w:rPr>
        <w:t>2.4.4</w:t>
      </w:r>
      <w:r>
        <w:rPr>
          <w:rFonts w:hint="default" w:ascii="Times New Roman" w:hAnsi="Times New Roman" w:eastAsia="仿宋" w:cs="Times New Roman"/>
          <w:color w:val="auto"/>
          <w:sz w:val="24"/>
        </w:rPr>
        <w:t>关于资格的声明函。</w:t>
      </w:r>
    </w:p>
    <w:p w14:paraId="46D0A38D">
      <w:pPr>
        <w:spacing w:line="360" w:lineRule="auto"/>
        <w:ind w:firstLine="600" w:firstLineChars="250"/>
        <w:rPr>
          <w:rFonts w:hint="default" w:ascii="Times New Roman" w:hAnsi="Times New Roman" w:eastAsia="仿宋" w:cs="Times New Roman"/>
          <w:color w:val="auto"/>
          <w:sz w:val="24"/>
          <w:szCs w:val="22"/>
          <w:lang w:eastAsia="zh-CN"/>
        </w:rPr>
      </w:pPr>
      <w:r>
        <w:rPr>
          <w:rFonts w:hint="eastAsia" w:ascii="Times New Roman" w:hAnsi="Times New Roman" w:eastAsia="仿宋" w:cs="Times New Roman"/>
          <w:color w:val="auto"/>
          <w:sz w:val="24"/>
          <w:szCs w:val="22"/>
          <w:lang w:val="en-US" w:eastAsia="zh-CN"/>
        </w:rPr>
        <w:t>2.</w:t>
      </w:r>
      <w:r>
        <w:rPr>
          <w:rFonts w:hint="default" w:ascii="Times New Roman" w:hAnsi="Times New Roman" w:eastAsia="仿宋" w:cs="Times New Roman"/>
          <w:color w:val="auto"/>
          <w:sz w:val="24"/>
          <w:szCs w:val="22"/>
        </w:rPr>
        <w:t>5、投标人企业基本情况、经营基本情况</w:t>
      </w:r>
      <w:r>
        <w:rPr>
          <w:rFonts w:hint="default" w:ascii="Times New Roman" w:hAnsi="Times New Roman" w:eastAsia="仿宋" w:cs="Times New Roman"/>
          <w:color w:val="auto"/>
          <w:sz w:val="24"/>
          <w:szCs w:val="22"/>
          <w:lang w:eastAsia="zh-CN"/>
        </w:rPr>
        <w:t>、管理制度</w:t>
      </w:r>
    </w:p>
    <w:p w14:paraId="76F1D8D1">
      <w:pPr>
        <w:spacing w:line="360" w:lineRule="auto"/>
        <w:ind w:firstLine="600" w:firstLineChars="250"/>
        <w:rPr>
          <w:rFonts w:hint="default" w:ascii="Times New Roman" w:hAnsi="Times New Roman" w:eastAsia="仿宋" w:cs="Times New Roman"/>
          <w:color w:val="auto"/>
          <w:sz w:val="24"/>
          <w:szCs w:val="22"/>
        </w:rPr>
      </w:pPr>
      <w:r>
        <w:rPr>
          <w:rFonts w:hint="eastAsia" w:ascii="Times New Roman" w:hAnsi="Times New Roman" w:eastAsia="仿宋" w:cs="Times New Roman"/>
          <w:color w:val="auto"/>
          <w:sz w:val="24"/>
          <w:szCs w:val="22"/>
          <w:lang w:val="en-US" w:eastAsia="zh-CN"/>
        </w:rPr>
        <w:t>2.</w:t>
      </w:r>
      <w:r>
        <w:rPr>
          <w:rFonts w:hint="default" w:ascii="Times New Roman" w:hAnsi="Times New Roman" w:eastAsia="仿宋" w:cs="Times New Roman"/>
          <w:color w:val="auto"/>
          <w:sz w:val="24"/>
          <w:szCs w:val="22"/>
        </w:rPr>
        <w:t>6、服务管理工作设计（</w:t>
      </w:r>
      <w:r>
        <w:rPr>
          <w:rFonts w:hint="default" w:ascii="Times New Roman" w:hAnsi="Times New Roman" w:eastAsia="仿宋" w:cs="Times New Roman"/>
          <w:color w:val="auto"/>
          <w:sz w:val="24"/>
          <w:szCs w:val="22"/>
          <w:lang w:eastAsia="zh-CN"/>
        </w:rPr>
        <w:t>包括但不限于：</w:t>
      </w:r>
      <w:r>
        <w:rPr>
          <w:rFonts w:hint="eastAsia" w:ascii="Times New Roman" w:hAnsi="Times New Roman" w:eastAsia="仿宋" w:cs="Times New Roman"/>
          <w:color w:val="auto"/>
          <w:sz w:val="24"/>
          <w:lang w:val="en-US" w:eastAsia="zh-CN"/>
        </w:rPr>
        <w:t>项目管理方案、项目实施方案、宣传推广方案、应急处理方案、项目团队</w:t>
      </w:r>
      <w:r>
        <w:rPr>
          <w:rFonts w:hint="default" w:ascii="Times New Roman" w:hAnsi="Times New Roman" w:eastAsia="仿宋" w:cs="Times New Roman"/>
          <w:color w:val="auto"/>
          <w:sz w:val="24"/>
          <w:highlight w:val="none"/>
          <w:lang w:eastAsia="zh-CN"/>
        </w:rPr>
        <w:t>等</w:t>
      </w:r>
      <w:r>
        <w:rPr>
          <w:rFonts w:hint="default" w:ascii="Times New Roman" w:hAnsi="Times New Roman" w:eastAsia="仿宋" w:cs="Times New Roman"/>
          <w:color w:val="auto"/>
          <w:sz w:val="24"/>
          <w:szCs w:val="22"/>
          <w:lang w:eastAsia="zh-CN"/>
        </w:rPr>
        <w:t>）</w:t>
      </w:r>
    </w:p>
    <w:p w14:paraId="5DAD8EA9">
      <w:pPr>
        <w:spacing w:line="360" w:lineRule="auto"/>
        <w:ind w:firstLine="600" w:firstLineChars="250"/>
        <w:rPr>
          <w:rFonts w:hint="default" w:ascii="Times New Roman" w:hAnsi="Times New Roman" w:eastAsia="仿宋" w:cs="Times New Roman"/>
          <w:color w:val="auto"/>
          <w:sz w:val="24"/>
          <w:szCs w:val="22"/>
        </w:rPr>
      </w:pPr>
      <w:r>
        <w:rPr>
          <w:rFonts w:hint="eastAsia" w:ascii="Times New Roman" w:hAnsi="Times New Roman" w:eastAsia="仿宋" w:cs="Times New Roman"/>
          <w:color w:val="auto"/>
          <w:sz w:val="24"/>
          <w:szCs w:val="22"/>
          <w:lang w:val="en-US" w:eastAsia="zh-CN"/>
        </w:rPr>
        <w:t>2.</w:t>
      </w:r>
      <w:r>
        <w:rPr>
          <w:rFonts w:hint="default" w:ascii="Times New Roman" w:hAnsi="Times New Roman" w:eastAsia="仿宋" w:cs="Times New Roman"/>
          <w:color w:val="auto"/>
          <w:sz w:val="24"/>
          <w:szCs w:val="22"/>
        </w:rPr>
        <w:t>7、人员配置表及拟派项目负责人简历表</w:t>
      </w:r>
    </w:p>
    <w:p w14:paraId="43982577">
      <w:pPr>
        <w:spacing w:line="360" w:lineRule="auto"/>
        <w:ind w:firstLine="600" w:firstLineChars="25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szCs w:val="22"/>
          <w:lang w:val="en-US" w:eastAsia="zh-CN"/>
        </w:rPr>
        <w:t>2.7.1</w:t>
      </w:r>
      <w:r>
        <w:rPr>
          <w:rFonts w:hint="default" w:ascii="Times New Roman" w:hAnsi="Times New Roman" w:eastAsia="仿宋" w:cs="Times New Roman"/>
          <w:color w:val="auto"/>
          <w:sz w:val="24"/>
          <w:szCs w:val="22"/>
        </w:rPr>
        <w:t>人员配置表（姓名、性别、年龄</w:t>
      </w:r>
      <w:r>
        <w:rPr>
          <w:rFonts w:hint="default" w:ascii="Times New Roman" w:hAnsi="Times New Roman" w:eastAsia="仿宋" w:cs="Times New Roman"/>
          <w:color w:val="auto"/>
          <w:sz w:val="24"/>
        </w:rPr>
        <w:t>、岗位名称、学历、职称、主要资历、经验及承担过的项目）</w:t>
      </w:r>
    </w:p>
    <w:p w14:paraId="55395BCC">
      <w:pPr>
        <w:spacing w:line="360" w:lineRule="auto"/>
        <w:ind w:firstLine="600" w:firstLineChars="250"/>
        <w:rPr>
          <w:rFonts w:hint="default" w:ascii="Times New Roman" w:hAnsi="Times New Roman" w:eastAsia="仿宋" w:cs="Times New Roman"/>
          <w:color w:val="auto"/>
          <w:sz w:val="24"/>
          <w:szCs w:val="22"/>
        </w:rPr>
      </w:pPr>
      <w:r>
        <w:rPr>
          <w:rFonts w:hint="eastAsia" w:eastAsia="仿宋" w:cs="Times New Roman"/>
          <w:color w:val="auto"/>
          <w:sz w:val="24"/>
          <w:lang w:val="en-US" w:eastAsia="zh-CN"/>
        </w:rPr>
        <w:t>2.7.2</w:t>
      </w:r>
      <w:r>
        <w:rPr>
          <w:rFonts w:hint="default" w:ascii="Times New Roman" w:hAnsi="Times New Roman" w:eastAsia="仿宋" w:cs="Times New Roman"/>
          <w:color w:val="auto"/>
          <w:sz w:val="24"/>
          <w:szCs w:val="22"/>
        </w:rPr>
        <w:t>拟派项目负责人简历表</w:t>
      </w:r>
    </w:p>
    <w:p w14:paraId="233E4FEA">
      <w:pPr>
        <w:spacing w:line="360" w:lineRule="auto"/>
        <w:ind w:firstLine="600" w:firstLineChars="250"/>
        <w:rPr>
          <w:rFonts w:hint="default" w:ascii="Times New Roman" w:hAnsi="Times New Roman" w:eastAsia="仿宋" w:cs="Times New Roman"/>
          <w:sz w:val="24"/>
          <w:highlight w:val="none"/>
          <w:lang w:eastAsia="zh-CN"/>
        </w:rPr>
      </w:pPr>
      <w:r>
        <w:rPr>
          <w:rFonts w:hint="eastAsia" w:eastAsia="仿宋" w:cs="Times New Roman"/>
          <w:sz w:val="24"/>
          <w:lang w:val="en-US" w:eastAsia="zh-CN"/>
        </w:rPr>
        <w:t>2.</w:t>
      </w:r>
      <w:r>
        <w:rPr>
          <w:rFonts w:hint="default" w:ascii="Times New Roman" w:hAnsi="Times New Roman" w:eastAsia="仿宋" w:cs="Times New Roman"/>
          <w:sz w:val="24"/>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rPr>
        <w:t>供实施本项目的</w:t>
      </w:r>
      <w:r>
        <w:rPr>
          <w:rFonts w:hint="default" w:ascii="Times New Roman" w:hAnsi="Times New Roman" w:eastAsia="仿宋" w:cs="Times New Roman"/>
          <w:sz w:val="24"/>
          <w:lang w:val="en-US" w:eastAsia="zh-CN"/>
        </w:rPr>
        <w:t>质量承诺及保证措施</w:t>
      </w:r>
    </w:p>
    <w:p w14:paraId="2582BCA7">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9、投标方提供项目服务过程中的相关管理制度</w:t>
      </w:r>
    </w:p>
    <w:p w14:paraId="32883C52">
      <w:pPr>
        <w:spacing w:line="360" w:lineRule="auto"/>
        <w:ind w:firstLine="600" w:firstLineChars="250"/>
        <w:rPr>
          <w:rFonts w:hint="default" w:ascii="Times New Roman" w:hAnsi="Times New Roman" w:eastAsia="仿宋" w:cs="Times New Roman"/>
          <w:sz w:val="24"/>
          <w:highlight w:val="none"/>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rPr>
        <w:t>10、</w:t>
      </w:r>
      <w:r>
        <w:rPr>
          <w:rFonts w:hint="default" w:ascii="Times New Roman" w:hAnsi="Times New Roman" w:eastAsia="仿宋" w:cs="Times New Roman"/>
          <w:sz w:val="24"/>
          <w:lang w:val="zh-CN"/>
        </w:rPr>
        <w:t>售后服务体系及服务情况</w:t>
      </w:r>
    </w:p>
    <w:p w14:paraId="47E88330">
      <w:pPr>
        <w:spacing w:line="360" w:lineRule="auto"/>
        <w:ind w:firstLine="600" w:firstLineChars="250"/>
        <w:rPr>
          <w:rFonts w:hint="default" w:ascii="Times New Roman" w:hAnsi="Times New Roman" w:eastAsia="仿宋" w:cs="Times New Roman"/>
          <w:sz w:val="24"/>
        </w:rPr>
      </w:pPr>
      <w:r>
        <w:rPr>
          <w:rFonts w:hint="eastAsia" w:eastAsia="仿宋" w:cs="Times New Roman"/>
          <w:sz w:val="24"/>
          <w:lang w:val="en-US" w:eastAsia="zh-CN"/>
        </w:rPr>
        <w:t>2.</w:t>
      </w:r>
      <w:r>
        <w:rPr>
          <w:rFonts w:hint="default" w:ascii="Times New Roman" w:hAnsi="Times New Roman" w:eastAsia="仿宋" w:cs="Times New Roman"/>
          <w:sz w:val="24"/>
        </w:rPr>
        <w:t>11、服务偏离表</w:t>
      </w:r>
    </w:p>
    <w:p w14:paraId="7B175270">
      <w:pPr>
        <w:spacing w:line="360" w:lineRule="auto"/>
        <w:ind w:firstLine="600" w:firstLineChars="250"/>
        <w:rPr>
          <w:rFonts w:hint="eastAsia" w:eastAsia="仿宋" w:cs="Times New Roman"/>
          <w:sz w:val="24"/>
          <w:highlight w:val="none"/>
          <w:lang w:val="en-US" w:eastAsia="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12、</w:t>
      </w:r>
      <w:r>
        <w:rPr>
          <w:rFonts w:hint="eastAsia" w:eastAsia="仿宋" w:cs="Times New Roman"/>
          <w:sz w:val="24"/>
          <w:highlight w:val="none"/>
          <w:lang w:val="en-US" w:eastAsia="zh-CN"/>
        </w:rPr>
        <w:t>提供2023年度或2024年度经审计过的财务审计报告或财务报表（财务报表应至少包括资产负债表、利润表、现金流量表或财务状况变动表等）或银行出具的近三个月的资金证明，新成立不足一年的投标人无法提供审计报告，则需提供开户银行出具的有效的资金证明；</w:t>
      </w:r>
    </w:p>
    <w:p w14:paraId="0033AF4F">
      <w:pPr>
        <w:spacing w:line="360" w:lineRule="auto"/>
        <w:ind w:firstLine="600" w:firstLineChars="250"/>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13、</w:t>
      </w:r>
      <w:r>
        <w:rPr>
          <w:rFonts w:hint="eastAsia" w:ascii="Times New Roman" w:hAnsi="Times New Roman" w:eastAsia="仿宋" w:cs="Times New Roman"/>
          <w:color w:val="auto"/>
          <w:sz w:val="24"/>
          <w:szCs w:val="24"/>
          <w:highlight w:val="none"/>
          <w:lang w:val="en-US" w:eastAsia="zh-CN"/>
        </w:rPr>
        <w:t>提供202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年1月1日至今类似服务项目业绩</w:t>
      </w:r>
    </w:p>
    <w:p w14:paraId="4D739FC0">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14、投标单位（供应商）反商业贿赂承诺书</w:t>
      </w:r>
    </w:p>
    <w:p w14:paraId="27EA2F81">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15、投标保证金缴纳凭证</w:t>
      </w:r>
    </w:p>
    <w:p w14:paraId="36E64789">
      <w:pPr>
        <w:spacing w:line="360" w:lineRule="auto"/>
        <w:ind w:firstLine="600" w:firstLineChars="250"/>
        <w:rPr>
          <w:rFonts w:hint="default" w:ascii="Times New Roman" w:hAnsi="Times New Roman" w:eastAsia="仿宋" w:cs="Times New Roman"/>
          <w:color w:val="auto"/>
          <w:sz w:val="24"/>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16、投标单位（供应商）《遵守政府采购相关法律法规承诺书》</w:t>
      </w:r>
    </w:p>
    <w:p w14:paraId="3A855499">
      <w:pPr>
        <w:spacing w:line="360" w:lineRule="auto"/>
        <w:ind w:firstLine="600" w:firstLineChars="250"/>
        <w:rPr>
          <w:rFonts w:hint="default" w:ascii="Times New Roman" w:hAnsi="Times New Roman" w:cs="Times New Roman"/>
          <w:color w:val="auto"/>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、中小微企业声明函、监狱企业声明函、残疾人福利性单位声明函</w:t>
      </w:r>
    </w:p>
    <w:p w14:paraId="3A0BEC2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lang w:val="en-US" w:eastAsia="zh-CN" w:bidi="ar-SA"/>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en-US" w:eastAsia="zh-CN"/>
        </w:rPr>
        <w:t>18</w:t>
      </w:r>
      <w:r>
        <w:rPr>
          <w:rFonts w:hint="default" w:ascii="Times New Roman" w:hAnsi="Times New Roman" w:eastAsia="仿宋" w:cs="Times New Roman"/>
          <w:color w:val="auto"/>
          <w:sz w:val="24"/>
        </w:rPr>
        <w:t>、投标人认为需提供的其它证明文件</w:t>
      </w: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2E6918E7">
      <w:pPr>
        <w:keepNext w:val="0"/>
        <w:keepLines w:val="0"/>
        <w:pageBreakBefore w:val="0"/>
        <w:kinsoku/>
        <w:wordWrap/>
        <w:overflowPunct/>
        <w:topLinePunct w:val="0"/>
        <w:bidi w:val="0"/>
        <w:snapToGrid/>
        <w:spacing w:beforeAutospacing="0" w:afterAutospacing="0" w:line="360" w:lineRule="auto"/>
        <w:ind w:right="0" w:rightChars="0" w:firstLine="562" w:firstLineChars="200"/>
        <w:rPr>
          <w:rFonts w:hint="default" w:ascii="Times New Roman" w:hAnsi="Times New Roman" w:eastAsia="仿宋" w:cs="Times New Roman"/>
          <w:b/>
          <w:color w:val="000000"/>
          <w:sz w:val="24"/>
          <w:highlight w:val="none"/>
        </w:rPr>
      </w:pPr>
      <w:r>
        <w:rPr>
          <w:rFonts w:hint="eastAsia"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二</w:t>
      </w:r>
      <w:r>
        <w:rPr>
          <w:rFonts w:hint="eastAsia" w:eastAsia="仿宋" w:cs="Times New Roman"/>
          <w:b/>
          <w:color w:val="000000"/>
          <w:sz w:val="28"/>
          <w:szCs w:val="28"/>
          <w:shd w:val="clear" w:color="auto" w:fill="FFFFFF"/>
          <w:lang w:eastAsia="zh-CN"/>
        </w:rPr>
        <w:t>）</w:t>
      </w:r>
      <w:r>
        <w:rPr>
          <w:rFonts w:hint="default" w:ascii="Times New Roman" w:hAnsi="Times New Roman" w:eastAsia="仿宋" w:cs="Times New Roman"/>
          <w:b/>
          <w:color w:val="000000"/>
          <w:sz w:val="28"/>
          <w:szCs w:val="28"/>
          <w:shd w:val="clear" w:color="auto" w:fill="FFFFFF"/>
        </w:rPr>
        <w:t>竞争性磋商文件顺序及格式范本</w:t>
      </w:r>
      <w:r>
        <w:rPr>
          <w:rFonts w:hint="default" w:ascii="Times New Roman" w:hAnsi="Times New Roman" w:eastAsia="仿宋" w:cs="Times New Roman"/>
          <w:b/>
          <w:color w:val="000000"/>
          <w:sz w:val="24"/>
          <w:highlight w:val="none"/>
        </w:rPr>
        <w:t xml:space="preserve"> </w:t>
      </w:r>
    </w:p>
    <w:p w14:paraId="5C53404D">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r>
        <w:rPr>
          <w:rFonts w:hint="eastAsia" w:eastAsia="仿宋" w:cs="Times New Roman"/>
          <w:b/>
          <w:color w:val="000000"/>
          <w:sz w:val="28"/>
          <w:szCs w:val="28"/>
          <w:highlight w:val="none"/>
          <w:shd w:val="clear" w:color="auto" w:fill="FFFFFF"/>
          <w:lang w:val="en-US" w:eastAsia="zh-CN"/>
        </w:rPr>
        <w:t>1、</w:t>
      </w:r>
      <w:r>
        <w:rPr>
          <w:rFonts w:hint="default" w:ascii="Times New Roman" w:hAnsi="Times New Roman" w:eastAsia="仿宋" w:cs="Times New Roman"/>
          <w:b/>
          <w:color w:val="000000"/>
          <w:sz w:val="28"/>
          <w:szCs w:val="28"/>
          <w:highlight w:val="none"/>
          <w:shd w:val="clear" w:color="auto" w:fill="FFFFFF"/>
        </w:rPr>
        <w:t>竞争性磋商文件</w:t>
      </w:r>
      <w:r>
        <w:rPr>
          <w:rFonts w:hint="default" w:ascii="Times New Roman" w:hAnsi="Times New Roman" w:eastAsia="仿宋" w:cs="Times New Roman"/>
          <w:b/>
          <w:color w:val="000000"/>
          <w:sz w:val="28"/>
          <w:szCs w:val="28"/>
          <w:highlight w:val="none"/>
          <w:shd w:val="clear" w:color="auto" w:fill="FFFFFF"/>
          <w:lang w:eastAsia="zh-CN"/>
        </w:rPr>
        <w:t>的编制</w:t>
      </w:r>
    </w:p>
    <w:p w14:paraId="42FC99D3">
      <w:pPr>
        <w:autoSpaceDE w:val="0"/>
        <w:autoSpaceDN w:val="0"/>
        <w:adjustRightInd w:val="0"/>
        <w:spacing w:line="360" w:lineRule="auto"/>
        <w:ind w:firstLine="480" w:firstLineChars="200"/>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zh-CN" w:eastAsia="zh-CN" w:bidi="ar-SA"/>
        </w:rPr>
        <w:t>投标文件</w:t>
      </w:r>
      <w:r>
        <w:rPr>
          <w:rFonts w:hint="eastAsia" w:eastAsia="仿宋" w:cs="Times New Roman"/>
          <w:color w:val="auto"/>
          <w:kern w:val="0"/>
          <w:sz w:val="24"/>
          <w:szCs w:val="22"/>
          <w:highlight w:val="none"/>
          <w:lang w:val="zh-CN" w:eastAsia="zh-CN" w:bidi="ar-SA"/>
        </w:rPr>
        <w:t>参照</w:t>
      </w:r>
      <w:r>
        <w:rPr>
          <w:rFonts w:hint="default" w:ascii="Times New Roman" w:hAnsi="Times New Roman" w:eastAsia="仿宋" w:cs="Times New Roman"/>
          <w:color w:val="auto"/>
          <w:kern w:val="0"/>
          <w:sz w:val="24"/>
          <w:szCs w:val="22"/>
          <w:highlight w:val="none"/>
          <w:lang w:val="zh-CN" w:eastAsia="zh-CN" w:bidi="ar-SA"/>
        </w:rPr>
        <w:t>第五部分进行编写，如有必要，可以增加副页，作为投标文件的组成部分。</w:t>
      </w:r>
    </w:p>
    <w:p w14:paraId="724F632D">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zh-CN"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2、</w:t>
      </w:r>
      <w:r>
        <w:rPr>
          <w:rFonts w:hint="default" w:ascii="Times New Roman" w:hAnsi="Times New Roman" w:eastAsia="仿宋" w:cs="Times New Roman"/>
          <w:color w:val="auto"/>
          <w:kern w:val="0"/>
          <w:sz w:val="24"/>
          <w:szCs w:val="22"/>
          <w:highlight w:val="none"/>
          <w:lang w:val="zh-CN" w:eastAsia="zh-CN" w:bidi="ar-SA"/>
        </w:rPr>
        <w:t>投标文件由投标人自行在“政采云”平台上制作生成投标文件。投标人在编制投标文件时应建立分级目录，并按照标签提示导入相关内容。</w:t>
      </w:r>
    </w:p>
    <w:p w14:paraId="55CABB1D">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w:t>
      </w:r>
      <w:r>
        <w:rPr>
          <w:rFonts w:hint="default" w:ascii="Times New Roman" w:hAnsi="Times New Roman" w:eastAsia="仿宋" w:cs="Times New Roman"/>
          <w:color w:val="auto"/>
          <w:kern w:val="0"/>
          <w:sz w:val="24"/>
          <w:szCs w:val="22"/>
          <w:highlight w:val="none"/>
          <w:lang w:val="en-US" w:eastAsia="zh-CN" w:bidi="ar-SA"/>
        </w:rPr>
        <w:t>3、</w:t>
      </w:r>
      <w:r>
        <w:rPr>
          <w:rFonts w:hint="default" w:ascii="Times New Roman" w:hAnsi="Times New Roman" w:eastAsia="仿宋" w:cs="Times New Roman"/>
          <w:color w:val="auto"/>
          <w:kern w:val="0"/>
          <w:sz w:val="24"/>
          <w:szCs w:val="22"/>
          <w:highlight w:val="none"/>
          <w:lang w:val="zh-CN" w:eastAsia="zh-CN" w:bidi="ar-SA"/>
        </w:rPr>
        <w:t>第五部分</w:t>
      </w:r>
      <w:r>
        <w:rPr>
          <w:rFonts w:hint="default" w:ascii="Times New Roman" w:hAnsi="Times New Roman" w:eastAsia="仿宋" w:cs="Times New Roman"/>
          <w:color w:val="auto"/>
          <w:kern w:val="0"/>
          <w:sz w:val="24"/>
          <w:szCs w:val="22"/>
          <w:highlight w:val="none"/>
          <w:lang w:val="en-US" w:eastAsia="zh-CN" w:bidi="ar-SA"/>
        </w:rPr>
        <w:t xml:space="preserve"> “</w:t>
      </w:r>
      <w:r>
        <w:rPr>
          <w:rFonts w:hint="default" w:ascii="Times New Roman" w:hAnsi="Times New Roman" w:eastAsia="仿宋" w:cs="Times New Roman"/>
          <w:color w:val="auto"/>
          <w:kern w:val="0"/>
          <w:sz w:val="24"/>
          <w:szCs w:val="22"/>
          <w:highlight w:val="none"/>
          <w:lang w:val="zh-CN" w:eastAsia="zh-CN" w:bidi="ar-SA"/>
        </w:rPr>
        <w:t>投标文件编制和装订顺序</w:t>
      </w:r>
      <w:r>
        <w:rPr>
          <w:rFonts w:hint="default" w:ascii="Times New Roman" w:hAnsi="Times New Roman" w:eastAsia="仿宋" w:cs="Times New Roman"/>
          <w:color w:val="auto"/>
          <w:kern w:val="0"/>
          <w:sz w:val="24"/>
          <w:szCs w:val="22"/>
          <w:highlight w:val="none"/>
          <w:lang w:val="en-US" w:eastAsia="zh-CN" w:bidi="ar-SA"/>
        </w:rPr>
        <w:t>”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14:paraId="21D32F88">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1.4</w:t>
      </w:r>
      <w:r>
        <w:rPr>
          <w:rFonts w:hint="default" w:ascii="Times New Roman" w:hAnsi="Times New Roman" w:eastAsia="仿宋" w:cs="Times New Roman"/>
          <w:color w:val="auto"/>
          <w:kern w:val="0"/>
          <w:sz w:val="24"/>
          <w:szCs w:val="22"/>
          <w:highlight w:val="none"/>
          <w:lang w:val="en-US" w:eastAsia="zh-CN" w:bidi="ar-SA"/>
        </w:rPr>
        <w:t>、投标文件中的已标价报价清单数据文件应与招标人提供的报价清单数据文件格式一致。</w:t>
      </w:r>
    </w:p>
    <w:p w14:paraId="4A05023E">
      <w:pPr>
        <w:autoSpaceDE w:val="0"/>
        <w:autoSpaceDN w:val="0"/>
        <w:adjustRightInd w:val="0"/>
        <w:spacing w:line="360" w:lineRule="auto"/>
        <w:ind w:firstLine="482"/>
        <w:rPr>
          <w:rFonts w:hint="default" w:ascii="Times New Roman" w:hAnsi="Times New Roman" w:eastAsia="仿宋" w:cs="Times New Roman"/>
          <w:color w:val="auto"/>
          <w:kern w:val="0"/>
          <w:sz w:val="24"/>
          <w:szCs w:val="22"/>
          <w:highlight w:val="none"/>
          <w:lang w:val="en-US" w:eastAsia="zh-CN" w:bidi="ar-SA"/>
        </w:rPr>
      </w:pPr>
      <w:r>
        <w:rPr>
          <w:rFonts w:hint="eastAsia" w:eastAsia="仿宋" w:cs="Times New Roman"/>
          <w:color w:val="auto"/>
          <w:kern w:val="0"/>
          <w:sz w:val="24"/>
          <w:szCs w:val="22"/>
          <w:highlight w:val="none"/>
          <w:lang w:val="en-US" w:eastAsia="zh-CN" w:bidi="ar-SA"/>
        </w:rPr>
        <w:t>1.5</w:t>
      </w:r>
      <w:r>
        <w:rPr>
          <w:rFonts w:hint="default" w:ascii="Times New Roman" w:hAnsi="Times New Roman" w:eastAsia="仿宋" w:cs="Times New Roman"/>
          <w:color w:val="auto"/>
          <w:kern w:val="0"/>
          <w:sz w:val="24"/>
          <w:szCs w:val="22"/>
          <w:highlight w:val="none"/>
          <w:lang w:val="en-US" w:eastAsia="zh-CN" w:bidi="ar-SA"/>
        </w:rPr>
        <w:t>、投标文件制作完成后，投标人应使用CA数字证书对投标文件进行文件加密，形成加密的投标文件。</w:t>
      </w:r>
    </w:p>
    <w:p w14:paraId="161B7BF2">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color w:val="auto"/>
          <w:kern w:val="0"/>
          <w:sz w:val="24"/>
          <w:szCs w:val="22"/>
          <w:highlight w:val="none"/>
          <w:lang w:val="en-US" w:eastAsia="zh-CN" w:bidi="ar-SA"/>
        </w:rPr>
        <w:t>1.6</w:t>
      </w:r>
      <w:r>
        <w:rPr>
          <w:rFonts w:hint="default" w:ascii="Times New Roman" w:hAnsi="Times New Roman" w:eastAsia="仿宋" w:cs="Times New Roman"/>
          <w:color w:val="auto"/>
          <w:kern w:val="0"/>
          <w:sz w:val="24"/>
          <w:szCs w:val="22"/>
          <w:highlight w:val="none"/>
          <w:lang w:val="en-US" w:eastAsia="zh-CN" w:bidi="ar-SA"/>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2EEC4726">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1.7</w:t>
      </w:r>
      <w:r>
        <w:rPr>
          <w:rFonts w:hint="default" w:ascii="Times New Roman" w:hAnsi="Times New Roman" w:eastAsia="仿宋" w:cs="Times New Roman"/>
          <w:sz w:val="24"/>
          <w:szCs w:val="22"/>
          <w:highlight w:val="none"/>
          <w:lang w:val="en-US" w:eastAsia="zh-CN"/>
        </w:rPr>
        <w:t>、</w:t>
      </w:r>
      <w:r>
        <w:rPr>
          <w:rFonts w:hint="default" w:ascii="Times New Roman" w:hAnsi="Times New Roman" w:eastAsia="仿宋" w:cs="Times New Roman"/>
          <w:sz w:val="24"/>
          <w:szCs w:val="22"/>
          <w:highlight w:val="none"/>
        </w:rPr>
        <w:t>凡有备注说明的，必须符合说明的要求。</w:t>
      </w:r>
    </w:p>
    <w:p w14:paraId="29DF2C2D">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1.8</w:t>
      </w:r>
      <w:r>
        <w:rPr>
          <w:rFonts w:hint="default" w:ascii="Times New Roman" w:hAnsi="Times New Roman" w:eastAsia="仿宋" w:cs="Times New Roman"/>
          <w:sz w:val="24"/>
          <w:szCs w:val="22"/>
          <w:highlight w:val="none"/>
          <w:lang w:val="en-US" w:eastAsia="zh-CN"/>
        </w:rPr>
        <w:t>、</w:t>
      </w:r>
      <w:r>
        <w:rPr>
          <w:rFonts w:hint="default" w:ascii="Times New Roman" w:hAnsi="Times New Roman" w:eastAsia="仿宋" w:cs="Times New Roman"/>
          <w:sz w:val="24"/>
          <w:szCs w:val="22"/>
          <w:highlight w:val="none"/>
        </w:rPr>
        <w:t>凡招标文件要求提供的，必须提供。</w:t>
      </w:r>
    </w:p>
    <w:p w14:paraId="4615ED5E">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2、</w:t>
      </w:r>
      <w:r>
        <w:rPr>
          <w:rFonts w:hint="default" w:ascii="Times New Roman" w:hAnsi="Times New Roman" w:eastAsia="仿宋" w:cs="Times New Roman"/>
          <w:b/>
          <w:color w:val="000000"/>
          <w:sz w:val="28"/>
          <w:szCs w:val="28"/>
          <w:shd w:val="clear" w:color="auto" w:fill="FFFFFF"/>
        </w:rPr>
        <w:t>竞争性磋商文件的语言及计量</w:t>
      </w:r>
    </w:p>
    <w:p w14:paraId="432CD7B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1、竞争性磋商文件以及投标人与</w:t>
      </w:r>
      <w:r>
        <w:rPr>
          <w:rFonts w:hint="eastAsia" w:eastAsia="仿宋" w:cs="Times New Roman"/>
          <w:sz w:val="24"/>
          <w:szCs w:val="22"/>
          <w:highlight w:val="none"/>
          <w:lang w:eastAsia="zh-CN"/>
        </w:rPr>
        <w:t>巴州聚诚项目管理有限责任公司</w:t>
      </w:r>
      <w:r>
        <w:rPr>
          <w:rFonts w:hint="default" w:ascii="Times New Roman" w:hAnsi="Times New Roman" w:eastAsia="仿宋" w:cs="Times New Roman"/>
          <w:sz w:val="24"/>
          <w:szCs w:val="22"/>
          <w:highlight w:val="none"/>
        </w:rPr>
        <w:t>就有关投标事宜的所有来往函电，均应以中文汉语书写。除签名、盖章、专用名称等特殊情形外，以中文汉语以外的文字表述的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视同未提供。</w:t>
      </w:r>
    </w:p>
    <w:p w14:paraId="223121A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2、投标计量单位，竞争性磋商文件已有明确规定的，使用竞争性磋商文件规定的计量单位；竞争性磋商文件没有规定的，应采用中华人民共和国法定计量单位（货币单位：人民币元），否则视同未响应。</w:t>
      </w:r>
      <w:bookmarkStart w:id="28" w:name="_Toc177824945"/>
      <w:bookmarkStart w:id="29" w:name="_Toc177825126"/>
      <w:bookmarkStart w:id="30" w:name="_Toc177824878"/>
      <w:bookmarkStart w:id="31" w:name="_Toc177870548"/>
    </w:p>
    <w:p w14:paraId="19822490">
      <w:pPr>
        <w:spacing w:line="360" w:lineRule="auto"/>
        <w:ind w:firstLine="562" w:firstLineChars="200"/>
        <w:rPr>
          <w:rFonts w:hint="default" w:ascii="Times New Roman" w:hAnsi="Times New Roman" w:eastAsia="仿宋" w:cs="Times New Roman"/>
          <w:b/>
          <w:color w:val="000000"/>
          <w:sz w:val="28"/>
          <w:szCs w:val="28"/>
          <w:shd w:val="clear" w:color="auto" w:fill="FFFFFF"/>
          <w:lang w:eastAsia="zh-CN"/>
        </w:rPr>
      </w:pPr>
      <w:r>
        <w:rPr>
          <w:rFonts w:hint="eastAsia" w:eastAsia="仿宋" w:cs="Times New Roman"/>
          <w:b/>
          <w:color w:val="000000"/>
          <w:sz w:val="28"/>
          <w:szCs w:val="28"/>
          <w:shd w:val="clear" w:color="auto" w:fill="FFFFFF"/>
          <w:lang w:val="en-US" w:eastAsia="zh-CN"/>
        </w:rPr>
        <w:t>3、</w:t>
      </w:r>
      <w:r>
        <w:rPr>
          <w:rFonts w:hint="default" w:ascii="Times New Roman" w:hAnsi="Times New Roman" w:eastAsia="仿宋" w:cs="Times New Roman"/>
          <w:b/>
          <w:color w:val="000000"/>
          <w:sz w:val="28"/>
          <w:szCs w:val="28"/>
          <w:shd w:val="clear" w:color="auto" w:fill="FFFFFF"/>
        </w:rPr>
        <w:t>投标报价</w:t>
      </w:r>
      <w:bookmarkEnd w:id="28"/>
      <w:bookmarkEnd w:id="29"/>
      <w:bookmarkEnd w:id="30"/>
      <w:bookmarkEnd w:id="31"/>
    </w:p>
    <w:p w14:paraId="69810F2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1、投标报价应按竞争性磋商文件中相关附表格式填写。</w:t>
      </w:r>
    </w:p>
    <w:p w14:paraId="0FFA538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2、投标报价</w:t>
      </w:r>
      <w:r>
        <w:rPr>
          <w:rFonts w:hint="default" w:ascii="Times New Roman" w:hAnsi="Times New Roman" w:eastAsia="仿宋" w:cs="Times New Roman"/>
          <w:sz w:val="24"/>
          <w:szCs w:val="22"/>
          <w:highlight w:val="none"/>
          <w:lang w:eastAsia="zh-CN"/>
        </w:rPr>
        <w:t>：本次投标采用综合评分法，报价分为两次，第一次报价唱标后当场公布，第二次报价不得高于第一次报价</w:t>
      </w:r>
      <w:r>
        <w:rPr>
          <w:rFonts w:hint="eastAsia" w:eastAsia="仿宋" w:cs="Times New Roman"/>
          <w:sz w:val="24"/>
          <w:szCs w:val="22"/>
          <w:highlight w:val="none"/>
          <w:lang w:eastAsia="zh-CN"/>
        </w:rPr>
        <w:t>且为最终报价。</w:t>
      </w:r>
    </w:p>
    <w:p w14:paraId="544348E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3、</w:t>
      </w:r>
      <w:r>
        <w:rPr>
          <w:rFonts w:hint="default" w:ascii="Times New Roman" w:hAnsi="Times New Roman" w:eastAsia="仿宋" w:cs="Times New Roman"/>
          <w:sz w:val="24"/>
          <w:szCs w:val="22"/>
          <w:highlight w:val="none"/>
          <w:lang w:val="en-US" w:eastAsia="zh-CN"/>
        </w:rPr>
        <w:t>经磋商确定最终采购需求和提交最后报价的供应商后，由磋商小组采用综合评分法对提交最后报价的供应商的竞争性磋商文件和最后报价进行综合评分。</w:t>
      </w:r>
    </w:p>
    <w:p w14:paraId="116B876A">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4、</w:t>
      </w:r>
      <w:r>
        <w:rPr>
          <w:rFonts w:hint="default" w:ascii="Times New Roman" w:hAnsi="Times New Roman" w:eastAsia="仿宋" w:cs="Times New Roman"/>
          <w:b/>
          <w:color w:val="000000"/>
          <w:sz w:val="28"/>
          <w:szCs w:val="28"/>
          <w:shd w:val="clear" w:color="auto" w:fill="FFFFFF"/>
        </w:rPr>
        <w:t>竞争性磋商文件的有效期</w:t>
      </w:r>
    </w:p>
    <w:p w14:paraId="7821D355">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1、自投标截止日起</w:t>
      </w:r>
      <w:r>
        <w:rPr>
          <w:rFonts w:hint="default" w:ascii="Times New Roman" w:hAnsi="Times New Roman" w:eastAsia="仿宋" w:cs="Times New Roman"/>
          <w:sz w:val="24"/>
          <w:szCs w:val="22"/>
          <w:highlight w:val="none"/>
          <w:lang w:val="en-US" w:eastAsia="zh-CN"/>
        </w:rPr>
        <w:t>9</w:t>
      </w:r>
      <w:r>
        <w:rPr>
          <w:rFonts w:hint="default" w:ascii="Times New Roman" w:hAnsi="Times New Roman" w:eastAsia="仿宋" w:cs="Times New Roman"/>
          <w:sz w:val="24"/>
          <w:szCs w:val="22"/>
          <w:highlight w:val="none"/>
        </w:rPr>
        <w:t>0天投标书应保持有效。有效期短于这个规定期限的投标将被拒绝。</w:t>
      </w:r>
    </w:p>
    <w:p w14:paraId="73D9BCC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2、在特殊情况下，</w:t>
      </w:r>
      <w:r>
        <w:rPr>
          <w:rFonts w:hint="default" w:ascii="Times New Roman" w:hAnsi="Times New Roman" w:eastAsia="仿宋" w:cs="Times New Roman"/>
          <w:sz w:val="24"/>
          <w:szCs w:val="22"/>
          <w:highlight w:val="none"/>
          <w:lang w:eastAsia="zh-CN"/>
        </w:rPr>
        <w:t>采购人和招标代理机构</w:t>
      </w:r>
      <w:r>
        <w:rPr>
          <w:rFonts w:hint="default" w:ascii="Times New Roman" w:hAnsi="Times New Roman" w:eastAsia="仿宋" w:cs="Times New Roman"/>
          <w:sz w:val="24"/>
          <w:szCs w:val="22"/>
          <w:highlight w:val="none"/>
        </w:rPr>
        <w:t>可与投标人协商延长投标书的有效期，这种要求和答复均以书面形式进行。</w:t>
      </w:r>
    </w:p>
    <w:p w14:paraId="7F269A7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bookmarkStart w:id="32" w:name="_Toc177824879"/>
      <w:bookmarkStart w:id="33" w:name="_Toc177825127"/>
      <w:bookmarkStart w:id="34" w:name="_Toc177824946"/>
      <w:bookmarkStart w:id="35" w:name="_Toc177870549"/>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3、投标人可拒绝接受延期要求而不会导致投标保证金被没收。同意延长有效期的投标人需要相应延长投标保证金的有效期，但不能修改</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w:t>
      </w:r>
      <w:bookmarkEnd w:id="32"/>
      <w:bookmarkEnd w:id="33"/>
      <w:bookmarkEnd w:id="34"/>
      <w:bookmarkEnd w:id="35"/>
      <w:r>
        <w:rPr>
          <w:rFonts w:hint="default" w:ascii="Times New Roman" w:hAnsi="Times New Roman" w:eastAsia="仿宋" w:cs="Times New Roman"/>
          <w:sz w:val="24"/>
          <w:szCs w:val="22"/>
          <w:highlight w:val="none"/>
        </w:rPr>
        <w:t xml:space="preserve"> </w:t>
      </w:r>
    </w:p>
    <w:p w14:paraId="7607F21C">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4、最终中标供应商的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自开标之日起至合同履行完毕止均应保持有效。</w:t>
      </w:r>
    </w:p>
    <w:p w14:paraId="21EC56A9">
      <w:pPr>
        <w:spacing w:line="360" w:lineRule="auto"/>
        <w:ind w:firstLine="562" w:firstLineChars="200"/>
        <w:rPr>
          <w:rFonts w:hint="default" w:ascii="Times New Roman" w:hAnsi="Times New Roman" w:eastAsia="仿宋" w:cs="Times New Roman"/>
          <w:b/>
          <w:color w:val="000000"/>
          <w:sz w:val="28"/>
          <w:szCs w:val="28"/>
          <w:shd w:val="clear" w:color="auto" w:fill="FFFFFF"/>
        </w:rPr>
      </w:pPr>
      <w:bookmarkStart w:id="36" w:name="_Toc177824880"/>
      <w:bookmarkStart w:id="37" w:name="_Toc177824947"/>
      <w:bookmarkStart w:id="38" w:name="_Toc177825128"/>
      <w:bookmarkStart w:id="39" w:name="_Toc177870550"/>
      <w:r>
        <w:rPr>
          <w:rFonts w:hint="eastAsia" w:eastAsia="仿宋" w:cs="Times New Roman"/>
          <w:b/>
          <w:color w:val="000000"/>
          <w:sz w:val="28"/>
          <w:szCs w:val="28"/>
          <w:shd w:val="clear" w:color="auto" w:fill="FFFFFF"/>
          <w:lang w:val="en-US" w:eastAsia="zh-CN"/>
        </w:rPr>
        <w:t>5、</w:t>
      </w:r>
      <w:r>
        <w:rPr>
          <w:rFonts w:hint="default" w:ascii="Times New Roman" w:hAnsi="Times New Roman" w:eastAsia="仿宋" w:cs="Times New Roman"/>
          <w:b/>
          <w:color w:val="000000"/>
          <w:sz w:val="28"/>
          <w:szCs w:val="28"/>
          <w:shd w:val="clear" w:color="auto" w:fill="FFFFFF"/>
        </w:rPr>
        <w:t>投标保证金</w:t>
      </w:r>
      <w:bookmarkEnd w:id="36"/>
      <w:bookmarkEnd w:id="37"/>
      <w:bookmarkEnd w:id="38"/>
      <w:bookmarkEnd w:id="39"/>
    </w:p>
    <w:p w14:paraId="77F396A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1、投标人须提交投标保证金。否则，其投标将被拒绝。</w:t>
      </w:r>
    </w:p>
    <w:p w14:paraId="0EBCE1C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2、投标人中标后需</w:t>
      </w:r>
      <w:r>
        <w:rPr>
          <w:rFonts w:hint="default" w:ascii="Times New Roman" w:hAnsi="Times New Roman" w:eastAsia="仿宋" w:cs="Times New Roman"/>
          <w:sz w:val="24"/>
          <w:szCs w:val="22"/>
          <w:highlight w:val="none"/>
          <w:lang w:eastAsia="zh-CN"/>
        </w:rPr>
        <w:t>和采购单位协商缴纳</w:t>
      </w:r>
      <w:r>
        <w:rPr>
          <w:rFonts w:hint="default" w:ascii="Times New Roman" w:hAnsi="Times New Roman" w:eastAsia="仿宋" w:cs="Times New Roman"/>
          <w:sz w:val="24"/>
          <w:szCs w:val="22"/>
          <w:highlight w:val="none"/>
        </w:rPr>
        <w:t>履约保证金。</w:t>
      </w:r>
    </w:p>
    <w:p w14:paraId="7CE36B4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3、下列情况，投标保证金将不予退还：</w:t>
      </w:r>
    </w:p>
    <w:p w14:paraId="69A74E6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5.3.1</w:t>
      </w:r>
      <w:r>
        <w:rPr>
          <w:rFonts w:hint="default" w:ascii="Times New Roman" w:hAnsi="Times New Roman" w:eastAsia="仿宋" w:cs="Times New Roman"/>
          <w:sz w:val="24"/>
          <w:szCs w:val="22"/>
          <w:highlight w:val="none"/>
        </w:rPr>
        <w:t>投标人在投标有效期内撤回</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的；</w:t>
      </w:r>
    </w:p>
    <w:p w14:paraId="2755718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5.3.2</w:t>
      </w:r>
      <w:r>
        <w:rPr>
          <w:rFonts w:hint="default" w:ascii="Times New Roman" w:hAnsi="Times New Roman" w:eastAsia="仿宋" w:cs="Times New Roman"/>
          <w:sz w:val="24"/>
          <w:szCs w:val="22"/>
          <w:highlight w:val="none"/>
        </w:rPr>
        <w:t>未按规定提交履约保证金的；</w:t>
      </w:r>
    </w:p>
    <w:p w14:paraId="672C86D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5.3.3</w:t>
      </w:r>
      <w:r>
        <w:rPr>
          <w:rFonts w:hint="default" w:ascii="Times New Roman" w:hAnsi="Times New Roman" w:eastAsia="仿宋" w:cs="Times New Roman"/>
          <w:sz w:val="24"/>
          <w:szCs w:val="22"/>
          <w:highlight w:val="none"/>
        </w:rPr>
        <w:t>投标人在投标过程中弄虚作假，提供虚假材料；</w:t>
      </w:r>
    </w:p>
    <w:p w14:paraId="294B871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5.3.4</w:t>
      </w:r>
      <w:r>
        <w:rPr>
          <w:rFonts w:hint="default" w:ascii="Times New Roman" w:hAnsi="Times New Roman" w:eastAsia="仿宋" w:cs="Times New Roman"/>
          <w:sz w:val="24"/>
          <w:szCs w:val="22"/>
          <w:highlight w:val="none"/>
        </w:rPr>
        <w:t>中标人未按规定的时间、地点与采购人签订合同的；</w:t>
      </w:r>
    </w:p>
    <w:p w14:paraId="392EA58B">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5.3.5</w:t>
      </w:r>
      <w:r>
        <w:rPr>
          <w:rFonts w:hint="default" w:ascii="Times New Roman" w:hAnsi="Times New Roman" w:eastAsia="仿宋" w:cs="Times New Roman"/>
          <w:sz w:val="24"/>
          <w:szCs w:val="22"/>
          <w:highlight w:val="none"/>
        </w:rPr>
        <w:t>其他严重扰乱招投标程序的。</w:t>
      </w:r>
    </w:p>
    <w:p w14:paraId="0511BF47">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lang w:eastAsia="zh-CN"/>
        </w:rPr>
      </w:pPr>
      <w:bookmarkStart w:id="40" w:name="_Toc177825129"/>
      <w:bookmarkStart w:id="41" w:name="_Toc177824948"/>
      <w:bookmarkStart w:id="42" w:name="_Toc177824881"/>
      <w:bookmarkStart w:id="43" w:name="_Toc177870551"/>
      <w:r>
        <w:rPr>
          <w:rFonts w:hint="eastAsia" w:eastAsia="仿宋" w:cs="Times New Roman"/>
          <w:b/>
          <w:color w:val="000000"/>
          <w:sz w:val="28"/>
          <w:szCs w:val="28"/>
          <w:highlight w:val="none"/>
          <w:shd w:val="clear" w:color="auto" w:fill="FFFFFF"/>
          <w:lang w:val="en-US" w:eastAsia="zh-CN"/>
        </w:rPr>
        <w:t>6、</w:t>
      </w:r>
      <w:r>
        <w:rPr>
          <w:rFonts w:hint="default" w:ascii="Times New Roman" w:hAnsi="Times New Roman" w:eastAsia="仿宋" w:cs="Times New Roman"/>
          <w:b/>
          <w:color w:val="000000"/>
          <w:sz w:val="28"/>
          <w:szCs w:val="28"/>
          <w:highlight w:val="none"/>
          <w:shd w:val="clear" w:color="auto" w:fill="FFFFFF"/>
        </w:rPr>
        <w:t>竞争性磋商文件的</w:t>
      </w:r>
      <w:bookmarkEnd w:id="40"/>
      <w:bookmarkEnd w:id="41"/>
      <w:bookmarkEnd w:id="42"/>
      <w:bookmarkEnd w:id="43"/>
      <w:r>
        <w:rPr>
          <w:rFonts w:hint="default" w:ascii="Times New Roman" w:hAnsi="Times New Roman" w:eastAsia="仿宋" w:cs="Times New Roman"/>
          <w:b/>
          <w:color w:val="000000"/>
          <w:sz w:val="28"/>
          <w:szCs w:val="28"/>
          <w:highlight w:val="none"/>
          <w:shd w:val="clear" w:color="auto" w:fill="FFFFFF"/>
          <w:lang w:eastAsia="zh-CN"/>
        </w:rPr>
        <w:t>递交</w:t>
      </w:r>
    </w:p>
    <w:p w14:paraId="300117E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rPr>
        <w:t>1</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投标人应在投标人须知前附表规定的投标截止时间前递交投标文件。</w:t>
      </w:r>
    </w:p>
    <w:p w14:paraId="74AD6A6C">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2、</w:t>
      </w:r>
      <w:r>
        <w:rPr>
          <w:rFonts w:hint="default" w:ascii="Times New Roman" w:hAnsi="Times New Roman" w:eastAsia="仿宋" w:cs="Times New Roman"/>
          <w:sz w:val="24"/>
          <w:szCs w:val="22"/>
          <w:highlight w:val="none"/>
        </w:rPr>
        <w:t>投标人通过下载招标文件的</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递交</w:t>
      </w:r>
      <w:r>
        <w:rPr>
          <w:rFonts w:hint="default" w:ascii="Times New Roman" w:hAnsi="Times New Roman" w:eastAsia="仿宋" w:cs="Times New Roman"/>
          <w:sz w:val="24"/>
          <w:szCs w:val="22"/>
          <w:highlight w:val="none"/>
          <w:lang w:eastAsia="zh-CN"/>
        </w:rPr>
        <w:t>加密的</w:t>
      </w:r>
      <w:r>
        <w:rPr>
          <w:rFonts w:hint="default" w:ascii="Times New Roman" w:hAnsi="Times New Roman" w:eastAsia="仿宋" w:cs="Times New Roman"/>
          <w:sz w:val="24"/>
          <w:szCs w:val="22"/>
          <w:highlight w:val="none"/>
        </w:rPr>
        <w:t>电子投标文件。</w:t>
      </w:r>
    </w:p>
    <w:p w14:paraId="5EE30466">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除投标人须知前附表另有规定外，投标人所递交的投标文件不予退还。</w:t>
      </w:r>
    </w:p>
    <w:p w14:paraId="2984AEA5">
      <w:pPr>
        <w:keepNext w:val="0"/>
        <w:keepLines w:val="0"/>
        <w:pageBreakBefore w:val="0"/>
        <w:kinsoku/>
        <w:wordWrap/>
        <w:overflowPunct/>
        <w:topLinePunct w:val="0"/>
        <w:bidi w:val="0"/>
        <w:snapToGrid/>
        <w:spacing w:beforeAutospacing="0" w:afterAutospacing="0" w:line="360" w:lineRule="auto"/>
        <w:ind w:right="0" w:rightChars="0" w:firstLine="720" w:firstLineChars="3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6.</w:t>
      </w:r>
      <w:r>
        <w:rPr>
          <w:rFonts w:hint="default" w:ascii="Times New Roman" w:hAnsi="Times New Roman" w:eastAsia="仿宋" w:cs="Times New Roman"/>
          <w:sz w:val="24"/>
          <w:szCs w:val="22"/>
          <w:highlight w:val="none"/>
          <w:lang w:val="en-US" w:eastAsia="zh-CN"/>
        </w:rPr>
        <w:t>4、投标人应在“招标公告”或“投标人须知前附表”规定的投标截止时间前，通过政府采购云平台使用CA数字证书登录“政府采购云平台”，将加密的投标文件上传。投标人应充分考虑上传文件时的不可预见因素，未在投标截止时间前完成上传的，视为</w:t>
      </w:r>
      <w:r>
        <w:rPr>
          <w:rFonts w:hint="default" w:ascii="Times New Roman" w:hAnsi="Times New Roman" w:eastAsia="仿宋" w:cs="Times New Roman"/>
          <w:sz w:val="24"/>
          <w:szCs w:val="22"/>
          <w:highlight w:val="none"/>
        </w:rPr>
        <w:t>逾期送达，</w:t>
      </w:r>
      <w:r>
        <w:rPr>
          <w:rFonts w:hint="default" w:ascii="Times New Roman" w:hAnsi="Times New Roman" w:eastAsia="仿宋" w:cs="Times New Roman"/>
          <w:sz w:val="24"/>
          <w:szCs w:val="22"/>
          <w:highlight w:val="none"/>
          <w:lang w:val="en-US" w:eastAsia="zh-CN"/>
        </w:rPr>
        <w:t>政府采购云平台</w:t>
      </w:r>
      <w:r>
        <w:rPr>
          <w:rFonts w:hint="default" w:ascii="Times New Roman" w:hAnsi="Times New Roman" w:eastAsia="仿宋" w:cs="Times New Roman"/>
          <w:sz w:val="24"/>
          <w:szCs w:val="22"/>
          <w:highlight w:val="none"/>
        </w:rPr>
        <w:t>将予以拒收。</w:t>
      </w:r>
    </w:p>
    <w:p w14:paraId="6712A7E4">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eastAsia" w:eastAsia="仿宋" w:cs="Times New Roman"/>
          <w:b/>
          <w:color w:val="000000"/>
          <w:sz w:val="28"/>
          <w:szCs w:val="28"/>
          <w:highlight w:val="none"/>
          <w:shd w:val="clear" w:color="auto" w:fill="FFFFFF"/>
          <w:lang w:val="en-US" w:eastAsia="zh-CN"/>
        </w:rPr>
        <w:t>7、</w:t>
      </w:r>
      <w:r>
        <w:rPr>
          <w:rFonts w:hint="default" w:ascii="Times New Roman" w:hAnsi="Times New Roman" w:eastAsia="仿宋" w:cs="Times New Roman"/>
          <w:b/>
          <w:color w:val="000000"/>
          <w:sz w:val="28"/>
          <w:szCs w:val="28"/>
          <w:highlight w:val="none"/>
          <w:shd w:val="clear" w:color="auto" w:fill="FFFFFF"/>
        </w:rPr>
        <w:t>竞争性磋商文件的修改和撤回</w:t>
      </w:r>
    </w:p>
    <w:p w14:paraId="17BE2C83">
      <w:pPr>
        <w:spacing w:line="360" w:lineRule="auto"/>
        <w:ind w:firstLine="480" w:firstLineChars="200"/>
        <w:rPr>
          <w:rFonts w:hint="eastAsia" w:ascii="仿宋" w:hAnsi="仿宋" w:eastAsia="仿宋" w:cs="仿宋"/>
          <w:bCs/>
          <w:sz w:val="24"/>
          <w:highlight w:val="none"/>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en-US" w:eastAsia="zh-CN"/>
        </w:rPr>
        <w:t>1</w:t>
      </w:r>
      <w:bookmarkStart w:id="44" w:name="_Toc177870552"/>
      <w:r>
        <w:rPr>
          <w:rFonts w:hint="default" w:ascii="Times New Roman" w:hAnsi="Times New Roman" w:eastAsia="仿宋" w:cs="Times New Roman"/>
          <w:sz w:val="24"/>
          <w:szCs w:val="22"/>
          <w:highlight w:val="none"/>
          <w:lang w:val="en-US" w:eastAsia="zh-CN"/>
        </w:rPr>
        <w:t>、</w:t>
      </w:r>
      <w:r>
        <w:rPr>
          <w:rFonts w:hint="eastAsia" w:ascii="仿宋" w:hAnsi="仿宋" w:eastAsia="仿宋" w:cs="仿宋"/>
          <w:bCs/>
          <w:sz w:val="24"/>
          <w:highlight w:val="none"/>
          <w:lang w:val="en-US" w:eastAsia="zh-CN"/>
        </w:rPr>
        <w:t>采购人或者采购代理机构可以对已发出的磋商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98A3AB0">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7.2 为使投标人在准备投标时有适当的时间考虑投标文件的修改，招标方有权决定推迟投标截止日期和开标日期，并将此变更以书面或公告等形式通知所有投标人。</w:t>
      </w:r>
    </w:p>
    <w:p w14:paraId="34CDD9B6">
      <w:pPr>
        <w:spacing w:line="360" w:lineRule="auto"/>
        <w:ind w:firstLine="480" w:firstLineChars="200"/>
        <w:rPr>
          <w:rFonts w:hint="default" w:ascii="Times New Roman" w:hAnsi="Times New Roman" w:eastAsia="仿宋" w:cs="Times New Roman"/>
          <w:sz w:val="24"/>
          <w:szCs w:val="22"/>
          <w:highlight w:val="none"/>
          <w:lang w:val="en-US" w:eastAsia="zh-CN"/>
        </w:rPr>
      </w:pPr>
      <w:r>
        <w:rPr>
          <w:rFonts w:hint="eastAsia" w:ascii="仿宋" w:hAnsi="仿宋" w:eastAsia="仿宋" w:cs="仿宋"/>
          <w:bCs/>
          <w:sz w:val="24"/>
        </w:rPr>
        <w:t>7.3 招标文件的修改和补充文件将构成招标文件的一部分，并且对投标人具有优先约束力。</w:t>
      </w:r>
    </w:p>
    <w:p w14:paraId="177F2D10">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7.4</w:t>
      </w:r>
      <w:r>
        <w:rPr>
          <w:rFonts w:hint="default" w:ascii="Times New Roman" w:hAnsi="Times New Roman" w:eastAsia="仿宋" w:cs="Times New Roman"/>
          <w:sz w:val="24"/>
          <w:szCs w:val="22"/>
          <w:highlight w:val="none"/>
          <w:lang w:val="en-US" w:eastAsia="zh-CN"/>
        </w:rPr>
        <w:t>投标人在投标截止时间之前，可以对已提交的竞争性磋商文件进行修改或撤回，并书面通知采购人及招标代理机构。投标截止时间后，投标人不得撤回、修改竞争性磋商文件。</w:t>
      </w:r>
    </w:p>
    <w:p w14:paraId="02F97C7F">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7.5</w:t>
      </w:r>
      <w:r>
        <w:rPr>
          <w:rFonts w:hint="default" w:ascii="Times New Roman" w:hAnsi="Times New Roman" w:eastAsia="仿宋" w:cs="Times New Roman"/>
          <w:sz w:val="24"/>
          <w:szCs w:val="22"/>
          <w:highlight w:val="none"/>
          <w:lang w:val="en-US" w:eastAsia="zh-CN"/>
        </w:rPr>
        <w:t>、投标人撤回已递交的电子投标文件，需要使用本单位 CA 锁在政府采购云平台撤回投标文件。</w:t>
      </w:r>
    </w:p>
    <w:p w14:paraId="4BB8EEC8">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7.6</w:t>
      </w:r>
      <w:r>
        <w:rPr>
          <w:rFonts w:hint="default" w:ascii="Times New Roman" w:hAnsi="Times New Roman" w:eastAsia="仿宋" w:cs="Times New Roman"/>
          <w:sz w:val="24"/>
          <w:szCs w:val="22"/>
          <w:highlight w:val="none"/>
          <w:lang w:val="en-US" w:eastAsia="zh-CN"/>
        </w:rPr>
        <w:t>、投标人撤回投标文件的，招标人自收到投标人书面撤回通知之日起 5 日内退还已收取的投标保证金。</w:t>
      </w:r>
    </w:p>
    <w:p w14:paraId="6708190E">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lang w:val="en-US" w:eastAsia="zh-CN"/>
        </w:rPr>
      </w:pPr>
      <w:r>
        <w:rPr>
          <w:rFonts w:hint="eastAsia" w:eastAsia="仿宋" w:cs="Times New Roman"/>
          <w:sz w:val="24"/>
          <w:szCs w:val="22"/>
          <w:highlight w:val="none"/>
          <w:lang w:val="en-US" w:eastAsia="zh-CN"/>
        </w:rPr>
        <w:t>7.7</w:t>
      </w:r>
      <w:r>
        <w:rPr>
          <w:rFonts w:hint="default" w:ascii="Times New Roman" w:hAnsi="Times New Roman" w:eastAsia="仿宋" w:cs="Times New Roman"/>
          <w:sz w:val="24"/>
          <w:szCs w:val="22"/>
          <w:highlight w:val="none"/>
          <w:lang w:val="en-US" w:eastAsia="zh-CN"/>
        </w:rPr>
        <w:t>、修改的内容为投标文件的组成部分。修改的投标文件应按照本章第二部分第二（六）（七）条的规定进行编制、加密和递交。</w:t>
      </w:r>
    </w:p>
    <w:p w14:paraId="0B04C632">
      <w:pPr>
        <w:keepNext w:val="0"/>
        <w:keepLines w:val="0"/>
        <w:pageBreakBefore w:val="0"/>
        <w:kinsoku/>
        <w:wordWrap/>
        <w:overflowPunct/>
        <w:topLinePunct w:val="0"/>
        <w:bidi w:val="0"/>
        <w:snapToGrid/>
        <w:spacing w:beforeAutospacing="0" w:afterAutospacing="0" w:line="360" w:lineRule="auto"/>
        <w:ind w:right="0" w:rightChars="0" w:firstLine="480" w:firstLineChars="20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7.8、</w:t>
      </w:r>
      <w:r>
        <w:rPr>
          <w:rFonts w:hint="default" w:ascii="Times New Roman" w:hAnsi="Times New Roman" w:eastAsia="仿宋" w:cs="Times New Roman"/>
          <w:sz w:val="24"/>
          <w:szCs w:val="22"/>
          <w:highlight w:val="none"/>
          <w:lang w:val="en-US" w:eastAsia="zh-CN"/>
        </w:rPr>
        <w:t>任何不完整或不满足招标书要求的竞争性磋商文件将被拒绝。</w:t>
      </w:r>
    </w:p>
    <w:p w14:paraId="6CC01C22">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val="en-US" w:eastAsia="zh-CN"/>
        </w:rPr>
        <w:t>8、</w:t>
      </w:r>
      <w:r>
        <w:rPr>
          <w:rFonts w:hint="default" w:ascii="Times New Roman" w:hAnsi="Times New Roman" w:eastAsia="仿宋" w:cs="Times New Roman"/>
          <w:b/>
          <w:color w:val="000000"/>
          <w:sz w:val="28"/>
          <w:szCs w:val="28"/>
          <w:shd w:val="clear" w:color="auto" w:fill="FFFFFF"/>
        </w:rPr>
        <w:t>投标无效的情形</w:t>
      </w:r>
      <w:bookmarkEnd w:id="44"/>
    </w:p>
    <w:p w14:paraId="77EFCB8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1、实质上没有响应竞争性磋商文件要求的投标将被视为无效投标。投标人不得通过修正或撤消不合要求的偏离或保留从而使其投标成为实质上响应的投标。</w:t>
      </w:r>
    </w:p>
    <w:p w14:paraId="251F64A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rPr>
        <w:t>2</w:t>
      </w:r>
      <w:r>
        <w:rPr>
          <w:rFonts w:hint="default" w:ascii="Times New Roman" w:hAnsi="Times New Roman" w:eastAsia="仿宋" w:cs="Times New Roman"/>
          <w:sz w:val="24"/>
          <w:szCs w:val="22"/>
          <w:highlight w:val="none"/>
          <w:lang w:eastAsia="zh-CN"/>
        </w:rPr>
        <w:t>、</w:t>
      </w:r>
      <w:r>
        <w:rPr>
          <w:rFonts w:hint="default" w:ascii="Times New Roman" w:hAnsi="Times New Roman" w:eastAsia="仿宋" w:cs="Times New Roman"/>
          <w:sz w:val="24"/>
          <w:szCs w:val="22"/>
          <w:highlight w:val="none"/>
        </w:rPr>
        <w:t>在商务评议时，如发现下列情形之一的，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6BE279F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8.2.1</w:t>
      </w:r>
      <w:r>
        <w:rPr>
          <w:rFonts w:hint="default" w:ascii="Times New Roman" w:hAnsi="Times New Roman" w:eastAsia="仿宋" w:cs="Times New Roman"/>
          <w:sz w:val="24"/>
          <w:szCs w:val="22"/>
          <w:highlight w:val="none"/>
        </w:rPr>
        <w:t>未按规定交纳投标保证金或投标单位没有提交投标保证金缴存证明</w:t>
      </w:r>
      <w:r>
        <w:rPr>
          <w:rFonts w:hint="default" w:ascii="Times New Roman" w:hAnsi="Times New Roman" w:eastAsia="仿宋" w:cs="Times New Roman"/>
          <w:sz w:val="24"/>
          <w:szCs w:val="22"/>
          <w:highlight w:val="none"/>
          <w:lang w:eastAsia="zh-CN"/>
        </w:rPr>
        <w:t>原件</w:t>
      </w:r>
      <w:r>
        <w:rPr>
          <w:rFonts w:hint="default" w:ascii="Times New Roman" w:hAnsi="Times New Roman" w:eastAsia="仿宋" w:cs="Times New Roman"/>
          <w:sz w:val="24"/>
          <w:szCs w:val="22"/>
          <w:highlight w:val="none"/>
        </w:rPr>
        <w:t>；</w:t>
      </w:r>
    </w:p>
    <w:p w14:paraId="3C33CC4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8.2.2</w:t>
      </w:r>
      <w:r>
        <w:rPr>
          <w:rFonts w:hint="default" w:ascii="Times New Roman" w:hAnsi="Times New Roman" w:eastAsia="仿宋" w:cs="Times New Roman"/>
          <w:sz w:val="24"/>
          <w:szCs w:val="22"/>
          <w:highlight w:val="none"/>
        </w:rPr>
        <w:t>竞争性磋商文件超过投标截止时间</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的或未按规定地点</w:t>
      </w:r>
      <w:r>
        <w:rPr>
          <w:rFonts w:hint="default" w:ascii="Times New Roman" w:hAnsi="Times New Roman" w:eastAsia="仿宋" w:cs="Times New Roman"/>
          <w:sz w:val="24"/>
          <w:szCs w:val="22"/>
          <w:highlight w:val="none"/>
          <w:lang w:eastAsia="zh-CN"/>
        </w:rPr>
        <w:t>上传</w:t>
      </w:r>
      <w:r>
        <w:rPr>
          <w:rFonts w:hint="default" w:ascii="Times New Roman" w:hAnsi="Times New Roman" w:eastAsia="仿宋" w:cs="Times New Roman"/>
          <w:sz w:val="24"/>
          <w:szCs w:val="22"/>
          <w:highlight w:val="none"/>
        </w:rPr>
        <w:t>的；</w:t>
      </w:r>
    </w:p>
    <w:p w14:paraId="19364A7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8.2.3</w:t>
      </w:r>
      <w:r>
        <w:rPr>
          <w:rFonts w:hint="default" w:ascii="Times New Roman" w:hAnsi="Times New Roman" w:eastAsia="仿宋" w:cs="Times New Roman"/>
          <w:sz w:val="24"/>
          <w:szCs w:val="22"/>
          <w:highlight w:val="none"/>
        </w:rPr>
        <w:t>未按规定</w:t>
      </w:r>
      <w:r>
        <w:rPr>
          <w:rFonts w:hint="default" w:ascii="Times New Roman" w:hAnsi="Times New Roman" w:eastAsia="仿宋" w:cs="Times New Roman"/>
          <w:sz w:val="24"/>
          <w:szCs w:val="22"/>
          <w:highlight w:val="none"/>
          <w:lang w:eastAsia="zh-CN"/>
        </w:rPr>
        <w:t>加密</w:t>
      </w:r>
      <w:r>
        <w:rPr>
          <w:rFonts w:hint="default" w:ascii="Times New Roman" w:hAnsi="Times New Roman" w:eastAsia="仿宋" w:cs="Times New Roman"/>
          <w:sz w:val="24"/>
          <w:szCs w:val="22"/>
          <w:highlight w:val="none"/>
        </w:rPr>
        <w:t>、签章、</w:t>
      </w:r>
      <w:r>
        <w:rPr>
          <w:rFonts w:hint="default" w:ascii="Times New Roman" w:hAnsi="Times New Roman" w:eastAsia="仿宋" w:cs="Times New Roman"/>
          <w:sz w:val="24"/>
          <w:szCs w:val="22"/>
          <w:highlight w:val="none"/>
          <w:lang w:eastAsia="zh-CN"/>
        </w:rPr>
        <w:t>编制</w:t>
      </w:r>
      <w:r>
        <w:rPr>
          <w:rFonts w:hint="default" w:ascii="Times New Roman" w:hAnsi="Times New Roman" w:eastAsia="仿宋" w:cs="Times New Roman"/>
          <w:sz w:val="24"/>
          <w:szCs w:val="22"/>
          <w:highlight w:val="none"/>
        </w:rPr>
        <w:t>的；</w:t>
      </w:r>
    </w:p>
    <w:p w14:paraId="37EB1127">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8.2.4</w:t>
      </w:r>
      <w:r>
        <w:rPr>
          <w:rFonts w:hint="default" w:ascii="Times New Roman" w:hAnsi="Times New Roman" w:eastAsia="仿宋" w:cs="Times New Roman"/>
          <w:sz w:val="24"/>
          <w:szCs w:val="22"/>
          <w:highlight w:val="none"/>
        </w:rPr>
        <w:t>超出经营范围投标的；</w:t>
      </w:r>
    </w:p>
    <w:p w14:paraId="37ACAC13">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8.2.5</w:t>
      </w:r>
      <w:r>
        <w:rPr>
          <w:rFonts w:hint="default" w:ascii="Times New Roman" w:hAnsi="Times New Roman" w:eastAsia="仿宋" w:cs="Times New Roman"/>
          <w:sz w:val="24"/>
          <w:szCs w:val="22"/>
          <w:highlight w:val="none"/>
        </w:rPr>
        <w:t>资格证明文件不全的，或者不符合竞争性磋商文件标明的资格要求的；</w:t>
      </w:r>
    </w:p>
    <w:p w14:paraId="67A53BFC">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8.2.6</w:t>
      </w:r>
      <w:r>
        <w:rPr>
          <w:rFonts w:hint="default" w:ascii="Times New Roman" w:hAnsi="Times New Roman" w:eastAsia="仿宋" w:cs="Times New Roman"/>
          <w:sz w:val="24"/>
          <w:szCs w:val="22"/>
          <w:highlight w:val="none"/>
        </w:rPr>
        <w:t>竞争性磋商文件无法定代表人或委托代理人签字,委托代理的未提供法定代表人授权委托书或者委托书填写项目不齐全或者委托书无效的；</w:t>
      </w:r>
    </w:p>
    <w:p w14:paraId="3DBFA53E">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8.2.7</w:t>
      </w:r>
      <w:r>
        <w:rPr>
          <w:rFonts w:hint="default" w:ascii="Times New Roman" w:hAnsi="Times New Roman" w:eastAsia="仿宋" w:cs="Times New Roman"/>
          <w:sz w:val="24"/>
          <w:szCs w:val="22"/>
          <w:highlight w:val="none"/>
        </w:rPr>
        <w:t>投标代表人未能出具身份证明或与法定代表人授权委托人身份不符的；</w:t>
      </w:r>
    </w:p>
    <w:p w14:paraId="046820C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8.2.8</w:t>
      </w:r>
      <w:r>
        <w:rPr>
          <w:rFonts w:hint="default" w:ascii="Times New Roman" w:hAnsi="Times New Roman" w:eastAsia="仿宋" w:cs="Times New Roman"/>
          <w:sz w:val="24"/>
          <w:szCs w:val="22"/>
          <w:highlight w:val="none"/>
        </w:rPr>
        <w:t>投标有效期、质保期不能满足竞争性磋商文件要求的；</w:t>
      </w:r>
    </w:p>
    <w:p w14:paraId="274CBCAA">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cs="Times New Roman"/>
        </w:rPr>
      </w:pPr>
      <w:r>
        <w:rPr>
          <w:rFonts w:hint="eastAsia" w:eastAsia="仿宋" w:cs="Times New Roman"/>
          <w:sz w:val="24"/>
          <w:szCs w:val="22"/>
          <w:highlight w:val="none"/>
          <w:lang w:val="en-US" w:eastAsia="zh-CN"/>
        </w:rPr>
        <w:t>8.2.9</w:t>
      </w:r>
      <w:r>
        <w:rPr>
          <w:rFonts w:hint="default" w:ascii="Times New Roman" w:hAnsi="Times New Roman" w:eastAsia="仿宋" w:cs="Times New Roman"/>
          <w:sz w:val="24"/>
          <w:szCs w:val="22"/>
          <w:highlight w:val="none"/>
        </w:rPr>
        <w:t>未实质性响应竞争性磋商文件要求或者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有招标方不能接受的附加条件的。</w:t>
      </w:r>
    </w:p>
    <w:p w14:paraId="7C1DD7E1">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3、</w:t>
      </w:r>
      <w:r>
        <w:rPr>
          <w:rFonts w:hint="default" w:ascii="Times New Roman" w:hAnsi="Times New Roman" w:eastAsia="仿宋" w:cs="Times New Roman"/>
          <w:sz w:val="24"/>
          <w:szCs w:val="22"/>
          <w:highlight w:val="none"/>
        </w:rPr>
        <w:t>在技术评议时，如发现下列情形之一的，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658146A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8.3.1</w:t>
      </w:r>
      <w:r>
        <w:rPr>
          <w:rFonts w:hint="default" w:ascii="Times New Roman" w:hAnsi="Times New Roman" w:eastAsia="仿宋" w:cs="Times New Roman"/>
          <w:sz w:val="24"/>
          <w:szCs w:val="22"/>
          <w:highlight w:val="none"/>
        </w:rPr>
        <w:t>未提供或未如实提供投标</w:t>
      </w:r>
      <w:r>
        <w:rPr>
          <w:rFonts w:hint="eastAsia" w:eastAsia="仿宋" w:cs="Times New Roman"/>
          <w:sz w:val="24"/>
          <w:szCs w:val="22"/>
          <w:highlight w:val="none"/>
          <w:lang w:eastAsia="zh-CN"/>
        </w:rPr>
        <w:t>服务</w:t>
      </w:r>
      <w:r>
        <w:rPr>
          <w:rFonts w:hint="default" w:ascii="Times New Roman" w:hAnsi="Times New Roman" w:eastAsia="仿宋" w:cs="Times New Roman"/>
          <w:sz w:val="24"/>
          <w:szCs w:val="22"/>
          <w:highlight w:val="none"/>
        </w:rPr>
        <w:t>的</w:t>
      </w:r>
      <w:r>
        <w:rPr>
          <w:rFonts w:hint="eastAsia" w:eastAsia="仿宋" w:cs="Times New Roman"/>
          <w:sz w:val="24"/>
          <w:szCs w:val="22"/>
          <w:highlight w:val="none"/>
          <w:lang w:eastAsia="zh-CN"/>
        </w:rPr>
        <w:t>实际需求</w:t>
      </w:r>
      <w:r>
        <w:rPr>
          <w:rFonts w:hint="default" w:ascii="Times New Roman" w:hAnsi="Times New Roman" w:eastAsia="仿宋" w:cs="Times New Roman"/>
          <w:sz w:val="24"/>
          <w:szCs w:val="22"/>
          <w:highlight w:val="none"/>
        </w:rPr>
        <w:t>，或者</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标明的响应或偏离与事实不符或虚假投标的；</w:t>
      </w:r>
    </w:p>
    <w:p w14:paraId="1BF789ED">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8.3.2</w:t>
      </w:r>
      <w:r>
        <w:rPr>
          <w:rFonts w:hint="default" w:ascii="Times New Roman" w:hAnsi="Times New Roman" w:eastAsia="仿宋" w:cs="Times New Roman"/>
          <w:sz w:val="24"/>
          <w:szCs w:val="22"/>
          <w:highlight w:val="none"/>
        </w:rPr>
        <w:t>投标技术方案不明确，存在一个或一个以上备选（替代）投标方案且未注明哪个有效的。</w:t>
      </w:r>
    </w:p>
    <w:p w14:paraId="5183C35F">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4、</w:t>
      </w:r>
      <w:r>
        <w:rPr>
          <w:rFonts w:hint="default" w:ascii="Times New Roman" w:hAnsi="Times New Roman" w:eastAsia="仿宋" w:cs="Times New Roman"/>
          <w:sz w:val="24"/>
          <w:szCs w:val="22"/>
          <w:highlight w:val="none"/>
        </w:rPr>
        <w:t>在报价评议时，如发现下列情形之一的，</w:t>
      </w:r>
      <w:r>
        <w:rPr>
          <w:rFonts w:hint="default" w:ascii="Times New Roman" w:hAnsi="Times New Roman" w:eastAsia="仿宋" w:cs="Times New Roman"/>
          <w:sz w:val="24"/>
          <w:szCs w:val="22"/>
          <w:highlight w:val="none"/>
          <w:lang w:eastAsia="zh-CN"/>
        </w:rPr>
        <w:t>竞争性磋商文件</w:t>
      </w:r>
      <w:r>
        <w:rPr>
          <w:rFonts w:hint="default" w:ascii="Times New Roman" w:hAnsi="Times New Roman" w:eastAsia="仿宋" w:cs="Times New Roman"/>
          <w:sz w:val="24"/>
          <w:szCs w:val="22"/>
          <w:highlight w:val="none"/>
        </w:rPr>
        <w:t>将被视为无效投标：</w:t>
      </w:r>
    </w:p>
    <w:p w14:paraId="20581106">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8.4.1</w:t>
      </w:r>
      <w:r>
        <w:rPr>
          <w:rFonts w:hint="default" w:ascii="Times New Roman" w:hAnsi="Times New Roman" w:eastAsia="仿宋" w:cs="Times New Roman"/>
          <w:sz w:val="24"/>
          <w:szCs w:val="22"/>
          <w:highlight w:val="none"/>
        </w:rPr>
        <w:t>未采用人民币报价或者未按照竞争性磋商文件标明的币种报价的；</w:t>
      </w:r>
    </w:p>
    <w:p w14:paraId="4E191448">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sz w:val="24"/>
          <w:szCs w:val="22"/>
          <w:highlight w:val="none"/>
          <w:lang w:val="en-US" w:eastAsia="zh-CN"/>
        </w:rPr>
        <w:t>8.4.2</w:t>
      </w:r>
      <w:r>
        <w:rPr>
          <w:rFonts w:hint="default" w:ascii="Times New Roman" w:hAnsi="Times New Roman" w:eastAsia="仿宋" w:cs="Times New Roman"/>
          <w:sz w:val="24"/>
          <w:szCs w:val="22"/>
          <w:highlight w:val="none"/>
        </w:rPr>
        <w:t>投标商报价明显高于市场平均价的；</w:t>
      </w:r>
    </w:p>
    <w:p w14:paraId="47BE5174">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sz w:val="24"/>
          <w:szCs w:val="22"/>
          <w:highlight w:val="none"/>
        </w:rPr>
        <w:t>★</w:t>
      </w:r>
      <w:r>
        <w:rPr>
          <w:rFonts w:hint="eastAsia" w:eastAsia="仿宋" w:cs="Times New Roman"/>
          <w:sz w:val="24"/>
          <w:szCs w:val="22"/>
          <w:highlight w:val="none"/>
          <w:lang w:val="en-US" w:eastAsia="zh-CN"/>
        </w:rPr>
        <w:t>8.</w:t>
      </w:r>
      <w:r>
        <w:rPr>
          <w:rFonts w:hint="default" w:ascii="Times New Roman" w:hAnsi="Times New Roman" w:eastAsia="仿宋" w:cs="Times New Roman"/>
          <w:sz w:val="24"/>
          <w:szCs w:val="22"/>
          <w:highlight w:val="none"/>
          <w:lang w:val="en-US" w:eastAsia="zh-CN"/>
        </w:rPr>
        <w:t>5、</w:t>
      </w:r>
      <w:r>
        <w:rPr>
          <w:rFonts w:hint="default" w:ascii="Times New Roman" w:hAnsi="Times New Roman" w:eastAsia="仿宋" w:cs="Times New Roman"/>
          <w:sz w:val="24"/>
          <w:szCs w:val="22"/>
          <w:highlight w:val="none"/>
        </w:rPr>
        <w:t>符合竞争性磋商文件明确规定的其他无效投标条款的。</w:t>
      </w:r>
      <w:bookmarkStart w:id="45" w:name="_Toc177870553"/>
    </w:p>
    <w:p w14:paraId="0636E6E2">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p>
    <w:p w14:paraId="35960769">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四、开标</w:t>
      </w:r>
      <w:bookmarkEnd w:id="45"/>
    </w:p>
    <w:p w14:paraId="006D1642">
      <w:pPr>
        <w:spacing w:line="360" w:lineRule="auto"/>
        <w:ind w:firstLine="562" w:firstLineChars="200"/>
        <w:rPr>
          <w:rFonts w:hint="default" w:ascii="Times New Roman" w:hAnsi="Times New Roman" w:eastAsia="仿宋" w:cs="Times New Roman"/>
          <w:b/>
          <w:color w:val="000000"/>
          <w:sz w:val="28"/>
          <w:szCs w:val="28"/>
          <w:shd w:val="clear" w:color="auto" w:fill="FFFFFF"/>
        </w:rPr>
      </w:pPr>
      <w:bookmarkStart w:id="46" w:name="_Toc177870554"/>
      <w:r>
        <w:rPr>
          <w:rFonts w:hint="eastAsia" w:eastAsia="仿宋" w:cs="Times New Roman"/>
          <w:b/>
          <w:color w:val="000000"/>
          <w:sz w:val="28"/>
          <w:szCs w:val="28"/>
          <w:shd w:val="clear" w:color="auto" w:fill="FFFFFF"/>
          <w:lang w:eastAsia="zh-CN"/>
        </w:rPr>
        <w:t>（一）</w:t>
      </w:r>
      <w:r>
        <w:rPr>
          <w:rFonts w:hint="default" w:ascii="Times New Roman" w:hAnsi="Times New Roman" w:eastAsia="仿宋" w:cs="Times New Roman"/>
          <w:b/>
          <w:color w:val="000000"/>
          <w:sz w:val="28"/>
          <w:szCs w:val="28"/>
          <w:shd w:val="clear" w:color="auto" w:fill="FFFFFF"/>
        </w:rPr>
        <w:t>开标准备</w:t>
      </w:r>
    </w:p>
    <w:p w14:paraId="29147E5A">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bCs/>
          <w:color w:val="auto"/>
          <w:sz w:val="24"/>
          <w:lang w:val="en-US" w:eastAsia="zh-CN"/>
        </w:rPr>
        <w:t>1、</w:t>
      </w:r>
      <w:r>
        <w:rPr>
          <w:rFonts w:hint="default" w:ascii="Times New Roman" w:hAnsi="Times New Roman" w:eastAsia="仿宋" w:cs="Times New Roman"/>
          <w:bCs/>
          <w:color w:val="auto"/>
          <w:sz w:val="24"/>
        </w:rPr>
        <w:t>本次招标按招标文件的规定的时间和地点进行公开开标</w:t>
      </w:r>
      <w:r>
        <w:rPr>
          <w:rFonts w:hint="default" w:ascii="Times New Roman" w:hAnsi="Times New Roman" w:eastAsia="仿宋" w:cs="Times New Roman"/>
          <w:bCs/>
          <w:color w:val="auto"/>
          <w:sz w:val="24"/>
          <w:highlight w:val="none"/>
        </w:rPr>
        <w:t>，投标人</w:t>
      </w:r>
      <w:r>
        <w:rPr>
          <w:rFonts w:hint="default" w:ascii="Times New Roman" w:hAnsi="Times New Roman" w:eastAsia="仿宋" w:cs="Times New Roman"/>
          <w:bCs/>
          <w:color w:val="auto"/>
          <w:sz w:val="24"/>
          <w:highlight w:val="none"/>
          <w:lang w:eastAsia="zh-CN"/>
        </w:rPr>
        <w:t>无需到场</w:t>
      </w:r>
      <w:r>
        <w:rPr>
          <w:rFonts w:hint="default" w:ascii="Times New Roman" w:hAnsi="Times New Roman" w:eastAsia="仿宋" w:cs="Times New Roman"/>
          <w:bCs/>
          <w:color w:val="auto"/>
          <w:sz w:val="24"/>
          <w:highlight w:val="none"/>
        </w:rPr>
        <w:t>。</w:t>
      </w:r>
    </w:p>
    <w:p w14:paraId="3BF9ACFD">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zh-CN"/>
        </w:rPr>
        <w:t>为了体现投标人的合法权益，和确保评标工作的公平、公正，投标人如果认为参加评标的评标委员会成员及其他与会人员与其他投标供应商有利害关系的，有权在开标现场以举手示意的方式向招标方申请其回避。如现场不提请招标方申请其回避的，则视同无利害关系。</w:t>
      </w:r>
    </w:p>
    <w:p w14:paraId="779E6AAD">
      <w:pPr>
        <w:autoSpaceDE w:val="0"/>
        <w:autoSpaceDN w:val="0"/>
        <w:adjustRightInd w:val="0"/>
        <w:spacing w:line="360" w:lineRule="auto"/>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zh-CN"/>
        </w:rPr>
        <w:t>按照上述会议通过事项，所有参加投标的供应商如事后发生上述原因的质疑或投诉事项，</w:t>
      </w:r>
      <w:r>
        <w:rPr>
          <w:rFonts w:hint="eastAsia" w:eastAsia="仿宋" w:cs="Times New Roman"/>
          <w:color w:val="auto"/>
          <w:sz w:val="24"/>
          <w:lang w:val="zh-CN"/>
        </w:rPr>
        <w:t>巴州聚诚项目管理有限责任公司</w:t>
      </w:r>
      <w:r>
        <w:rPr>
          <w:rFonts w:hint="default" w:ascii="Times New Roman" w:hAnsi="Times New Roman" w:eastAsia="仿宋" w:cs="Times New Roman"/>
          <w:color w:val="auto"/>
          <w:sz w:val="24"/>
          <w:lang w:val="zh-CN"/>
        </w:rPr>
        <w:t>将不予采信。</w:t>
      </w:r>
    </w:p>
    <w:p w14:paraId="58423442">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eastAsia="zh-CN"/>
        </w:rPr>
        <w:t>（二）</w:t>
      </w:r>
      <w:r>
        <w:rPr>
          <w:rFonts w:hint="default" w:ascii="Times New Roman" w:hAnsi="Times New Roman" w:eastAsia="仿宋" w:cs="Times New Roman"/>
          <w:b/>
          <w:color w:val="000000"/>
          <w:sz w:val="28"/>
          <w:szCs w:val="28"/>
          <w:shd w:val="clear" w:color="auto" w:fill="FFFFFF"/>
        </w:rPr>
        <w:t>投标登记确认的审查</w:t>
      </w:r>
    </w:p>
    <w:p w14:paraId="17D1DD72">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sz w:val="24"/>
          <w:szCs w:val="22"/>
          <w:highlight w:val="none"/>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由招标方以书面方式，对按招标文件规定的开标时间准时参加的供应商的投标登记确认情况，进行现场审查通报。凡按规定时间前进行了投标登记确认的，其投标被接受。否则，其投</w:t>
      </w:r>
      <w:r>
        <w:rPr>
          <w:rFonts w:hint="default" w:ascii="Times New Roman" w:hAnsi="Times New Roman" w:eastAsia="仿宋" w:cs="Times New Roman"/>
          <w:sz w:val="24"/>
          <w:szCs w:val="22"/>
          <w:highlight w:val="none"/>
        </w:rPr>
        <w:t>标将直接被拒绝。</w:t>
      </w:r>
    </w:p>
    <w:p w14:paraId="6AD96B89">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color w:val="auto"/>
          <w:sz w:val="24"/>
          <w:szCs w:val="24"/>
          <w:highlight w:val="none"/>
          <w:lang w:val="zh-CN" w:eastAsia="zh-CN"/>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通报后，在招标文件及程序符合法律规定的前提下，对招标文件做出实质性响应的供应商不足三家时，招标方应中止</w:t>
      </w:r>
      <w:r>
        <w:rPr>
          <w:rFonts w:hint="eastAsia" w:eastAsia="仿宋" w:cs="Times New Roman"/>
          <w:color w:val="auto"/>
          <w:sz w:val="24"/>
          <w:szCs w:val="24"/>
          <w:highlight w:val="none"/>
          <w:lang w:eastAsia="zh-CN"/>
        </w:rPr>
        <w:t>招标</w:t>
      </w:r>
      <w:r>
        <w:rPr>
          <w:rFonts w:hint="default" w:ascii="Times New Roman" w:hAnsi="Times New Roman" w:eastAsia="仿宋" w:cs="Times New Roman"/>
          <w:color w:val="auto"/>
          <w:sz w:val="24"/>
          <w:szCs w:val="24"/>
          <w:highlight w:val="none"/>
        </w:rPr>
        <w:t>，重新组织采购</w:t>
      </w:r>
      <w:r>
        <w:rPr>
          <w:rFonts w:hint="default" w:ascii="Times New Roman" w:hAnsi="Times New Roman" w:eastAsia="仿宋" w:cs="Times New Roman"/>
          <w:color w:val="auto"/>
          <w:sz w:val="24"/>
          <w:szCs w:val="24"/>
          <w:highlight w:val="none"/>
          <w:lang w:eastAsia="zh-CN"/>
        </w:rPr>
        <w:t>。</w:t>
      </w:r>
    </w:p>
    <w:p w14:paraId="31378CCD">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eastAsia="zh-CN"/>
        </w:rPr>
        <w:t>（三）</w:t>
      </w:r>
      <w:r>
        <w:rPr>
          <w:rFonts w:hint="default" w:ascii="Times New Roman" w:hAnsi="Times New Roman" w:eastAsia="仿宋" w:cs="Times New Roman"/>
          <w:b/>
          <w:color w:val="000000"/>
          <w:sz w:val="28"/>
          <w:szCs w:val="28"/>
          <w:shd w:val="clear" w:color="auto" w:fill="FFFFFF"/>
        </w:rPr>
        <w:t>投标供应商资格资质审查</w:t>
      </w:r>
    </w:p>
    <w:p w14:paraId="27F1ECED">
      <w:pPr>
        <w:spacing w:line="360" w:lineRule="auto"/>
        <w:ind w:firstLine="470" w:firstLineChars="196"/>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各投标供应商的资格资质审查，现场不接受二次提供涉及的投标资料</w:t>
      </w:r>
      <w:r>
        <w:rPr>
          <w:rFonts w:hint="default" w:ascii="Times New Roman" w:hAnsi="Times New Roman" w:eastAsia="仿宋" w:cs="Times New Roman"/>
          <w:color w:val="auto"/>
          <w:sz w:val="24"/>
          <w:szCs w:val="24"/>
          <w:highlight w:val="none"/>
        </w:rPr>
        <w:t>。</w:t>
      </w:r>
    </w:p>
    <w:p w14:paraId="222862DD">
      <w:pPr>
        <w:spacing w:line="360" w:lineRule="auto"/>
        <w:ind w:firstLine="480" w:firstLineChars="200"/>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依据招标文件规定，对</w:t>
      </w:r>
      <w:r>
        <w:rPr>
          <w:rFonts w:hint="default" w:ascii="Times New Roman" w:hAnsi="Times New Roman" w:eastAsia="仿宋" w:cs="Times New Roman"/>
          <w:color w:val="auto"/>
          <w:sz w:val="24"/>
          <w:szCs w:val="24"/>
          <w:highlight w:val="none"/>
          <w:lang w:eastAsia="zh-CN"/>
        </w:rPr>
        <w:t>磋商供应商提交的响应文件</w:t>
      </w:r>
      <w:r>
        <w:rPr>
          <w:rFonts w:hint="default" w:ascii="Times New Roman" w:hAnsi="Times New Roman" w:eastAsia="仿宋" w:cs="Times New Roman"/>
          <w:color w:val="auto"/>
          <w:sz w:val="24"/>
          <w:szCs w:val="24"/>
          <w:highlight w:val="none"/>
        </w:rPr>
        <w:t>相关资质资格等证照和投保保证金缴纳情况，完整性、时效性</w:t>
      </w:r>
      <w:r>
        <w:rPr>
          <w:rFonts w:hint="default" w:ascii="Times New Roman" w:hAnsi="Times New Roman" w:eastAsia="仿宋" w:cs="Times New Roman"/>
          <w:color w:val="auto"/>
          <w:sz w:val="24"/>
          <w:szCs w:val="24"/>
          <w:highlight w:val="none"/>
          <w:lang w:eastAsia="zh-CN"/>
        </w:rPr>
        <w:t>等</w:t>
      </w:r>
      <w:r>
        <w:rPr>
          <w:rFonts w:hint="default" w:ascii="Times New Roman" w:hAnsi="Times New Roman" w:eastAsia="仿宋" w:cs="Times New Roman"/>
          <w:color w:val="auto"/>
          <w:sz w:val="24"/>
          <w:szCs w:val="24"/>
          <w:highlight w:val="none"/>
        </w:rPr>
        <w:t>进行审查</w:t>
      </w:r>
      <w:r>
        <w:rPr>
          <w:rFonts w:hint="default" w:ascii="Times New Roman" w:hAnsi="Times New Roman" w:eastAsia="仿宋" w:cs="Times New Roman"/>
          <w:color w:val="auto"/>
          <w:sz w:val="24"/>
          <w:szCs w:val="24"/>
          <w:highlight w:val="none"/>
          <w:lang w:eastAsia="zh-CN"/>
        </w:rPr>
        <w:t>，以确定其是否具备磋商资格。如果磋商供应商不具备磋商资格，不满足磋商文件所规定的资格标准或提供资格证明文件不全的，</w:t>
      </w:r>
      <w:r>
        <w:rPr>
          <w:rFonts w:hint="default" w:ascii="Times New Roman" w:hAnsi="Times New Roman" w:eastAsia="仿宋" w:cs="Times New Roman"/>
          <w:bCs/>
          <w:color w:val="auto"/>
          <w:sz w:val="24"/>
          <w:highlight w:val="none"/>
        </w:rPr>
        <w:t>其投标将被直接拒绝，并不得进入具体评标程序。</w:t>
      </w:r>
    </w:p>
    <w:p w14:paraId="5DFDA18E">
      <w:pPr>
        <w:spacing w:line="360" w:lineRule="auto"/>
        <w:ind w:firstLine="480" w:firstLineChars="200"/>
        <w:rPr>
          <w:rFonts w:hint="default" w:ascii="Times New Roman" w:hAnsi="Times New Roman" w:eastAsia="仿宋" w:cs="Times New Roman"/>
          <w:color w:val="auto"/>
          <w:sz w:val="24"/>
          <w:szCs w:val="24"/>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资质资格审查合格的供应商不足法定数量时，可以比照</w:t>
      </w:r>
      <w:r>
        <w:rPr>
          <w:rFonts w:hint="default" w:ascii="Times New Roman" w:hAnsi="Times New Roman" w:eastAsia="仿宋" w:cs="Times New Roman"/>
          <w:color w:val="auto"/>
          <w:sz w:val="24"/>
          <w:szCs w:val="24"/>
          <w:highlight w:val="none"/>
          <w:lang w:eastAsia="zh-CN"/>
        </w:rPr>
        <w:t>相关</w:t>
      </w:r>
      <w:r>
        <w:rPr>
          <w:rFonts w:hint="default" w:ascii="Times New Roman" w:hAnsi="Times New Roman" w:eastAsia="仿宋" w:cs="Times New Roman"/>
          <w:bCs/>
          <w:color w:val="auto"/>
          <w:sz w:val="24"/>
          <w:szCs w:val="24"/>
          <w:highlight w:val="none"/>
        </w:rPr>
        <w:t>条款</w:t>
      </w:r>
      <w:r>
        <w:rPr>
          <w:rFonts w:hint="default" w:ascii="Times New Roman" w:hAnsi="Times New Roman" w:eastAsia="仿宋" w:cs="Times New Roman"/>
          <w:bCs/>
          <w:color w:val="auto"/>
          <w:sz w:val="24"/>
          <w:szCs w:val="24"/>
        </w:rPr>
        <w:t>之规定执行。</w:t>
      </w:r>
    </w:p>
    <w:p w14:paraId="46FC0EEC">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eastAsia" w:eastAsia="仿宋" w:cs="Times New Roman"/>
          <w:b/>
          <w:color w:val="000000"/>
          <w:sz w:val="28"/>
          <w:szCs w:val="28"/>
          <w:shd w:val="clear" w:color="auto" w:fill="FFFFFF"/>
          <w:lang w:eastAsia="zh-CN"/>
        </w:rPr>
        <w:t>（四）</w:t>
      </w:r>
      <w:r>
        <w:rPr>
          <w:rFonts w:hint="default" w:ascii="Times New Roman" w:hAnsi="Times New Roman" w:eastAsia="仿宋" w:cs="Times New Roman"/>
          <w:b/>
          <w:color w:val="000000"/>
          <w:sz w:val="28"/>
          <w:szCs w:val="28"/>
          <w:shd w:val="clear" w:color="auto" w:fill="FFFFFF"/>
        </w:rPr>
        <w:t>评标前的意见征求</w:t>
      </w:r>
    </w:p>
    <w:p w14:paraId="3365E47F">
      <w:pPr>
        <w:spacing w:line="360" w:lineRule="auto"/>
        <w:ind w:firstLine="470" w:firstLineChars="196"/>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1、</w:t>
      </w:r>
      <w:r>
        <w:rPr>
          <w:rFonts w:hint="default" w:ascii="Times New Roman" w:hAnsi="Times New Roman" w:eastAsia="仿宋" w:cs="Times New Roman"/>
          <w:color w:val="auto"/>
          <w:sz w:val="24"/>
          <w:szCs w:val="24"/>
        </w:rPr>
        <w:t>严格在招标文件的规定范围内，由招标方现场以书面的方式，征求采购单位代表对本次评标委员会评标时应注意的事项及意见建议，并签字确认。</w:t>
      </w:r>
    </w:p>
    <w:p w14:paraId="6FA02939">
      <w:pPr>
        <w:spacing w:line="360" w:lineRule="auto"/>
        <w:ind w:firstLine="470" w:firstLineChars="196"/>
        <w:rPr>
          <w:rFonts w:hint="default" w:ascii="Times New Roman" w:hAnsi="Times New Roman" w:eastAsia="仿宋" w:cs="Times New Roman"/>
          <w:color w:val="auto"/>
          <w:sz w:val="24"/>
          <w:szCs w:val="24"/>
        </w:rPr>
      </w:pPr>
      <w:r>
        <w:rPr>
          <w:rFonts w:hint="eastAsia" w:eastAsia="仿宋" w:cs="Times New Roman"/>
          <w:color w:val="auto"/>
          <w:sz w:val="24"/>
          <w:szCs w:val="24"/>
          <w:lang w:val="en-US" w:eastAsia="zh-CN"/>
        </w:rPr>
        <w:t>2、</w:t>
      </w:r>
      <w:r>
        <w:rPr>
          <w:rFonts w:hint="default" w:ascii="Times New Roman" w:hAnsi="Times New Roman" w:eastAsia="仿宋" w:cs="Times New Roman"/>
          <w:color w:val="auto"/>
          <w:sz w:val="24"/>
          <w:szCs w:val="24"/>
        </w:rPr>
        <w:t>由招标方严格按照招标文件的规定范围，核实并提出是否采信的意见并签字确认。</w:t>
      </w:r>
    </w:p>
    <w:p w14:paraId="6936D9C2">
      <w:pPr>
        <w:spacing w:line="360" w:lineRule="auto"/>
        <w:ind w:firstLine="480" w:firstLineChars="200"/>
        <w:jc w:val="left"/>
        <w:rPr>
          <w:rFonts w:hint="default" w:ascii="Times New Roman" w:hAnsi="Times New Roman" w:eastAsia="仿宋" w:cs="Times New Roman"/>
          <w:b/>
          <w:color w:val="000000"/>
          <w:sz w:val="28"/>
          <w:szCs w:val="28"/>
          <w:shd w:val="clear" w:color="auto" w:fill="FFFFFF"/>
        </w:rPr>
      </w:pPr>
      <w:r>
        <w:rPr>
          <w:rFonts w:hint="eastAsia" w:eastAsia="仿宋" w:cs="Times New Roman"/>
          <w:color w:val="auto"/>
          <w:sz w:val="24"/>
          <w:szCs w:val="24"/>
          <w:lang w:val="en-US" w:eastAsia="zh-CN"/>
        </w:rPr>
        <w:t>3、</w:t>
      </w:r>
      <w:r>
        <w:rPr>
          <w:rFonts w:hint="default" w:ascii="Times New Roman" w:hAnsi="Times New Roman" w:eastAsia="仿宋" w:cs="Times New Roman"/>
          <w:color w:val="auto"/>
          <w:sz w:val="24"/>
          <w:szCs w:val="24"/>
        </w:rPr>
        <w:t>由招标方将可采信的上述意见建议，现场向评标委员会及成员提出可以予以采纳的决定。反之，则不予采纳。</w:t>
      </w:r>
    </w:p>
    <w:p w14:paraId="3440E82C">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五、评标</w:t>
      </w:r>
      <w:bookmarkEnd w:id="46"/>
    </w:p>
    <w:p w14:paraId="0C348C29">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（一）组建评委磋商小组</w:t>
      </w:r>
    </w:p>
    <w:p w14:paraId="49B6D79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w:t>
      </w:r>
      <w:r>
        <w:rPr>
          <w:rFonts w:hint="default" w:ascii="Times New Roman" w:hAnsi="Times New Roman" w:eastAsia="仿宋" w:cs="Times New Roman"/>
          <w:color w:val="auto"/>
          <w:sz w:val="24"/>
          <w:szCs w:val="22"/>
          <w:lang w:val="zh-CN" w:eastAsia="zh-CN"/>
        </w:rPr>
        <w:t>采购人及政采云平台抽取专家组</w:t>
      </w:r>
      <w:r>
        <w:rPr>
          <w:rFonts w:hint="default" w:ascii="Times New Roman" w:hAnsi="Times New Roman" w:eastAsia="仿宋" w:cs="Times New Roman"/>
          <w:color w:val="auto"/>
          <w:sz w:val="24"/>
          <w:szCs w:val="22"/>
          <w:lang w:val="zh-CN"/>
        </w:rPr>
        <w:t>建由</w:t>
      </w: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人以上（含</w:t>
      </w: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人）奇数的人员组成的磋商小组，负责对竞争性磋商文件进行审查、质询、评审和比较等。</w:t>
      </w:r>
    </w:p>
    <w:p w14:paraId="27DA4575">
      <w:pPr>
        <w:autoSpaceDE w:val="0"/>
        <w:autoSpaceDN w:val="0"/>
        <w:adjustRightInd w:val="0"/>
        <w:spacing w:line="360" w:lineRule="auto"/>
        <w:ind w:firstLine="480"/>
        <w:rPr>
          <w:rFonts w:hint="default" w:ascii="Times New Roman" w:hAnsi="Times New Roman" w:eastAsia="仿宋" w:cs="Times New Roman"/>
          <w:color w:val="000000"/>
          <w:sz w:val="28"/>
          <w:szCs w:val="28"/>
          <w:shd w:val="clear" w:color="auto" w:fill="FFFFFF"/>
        </w:rPr>
      </w:pPr>
      <w:r>
        <w:rPr>
          <w:rFonts w:hint="default" w:ascii="Times New Roman" w:hAnsi="Times New Roman" w:eastAsia="仿宋" w:cs="Times New Roman"/>
          <w:color w:val="auto"/>
          <w:sz w:val="24"/>
          <w:szCs w:val="22"/>
          <w:lang w:val="zh-CN"/>
        </w:rPr>
        <w:t>2、磋商小组会负责对</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 xml:space="preserve">进行评审和比较，并向招标人推荐中标供应商。 </w:t>
      </w:r>
      <w:r>
        <w:rPr>
          <w:rFonts w:hint="default" w:ascii="Times New Roman" w:hAnsi="Times New Roman" w:eastAsia="仿宋" w:cs="Times New Roman"/>
          <w:color w:val="000000"/>
          <w:sz w:val="28"/>
          <w:szCs w:val="28"/>
          <w:shd w:val="clear" w:color="auto" w:fill="FFFFFF"/>
        </w:rPr>
        <w:t xml:space="preserve"> </w:t>
      </w:r>
    </w:p>
    <w:p w14:paraId="016674C2">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（二）</w:t>
      </w:r>
      <w:r>
        <w:rPr>
          <w:rFonts w:hint="default" w:ascii="Times New Roman" w:hAnsi="Times New Roman" w:eastAsia="仿宋" w:cs="Times New Roman"/>
          <w:b/>
          <w:color w:val="000000"/>
          <w:sz w:val="28"/>
          <w:szCs w:val="28"/>
          <w:shd w:val="clear" w:color="auto" w:fill="FFFFFF"/>
          <w:lang w:eastAsia="zh-CN"/>
        </w:rPr>
        <w:t>竞争性磋商</w:t>
      </w:r>
      <w:r>
        <w:rPr>
          <w:rFonts w:hint="default" w:ascii="Times New Roman" w:hAnsi="Times New Roman" w:eastAsia="仿宋" w:cs="Times New Roman"/>
          <w:b/>
          <w:color w:val="000000"/>
          <w:sz w:val="28"/>
          <w:szCs w:val="28"/>
          <w:shd w:val="clear" w:color="auto" w:fill="FFFFFF"/>
        </w:rPr>
        <w:t>招标程序</w:t>
      </w:r>
    </w:p>
    <w:p w14:paraId="2557ADB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1、根据公开、公平、公正、诚信科学的原则，组织招标采购。</w:t>
      </w:r>
    </w:p>
    <w:p w14:paraId="015E148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zh-CN"/>
        </w:rPr>
        <w:t>2、具体工作流程 ：</w:t>
      </w:r>
    </w:p>
    <w:p w14:paraId="246FF0BC">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w:t>
      </w:r>
      <w:r>
        <w:rPr>
          <w:rFonts w:hint="default" w:ascii="Times New Roman" w:hAnsi="Times New Roman" w:eastAsia="仿宋" w:cs="Times New Roman"/>
          <w:color w:val="auto"/>
          <w:sz w:val="24"/>
          <w:szCs w:val="22"/>
          <w:highlight w:val="none"/>
          <w:lang w:val="zh-CN"/>
        </w:rPr>
        <w:t>开标会由代理机构人员主持，开标工作人员至少由主持人、开标人、唱标人、记录人、监督人等组成，工作人员必须按时到场。</w:t>
      </w:r>
    </w:p>
    <w:p w14:paraId="25D0ED6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2.1.1</w:t>
      </w:r>
      <w:r>
        <w:rPr>
          <w:rFonts w:hint="default" w:ascii="Times New Roman" w:hAnsi="Times New Roman" w:eastAsia="仿宋" w:cs="Times New Roman"/>
          <w:color w:val="auto"/>
          <w:sz w:val="24"/>
          <w:szCs w:val="22"/>
          <w:highlight w:val="none"/>
          <w:lang w:val="zh-CN"/>
        </w:rPr>
        <w:t>开标在采购文件确定的提交投标文件截止时间的同一时间公开进行，开标地点为采购文件预先确定的地点。</w:t>
      </w:r>
    </w:p>
    <w:p w14:paraId="52EB1EB4">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2.1.2</w:t>
      </w:r>
      <w:r>
        <w:rPr>
          <w:rFonts w:hint="default" w:ascii="Times New Roman" w:hAnsi="Times New Roman" w:eastAsia="仿宋" w:cs="Times New Roman"/>
          <w:color w:val="auto"/>
          <w:sz w:val="24"/>
          <w:szCs w:val="22"/>
          <w:highlight w:val="none"/>
          <w:lang w:val="zh-CN"/>
        </w:rPr>
        <w:t>在采购文件要求提交投标文件的截止时间前收到的所有投标文件，开标时须供应商及时解密投标文件。当投标人少于三家时，则招标失败，采购代理机构将重新招标。</w:t>
      </w:r>
    </w:p>
    <w:p w14:paraId="3EC2CE9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en-US" w:eastAsia="zh-CN"/>
        </w:rPr>
      </w:pPr>
      <w:r>
        <w:rPr>
          <w:rFonts w:hint="default" w:ascii="Times New Roman" w:hAnsi="Times New Roman" w:eastAsia="仿宋" w:cs="Times New Roman"/>
          <w:color w:val="auto"/>
          <w:sz w:val="24"/>
          <w:szCs w:val="22"/>
          <w:highlight w:val="none"/>
          <w:lang w:val="en-US" w:eastAsia="zh-CN"/>
        </w:rPr>
        <w:t>2.1.3</w:t>
      </w:r>
      <w:r>
        <w:rPr>
          <w:rFonts w:hint="default" w:ascii="Times New Roman" w:hAnsi="Times New Roman" w:eastAsia="仿宋" w:cs="Times New Roman"/>
          <w:color w:val="auto"/>
          <w:sz w:val="24"/>
          <w:szCs w:val="22"/>
          <w:highlight w:val="none"/>
          <w:lang w:val="zh-CN"/>
        </w:rPr>
        <w:t>投标人进入项目即自行签到。</w:t>
      </w:r>
    </w:p>
    <w:p w14:paraId="0D1CD07A">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2.1.4</w:t>
      </w:r>
      <w:r>
        <w:rPr>
          <w:rFonts w:hint="default" w:ascii="Times New Roman" w:hAnsi="Times New Roman" w:eastAsia="仿宋" w:cs="Times New Roman"/>
          <w:color w:val="auto"/>
          <w:sz w:val="24"/>
          <w:szCs w:val="22"/>
          <w:highlight w:val="none"/>
          <w:lang w:val="zh-CN"/>
        </w:rPr>
        <w:t>参与本次采购活动的各个供应商需提前自行配置好硬件设备（电脑、摄像头、麦克风、谷歌浏览器、政采云招投标系统），登录政采云平台做好准备，并确保设备正常。项目到达开标时间，投标人等待代理机构开启解密标书后，投标人进行标书解密。</w:t>
      </w:r>
    </w:p>
    <w:p w14:paraId="45CBA404">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2.2</w:t>
      </w:r>
      <w:r>
        <w:rPr>
          <w:rFonts w:hint="default" w:ascii="Times New Roman" w:hAnsi="Times New Roman" w:eastAsia="仿宋" w:cs="Times New Roman"/>
          <w:color w:val="auto"/>
          <w:sz w:val="24"/>
          <w:szCs w:val="22"/>
          <w:highlight w:val="none"/>
          <w:lang w:val="zh-CN"/>
        </w:rPr>
        <w:t>在磋商文件确定的投标截止时间停止接受响应文件。</w:t>
      </w:r>
    </w:p>
    <w:p w14:paraId="1FA245C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2.3</w:t>
      </w:r>
      <w:r>
        <w:rPr>
          <w:rFonts w:hint="default" w:ascii="Times New Roman" w:hAnsi="Times New Roman" w:eastAsia="仿宋" w:cs="Times New Roman"/>
          <w:color w:val="auto"/>
          <w:sz w:val="24"/>
          <w:szCs w:val="22"/>
          <w:highlight w:val="none"/>
          <w:lang w:val="zh-CN"/>
        </w:rPr>
        <w:t>宣布开标会开始，宣布开标纪律；</w:t>
      </w:r>
    </w:p>
    <w:p w14:paraId="3894F45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2.4开标</w:t>
      </w:r>
      <w:r>
        <w:rPr>
          <w:rFonts w:hint="default" w:ascii="Times New Roman" w:hAnsi="Times New Roman" w:eastAsia="仿宋" w:cs="Times New Roman"/>
          <w:color w:val="auto"/>
          <w:sz w:val="24"/>
          <w:szCs w:val="22"/>
          <w:highlight w:val="none"/>
          <w:lang w:val="zh-CN"/>
        </w:rPr>
        <w:t>主持人介绍参加会议的人员；</w:t>
      </w:r>
    </w:p>
    <w:p w14:paraId="17B765D8">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2.5</w:t>
      </w:r>
      <w:r>
        <w:rPr>
          <w:rFonts w:hint="default" w:ascii="Times New Roman" w:hAnsi="Times New Roman" w:eastAsia="仿宋" w:cs="Times New Roman"/>
          <w:color w:val="auto"/>
          <w:sz w:val="24"/>
          <w:szCs w:val="22"/>
          <w:highlight w:val="none"/>
          <w:lang w:val="zh-CN"/>
        </w:rPr>
        <w:t>开标时，现场由响应人解密已递交的电子响应文件，由采购代理机构工作人员宣布响应人名称、磋商价格和磋商文件规定的需要宣布的其他内容。投标人不足3家的，不得开标。</w:t>
      </w:r>
    </w:p>
    <w:p w14:paraId="7CACC8DC">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2.6</w:t>
      </w:r>
      <w:r>
        <w:rPr>
          <w:rFonts w:hint="default" w:ascii="Times New Roman" w:hAnsi="Times New Roman" w:eastAsia="仿宋" w:cs="Times New Roman"/>
          <w:color w:val="auto"/>
          <w:sz w:val="24"/>
          <w:szCs w:val="22"/>
          <w:highlight w:val="none"/>
          <w:lang w:val="zh-CN"/>
        </w:rPr>
        <w:t>开标主持人开启报价文件，宣布投标文件中的投标报价、交货</w:t>
      </w:r>
      <w:r>
        <w:rPr>
          <w:rFonts w:hint="eastAsia" w:eastAsia="仿宋" w:cs="Times New Roman"/>
          <w:color w:val="auto"/>
          <w:sz w:val="24"/>
          <w:szCs w:val="22"/>
          <w:highlight w:val="none"/>
          <w:lang w:val="en-US" w:eastAsia="zh-CN"/>
        </w:rPr>
        <w:t>/服务</w:t>
      </w:r>
      <w:r>
        <w:rPr>
          <w:rFonts w:hint="default" w:ascii="Times New Roman" w:hAnsi="Times New Roman" w:eastAsia="仿宋" w:cs="Times New Roman"/>
          <w:color w:val="auto"/>
          <w:sz w:val="24"/>
          <w:szCs w:val="22"/>
          <w:highlight w:val="none"/>
          <w:lang w:val="zh-CN"/>
        </w:rPr>
        <w:t>期等内容。</w:t>
      </w:r>
    </w:p>
    <w:p w14:paraId="20DF4A4E">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2.7</w:t>
      </w:r>
      <w:r>
        <w:rPr>
          <w:rFonts w:hint="default" w:ascii="Times New Roman" w:hAnsi="Times New Roman" w:eastAsia="仿宋" w:cs="Times New Roman"/>
          <w:color w:val="auto"/>
          <w:sz w:val="24"/>
          <w:szCs w:val="22"/>
          <w:highlight w:val="none"/>
          <w:lang w:val="zh-CN"/>
        </w:rPr>
        <w:t>投标文件对开标报价记录表确认无误后再由代理机构开启报价签字时段，磋商供应商在开启规定时间内进行CA签字确认，各参加磋商供应商完成签字确认后关闭报价签字确认，投标人在此期间未进行CA签字确认的视为默认此报价。</w:t>
      </w:r>
    </w:p>
    <w:p w14:paraId="1E4543DC">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2.8</w:t>
      </w:r>
      <w:r>
        <w:rPr>
          <w:rFonts w:hint="default" w:ascii="Times New Roman" w:hAnsi="Times New Roman" w:eastAsia="仿宋" w:cs="Times New Roman"/>
          <w:color w:val="auto"/>
          <w:sz w:val="24"/>
          <w:szCs w:val="22"/>
          <w:highlight w:val="none"/>
          <w:lang w:val="zh-CN"/>
        </w:rPr>
        <w:t>进入评标阶段。</w:t>
      </w:r>
    </w:p>
    <w:p w14:paraId="76FF6101">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highlight w:val="none"/>
          <w:lang w:val="en-US" w:eastAsia="zh-CN"/>
        </w:rPr>
        <w:t>2.9</w:t>
      </w:r>
      <w:r>
        <w:rPr>
          <w:rFonts w:hint="default" w:ascii="Times New Roman" w:hAnsi="Times New Roman" w:eastAsia="仿宋" w:cs="Times New Roman"/>
          <w:color w:val="auto"/>
          <w:sz w:val="24"/>
          <w:szCs w:val="22"/>
          <w:highlight w:val="none"/>
          <w:lang w:val="zh-CN"/>
        </w:rPr>
        <w:t>评标全程如有专家提出疑问并要求视频联线供应商要求对投标文件内容进行澄清或答疑时，供应商需随时在线上等候评审专家提问并回答相应问题，此过程若供应商未及时接受联线则自行承担相应后果。</w:t>
      </w:r>
    </w:p>
    <w:p w14:paraId="56C1BAF7">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en-US" w:eastAsia="zh-CN"/>
        </w:rPr>
        <w:t>2.10</w:t>
      </w:r>
      <w:r>
        <w:rPr>
          <w:rFonts w:hint="eastAsia" w:eastAsia="仿宋" w:cs="Times New Roman"/>
          <w:color w:val="auto"/>
          <w:sz w:val="24"/>
          <w:szCs w:val="22"/>
          <w:lang w:val="zh-CN"/>
        </w:rPr>
        <w:t>平台自动</w:t>
      </w:r>
      <w:r>
        <w:rPr>
          <w:rFonts w:hint="default" w:ascii="Times New Roman" w:hAnsi="Times New Roman" w:eastAsia="仿宋" w:cs="Times New Roman"/>
          <w:color w:val="auto"/>
          <w:sz w:val="24"/>
          <w:szCs w:val="22"/>
          <w:lang w:val="zh-CN"/>
        </w:rPr>
        <w:t>汇总出投标人最终得分。</w:t>
      </w:r>
    </w:p>
    <w:p w14:paraId="1DA1BA63">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en-US" w:eastAsia="zh-CN"/>
        </w:rPr>
        <w:t>2.11</w:t>
      </w:r>
      <w:r>
        <w:rPr>
          <w:rFonts w:hint="default" w:ascii="Times New Roman" w:hAnsi="Times New Roman" w:eastAsia="仿宋" w:cs="Times New Roman"/>
          <w:color w:val="auto"/>
          <w:sz w:val="24"/>
          <w:szCs w:val="22"/>
          <w:lang w:val="zh-CN"/>
        </w:rPr>
        <w:t>采购代理机构宣布各投标人最终得分并按有关条款宣布中标</w:t>
      </w:r>
      <w:r>
        <w:rPr>
          <w:rFonts w:hint="eastAsia" w:eastAsia="仿宋" w:cs="Times New Roman"/>
          <w:color w:val="auto"/>
          <w:sz w:val="24"/>
          <w:szCs w:val="22"/>
          <w:lang w:val="zh-CN"/>
        </w:rPr>
        <w:t>。</w:t>
      </w:r>
    </w:p>
    <w:p w14:paraId="306DA472">
      <w:pPr>
        <w:autoSpaceDE w:val="0"/>
        <w:autoSpaceDN w:val="0"/>
        <w:adjustRightInd w:val="0"/>
        <w:spacing w:line="360" w:lineRule="auto"/>
        <w:ind w:firstLine="480"/>
        <w:rPr>
          <w:rFonts w:hint="default" w:ascii="Times New Roman" w:hAnsi="Times New Roman" w:eastAsia="仿宋" w:cs="Times New Roman"/>
          <w:color w:val="auto"/>
          <w:sz w:val="24"/>
          <w:szCs w:val="22"/>
          <w:highlight w:val="none"/>
          <w:lang w:val="zh-CN"/>
        </w:rPr>
      </w:pPr>
      <w:r>
        <w:rPr>
          <w:rFonts w:hint="default" w:ascii="Times New Roman" w:hAnsi="Times New Roman" w:eastAsia="仿宋" w:cs="Times New Roman"/>
          <w:color w:val="auto"/>
          <w:sz w:val="24"/>
          <w:szCs w:val="22"/>
          <w:lang w:val="en-US" w:eastAsia="zh-CN"/>
        </w:rPr>
        <w:t>2.12</w:t>
      </w:r>
      <w:r>
        <w:rPr>
          <w:rFonts w:hint="default" w:ascii="Times New Roman" w:hAnsi="Times New Roman" w:eastAsia="仿宋" w:cs="Times New Roman"/>
          <w:color w:val="auto"/>
          <w:sz w:val="24"/>
          <w:szCs w:val="22"/>
          <w:lang w:val="zh-CN"/>
        </w:rPr>
        <w:t>开标结</w:t>
      </w:r>
      <w:r>
        <w:rPr>
          <w:rFonts w:hint="default" w:ascii="Times New Roman" w:hAnsi="Times New Roman" w:eastAsia="仿宋" w:cs="Times New Roman"/>
          <w:color w:val="auto"/>
          <w:sz w:val="24"/>
          <w:szCs w:val="22"/>
          <w:highlight w:val="none"/>
          <w:lang w:val="zh-CN"/>
        </w:rPr>
        <w:t>束（招标代理机构对上述开标过程做好记录，存档备查）。</w:t>
      </w:r>
    </w:p>
    <w:p w14:paraId="2132FD7E">
      <w:pPr>
        <w:spacing w:line="360" w:lineRule="auto"/>
        <w:ind w:firstLine="562" w:firstLineChars="200"/>
        <w:rPr>
          <w:rFonts w:hint="default" w:ascii="Times New Roman" w:hAnsi="Times New Roman" w:eastAsia="仿宋" w:cs="Times New Roman"/>
          <w:b/>
          <w:color w:val="000000"/>
          <w:sz w:val="28"/>
          <w:szCs w:val="28"/>
          <w:highlight w:val="none"/>
          <w:shd w:val="clear" w:color="auto" w:fill="FFFFFF"/>
        </w:rPr>
      </w:pPr>
      <w:r>
        <w:rPr>
          <w:rFonts w:hint="default" w:ascii="Times New Roman" w:hAnsi="Times New Roman" w:eastAsia="仿宋" w:cs="Times New Roman"/>
          <w:b/>
          <w:color w:val="000000"/>
          <w:sz w:val="28"/>
          <w:szCs w:val="28"/>
          <w:highlight w:val="none"/>
          <w:shd w:val="clear" w:color="auto" w:fill="FFFFFF"/>
        </w:rPr>
        <w:t>（三）错误修正</w:t>
      </w:r>
    </w:p>
    <w:p w14:paraId="0458CE11">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竞争性磋商文件如果出现计算或表达上的错误，修正错误的原则如下：</w:t>
      </w:r>
    </w:p>
    <w:p w14:paraId="63A49B5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的大写金额和小写金额不一致的，以大写金额为准；</w:t>
      </w:r>
    </w:p>
    <w:p w14:paraId="4558EF85">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2、总价金额与按单价汇总金额不一致的，以单价金额计算结果为准；</w:t>
      </w:r>
    </w:p>
    <w:p w14:paraId="467D6315">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3、对不同文字文本</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的解释发生异议的，以中文文本为准；</w:t>
      </w:r>
    </w:p>
    <w:p w14:paraId="19FC55F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4、按上述修正错误的原则及方法调整或修正</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的投标报价，投标人同意后，调整后的投标报价对投标人起约束作用。如果投标人不接受修正后的报价，则其投标将被拒绝。</w:t>
      </w:r>
    </w:p>
    <w:p w14:paraId="57951C7B">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auto"/>
          <w:sz w:val="28"/>
          <w:szCs w:val="28"/>
          <w:shd w:val="clear" w:color="auto" w:fill="FFFFFF"/>
        </w:rPr>
        <w:t xml:space="preserve">(四) </w:t>
      </w:r>
      <w:r>
        <w:rPr>
          <w:rFonts w:hint="default" w:ascii="Times New Roman" w:hAnsi="Times New Roman" w:eastAsia="仿宋" w:cs="Times New Roman"/>
          <w:b/>
          <w:color w:val="000000"/>
          <w:sz w:val="28"/>
          <w:szCs w:val="28"/>
          <w:shd w:val="clear" w:color="auto" w:fill="FFFFFF"/>
          <w:lang w:eastAsia="zh-CN"/>
        </w:rPr>
        <w:t>竞争性磋商文件</w:t>
      </w:r>
      <w:r>
        <w:rPr>
          <w:rFonts w:hint="default" w:ascii="Times New Roman" w:hAnsi="Times New Roman" w:eastAsia="仿宋" w:cs="Times New Roman"/>
          <w:b/>
          <w:color w:val="000000"/>
          <w:sz w:val="28"/>
          <w:szCs w:val="28"/>
          <w:shd w:val="clear" w:color="auto" w:fill="FFFFFF"/>
        </w:rPr>
        <w:t>的评价与比较</w:t>
      </w:r>
    </w:p>
    <w:p w14:paraId="10CA4F5F">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1、评审小组只对实质上竞争性磋商文件要求的</w:t>
      </w:r>
      <w:r>
        <w:rPr>
          <w:rFonts w:hint="default" w:ascii="Times New Roman" w:hAnsi="Times New Roman" w:eastAsia="仿宋" w:cs="Times New Roman"/>
          <w:color w:val="auto"/>
          <w:sz w:val="24"/>
          <w:szCs w:val="22"/>
          <w:lang w:val="zh-CN" w:eastAsia="zh-CN"/>
        </w:rPr>
        <w:t>竞争性磋商文件</w:t>
      </w:r>
      <w:r>
        <w:rPr>
          <w:rFonts w:hint="default" w:ascii="Times New Roman" w:hAnsi="Times New Roman" w:eastAsia="仿宋" w:cs="Times New Roman"/>
          <w:color w:val="auto"/>
          <w:sz w:val="24"/>
          <w:szCs w:val="22"/>
          <w:lang w:val="zh-CN"/>
        </w:rPr>
        <w:t>进行综合评价和比较。</w:t>
      </w:r>
    </w:p>
    <w:p w14:paraId="3BAB8EF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2、评标时除价格因素外应考虑下列因素：</w:t>
      </w:r>
    </w:p>
    <w:p w14:paraId="3721AE0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（1）投标人的整体技术水平、性能、质量和适应性；</w:t>
      </w:r>
    </w:p>
    <w:p w14:paraId="47CABDEB">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（2）投标人服务能力和服务时间；</w:t>
      </w:r>
    </w:p>
    <w:p w14:paraId="4745C2D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（3）投标人的技术支持能力和各种服务（含售后服务）能力;</w:t>
      </w:r>
    </w:p>
    <w:p w14:paraId="2467412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（4）对竞争性磋商文件中付款条件的响应性；</w:t>
      </w:r>
    </w:p>
    <w:p w14:paraId="1CE78217">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（5）投标人的综合实力和信誉;</w:t>
      </w:r>
    </w:p>
    <w:p w14:paraId="079F2C1D">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w:t>
      </w:r>
      <w:r>
        <w:rPr>
          <w:rFonts w:hint="default" w:ascii="Times New Roman" w:hAnsi="Times New Roman" w:eastAsia="仿宋" w:cs="Times New Roman"/>
          <w:color w:val="auto"/>
          <w:sz w:val="24"/>
          <w:szCs w:val="22"/>
          <w:lang w:val="en-US" w:eastAsia="zh-CN"/>
        </w:rPr>
        <w:t>6</w:t>
      </w:r>
      <w:r>
        <w:rPr>
          <w:rFonts w:hint="default" w:ascii="Times New Roman" w:hAnsi="Times New Roman" w:eastAsia="仿宋" w:cs="Times New Roman"/>
          <w:color w:val="auto"/>
          <w:sz w:val="24"/>
          <w:szCs w:val="22"/>
          <w:lang w:val="zh-CN"/>
        </w:rPr>
        <w:t>）投标人是否能保质、保量、准确、全面完成本项目。</w:t>
      </w:r>
    </w:p>
    <w:p w14:paraId="14071B52">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3、磋商小组根据竞争性磋商文件中规定的评标方法进行评标，并向招标人提交书面评标报告和推荐中标人。</w:t>
      </w:r>
    </w:p>
    <w:p w14:paraId="1372D4A6">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4、当出现投标价格相同分值时，按以下顺序排列：</w:t>
      </w:r>
    </w:p>
    <w:p w14:paraId="3076E67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（1）选定技术质量最好的；</w:t>
      </w:r>
    </w:p>
    <w:p w14:paraId="289AB4D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default" w:ascii="Times New Roman" w:hAnsi="Times New Roman" w:eastAsia="仿宋" w:cs="Times New Roman"/>
          <w:color w:val="auto"/>
          <w:sz w:val="24"/>
          <w:szCs w:val="22"/>
          <w:lang w:val="zh-CN"/>
        </w:rPr>
        <w:t>（2）如技术质量也相等时，选定技术支持和服务承诺最好的；</w:t>
      </w:r>
    </w:p>
    <w:p w14:paraId="7C9BE86D">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w:t>
      </w:r>
      <w:r>
        <w:rPr>
          <w:rFonts w:hint="default" w:ascii="Times New Roman" w:hAnsi="Times New Roman" w:eastAsia="仿宋" w:cs="Times New Roman"/>
          <w:b/>
          <w:sz w:val="28"/>
          <w:szCs w:val="28"/>
          <w:shd w:val="clear" w:color="auto" w:fill="FFFFFF"/>
          <w:lang w:eastAsia="zh-CN"/>
        </w:rPr>
        <w:t>五</w:t>
      </w:r>
      <w:r>
        <w:rPr>
          <w:rFonts w:hint="default" w:ascii="Times New Roman" w:hAnsi="Times New Roman" w:eastAsia="仿宋" w:cs="Times New Roman"/>
          <w:b/>
          <w:sz w:val="28"/>
          <w:szCs w:val="28"/>
          <w:shd w:val="clear" w:color="auto" w:fill="FFFFFF"/>
        </w:rPr>
        <w:t>）评标报告</w:t>
      </w:r>
    </w:p>
    <w:p w14:paraId="675B2499">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eastAsia" w:eastAsia="仿宋" w:cs="Times New Roman"/>
          <w:color w:val="auto"/>
          <w:sz w:val="24"/>
          <w:szCs w:val="22"/>
          <w:lang w:val="en-US" w:eastAsia="zh-CN"/>
        </w:rPr>
        <w:t>1、</w:t>
      </w:r>
      <w:r>
        <w:rPr>
          <w:rFonts w:hint="default" w:ascii="Times New Roman" w:hAnsi="Times New Roman" w:eastAsia="仿宋" w:cs="Times New Roman"/>
          <w:color w:val="auto"/>
          <w:sz w:val="24"/>
          <w:szCs w:val="22"/>
          <w:lang w:val="zh-CN"/>
        </w:rPr>
        <w:t>磋商小组应当根据综合评分情况，按照评审得分由高到低顺序推荐</w:t>
      </w:r>
      <w:r>
        <w:rPr>
          <w:rFonts w:hint="default" w:ascii="Times New Roman" w:hAnsi="Times New Roman" w:eastAsia="仿宋" w:cs="Times New Roman"/>
          <w:color w:val="auto"/>
          <w:sz w:val="24"/>
          <w:szCs w:val="22"/>
          <w:lang w:val="en-US" w:eastAsia="zh-CN"/>
        </w:rPr>
        <w:t>1</w:t>
      </w:r>
      <w:r>
        <w:rPr>
          <w:rFonts w:hint="default" w:ascii="Times New Roman" w:hAnsi="Times New Roman" w:eastAsia="仿宋" w:cs="Times New Roman"/>
          <w:color w:val="auto"/>
          <w:sz w:val="24"/>
          <w:szCs w:val="22"/>
          <w:lang w:val="zh-CN"/>
        </w:rPr>
        <w:t>名以上成交候选供应商，并编写评审报告</w:t>
      </w:r>
      <w:r>
        <w:rPr>
          <w:rFonts w:hint="default" w:ascii="Times New Roman" w:hAnsi="Times New Roman" w:eastAsia="仿宋" w:cs="Times New Roman"/>
          <w:color w:val="auto"/>
          <w:sz w:val="24"/>
          <w:szCs w:val="22"/>
          <w:lang w:val="zh-CN" w:eastAsia="zh-CN"/>
        </w:rPr>
        <w:t>，</w:t>
      </w:r>
      <w:r>
        <w:rPr>
          <w:rFonts w:hint="default" w:ascii="Times New Roman" w:hAnsi="Times New Roman" w:eastAsia="仿宋" w:cs="Times New Roman"/>
          <w:color w:val="auto"/>
          <w:sz w:val="24"/>
          <w:szCs w:val="22"/>
          <w:lang w:val="zh-CN"/>
        </w:rPr>
        <w:t>评标报告应全面反映评标过程</w:t>
      </w:r>
      <w:r>
        <w:rPr>
          <w:rFonts w:hint="default" w:ascii="Times New Roman" w:hAnsi="Times New Roman" w:eastAsia="仿宋" w:cs="Times New Roman"/>
          <w:color w:val="auto"/>
          <w:sz w:val="24"/>
          <w:szCs w:val="22"/>
          <w:lang w:val="zh-CN" w:eastAsia="zh-CN"/>
        </w:rPr>
        <w:t>、</w:t>
      </w:r>
      <w:r>
        <w:rPr>
          <w:rFonts w:hint="default" w:ascii="Times New Roman" w:hAnsi="Times New Roman" w:eastAsia="仿宋" w:cs="Times New Roman"/>
          <w:color w:val="auto"/>
          <w:sz w:val="24"/>
          <w:szCs w:val="22"/>
          <w:lang w:val="zh-CN"/>
        </w:rPr>
        <w:t>中标供应商的情况。评审得分相同的，按照最后报价由低到高的顺序推荐。评审得分且最后报价相同的，按照技术指标优劣顺序推荐。</w:t>
      </w:r>
    </w:p>
    <w:p w14:paraId="4AA77DAA">
      <w:pPr>
        <w:autoSpaceDE w:val="0"/>
        <w:autoSpaceDN w:val="0"/>
        <w:adjustRightInd w:val="0"/>
        <w:spacing w:line="360" w:lineRule="auto"/>
        <w:ind w:firstLine="480"/>
        <w:rPr>
          <w:rFonts w:hint="default" w:ascii="Times New Roman" w:hAnsi="Times New Roman" w:eastAsia="仿宋" w:cs="Times New Roman"/>
          <w:color w:val="auto"/>
          <w:sz w:val="24"/>
          <w:szCs w:val="22"/>
          <w:lang w:val="zh-CN"/>
        </w:rPr>
      </w:pPr>
      <w:r>
        <w:rPr>
          <w:rFonts w:hint="eastAsia" w:eastAsia="仿宋" w:cs="Times New Roman"/>
          <w:color w:val="auto"/>
          <w:sz w:val="24"/>
          <w:szCs w:val="22"/>
          <w:lang w:val="en-US" w:eastAsia="zh-CN"/>
        </w:rPr>
        <w:t>2、</w:t>
      </w:r>
      <w:r>
        <w:rPr>
          <w:rFonts w:hint="default" w:ascii="Times New Roman" w:hAnsi="Times New Roman" w:eastAsia="仿宋" w:cs="Times New Roman"/>
          <w:color w:val="auto"/>
          <w:sz w:val="24"/>
          <w:szCs w:val="22"/>
          <w:lang w:val="zh-CN"/>
        </w:rPr>
        <w:t>评审报告应当由磋商小组全体人员签字认可。磋商小组成员对评审报告有异议的，磋商小组按照少数服从多数的原则推荐成交候选供应商，采购程序继续进行。</w:t>
      </w:r>
    </w:p>
    <w:p w14:paraId="7F51A08C">
      <w:pPr>
        <w:autoSpaceDE w:val="0"/>
        <w:autoSpaceDN w:val="0"/>
        <w:adjustRightInd w:val="0"/>
        <w:spacing w:line="360" w:lineRule="auto"/>
        <w:ind w:firstLine="480"/>
        <w:rPr>
          <w:rFonts w:hint="default" w:ascii="Times New Roman" w:hAnsi="Times New Roman" w:eastAsia="仿宋" w:cs="Times New Roman"/>
          <w:color w:val="auto"/>
          <w:sz w:val="24"/>
          <w:szCs w:val="22"/>
          <w:lang w:val="zh-CN" w:eastAsia="zh-CN"/>
        </w:rPr>
      </w:pPr>
      <w:r>
        <w:rPr>
          <w:rFonts w:hint="eastAsia" w:eastAsia="仿宋" w:cs="Times New Roman"/>
          <w:color w:val="auto"/>
          <w:sz w:val="24"/>
          <w:szCs w:val="22"/>
          <w:lang w:val="en-US" w:eastAsia="zh-CN"/>
        </w:rPr>
        <w:t>3、</w:t>
      </w:r>
      <w:r>
        <w:rPr>
          <w:rFonts w:hint="default" w:ascii="Times New Roman" w:hAnsi="Times New Roman" w:eastAsia="仿宋" w:cs="Times New Roman"/>
          <w:color w:val="auto"/>
          <w:sz w:val="24"/>
          <w:szCs w:val="22"/>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default" w:ascii="Times New Roman" w:hAnsi="Times New Roman" w:eastAsia="仿宋" w:cs="Times New Roman"/>
          <w:color w:val="auto"/>
          <w:sz w:val="24"/>
          <w:szCs w:val="22"/>
          <w:lang w:val="zh-CN" w:eastAsia="zh-CN"/>
        </w:rPr>
        <w:t>。</w:t>
      </w:r>
    </w:p>
    <w:p w14:paraId="47DF1C27">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w:t>
      </w:r>
      <w:r>
        <w:rPr>
          <w:rFonts w:hint="default" w:ascii="Times New Roman" w:hAnsi="Times New Roman" w:eastAsia="仿宋" w:cs="Times New Roman"/>
          <w:b/>
          <w:color w:val="000000"/>
          <w:sz w:val="28"/>
          <w:szCs w:val="28"/>
          <w:shd w:val="clear" w:color="auto" w:fill="FFFFFF"/>
          <w:lang w:eastAsia="zh-CN"/>
        </w:rPr>
        <w:t>六</w:t>
      </w:r>
      <w:r>
        <w:rPr>
          <w:rFonts w:hint="default" w:ascii="Times New Roman" w:hAnsi="Times New Roman" w:eastAsia="仿宋" w:cs="Times New Roman"/>
          <w:b/>
          <w:color w:val="000000"/>
          <w:sz w:val="28"/>
          <w:szCs w:val="28"/>
          <w:shd w:val="clear" w:color="auto" w:fill="FFFFFF"/>
        </w:rPr>
        <w:t>） 评标过程的保密</w:t>
      </w:r>
    </w:p>
    <w:p w14:paraId="67C1BE1B">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1、</w:t>
      </w:r>
      <w:r>
        <w:rPr>
          <w:rFonts w:hint="default" w:ascii="Times New Roman" w:hAnsi="Times New Roman" w:eastAsia="仿宋" w:cs="Times New Roman"/>
          <w:color w:val="auto"/>
          <w:sz w:val="24"/>
          <w:lang w:val="zh-CN"/>
        </w:rPr>
        <w:t>所有与本次招标及评标有关的人员，均不得向供应商及与招标项目无关的其他人员，透露与评标有关的资料以及授予合同的意见等。</w:t>
      </w:r>
    </w:p>
    <w:p w14:paraId="42ECC4A7">
      <w:pPr>
        <w:autoSpaceDE w:val="0"/>
        <w:autoSpaceDN w:val="0"/>
        <w:adjustRightInd w:val="0"/>
        <w:spacing w:line="360" w:lineRule="auto"/>
        <w:ind w:firstLine="480"/>
        <w:rPr>
          <w:rFonts w:hint="default" w:ascii="Times New Roman" w:hAnsi="Times New Roman" w:eastAsia="仿宋" w:cs="Times New Roman"/>
          <w:color w:val="auto"/>
          <w:sz w:val="24"/>
          <w:lang w:val="zh-CN"/>
        </w:rPr>
      </w:pPr>
      <w:r>
        <w:rPr>
          <w:rFonts w:hint="eastAsia" w:eastAsia="仿宋" w:cs="Times New Roman"/>
          <w:color w:val="auto"/>
          <w:sz w:val="24"/>
          <w:lang w:val="en-US" w:eastAsia="zh-CN"/>
        </w:rPr>
        <w:t>2、</w:t>
      </w:r>
      <w:r>
        <w:rPr>
          <w:rFonts w:hint="default" w:ascii="Times New Roman" w:hAnsi="Times New Roman" w:eastAsia="仿宋" w:cs="Times New Roman"/>
          <w:color w:val="auto"/>
          <w:sz w:val="24"/>
          <w:lang w:val="zh-CN"/>
        </w:rPr>
        <w:t>在评标过程中，供应商试图在竞争性磋商文件审查、报价、询标（答疑）、澄清、比较及授予合同方面向采购人员施加影响的任何行为，都可能导致其竞争性磋商文件被拒绝。</w:t>
      </w:r>
    </w:p>
    <w:p w14:paraId="1CF327CE">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3、</w:t>
      </w:r>
      <w:r>
        <w:rPr>
          <w:rFonts w:hint="default" w:ascii="Times New Roman" w:hAnsi="Times New Roman" w:eastAsia="仿宋" w:cs="Times New Roman"/>
          <w:bCs/>
          <w:color w:val="auto"/>
          <w:sz w:val="24"/>
          <w:szCs w:val="24"/>
        </w:rPr>
        <w:t>开标后直到授予投标人合同为止，凡是属于审查、报价、</w:t>
      </w:r>
      <w:r>
        <w:rPr>
          <w:rFonts w:hint="default" w:ascii="Times New Roman" w:hAnsi="Times New Roman" w:eastAsia="仿宋" w:cs="Times New Roman"/>
          <w:color w:val="auto"/>
          <w:sz w:val="24"/>
          <w:lang w:val="zh-CN"/>
        </w:rPr>
        <w:t>询标（答疑）、</w:t>
      </w:r>
      <w:r>
        <w:rPr>
          <w:rFonts w:hint="default" w:ascii="Times New Roman" w:hAnsi="Times New Roman" w:eastAsia="仿宋" w:cs="Times New Roman"/>
          <w:bCs/>
          <w:color w:val="auto"/>
          <w:sz w:val="24"/>
          <w:szCs w:val="24"/>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0D98D00D">
      <w:pPr>
        <w:spacing w:line="360" w:lineRule="auto"/>
        <w:ind w:firstLine="480" w:firstLineChars="200"/>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4"/>
          <w:lang w:val="zh-CN"/>
        </w:rPr>
        <w:t xml:space="preserve"> </w:t>
      </w:r>
      <w:r>
        <w:rPr>
          <w:rFonts w:hint="eastAsia" w:eastAsia="仿宋" w:cs="Times New Roman"/>
          <w:color w:val="auto"/>
          <w:sz w:val="24"/>
          <w:lang w:val="en-US" w:eastAsia="zh-CN"/>
        </w:rPr>
        <w:t>4、</w:t>
      </w:r>
      <w:r>
        <w:rPr>
          <w:rFonts w:hint="default" w:ascii="Times New Roman" w:hAnsi="Times New Roman" w:eastAsia="仿宋" w:cs="Times New Roman"/>
          <w:bCs/>
          <w:color w:val="auto"/>
          <w:sz w:val="24"/>
          <w:szCs w:val="24"/>
        </w:rPr>
        <w:t>投标人在评标过程中，所进行的力图影响评标结果的不符合《政府采购法》及本次招标有关规定的活动，将被取消中标资格。</w:t>
      </w:r>
    </w:p>
    <w:p w14:paraId="35E0F8B0">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w:t>
      </w:r>
      <w:r>
        <w:rPr>
          <w:rFonts w:hint="default" w:ascii="Times New Roman" w:hAnsi="Times New Roman" w:eastAsia="仿宋" w:cs="Times New Roman"/>
          <w:b/>
          <w:sz w:val="28"/>
          <w:szCs w:val="28"/>
          <w:shd w:val="clear" w:color="auto" w:fill="FFFFFF"/>
          <w:lang w:eastAsia="zh-CN"/>
        </w:rPr>
        <w:t>七</w:t>
      </w:r>
      <w:r>
        <w:rPr>
          <w:rFonts w:hint="default" w:ascii="Times New Roman" w:hAnsi="Times New Roman" w:eastAsia="仿宋" w:cs="Times New Roman"/>
          <w:b/>
          <w:sz w:val="28"/>
          <w:szCs w:val="28"/>
          <w:shd w:val="clear" w:color="auto" w:fill="FFFFFF"/>
        </w:rPr>
        <w:t>）评标原则和评标办法</w:t>
      </w:r>
    </w:p>
    <w:p w14:paraId="377D2D14">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1、</w:t>
      </w:r>
      <w:r>
        <w:rPr>
          <w:rFonts w:hint="default" w:ascii="Times New Roman" w:hAnsi="Times New Roman" w:eastAsia="仿宋" w:cs="Times New Roman"/>
          <w:bCs/>
          <w:color w:val="auto"/>
          <w:sz w:val="24"/>
          <w:szCs w:val="24"/>
          <w:lang w:val="zh-CN"/>
        </w:rPr>
        <w:t>符合性审查时，磋商评审小组</w:t>
      </w:r>
      <w:r>
        <w:rPr>
          <w:rFonts w:hint="default" w:ascii="Times New Roman" w:hAnsi="Times New Roman" w:eastAsia="仿宋" w:cs="Times New Roman"/>
          <w:bCs/>
          <w:color w:val="auto"/>
          <w:sz w:val="24"/>
          <w:szCs w:val="24"/>
        </w:rPr>
        <w:t>应当审查每一个</w:t>
      </w:r>
      <w:r>
        <w:rPr>
          <w:rFonts w:hint="default" w:ascii="Times New Roman" w:hAnsi="Times New Roman" w:eastAsia="仿宋" w:cs="Times New Roman"/>
          <w:bCs/>
          <w:color w:val="auto"/>
          <w:sz w:val="24"/>
          <w:szCs w:val="24"/>
          <w:lang w:val="zh-CN"/>
        </w:rPr>
        <w:t>磋商</w:t>
      </w:r>
      <w:r>
        <w:rPr>
          <w:rFonts w:hint="default" w:ascii="Times New Roman" w:hAnsi="Times New Roman" w:eastAsia="仿宋" w:cs="Times New Roman"/>
          <w:bCs/>
          <w:color w:val="auto"/>
          <w:sz w:val="24"/>
          <w:szCs w:val="24"/>
        </w:rPr>
        <w:t>响应文件是否对</w:t>
      </w:r>
      <w:r>
        <w:rPr>
          <w:rFonts w:hint="default" w:ascii="Times New Roman" w:hAnsi="Times New Roman" w:eastAsia="仿宋" w:cs="Times New Roman"/>
          <w:bCs/>
          <w:color w:val="auto"/>
          <w:sz w:val="24"/>
          <w:szCs w:val="24"/>
          <w:lang w:val="zh-CN"/>
        </w:rPr>
        <w:t>磋商</w:t>
      </w:r>
      <w:r>
        <w:rPr>
          <w:rFonts w:hint="default" w:ascii="Times New Roman" w:hAnsi="Times New Roman" w:eastAsia="仿宋" w:cs="Times New Roman"/>
          <w:bCs/>
          <w:color w:val="auto"/>
          <w:sz w:val="24"/>
          <w:szCs w:val="24"/>
        </w:rPr>
        <w:t>文件提出的所有实质性要求和条件作出响应。未能实质上响应的，视情况按照谈判文件的规定，应不得进入综合评审程序。主要有下列情况：</w:t>
      </w:r>
    </w:p>
    <w:p w14:paraId="12B13371">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1.1</w:t>
      </w:r>
      <w:r>
        <w:rPr>
          <w:rFonts w:hint="default" w:ascii="Times New Roman" w:hAnsi="Times New Roman" w:eastAsia="仿宋" w:cs="Times New Roman"/>
          <w:bCs/>
          <w:color w:val="auto"/>
          <w:sz w:val="24"/>
          <w:szCs w:val="24"/>
          <w:lang w:val="zh-CN"/>
        </w:rPr>
        <w:t>未按照磋商文件规定要求在规定处签署、盖章</w:t>
      </w:r>
    </w:p>
    <w:p w14:paraId="27EDC93F">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1.2</w:t>
      </w:r>
      <w:r>
        <w:rPr>
          <w:rFonts w:hint="default" w:ascii="Times New Roman" w:hAnsi="Times New Roman" w:eastAsia="仿宋" w:cs="Times New Roman"/>
          <w:bCs/>
          <w:color w:val="auto"/>
          <w:sz w:val="24"/>
          <w:szCs w:val="24"/>
          <w:lang w:val="zh-CN"/>
        </w:rPr>
        <w:t>磋商响应文件载明的采购项目</w:t>
      </w:r>
      <w:r>
        <w:rPr>
          <w:rFonts w:hint="eastAsia" w:eastAsia="仿宋" w:cs="Times New Roman"/>
          <w:bCs/>
          <w:color w:val="auto"/>
          <w:sz w:val="24"/>
          <w:szCs w:val="24"/>
          <w:lang w:val="zh-CN"/>
        </w:rPr>
        <w:t>服务期</w:t>
      </w:r>
      <w:r>
        <w:rPr>
          <w:rFonts w:hint="default" w:ascii="Times New Roman" w:hAnsi="Times New Roman" w:eastAsia="仿宋" w:cs="Times New Roman"/>
          <w:bCs/>
          <w:color w:val="auto"/>
          <w:sz w:val="24"/>
          <w:szCs w:val="24"/>
          <w:lang w:val="zh-CN"/>
        </w:rPr>
        <w:t>超过磋商文件规定期限；</w:t>
      </w:r>
    </w:p>
    <w:p w14:paraId="71648838">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1.3</w:t>
      </w:r>
      <w:r>
        <w:rPr>
          <w:rFonts w:hint="default" w:ascii="Times New Roman" w:hAnsi="Times New Roman" w:eastAsia="仿宋" w:cs="Times New Roman"/>
          <w:bCs/>
          <w:color w:val="auto"/>
          <w:sz w:val="24"/>
          <w:szCs w:val="24"/>
          <w:lang w:val="zh-CN"/>
        </w:rPr>
        <w:t>磋商响应文件中投标报价超出最高限价；</w:t>
      </w:r>
    </w:p>
    <w:p w14:paraId="00676A93">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1.4</w:t>
      </w:r>
      <w:r>
        <w:rPr>
          <w:rFonts w:hint="default" w:ascii="Times New Roman" w:hAnsi="Times New Roman" w:eastAsia="仿宋" w:cs="Times New Roman"/>
          <w:bCs/>
          <w:color w:val="auto"/>
          <w:sz w:val="24"/>
          <w:szCs w:val="24"/>
          <w:lang w:val="zh-CN"/>
        </w:rPr>
        <w:t>磋商响应文件附有采购人和招标方不能接受的条件</w:t>
      </w:r>
      <w:r>
        <w:rPr>
          <w:rFonts w:hint="default" w:ascii="Times New Roman" w:hAnsi="Times New Roman" w:eastAsia="仿宋" w:cs="Times New Roman"/>
          <w:bCs/>
          <w:color w:val="auto"/>
          <w:sz w:val="24"/>
          <w:szCs w:val="24"/>
        </w:rPr>
        <w:t>；</w:t>
      </w:r>
    </w:p>
    <w:p w14:paraId="41BAC847">
      <w:pPr>
        <w:spacing w:line="360" w:lineRule="auto"/>
        <w:ind w:firstLine="480" w:firstLineChars="200"/>
        <w:rPr>
          <w:rFonts w:hint="default" w:ascii="Times New Roman" w:hAnsi="Times New Roman" w:eastAsia="仿宋" w:cs="Times New Roman"/>
          <w:bCs/>
          <w:color w:val="auto"/>
          <w:sz w:val="24"/>
          <w:szCs w:val="24"/>
          <w:lang w:val="zh-CN" w:eastAsia="zh-CN"/>
        </w:rPr>
      </w:pPr>
      <w:r>
        <w:rPr>
          <w:rFonts w:hint="eastAsia" w:eastAsia="仿宋" w:cs="Times New Roman"/>
          <w:bCs/>
          <w:color w:val="auto"/>
          <w:sz w:val="24"/>
          <w:szCs w:val="24"/>
          <w:lang w:val="en-US" w:eastAsia="zh-CN"/>
        </w:rPr>
        <w:t>1.5</w:t>
      </w:r>
      <w:r>
        <w:rPr>
          <w:rFonts w:hint="default" w:ascii="Times New Roman" w:hAnsi="Times New Roman" w:eastAsia="仿宋" w:cs="Times New Roman"/>
          <w:bCs/>
          <w:color w:val="auto"/>
          <w:sz w:val="24"/>
          <w:szCs w:val="24"/>
          <w:lang w:val="zh-CN" w:eastAsia="zh-CN"/>
        </w:rPr>
        <w:t>投标方是以他人名义投标、串通投标、以行贿手段谋取成交或者以其他弄虚作假方式投标报价：</w:t>
      </w:r>
    </w:p>
    <w:p w14:paraId="5F396BD7">
      <w:pPr>
        <w:spacing w:line="360" w:lineRule="auto"/>
        <w:ind w:firstLine="480" w:firstLineChars="200"/>
        <w:rPr>
          <w:rFonts w:hint="default" w:ascii="Times New Roman" w:hAnsi="Times New Roman" w:eastAsia="仿宋" w:cs="Times New Roman"/>
          <w:bCs/>
          <w:color w:val="auto"/>
          <w:sz w:val="24"/>
          <w:szCs w:val="24"/>
          <w:lang w:val="en-US" w:eastAsia="zh-CN"/>
        </w:rPr>
      </w:pPr>
      <w:r>
        <w:rPr>
          <w:rFonts w:hint="eastAsia" w:eastAsia="仿宋" w:cs="Times New Roman"/>
          <w:bCs/>
          <w:color w:val="auto"/>
          <w:sz w:val="24"/>
          <w:szCs w:val="24"/>
          <w:lang w:val="en-US" w:eastAsia="zh-CN"/>
        </w:rPr>
        <w:t>1.6</w:t>
      </w:r>
      <w:r>
        <w:rPr>
          <w:rFonts w:hint="default" w:ascii="Times New Roman" w:hAnsi="Times New Roman" w:eastAsia="仿宋" w:cs="Times New Roman"/>
          <w:bCs/>
          <w:color w:val="auto"/>
          <w:sz w:val="24"/>
          <w:szCs w:val="24"/>
          <w:lang w:val="zh-CN"/>
        </w:rPr>
        <w:t>其他不符合法律、规章、规范性文件和招标文件规定的。</w:t>
      </w:r>
    </w:p>
    <w:p w14:paraId="65B41A94">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1.7</w:t>
      </w:r>
      <w:r>
        <w:rPr>
          <w:rFonts w:hint="default" w:ascii="Times New Roman" w:hAnsi="Times New Roman" w:eastAsia="仿宋" w:cs="Times New Roman"/>
          <w:bCs/>
          <w:color w:val="auto"/>
          <w:sz w:val="24"/>
          <w:szCs w:val="24"/>
          <w:lang w:val="zh-CN"/>
        </w:rPr>
        <w:t>磋商评审小组根据上述规定否决不合格磋商或者界定为废标后，因有效磋商不足三个使得磋商明显缺乏竞争性时，根据《中华人民共和国政府采购法》及磋商文件的相关规定，可以作出废标处理，并由招标方依法重新组织采购活动。</w:t>
      </w:r>
    </w:p>
    <w:p w14:paraId="04037EAC">
      <w:pPr>
        <w:spacing w:line="360" w:lineRule="auto"/>
        <w:ind w:firstLine="562" w:firstLineChars="200"/>
        <w:rPr>
          <w:rFonts w:hint="default" w:ascii="Times New Roman" w:hAnsi="Times New Roman" w:eastAsia="仿宋" w:cs="Times New Roman"/>
          <w:b/>
          <w:sz w:val="28"/>
          <w:szCs w:val="28"/>
          <w:shd w:val="clear" w:color="auto" w:fill="FFFFFF"/>
          <w:lang w:val="zh-CN"/>
        </w:rPr>
      </w:pPr>
      <w:r>
        <w:rPr>
          <w:rFonts w:hint="eastAsia" w:eastAsia="仿宋" w:cs="Times New Roman"/>
          <w:b/>
          <w:sz w:val="28"/>
          <w:szCs w:val="28"/>
          <w:shd w:val="clear" w:color="auto" w:fill="FFFFFF"/>
          <w:lang w:val="zh-CN"/>
        </w:rPr>
        <w:t>（八）</w:t>
      </w:r>
      <w:r>
        <w:rPr>
          <w:rFonts w:hint="default" w:ascii="Times New Roman" w:hAnsi="Times New Roman" w:eastAsia="仿宋" w:cs="Times New Roman"/>
          <w:b/>
          <w:sz w:val="28"/>
          <w:szCs w:val="28"/>
          <w:shd w:val="clear" w:color="auto" w:fill="FFFFFF"/>
          <w:lang w:val="zh-CN"/>
        </w:rPr>
        <w:t xml:space="preserve">评审 </w:t>
      </w:r>
    </w:p>
    <w:p w14:paraId="0A0B7F81">
      <w:pPr>
        <w:spacing w:line="360" w:lineRule="auto"/>
        <w:ind w:firstLine="480" w:firstLineChars="200"/>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 xml:space="preserve"> </w:t>
      </w:r>
      <w:r>
        <w:rPr>
          <w:rFonts w:hint="eastAsia" w:eastAsia="仿宋" w:cs="Times New Roman"/>
          <w:bCs/>
          <w:color w:val="auto"/>
          <w:sz w:val="24"/>
          <w:szCs w:val="24"/>
          <w:lang w:val="en-US" w:eastAsia="zh-CN"/>
        </w:rPr>
        <w:t>1、</w:t>
      </w:r>
      <w:r>
        <w:rPr>
          <w:rFonts w:hint="default" w:ascii="Times New Roman" w:hAnsi="Times New Roman" w:eastAsia="仿宋" w:cs="Times New Roman"/>
          <w:bCs/>
          <w:color w:val="auto"/>
          <w:sz w:val="24"/>
          <w:szCs w:val="24"/>
          <w:lang w:val="zh-CN"/>
        </w:rPr>
        <w:t>磋商评审小组各成员应当遵循独立评审原则，按照磋商文件的评审方法和标准，对资格资质检查和符合性检查合格的磋商响应文件的商务和技术进行评估，并应当以书面方式发表各自（或集体）的具体综合评审意见。</w:t>
      </w:r>
    </w:p>
    <w:p w14:paraId="43F8BE2B">
      <w:pPr>
        <w:spacing w:line="360" w:lineRule="auto"/>
        <w:ind w:firstLine="480" w:firstLineChars="200"/>
        <w:rPr>
          <w:rFonts w:hint="default" w:ascii="Times New Roman" w:hAnsi="Times New Roman" w:eastAsia="仿宋" w:cs="Times New Roman"/>
          <w:bCs/>
          <w:color w:val="auto"/>
          <w:sz w:val="24"/>
          <w:szCs w:val="24"/>
          <w:lang w:val="zh-CN"/>
        </w:rPr>
      </w:pPr>
      <w:r>
        <w:rPr>
          <w:rFonts w:hint="eastAsia" w:eastAsia="仿宋" w:cs="Times New Roman"/>
          <w:bCs/>
          <w:color w:val="auto"/>
          <w:sz w:val="24"/>
          <w:szCs w:val="24"/>
          <w:lang w:val="en-US" w:eastAsia="zh-CN"/>
        </w:rPr>
        <w:t>2、</w:t>
      </w:r>
      <w:r>
        <w:rPr>
          <w:rFonts w:hint="default" w:ascii="Times New Roman" w:hAnsi="Times New Roman" w:eastAsia="仿宋" w:cs="Times New Roman"/>
          <w:bCs/>
          <w:color w:val="auto"/>
          <w:sz w:val="24"/>
          <w:szCs w:val="24"/>
          <w:lang w:val="zh-CN"/>
        </w:rPr>
        <w:t>评估和综合比较与评价，应当严格按照招标方设计格式要求，做好书面原始署名记录，连同书面谈判评审报告提交招标方。</w:t>
      </w:r>
    </w:p>
    <w:p w14:paraId="163B0A00">
      <w:pPr>
        <w:spacing w:line="360" w:lineRule="auto"/>
        <w:ind w:firstLine="480" w:firstLineChars="200"/>
        <w:rPr>
          <w:rFonts w:hint="default"/>
          <w:lang w:val="zh-CN"/>
        </w:rPr>
      </w:pPr>
      <w:r>
        <w:rPr>
          <w:rFonts w:hint="eastAsia" w:eastAsia="仿宋" w:cs="Times New Roman"/>
          <w:bCs/>
          <w:color w:val="auto"/>
          <w:sz w:val="24"/>
          <w:szCs w:val="24"/>
          <w:lang w:val="en-US" w:eastAsia="zh-CN"/>
        </w:rPr>
        <w:t>3、</w:t>
      </w:r>
      <w:r>
        <w:rPr>
          <w:rFonts w:hint="default" w:ascii="Times New Roman" w:hAnsi="Times New Roman" w:eastAsia="仿宋" w:cs="Times New Roman"/>
          <w:bCs/>
          <w:color w:val="auto"/>
          <w:sz w:val="24"/>
          <w:szCs w:val="24"/>
          <w:lang w:val="zh-CN"/>
        </w:rPr>
        <w:t>磋商评审小组各成员应当对每一个有效投标报价供应商的谈判响应文件，根据磋商文件中的要求进行具体评估。</w:t>
      </w:r>
    </w:p>
    <w:p w14:paraId="2CB493A8">
      <w:pPr>
        <w:spacing w:line="360" w:lineRule="auto"/>
        <w:ind w:firstLine="562" w:firstLineChars="200"/>
        <w:jc w:val="center"/>
        <w:rPr>
          <w:rFonts w:hint="default" w:ascii="Times New Roman" w:hAnsi="Times New Roman" w:eastAsia="仿宋" w:cs="Times New Roman"/>
          <w:b/>
          <w:bCs w:val="0"/>
          <w:color w:val="auto"/>
          <w:sz w:val="28"/>
          <w:szCs w:val="28"/>
          <w:lang w:val="zh-CN"/>
        </w:rPr>
      </w:pPr>
      <w:r>
        <w:rPr>
          <w:rFonts w:hint="default" w:ascii="Times New Roman" w:hAnsi="Times New Roman" w:eastAsia="仿宋" w:cs="Times New Roman"/>
          <w:b/>
          <w:bCs w:val="0"/>
          <w:color w:val="auto"/>
          <w:sz w:val="28"/>
          <w:szCs w:val="28"/>
          <w:lang w:val="zh-CN"/>
        </w:rPr>
        <w:t>符合性审查记录明细表</w:t>
      </w:r>
    </w:p>
    <w:tbl>
      <w:tblPr>
        <w:tblStyle w:val="36"/>
        <w:tblpPr w:leftFromText="180" w:rightFromText="180" w:vertAnchor="text" w:horzAnchor="page" w:tblpX="1363" w:tblpY="288"/>
        <w:tblOverlap w:val="never"/>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848"/>
        <w:gridCol w:w="2038"/>
      </w:tblGrid>
      <w:tr w14:paraId="132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535EEAD">
            <w:pPr>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序号</w:t>
            </w:r>
          </w:p>
        </w:tc>
        <w:tc>
          <w:tcPr>
            <w:tcW w:w="6848" w:type="dxa"/>
            <w:vAlign w:val="center"/>
          </w:tcPr>
          <w:p w14:paraId="7200560B">
            <w:pPr>
              <w:spacing w:line="360" w:lineRule="auto"/>
              <w:ind w:firstLine="480" w:firstLineChars="200"/>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审查项目</w:t>
            </w:r>
          </w:p>
        </w:tc>
        <w:tc>
          <w:tcPr>
            <w:tcW w:w="2038" w:type="dxa"/>
            <w:vAlign w:val="center"/>
          </w:tcPr>
          <w:p w14:paraId="1B6D1492">
            <w:pPr>
              <w:spacing w:line="360" w:lineRule="auto"/>
              <w:ind w:firstLine="480" w:firstLineChars="200"/>
              <w:jc w:val="both"/>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审查情况</w:t>
            </w:r>
          </w:p>
          <w:p w14:paraId="24C3E5B5">
            <w:pPr>
              <w:spacing w:line="360" w:lineRule="auto"/>
              <w:ind w:firstLine="240" w:firstLineChars="100"/>
              <w:jc w:val="both"/>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（是否符合）</w:t>
            </w:r>
          </w:p>
        </w:tc>
      </w:tr>
      <w:tr w14:paraId="76CA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4924FA9">
            <w:pPr>
              <w:spacing w:line="360" w:lineRule="auto"/>
              <w:ind w:firstLine="240" w:firstLineChars="100"/>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1</w:t>
            </w:r>
          </w:p>
        </w:tc>
        <w:tc>
          <w:tcPr>
            <w:tcW w:w="6848" w:type="dxa"/>
            <w:vAlign w:val="center"/>
          </w:tcPr>
          <w:p w14:paraId="66E33AA1">
            <w:pPr>
              <w:spacing w:line="360" w:lineRule="auto"/>
              <w:rPr>
                <w:rFonts w:hint="default" w:ascii="Times New Roman" w:hAnsi="Times New Roman" w:eastAsia="仿宋" w:cs="Times New Roman"/>
                <w:bCs/>
                <w:color w:val="auto"/>
                <w:sz w:val="24"/>
                <w:szCs w:val="24"/>
                <w:lang w:val="zh-CN"/>
              </w:rPr>
            </w:pPr>
            <w:r>
              <w:rPr>
                <w:rFonts w:hint="default" w:ascii="Times New Roman" w:hAnsi="Times New Roman" w:eastAsia="仿宋" w:cs="Times New Roman"/>
                <w:bCs/>
                <w:color w:val="auto"/>
                <w:sz w:val="24"/>
                <w:szCs w:val="24"/>
                <w:lang w:val="zh-CN"/>
              </w:rPr>
              <w:t>按照磋商文件规定要求在规定处签署、盖章</w:t>
            </w:r>
          </w:p>
        </w:tc>
        <w:tc>
          <w:tcPr>
            <w:tcW w:w="2038" w:type="dxa"/>
            <w:vAlign w:val="center"/>
          </w:tcPr>
          <w:p w14:paraId="3379691F">
            <w:pPr>
              <w:spacing w:line="360" w:lineRule="auto"/>
              <w:ind w:firstLine="480" w:firstLineChars="200"/>
              <w:rPr>
                <w:rFonts w:hint="default" w:ascii="Times New Roman" w:hAnsi="Times New Roman" w:eastAsia="仿宋" w:cs="Times New Roman"/>
                <w:bCs/>
                <w:color w:val="auto"/>
                <w:sz w:val="24"/>
                <w:szCs w:val="24"/>
                <w:lang w:val="zh-CN"/>
              </w:rPr>
            </w:pPr>
          </w:p>
        </w:tc>
      </w:tr>
      <w:tr w14:paraId="7E46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635FA08">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2</w:t>
            </w:r>
          </w:p>
        </w:tc>
        <w:tc>
          <w:tcPr>
            <w:tcW w:w="6848" w:type="dxa"/>
            <w:vAlign w:val="center"/>
          </w:tcPr>
          <w:p w14:paraId="6519F893">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磋商响应文件载明的采购项目</w:t>
            </w:r>
            <w:r>
              <w:rPr>
                <w:rFonts w:hint="eastAsia" w:eastAsia="仿宋" w:cs="Times New Roman"/>
                <w:bCs/>
                <w:color w:val="auto"/>
                <w:sz w:val="24"/>
                <w:szCs w:val="24"/>
                <w:lang w:val="zh-CN"/>
              </w:rPr>
              <w:t>服务期</w:t>
            </w:r>
            <w:r>
              <w:rPr>
                <w:rFonts w:hint="default" w:ascii="Times New Roman" w:hAnsi="Times New Roman" w:eastAsia="仿宋" w:cs="Times New Roman"/>
                <w:bCs/>
                <w:color w:val="auto"/>
                <w:sz w:val="24"/>
                <w:szCs w:val="24"/>
                <w:lang w:val="zh-CN"/>
              </w:rPr>
              <w:t>未超过磋商文件规定期限</w:t>
            </w:r>
          </w:p>
        </w:tc>
        <w:tc>
          <w:tcPr>
            <w:tcW w:w="2038" w:type="dxa"/>
            <w:vAlign w:val="center"/>
          </w:tcPr>
          <w:p w14:paraId="12160B02">
            <w:pPr>
              <w:spacing w:line="360" w:lineRule="auto"/>
              <w:ind w:firstLine="480" w:firstLineChars="200"/>
              <w:rPr>
                <w:rFonts w:hint="default" w:ascii="Times New Roman" w:hAnsi="Times New Roman" w:eastAsia="仿宋" w:cs="Times New Roman"/>
                <w:bCs/>
                <w:color w:val="auto"/>
                <w:sz w:val="24"/>
                <w:szCs w:val="24"/>
                <w:lang w:val="zh-CN"/>
              </w:rPr>
            </w:pPr>
          </w:p>
        </w:tc>
      </w:tr>
      <w:tr w14:paraId="380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606DD8E">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3</w:t>
            </w:r>
          </w:p>
        </w:tc>
        <w:tc>
          <w:tcPr>
            <w:tcW w:w="6848" w:type="dxa"/>
            <w:vAlign w:val="center"/>
          </w:tcPr>
          <w:p w14:paraId="5ADD7F21">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磋商响应文件中投标报价未超出最高限价</w:t>
            </w:r>
          </w:p>
        </w:tc>
        <w:tc>
          <w:tcPr>
            <w:tcW w:w="2038" w:type="dxa"/>
            <w:vAlign w:val="center"/>
          </w:tcPr>
          <w:p w14:paraId="0B32C2C1">
            <w:pPr>
              <w:spacing w:line="360" w:lineRule="auto"/>
              <w:ind w:firstLine="480" w:firstLineChars="200"/>
              <w:rPr>
                <w:rFonts w:hint="default" w:ascii="Times New Roman" w:hAnsi="Times New Roman" w:eastAsia="仿宋" w:cs="Times New Roman"/>
                <w:bCs/>
                <w:color w:val="auto"/>
                <w:sz w:val="24"/>
                <w:szCs w:val="24"/>
                <w:lang w:val="zh-CN"/>
              </w:rPr>
            </w:pPr>
          </w:p>
        </w:tc>
      </w:tr>
      <w:tr w14:paraId="6D24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D63323C">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4</w:t>
            </w:r>
          </w:p>
        </w:tc>
        <w:tc>
          <w:tcPr>
            <w:tcW w:w="6848" w:type="dxa"/>
            <w:vAlign w:val="center"/>
          </w:tcPr>
          <w:p w14:paraId="6E64C464">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磋商响应文件未附有采购人和招标方不能接受的条件</w:t>
            </w:r>
          </w:p>
        </w:tc>
        <w:tc>
          <w:tcPr>
            <w:tcW w:w="2038" w:type="dxa"/>
            <w:vAlign w:val="center"/>
          </w:tcPr>
          <w:p w14:paraId="596DF153">
            <w:pPr>
              <w:spacing w:line="360" w:lineRule="auto"/>
              <w:ind w:firstLine="480" w:firstLineChars="200"/>
              <w:rPr>
                <w:rFonts w:hint="default" w:ascii="Times New Roman" w:hAnsi="Times New Roman" w:eastAsia="仿宋" w:cs="Times New Roman"/>
                <w:bCs/>
                <w:color w:val="auto"/>
                <w:sz w:val="24"/>
                <w:szCs w:val="24"/>
                <w:lang w:val="zh-CN"/>
              </w:rPr>
            </w:pPr>
          </w:p>
        </w:tc>
      </w:tr>
      <w:tr w14:paraId="5F38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13D4F83">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5</w:t>
            </w:r>
          </w:p>
        </w:tc>
        <w:tc>
          <w:tcPr>
            <w:tcW w:w="6848" w:type="dxa"/>
            <w:vAlign w:val="center"/>
          </w:tcPr>
          <w:p w14:paraId="153979A7">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color w:val="auto"/>
                <w:sz w:val="24"/>
                <w:szCs w:val="24"/>
                <w:lang w:val="zh-CN"/>
              </w:rPr>
              <w:t>投标方未以他人名义投标、串通投标、以行贿手段谋取成交或者以其他弄虚作假方式投标报价</w:t>
            </w:r>
          </w:p>
        </w:tc>
        <w:tc>
          <w:tcPr>
            <w:tcW w:w="2038" w:type="dxa"/>
            <w:vAlign w:val="center"/>
          </w:tcPr>
          <w:p w14:paraId="325AC9C6">
            <w:pPr>
              <w:spacing w:line="360" w:lineRule="auto"/>
              <w:ind w:firstLine="480" w:firstLineChars="200"/>
              <w:rPr>
                <w:rFonts w:hint="default" w:ascii="Times New Roman" w:hAnsi="Times New Roman" w:eastAsia="仿宋" w:cs="Times New Roman"/>
                <w:bCs/>
                <w:color w:val="auto"/>
                <w:sz w:val="24"/>
                <w:szCs w:val="24"/>
                <w:lang w:val="zh-CN"/>
              </w:rPr>
            </w:pPr>
          </w:p>
        </w:tc>
      </w:tr>
      <w:tr w14:paraId="1035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DC3C906">
            <w:pPr>
              <w:spacing w:line="360" w:lineRule="auto"/>
              <w:ind w:firstLine="240" w:firstLineChars="100"/>
              <w:jc w:val="both"/>
              <w:rPr>
                <w:rFonts w:hint="default" w:ascii="Times New Roman" w:hAnsi="Times New Roman" w:eastAsia="仿宋" w:cs="Times New Roman"/>
                <w:bCs/>
                <w:color w:val="auto"/>
                <w:sz w:val="24"/>
                <w:szCs w:val="24"/>
                <w:lang w:val="zh-CN" w:eastAsia="zh-CN"/>
              </w:rPr>
            </w:pPr>
            <w:r>
              <w:rPr>
                <w:rFonts w:hint="default" w:ascii="Times New Roman" w:hAnsi="Times New Roman" w:eastAsia="仿宋" w:cs="Times New Roman"/>
                <w:bCs/>
                <w:color w:val="auto"/>
                <w:sz w:val="24"/>
                <w:szCs w:val="24"/>
                <w:lang w:val="en-US" w:eastAsia="zh-CN"/>
              </w:rPr>
              <w:t>6</w:t>
            </w:r>
          </w:p>
        </w:tc>
        <w:tc>
          <w:tcPr>
            <w:tcW w:w="6848" w:type="dxa"/>
            <w:vAlign w:val="center"/>
          </w:tcPr>
          <w:p w14:paraId="35AA5F2A">
            <w:pPr>
              <w:spacing w:line="360" w:lineRule="auto"/>
              <w:rPr>
                <w:rFonts w:hint="default" w:ascii="Times New Roman" w:hAnsi="Times New Roman" w:eastAsia="仿宋" w:cs="Times New Roman"/>
                <w:bCs/>
                <w:color w:val="auto"/>
                <w:kern w:val="2"/>
                <w:sz w:val="24"/>
                <w:szCs w:val="24"/>
                <w:lang w:val="zh-CN" w:eastAsia="zh-CN" w:bidi="ar-SA"/>
              </w:rPr>
            </w:pPr>
            <w:r>
              <w:rPr>
                <w:rFonts w:hint="default" w:ascii="Times New Roman" w:hAnsi="Times New Roman" w:eastAsia="仿宋" w:cs="Times New Roman"/>
                <w:bCs/>
                <w:sz w:val="24"/>
                <w:szCs w:val="24"/>
                <w:lang w:val="zh-CN"/>
              </w:rPr>
              <w:t>其他</w:t>
            </w:r>
            <w:r>
              <w:rPr>
                <w:rFonts w:hint="default" w:ascii="Times New Roman" w:hAnsi="Times New Roman" w:eastAsia="仿宋" w:cs="Times New Roman"/>
                <w:bCs/>
                <w:sz w:val="24"/>
                <w:szCs w:val="24"/>
              </w:rPr>
              <w:t>是否</w:t>
            </w:r>
            <w:r>
              <w:rPr>
                <w:rFonts w:hint="default" w:ascii="Times New Roman" w:hAnsi="Times New Roman" w:eastAsia="仿宋" w:cs="Times New Roman"/>
                <w:bCs/>
                <w:sz w:val="24"/>
                <w:szCs w:val="24"/>
                <w:lang w:val="zh-CN"/>
              </w:rPr>
              <w:t>符合法律、规章、规范性文件和招标文件规定的</w:t>
            </w:r>
          </w:p>
        </w:tc>
        <w:tc>
          <w:tcPr>
            <w:tcW w:w="2038" w:type="dxa"/>
            <w:vAlign w:val="center"/>
          </w:tcPr>
          <w:p w14:paraId="46138E32">
            <w:pPr>
              <w:spacing w:line="360" w:lineRule="auto"/>
              <w:ind w:firstLine="480" w:firstLineChars="200"/>
              <w:rPr>
                <w:rFonts w:hint="default" w:ascii="Times New Roman" w:hAnsi="Times New Roman" w:eastAsia="仿宋" w:cs="Times New Roman"/>
                <w:bCs/>
                <w:color w:val="auto"/>
                <w:sz w:val="24"/>
                <w:szCs w:val="24"/>
                <w:lang w:val="zh-CN"/>
              </w:rPr>
            </w:pPr>
          </w:p>
        </w:tc>
      </w:tr>
    </w:tbl>
    <w:p w14:paraId="3DACAF3D">
      <w:pPr>
        <w:pStyle w:val="9"/>
        <w:ind w:left="0" w:leftChars="0" w:firstLine="0" w:firstLineChars="0"/>
        <w:rPr>
          <w:rFonts w:hint="default" w:ascii="Times New Roman" w:hAnsi="Times New Roman" w:cs="Times New Roman"/>
        </w:rPr>
      </w:pPr>
    </w:p>
    <w:p w14:paraId="29B1D6C4">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4</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评标原则。磋商小组必须公平、公正、客观，不带任何倾向性和启发性；不得向外界透露任何与评标有关的内容；任何单位和个人不得干扰、影响评标的正常进行；磋商小组及有关工作人员不得私下与投标人接触。</w:t>
      </w:r>
    </w:p>
    <w:p w14:paraId="0FF020E2">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5</w:t>
      </w:r>
      <w:r>
        <w:rPr>
          <w:rFonts w:hint="default" w:ascii="Times New Roman" w:hAnsi="Times New Roman" w:eastAsia="仿宋" w:cs="Times New Roman"/>
          <w:bCs/>
          <w:color w:val="auto"/>
          <w:sz w:val="24"/>
          <w:szCs w:val="24"/>
        </w:rPr>
        <w:t>、评委将以</w:t>
      </w:r>
      <w:r>
        <w:rPr>
          <w:rFonts w:hint="default" w:ascii="Times New Roman" w:hAnsi="Times New Roman" w:eastAsia="仿宋" w:cs="Times New Roman"/>
          <w:bCs/>
          <w:color w:val="auto"/>
          <w:sz w:val="24"/>
          <w:szCs w:val="24"/>
          <w:lang w:eastAsia="zh-CN"/>
        </w:rPr>
        <w:t>招标竞争性磋商文件</w:t>
      </w:r>
      <w:r>
        <w:rPr>
          <w:rFonts w:hint="default" w:ascii="Times New Roman" w:hAnsi="Times New Roman" w:eastAsia="仿宋" w:cs="Times New Roman"/>
          <w:bCs/>
          <w:color w:val="auto"/>
          <w:sz w:val="24"/>
          <w:szCs w:val="24"/>
        </w:rPr>
        <w:t>为评标依据，</w:t>
      </w:r>
      <w:r>
        <w:rPr>
          <w:rFonts w:hint="default" w:ascii="Times New Roman" w:hAnsi="Times New Roman" w:eastAsia="仿宋" w:cs="Times New Roman"/>
          <w:bCs/>
          <w:color w:val="auto"/>
          <w:sz w:val="24"/>
          <w:szCs w:val="24"/>
          <w:lang w:eastAsia="zh-CN"/>
        </w:rPr>
        <w:t>满足招标文件需求后，报价最低的不一定为第一中标人</w:t>
      </w:r>
      <w:r>
        <w:rPr>
          <w:rFonts w:hint="default" w:ascii="Times New Roman" w:hAnsi="Times New Roman" w:eastAsia="仿宋" w:cs="Times New Roman"/>
          <w:bCs/>
          <w:color w:val="auto"/>
          <w:sz w:val="24"/>
          <w:szCs w:val="24"/>
        </w:rPr>
        <w:t>。评委会向招标负责单位报告评标情况及结果。根据有关规定，对未中标单位不作任何解释。为此，评委会对未中标单位要求说明理由均不予受理。</w:t>
      </w:r>
    </w:p>
    <w:p w14:paraId="39BD0C13">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6</w:t>
      </w:r>
      <w:r>
        <w:rPr>
          <w:rFonts w:hint="default" w:ascii="Times New Roman" w:hAnsi="Times New Roman" w:eastAsia="仿宋" w:cs="Times New Roman"/>
          <w:bCs/>
          <w:color w:val="auto"/>
          <w:sz w:val="24"/>
          <w:szCs w:val="24"/>
        </w:rPr>
        <w:t>、评标办法：综合评分法。综合评分法，是指</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满足磋商文件全部实质性要求且按评审因素的量化指标评审得分最高的供应商为成交候选供应商的评审方法。竞争性磋商采购方式，是指采购人、政府采购代理机构通过组建竞争性磋商小组（以下简称磋商小组）与符合条件的供应商就采购货物、工程和服务事宜进行磋商，供应商按照磋商文件的要求提交</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，采购人从磋商小组评审后提出的候选供应商名单中确定成交供应商的采购方式。</w:t>
      </w:r>
    </w:p>
    <w:p w14:paraId="28A7330F">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7</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综合评分的主要因素是：</w:t>
      </w:r>
      <w:r>
        <w:rPr>
          <w:rFonts w:hint="default" w:ascii="Times New Roman" w:hAnsi="Times New Roman" w:eastAsia="仿宋" w:cs="Times New Roman"/>
          <w:bCs/>
          <w:color w:val="auto"/>
          <w:sz w:val="24"/>
          <w:szCs w:val="24"/>
          <w:lang w:val="zh-CN"/>
        </w:rPr>
        <w:t>《评标（分）记录明细表》</w:t>
      </w:r>
    </w:p>
    <w:p w14:paraId="13EBAE7E">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w:t>
      </w:r>
      <w:r>
        <w:rPr>
          <w:rFonts w:hint="default" w:ascii="Times New Roman" w:hAnsi="Times New Roman" w:eastAsia="仿宋" w:cs="Times New Roman"/>
          <w:bCs/>
          <w:color w:val="auto"/>
          <w:sz w:val="24"/>
          <w:szCs w:val="24"/>
          <w:lang w:val="en-US" w:eastAsia="zh-CN"/>
        </w:rPr>
        <w:t>、</w:t>
      </w:r>
      <w:r>
        <w:rPr>
          <w:rFonts w:hint="default" w:ascii="Times New Roman" w:hAnsi="Times New Roman" w:eastAsia="仿宋" w:cs="Times New Roman"/>
          <w:bCs/>
          <w:color w:val="auto"/>
          <w:sz w:val="24"/>
          <w:szCs w:val="24"/>
        </w:rPr>
        <w:t>投标时的评审审查项目。</w:t>
      </w:r>
    </w:p>
    <w:p w14:paraId="2D643FC8">
      <w:pPr>
        <w:spacing w:line="360" w:lineRule="auto"/>
        <w:ind w:firstLine="480" w:firstLineChars="200"/>
        <w:rPr>
          <w:rFonts w:hint="default" w:ascii="Times New Roman" w:hAnsi="Times New Roman" w:eastAsia="仿宋" w:cs="Times New Roman"/>
          <w:bCs/>
          <w:color w:val="auto"/>
          <w:sz w:val="24"/>
          <w:szCs w:val="24"/>
        </w:rPr>
      </w:pPr>
      <w:r>
        <w:rPr>
          <w:rFonts w:hint="eastAsia" w:eastAsia="仿宋" w:cs="Times New Roman"/>
          <w:bCs/>
          <w:color w:val="auto"/>
          <w:sz w:val="24"/>
          <w:szCs w:val="24"/>
          <w:lang w:val="en-US" w:eastAsia="zh-CN"/>
        </w:rPr>
        <w:t>8.1</w:t>
      </w:r>
      <w:r>
        <w:rPr>
          <w:rFonts w:hint="default" w:ascii="Times New Roman" w:hAnsi="Times New Roman" w:eastAsia="仿宋" w:cs="Times New Roman"/>
          <w:bCs/>
          <w:color w:val="auto"/>
          <w:sz w:val="24"/>
          <w:szCs w:val="24"/>
        </w:rPr>
        <w:t>投标人合法经营和履行国家规定义务的有关证明。</w:t>
      </w:r>
    </w:p>
    <w:p w14:paraId="6996FD43">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8.2</w:t>
      </w:r>
      <w:r>
        <w:rPr>
          <w:rFonts w:hint="default" w:ascii="Times New Roman" w:hAnsi="Times New Roman" w:eastAsia="仿宋" w:cs="Times New Roman"/>
          <w:bCs/>
          <w:color w:val="auto"/>
          <w:sz w:val="24"/>
          <w:szCs w:val="24"/>
          <w:lang w:eastAsia="zh-CN"/>
        </w:rPr>
        <w:t>投标人企业基本情况、经营基本情况。</w:t>
      </w:r>
    </w:p>
    <w:p w14:paraId="520CC328">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8.3</w:t>
      </w:r>
      <w:r>
        <w:rPr>
          <w:rFonts w:hint="eastAsia" w:ascii="Times New Roman" w:hAnsi="Times New Roman" w:eastAsia="仿宋" w:cs="Times New Roman"/>
          <w:color w:val="auto"/>
          <w:sz w:val="24"/>
          <w:szCs w:val="24"/>
          <w:highlight w:val="none"/>
          <w:lang w:val="en-US" w:eastAsia="zh-CN"/>
        </w:rPr>
        <w:t>提供202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w:t>
      </w:r>
      <w:r>
        <w:rPr>
          <w:rFonts w:hint="eastAsia" w:eastAsia="仿宋" w:cs="Times New Roman"/>
          <w:color w:val="auto"/>
          <w:sz w:val="24"/>
          <w:lang w:eastAsia="zh-CN"/>
        </w:rPr>
        <w:t>承担相关行业服务工作履约能力材料</w:t>
      </w:r>
      <w:r>
        <w:rPr>
          <w:rFonts w:hint="default" w:ascii="Times New Roman" w:hAnsi="Times New Roman" w:eastAsia="仿宋" w:cs="Times New Roman"/>
          <w:bCs/>
          <w:color w:val="auto"/>
          <w:sz w:val="24"/>
          <w:szCs w:val="24"/>
          <w:lang w:eastAsia="zh-CN"/>
        </w:rPr>
        <w:t>。</w:t>
      </w:r>
    </w:p>
    <w:p w14:paraId="5A4A82B6">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lang w:val="en-US" w:eastAsia="zh-CN"/>
        </w:rPr>
        <w:t>8.4</w:t>
      </w:r>
      <w:r>
        <w:rPr>
          <w:rFonts w:hint="default" w:ascii="Times New Roman" w:hAnsi="Times New Roman" w:eastAsia="仿宋" w:cs="Times New Roman"/>
          <w:bCs/>
          <w:color w:val="auto"/>
          <w:sz w:val="24"/>
          <w:szCs w:val="24"/>
          <w:lang w:eastAsia="zh-CN"/>
        </w:rPr>
        <w:t>投标方提供服务保证及服务承诺。投标方应有能力履行招标文件中规定的、合同条款要求方面的、由卖方履行服务的义务。</w:t>
      </w:r>
    </w:p>
    <w:p w14:paraId="623EDDFD">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lang w:val="en-US" w:eastAsia="zh-CN"/>
        </w:rPr>
        <w:t>8.5</w:t>
      </w:r>
      <w:r>
        <w:rPr>
          <w:rFonts w:hint="default" w:ascii="Times New Roman" w:hAnsi="Times New Roman" w:eastAsia="仿宋" w:cs="Times New Roman"/>
          <w:bCs/>
          <w:color w:val="auto"/>
          <w:sz w:val="24"/>
          <w:szCs w:val="24"/>
          <w:lang w:eastAsia="zh-CN"/>
        </w:rPr>
        <w:t>投标方</w:t>
      </w:r>
      <w:r>
        <w:rPr>
          <w:rFonts w:hint="default" w:ascii="Times New Roman" w:hAnsi="Times New Roman" w:eastAsia="仿宋" w:cs="Times New Roman"/>
          <w:bCs/>
          <w:color w:val="auto"/>
          <w:sz w:val="24"/>
          <w:szCs w:val="24"/>
          <w:highlight w:val="none"/>
          <w:lang w:eastAsia="zh-CN"/>
        </w:rPr>
        <w:t>提供服务过程中的相关管理制度及工作流程。投标方应有能力履行招标文件中规定的、合同条款要求方面的、由卖方履行的工作任务。</w:t>
      </w:r>
    </w:p>
    <w:p w14:paraId="671F3CC0">
      <w:pPr>
        <w:spacing w:line="360" w:lineRule="auto"/>
        <w:ind w:firstLine="480" w:firstLineChars="200"/>
        <w:rPr>
          <w:rFonts w:hint="default" w:ascii="Times New Roman" w:hAnsi="Times New Roman" w:eastAsia="仿宋" w:cs="Times New Roman"/>
          <w:bCs/>
          <w:color w:val="auto"/>
          <w:sz w:val="24"/>
          <w:szCs w:val="24"/>
          <w:lang w:eastAsia="zh-CN"/>
        </w:rPr>
      </w:pPr>
      <w:r>
        <w:rPr>
          <w:rFonts w:hint="eastAsia" w:eastAsia="仿宋" w:cs="Times New Roman"/>
          <w:bCs/>
          <w:color w:val="auto"/>
          <w:sz w:val="24"/>
          <w:szCs w:val="24"/>
          <w:highlight w:val="none"/>
          <w:lang w:val="en-US" w:eastAsia="zh-CN"/>
        </w:rPr>
        <w:t>8.6</w:t>
      </w:r>
      <w:r>
        <w:rPr>
          <w:rFonts w:hint="eastAsia" w:ascii="Times New Roman" w:hAnsi="Times New Roman" w:eastAsia="仿宋" w:cs="Times New Roman"/>
          <w:bCs/>
          <w:color w:val="auto"/>
          <w:sz w:val="24"/>
          <w:szCs w:val="24"/>
          <w:lang w:eastAsia="zh-CN"/>
        </w:rPr>
        <w:t>提供2023年度或2024年度经审计过的财务审计报告或财务报表（财务报表应至少包括资产负债表、利润表、现金流量表或财务状况变动表等）或银行出具的近三个月的资</w:t>
      </w:r>
      <w:r>
        <w:rPr>
          <w:rFonts w:hint="eastAsia" w:eastAsia="仿宋" w:cs="Times New Roman"/>
          <w:bCs/>
          <w:color w:val="auto"/>
          <w:sz w:val="24"/>
          <w:szCs w:val="24"/>
          <w:lang w:eastAsia="zh-CN"/>
        </w:rPr>
        <w:t>金</w:t>
      </w:r>
      <w:r>
        <w:rPr>
          <w:rFonts w:hint="eastAsia" w:ascii="Times New Roman" w:hAnsi="Times New Roman" w:eastAsia="仿宋" w:cs="Times New Roman"/>
          <w:bCs/>
          <w:color w:val="auto"/>
          <w:sz w:val="24"/>
          <w:szCs w:val="24"/>
          <w:lang w:eastAsia="zh-CN"/>
        </w:rPr>
        <w:t>证明，新成立不足一年的投标人无法提供审计报告，则需提供开户银行出具的有效的资</w:t>
      </w:r>
      <w:r>
        <w:rPr>
          <w:rFonts w:hint="eastAsia" w:eastAsia="仿宋" w:cs="Times New Roman"/>
          <w:bCs/>
          <w:color w:val="auto"/>
          <w:sz w:val="24"/>
          <w:szCs w:val="24"/>
          <w:lang w:eastAsia="zh-CN"/>
        </w:rPr>
        <w:t>金</w:t>
      </w:r>
      <w:r>
        <w:rPr>
          <w:rFonts w:hint="eastAsia" w:ascii="Times New Roman" w:hAnsi="Times New Roman" w:eastAsia="仿宋" w:cs="Times New Roman"/>
          <w:bCs/>
          <w:color w:val="auto"/>
          <w:sz w:val="24"/>
          <w:szCs w:val="24"/>
          <w:lang w:eastAsia="zh-CN"/>
        </w:rPr>
        <w:t>证明；</w:t>
      </w:r>
    </w:p>
    <w:p w14:paraId="028BE5D8">
      <w:pPr>
        <w:spacing w:line="360" w:lineRule="auto"/>
        <w:ind w:firstLine="480" w:firstLineChars="200"/>
        <w:rPr>
          <w:rFonts w:hint="default" w:ascii="Times New Roman" w:hAnsi="Times New Roman" w:eastAsia="仿宋" w:cs="Times New Roman"/>
          <w:bCs/>
          <w:color w:val="auto"/>
          <w:sz w:val="24"/>
          <w:szCs w:val="24"/>
          <w:highlight w:val="none"/>
          <w:lang w:eastAsia="zh-CN"/>
        </w:rPr>
      </w:pPr>
      <w:r>
        <w:rPr>
          <w:rFonts w:hint="eastAsia" w:eastAsia="仿宋" w:cs="Times New Roman"/>
          <w:bCs/>
          <w:color w:val="auto"/>
          <w:sz w:val="24"/>
          <w:szCs w:val="24"/>
          <w:highlight w:val="none"/>
          <w:lang w:val="en-US" w:eastAsia="zh-CN"/>
        </w:rPr>
        <w:t>8.7</w:t>
      </w:r>
      <w:r>
        <w:rPr>
          <w:rFonts w:hint="default" w:ascii="Times New Roman" w:hAnsi="Times New Roman" w:eastAsia="仿宋" w:cs="Times New Roman"/>
          <w:bCs/>
          <w:color w:val="auto"/>
          <w:sz w:val="24"/>
          <w:szCs w:val="24"/>
          <w:highlight w:val="none"/>
          <w:lang w:eastAsia="zh-CN"/>
        </w:rPr>
        <w:t>本招标文件中除上述投标资质要求之外的其他方面的资质证明文件。</w:t>
      </w:r>
    </w:p>
    <w:p w14:paraId="1B9736DA">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w:t>
      </w:r>
      <w:r>
        <w:rPr>
          <w:rFonts w:hint="default" w:ascii="Times New Roman" w:hAnsi="Times New Roman" w:eastAsia="仿宋" w:cs="Times New Roman"/>
          <w:bCs/>
          <w:color w:val="auto"/>
          <w:sz w:val="24"/>
          <w:szCs w:val="24"/>
          <w:highlight w:val="none"/>
          <w:lang w:eastAsia="zh-CN"/>
        </w:rPr>
        <w:t>其他要求。</w:t>
      </w:r>
    </w:p>
    <w:p w14:paraId="5EB0A61D">
      <w:pPr>
        <w:spacing w:line="360" w:lineRule="auto"/>
        <w:ind w:firstLine="480" w:firstLineChars="200"/>
        <w:rPr>
          <w:rFonts w:hint="default" w:ascii="Times New Roman" w:hAnsi="Times New Roman" w:eastAsia="仿宋" w:cs="Times New Roman"/>
          <w:bCs/>
          <w:color w:val="auto"/>
          <w:sz w:val="24"/>
          <w:szCs w:val="24"/>
          <w:highlight w:val="none"/>
        </w:rPr>
      </w:pPr>
      <w:r>
        <w:rPr>
          <w:rFonts w:hint="eastAsia" w:eastAsia="仿宋" w:cs="Times New Roman"/>
          <w:bCs/>
          <w:color w:val="auto"/>
          <w:sz w:val="24"/>
          <w:szCs w:val="24"/>
          <w:highlight w:val="none"/>
          <w:lang w:val="en-US" w:eastAsia="zh-CN"/>
        </w:rPr>
        <w:t>8.8.1</w:t>
      </w:r>
      <w:r>
        <w:rPr>
          <w:rFonts w:hint="default" w:ascii="Times New Roman" w:hAnsi="Times New Roman" w:eastAsia="仿宋" w:cs="Times New Roman"/>
          <w:color w:val="auto"/>
          <w:sz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r>
        <w:rPr>
          <w:rFonts w:hint="default" w:ascii="Times New Roman" w:hAnsi="Times New Roman" w:eastAsia="仿宋" w:cs="Times New Roman"/>
          <w:bCs/>
          <w:color w:val="auto"/>
          <w:sz w:val="24"/>
          <w:szCs w:val="24"/>
          <w:highlight w:val="none"/>
        </w:rPr>
        <w:t>；</w:t>
      </w:r>
    </w:p>
    <w:p w14:paraId="6F3FE667">
      <w:pPr>
        <w:spacing w:line="360" w:lineRule="auto"/>
        <w:ind w:firstLine="480" w:firstLineChars="200"/>
        <w:rPr>
          <w:rFonts w:hint="default"/>
        </w:rPr>
      </w:pPr>
      <w:r>
        <w:rPr>
          <w:rFonts w:hint="eastAsia" w:eastAsia="仿宋" w:cs="Times New Roman"/>
          <w:bCs/>
          <w:color w:val="auto"/>
          <w:sz w:val="24"/>
          <w:szCs w:val="24"/>
          <w:lang w:val="en-US" w:eastAsia="zh-CN"/>
        </w:rPr>
        <w:t>8.8.2</w:t>
      </w:r>
      <w:r>
        <w:rPr>
          <w:rFonts w:hint="default" w:ascii="Times New Roman" w:hAnsi="Times New Roman" w:eastAsia="仿宋" w:cs="Times New Roman"/>
          <w:bCs/>
          <w:color w:val="auto"/>
          <w:sz w:val="24"/>
          <w:szCs w:val="24"/>
        </w:rPr>
        <w:t>投标人符合国家规定的资质；</w:t>
      </w:r>
    </w:p>
    <w:p w14:paraId="561F90C5">
      <w:pPr>
        <w:rPr>
          <w:rFonts w:hint="default" w:ascii="Times New Roman" w:hAnsi="Times New Roman" w:eastAsia="仿宋" w:cs="Times New Roman"/>
          <w:b/>
          <w:bCs/>
          <w:color w:val="000000"/>
          <w:sz w:val="44"/>
          <w:szCs w:val="44"/>
          <w:shd w:val="clear" w:color="auto" w:fill="FFFFFF"/>
          <w:lang w:eastAsia="zh-CN"/>
        </w:rPr>
      </w:pPr>
    </w:p>
    <w:p w14:paraId="4C46A54A">
      <w:pPr>
        <w:spacing w:line="240" w:lineRule="auto"/>
        <w:jc w:val="center"/>
        <w:rPr>
          <w:rFonts w:hint="default" w:ascii="Times New Roman" w:hAnsi="Times New Roman" w:eastAsia="仿宋" w:cs="Times New Roman"/>
          <w:b/>
          <w:bCs/>
          <w:color w:val="000000"/>
          <w:sz w:val="44"/>
          <w:szCs w:val="44"/>
          <w:shd w:val="clear" w:color="auto" w:fill="FFFFFF"/>
          <w:lang w:val="en-US" w:eastAsia="zh-CN"/>
        </w:rPr>
      </w:pPr>
      <w:r>
        <w:rPr>
          <w:rFonts w:hint="default" w:ascii="Times New Roman" w:hAnsi="Times New Roman" w:eastAsia="仿宋" w:cs="Times New Roman"/>
          <w:b/>
          <w:bCs/>
          <w:color w:val="000000"/>
          <w:sz w:val="44"/>
          <w:szCs w:val="44"/>
          <w:shd w:val="clear" w:color="auto" w:fill="FFFFFF"/>
          <w:lang w:eastAsia="zh-CN"/>
        </w:rPr>
        <w:t>第三部分</w:t>
      </w:r>
      <w:r>
        <w:rPr>
          <w:rFonts w:hint="default" w:ascii="Times New Roman" w:hAnsi="Times New Roman" w:eastAsia="仿宋" w:cs="Times New Roman"/>
          <w:b/>
          <w:bCs/>
          <w:color w:val="000000"/>
          <w:sz w:val="44"/>
          <w:szCs w:val="44"/>
          <w:shd w:val="clear" w:color="auto" w:fill="FFFFFF"/>
          <w:lang w:val="en-US" w:eastAsia="zh-CN"/>
        </w:rPr>
        <w:t xml:space="preserve">  评分标准</w:t>
      </w:r>
    </w:p>
    <w:p w14:paraId="38F9FF44">
      <w:pPr>
        <w:pStyle w:val="73"/>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eastAsia" w:ascii="Times New Roman" w:hAnsi="Times New Roman" w:eastAsia="仿宋" w:cs="Times New Roman"/>
          <w:b/>
          <w:color w:val="auto"/>
          <w:sz w:val="28"/>
          <w:szCs w:val="28"/>
          <w:highlight w:val="none"/>
          <w:lang w:val="en-US" w:eastAsia="zh-CN"/>
        </w:rPr>
      </w:pPr>
      <w:r>
        <w:rPr>
          <w:rFonts w:hint="default" w:ascii="Times New Roman" w:hAnsi="Times New Roman" w:eastAsia="仿宋" w:cs="Times New Roman"/>
          <w:b/>
          <w:color w:val="auto"/>
          <w:sz w:val="28"/>
          <w:szCs w:val="28"/>
          <w:highlight w:val="none"/>
        </w:rPr>
        <w:t>技术商务部分评分记录明细表</w:t>
      </w:r>
    </w:p>
    <w:tbl>
      <w:tblPr>
        <w:tblStyle w:val="35"/>
        <w:tblpPr w:leftFromText="180" w:rightFromText="180" w:vertAnchor="text" w:horzAnchor="page" w:tblpXSpec="center" w:tblpY="638"/>
        <w:tblOverlap w:val="never"/>
        <w:tblW w:w="110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366"/>
        <w:gridCol w:w="1200"/>
        <w:gridCol w:w="8024"/>
      </w:tblGrid>
      <w:tr w14:paraId="06965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465" w:type="dxa"/>
            <w:noWrap w:val="0"/>
            <w:vAlign w:val="center"/>
          </w:tcPr>
          <w:p w14:paraId="0E2706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序号</w:t>
            </w:r>
          </w:p>
        </w:tc>
        <w:tc>
          <w:tcPr>
            <w:tcW w:w="1366" w:type="dxa"/>
            <w:noWrap w:val="0"/>
            <w:vAlign w:val="center"/>
          </w:tcPr>
          <w:p w14:paraId="699E2BD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考核项目</w:t>
            </w:r>
          </w:p>
        </w:tc>
        <w:tc>
          <w:tcPr>
            <w:tcW w:w="1200" w:type="dxa"/>
            <w:noWrap w:val="0"/>
            <w:vAlign w:val="center"/>
          </w:tcPr>
          <w:p w14:paraId="48AD3C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分数标准</w:t>
            </w:r>
          </w:p>
        </w:tc>
        <w:tc>
          <w:tcPr>
            <w:tcW w:w="8024" w:type="dxa"/>
            <w:noWrap w:val="0"/>
            <w:vAlign w:val="center"/>
          </w:tcPr>
          <w:p w14:paraId="1F8603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评分标准</w:t>
            </w:r>
          </w:p>
        </w:tc>
      </w:tr>
      <w:tr w14:paraId="62865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noWrap w:val="0"/>
            <w:vAlign w:val="center"/>
          </w:tcPr>
          <w:p w14:paraId="78F637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w:t>
            </w:r>
          </w:p>
        </w:tc>
        <w:tc>
          <w:tcPr>
            <w:tcW w:w="1366" w:type="dxa"/>
            <w:noWrap w:val="0"/>
            <w:vAlign w:val="center"/>
          </w:tcPr>
          <w:p w14:paraId="53D099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技术部分</w:t>
            </w:r>
          </w:p>
        </w:tc>
        <w:tc>
          <w:tcPr>
            <w:tcW w:w="1200" w:type="dxa"/>
            <w:noWrap w:val="0"/>
            <w:vAlign w:val="center"/>
          </w:tcPr>
          <w:p w14:paraId="3C3530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70</w:t>
            </w:r>
            <w:r>
              <w:rPr>
                <w:rFonts w:hint="eastAsia" w:ascii="宋体" w:hAnsi="宋体" w:eastAsia="宋体" w:cs="宋体"/>
                <w:b/>
                <w:bCs/>
                <w:color w:val="auto"/>
                <w:kern w:val="2"/>
                <w:sz w:val="24"/>
                <w:szCs w:val="24"/>
                <w:highlight w:val="none"/>
                <w:lang w:val="en-US" w:eastAsia="zh-CN" w:bidi="ar-SA"/>
              </w:rPr>
              <w:t>分</w:t>
            </w:r>
          </w:p>
        </w:tc>
        <w:tc>
          <w:tcPr>
            <w:tcW w:w="8024" w:type="dxa"/>
            <w:noWrap w:val="0"/>
            <w:vAlign w:val="center"/>
          </w:tcPr>
          <w:p w14:paraId="2C6C3F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具体按下列标准要求进行评审</w:t>
            </w:r>
          </w:p>
        </w:tc>
      </w:tr>
      <w:tr w14:paraId="1B6A2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noWrap w:val="0"/>
            <w:vAlign w:val="center"/>
          </w:tcPr>
          <w:p w14:paraId="2E320755">
            <w:pPr>
              <w:spacing w:line="360" w:lineRule="auto"/>
              <w:ind w:firstLine="480" w:firstLineChars="200"/>
              <w:jc w:val="left"/>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1</w:t>
            </w:r>
            <w:r>
              <w:rPr>
                <w:rFonts w:hint="eastAsia" w:ascii="Times New Roman" w:hAnsi="Times New Roman" w:eastAsia="仿宋" w:cs="Times New Roman"/>
                <w:color w:val="auto"/>
                <w:sz w:val="24"/>
                <w:lang w:val="en-US" w:eastAsia="zh-CN"/>
              </w:rPr>
              <w:t>1</w:t>
            </w:r>
          </w:p>
        </w:tc>
        <w:tc>
          <w:tcPr>
            <w:tcW w:w="1366" w:type="dxa"/>
            <w:noWrap w:val="0"/>
            <w:vAlign w:val="center"/>
          </w:tcPr>
          <w:p w14:paraId="46F3516B">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项目管理方案</w:t>
            </w:r>
          </w:p>
        </w:tc>
        <w:tc>
          <w:tcPr>
            <w:tcW w:w="1200" w:type="dxa"/>
            <w:noWrap w:val="0"/>
            <w:vAlign w:val="center"/>
          </w:tcPr>
          <w:p w14:paraId="7A643988">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27分</w:t>
            </w:r>
          </w:p>
        </w:tc>
        <w:tc>
          <w:tcPr>
            <w:tcW w:w="8024" w:type="dxa"/>
            <w:noWrap w:val="0"/>
            <w:vAlign w:val="top"/>
          </w:tcPr>
          <w:p w14:paraId="2E3420E0">
            <w:pPr>
              <w:spacing w:line="360" w:lineRule="auto"/>
              <w:jc w:val="left"/>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根据本项目采购需求要求，对供应商</w:t>
            </w:r>
            <w:r>
              <w:rPr>
                <w:rFonts w:hint="default" w:ascii="Times New Roman" w:hAnsi="Times New Roman" w:eastAsia="仿宋" w:cs="Times New Roman"/>
                <w:color w:val="auto"/>
                <w:sz w:val="24"/>
                <w:lang w:val="en-US" w:eastAsia="zh-CN"/>
              </w:rPr>
              <w:t>提供的</w:t>
            </w:r>
            <w:r>
              <w:rPr>
                <w:rFonts w:hint="eastAsia" w:ascii="Times New Roman" w:hAnsi="Times New Roman" w:eastAsia="仿宋" w:cs="Times New Roman"/>
                <w:color w:val="auto"/>
                <w:sz w:val="24"/>
                <w:lang w:val="en-US" w:eastAsia="zh-CN"/>
              </w:rPr>
              <w:t>项目管理方案进行打分（方案须包含但不限于以下内容：</w:t>
            </w:r>
            <w:r>
              <w:rPr>
                <w:rFonts w:hint="default" w:ascii="Times New Roman" w:hAnsi="Times New Roman" w:eastAsia="仿宋" w:cs="Times New Roman"/>
                <w:color w:val="auto"/>
                <w:sz w:val="24"/>
                <w:lang w:val="en-US" w:eastAsia="zh-CN"/>
              </w:rPr>
              <w:t>项目</w:t>
            </w:r>
            <w:r>
              <w:rPr>
                <w:rFonts w:hint="eastAsia" w:ascii="Times New Roman" w:hAnsi="Times New Roman" w:eastAsia="仿宋" w:cs="Times New Roman"/>
                <w:color w:val="auto"/>
                <w:sz w:val="24"/>
                <w:lang w:val="en-US" w:eastAsia="zh-CN"/>
              </w:rPr>
              <w:t>管理原则</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项目人员管理</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项目管理制度</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项目讨论</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项目启动</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项目计划</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项目执行和控制</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项目完成</w:t>
            </w:r>
            <w:r>
              <w:rPr>
                <w:rFonts w:hint="default" w:ascii="Times New Roman" w:hAnsi="Times New Roman" w:eastAsia="仿宋" w:cs="Times New Roman"/>
                <w:color w:val="auto"/>
                <w:sz w:val="24"/>
                <w:lang w:val="en-US" w:eastAsia="zh-CN"/>
              </w:rPr>
              <w:t>、</w:t>
            </w:r>
            <w:r>
              <w:rPr>
                <w:rFonts w:hint="eastAsia" w:ascii="Times New Roman" w:hAnsi="Times New Roman" w:eastAsia="仿宋" w:cs="Times New Roman"/>
                <w:color w:val="auto"/>
                <w:sz w:val="24"/>
                <w:lang w:val="en-US" w:eastAsia="zh-CN"/>
              </w:rPr>
              <w:t>项目风险管理</w:t>
            </w:r>
            <w:r>
              <w:rPr>
                <w:rFonts w:hint="default" w:ascii="Times New Roman" w:hAnsi="Times New Roman" w:eastAsia="仿宋" w:cs="Times New Roman"/>
                <w:color w:val="auto"/>
                <w:sz w:val="24"/>
                <w:lang w:val="en-US" w:eastAsia="zh-CN"/>
              </w:rPr>
              <w:t>等</w:t>
            </w:r>
            <w:r>
              <w:rPr>
                <w:rFonts w:hint="eastAsia" w:ascii="Times New Roman" w:hAnsi="Times New Roman" w:eastAsia="仿宋" w:cs="Times New Roman"/>
                <w:color w:val="auto"/>
                <w:sz w:val="24"/>
                <w:lang w:val="en-US" w:eastAsia="zh-CN"/>
              </w:rPr>
              <w:t>）</w:t>
            </w:r>
          </w:p>
          <w:p w14:paraId="74050D96">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上述内容提供齐全且合理得</w:t>
            </w:r>
            <w:r>
              <w:rPr>
                <w:rFonts w:hint="default" w:ascii="Times New Roman" w:hAnsi="Times New Roman" w:eastAsia="仿宋" w:cs="Times New Roman"/>
                <w:color w:val="auto"/>
                <w:sz w:val="24"/>
                <w:lang w:val="en-US" w:eastAsia="zh-CN"/>
              </w:rPr>
              <w:t>27</w:t>
            </w:r>
            <w:r>
              <w:rPr>
                <w:rFonts w:hint="eastAsia" w:ascii="Times New Roman" w:hAnsi="Times New Roman" w:eastAsia="仿宋" w:cs="Times New Roman"/>
                <w:color w:val="auto"/>
                <w:sz w:val="24"/>
                <w:lang w:val="en-US" w:eastAsia="zh-CN"/>
              </w:rPr>
              <w:t>分，每有一项漏项的扣3分，每有一处内容存在不适用项目实际情况（与项目实际不匹配、不符合项目特点）、凭空捏造、套用其他无关内容、逻辑漏洞、科学原理错误，内容不完整、实用性差以及与本项目无关等情况的扣</w:t>
            </w:r>
            <w:r>
              <w:rPr>
                <w:rFonts w:hint="default" w:ascii="Times New Roman" w:hAnsi="Times New Roman" w:eastAsia="仿宋" w:cs="Times New Roman"/>
                <w:color w:val="auto"/>
                <w:sz w:val="24"/>
                <w:lang w:val="en-US" w:eastAsia="zh-CN"/>
              </w:rPr>
              <w:t>0.5</w:t>
            </w:r>
            <w:r>
              <w:rPr>
                <w:rFonts w:hint="eastAsia" w:ascii="Times New Roman" w:hAnsi="Times New Roman" w:eastAsia="仿宋" w:cs="Times New Roman"/>
                <w:color w:val="auto"/>
                <w:sz w:val="24"/>
                <w:lang w:val="en-US" w:eastAsia="zh-CN"/>
              </w:rPr>
              <w:t>分，扣完为止。</w:t>
            </w:r>
          </w:p>
          <w:p w14:paraId="3D5E3E51">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2BE67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jc w:val="center"/>
        </w:trPr>
        <w:tc>
          <w:tcPr>
            <w:tcW w:w="465" w:type="dxa"/>
            <w:noWrap w:val="0"/>
            <w:vAlign w:val="center"/>
          </w:tcPr>
          <w:p w14:paraId="011321E6">
            <w:pPr>
              <w:spacing w:line="360" w:lineRule="auto"/>
              <w:ind w:firstLine="480" w:firstLineChars="200"/>
              <w:jc w:val="left"/>
              <w:rPr>
                <w:rFonts w:hint="eastAsia" w:ascii="Times New Roman" w:hAnsi="Times New Roman" w:eastAsia="仿宋" w:cs="Times New Roman"/>
                <w:color w:val="auto"/>
                <w:sz w:val="24"/>
                <w:lang w:val="en-US" w:eastAsia="zh-CN"/>
              </w:rPr>
            </w:pPr>
            <w:r>
              <w:rPr>
                <w:rFonts w:hint="eastAsia" w:eastAsia="仿宋" w:cs="Times New Roman"/>
                <w:color w:val="auto"/>
                <w:sz w:val="24"/>
                <w:lang w:val="en-US" w:eastAsia="zh-CN"/>
              </w:rPr>
              <w:t>2</w:t>
            </w:r>
            <w:r>
              <w:rPr>
                <w:rFonts w:hint="eastAsia" w:ascii="Times New Roman" w:hAnsi="Times New Roman" w:eastAsia="仿宋" w:cs="Times New Roman"/>
                <w:color w:val="auto"/>
                <w:sz w:val="24"/>
                <w:lang w:val="en-US" w:eastAsia="zh-CN"/>
              </w:rPr>
              <w:t>2</w:t>
            </w:r>
          </w:p>
        </w:tc>
        <w:tc>
          <w:tcPr>
            <w:tcW w:w="1366" w:type="dxa"/>
            <w:noWrap w:val="0"/>
            <w:vAlign w:val="center"/>
          </w:tcPr>
          <w:p w14:paraId="61CA3316">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项目实施方案</w:t>
            </w:r>
          </w:p>
        </w:tc>
        <w:tc>
          <w:tcPr>
            <w:tcW w:w="1200" w:type="dxa"/>
            <w:noWrap w:val="0"/>
            <w:vAlign w:val="center"/>
          </w:tcPr>
          <w:p w14:paraId="31B0106B">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21分</w:t>
            </w:r>
          </w:p>
        </w:tc>
        <w:tc>
          <w:tcPr>
            <w:tcW w:w="8024" w:type="dxa"/>
            <w:noWrap w:val="0"/>
            <w:vAlign w:val="center"/>
          </w:tcPr>
          <w:p w14:paraId="691CBC12">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根据本项目采购需求要求，对供应商</w:t>
            </w:r>
            <w:r>
              <w:rPr>
                <w:rFonts w:hint="default" w:ascii="Times New Roman" w:hAnsi="Times New Roman" w:eastAsia="仿宋" w:cs="Times New Roman"/>
                <w:color w:val="auto"/>
                <w:sz w:val="24"/>
                <w:lang w:val="en-US" w:eastAsia="zh-CN"/>
              </w:rPr>
              <w:t>提供的</w:t>
            </w:r>
            <w:r>
              <w:rPr>
                <w:rFonts w:hint="eastAsia" w:ascii="Times New Roman" w:hAnsi="Times New Roman" w:eastAsia="仿宋" w:cs="Times New Roman"/>
                <w:color w:val="auto"/>
                <w:sz w:val="24"/>
                <w:lang w:val="en-US" w:eastAsia="zh-CN"/>
              </w:rPr>
              <w:t>项目实施方案进行打分（方案包含但不限于以下内容：总体进度计划、实施组织内容架构、保障措施及项目成果验收等）</w:t>
            </w:r>
          </w:p>
          <w:p w14:paraId="3071D742">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上述内容提供齐全且合理得21分；每有一项漏项的扣7分，每有一处内容存在不适用项目实际情况（与项目实际不匹配、不符合项目特点）、凭空捏造、套用其他无关内容、逻辑漏洞、科学原理错误，内容不完整、实用性差以及与本项目无关等情况的扣</w:t>
            </w:r>
            <w:r>
              <w:rPr>
                <w:rFonts w:hint="default"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val="en-US" w:eastAsia="zh-CN"/>
              </w:rPr>
              <w:t>分，扣完为止。</w:t>
            </w:r>
          </w:p>
          <w:p w14:paraId="53AC63BE">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69CA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9" w:hRule="atLeast"/>
          <w:jc w:val="center"/>
        </w:trPr>
        <w:tc>
          <w:tcPr>
            <w:tcW w:w="465" w:type="dxa"/>
            <w:noWrap w:val="0"/>
            <w:vAlign w:val="center"/>
          </w:tcPr>
          <w:p w14:paraId="1C53F644">
            <w:pPr>
              <w:spacing w:line="360" w:lineRule="auto"/>
              <w:ind w:firstLine="480" w:firstLineChars="200"/>
              <w:jc w:val="left"/>
              <w:rPr>
                <w:rFonts w:hint="default" w:ascii="Times New Roman" w:hAnsi="Times New Roman" w:eastAsia="仿宋" w:cs="Times New Roman"/>
                <w:color w:val="auto"/>
                <w:sz w:val="24"/>
                <w:lang w:val="en-US" w:eastAsia="zh-CN"/>
              </w:rPr>
            </w:pPr>
            <w:r>
              <w:rPr>
                <w:rFonts w:hint="eastAsia" w:eastAsia="仿宋" w:cs="Times New Roman"/>
                <w:color w:val="auto"/>
                <w:sz w:val="24"/>
                <w:lang w:val="en-US" w:eastAsia="zh-CN"/>
              </w:rPr>
              <w:t>3</w:t>
            </w:r>
            <w:r>
              <w:rPr>
                <w:rFonts w:hint="default" w:ascii="Times New Roman" w:hAnsi="Times New Roman" w:eastAsia="仿宋" w:cs="Times New Roman"/>
                <w:color w:val="auto"/>
                <w:sz w:val="24"/>
                <w:lang w:val="en-US" w:eastAsia="zh-CN"/>
              </w:rPr>
              <w:t>3</w:t>
            </w:r>
          </w:p>
        </w:tc>
        <w:tc>
          <w:tcPr>
            <w:tcW w:w="1366" w:type="dxa"/>
            <w:noWrap w:val="0"/>
            <w:vAlign w:val="center"/>
          </w:tcPr>
          <w:p w14:paraId="62522EFB">
            <w:pPr>
              <w:spacing w:line="360" w:lineRule="auto"/>
              <w:jc w:val="center"/>
              <w:rPr>
                <w:rFonts w:hint="eastAsia" w:ascii="Times New Roman" w:hAnsi="Times New Roman" w:eastAsia="仿宋" w:cs="Times New Roman"/>
                <w:color w:val="auto"/>
                <w:sz w:val="24"/>
                <w:lang w:val="en-US" w:eastAsia="en-US"/>
              </w:rPr>
            </w:pPr>
            <w:r>
              <w:rPr>
                <w:rFonts w:hint="eastAsia" w:ascii="Times New Roman" w:hAnsi="Times New Roman" w:eastAsia="仿宋" w:cs="Times New Roman"/>
                <w:color w:val="auto"/>
                <w:sz w:val="24"/>
                <w:lang w:val="en-US" w:eastAsia="zh-CN"/>
              </w:rPr>
              <w:t>宣传推广方案</w:t>
            </w:r>
          </w:p>
        </w:tc>
        <w:tc>
          <w:tcPr>
            <w:tcW w:w="1200" w:type="dxa"/>
            <w:noWrap w:val="0"/>
            <w:vAlign w:val="center"/>
          </w:tcPr>
          <w:p w14:paraId="06F837CC">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10分</w:t>
            </w:r>
          </w:p>
        </w:tc>
        <w:tc>
          <w:tcPr>
            <w:tcW w:w="8024" w:type="dxa"/>
            <w:noWrap w:val="0"/>
            <w:vAlign w:val="center"/>
          </w:tcPr>
          <w:p w14:paraId="026CC827">
            <w:pPr>
              <w:spacing w:line="360" w:lineRule="auto"/>
              <w:jc w:val="left"/>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根据本项目采购需求要求，对供应商</w:t>
            </w:r>
            <w:r>
              <w:rPr>
                <w:rFonts w:hint="default" w:ascii="Times New Roman" w:hAnsi="Times New Roman" w:eastAsia="仿宋" w:cs="Times New Roman"/>
                <w:color w:val="auto"/>
                <w:sz w:val="24"/>
                <w:lang w:val="en-US" w:eastAsia="zh-CN"/>
              </w:rPr>
              <w:t>提供的</w:t>
            </w:r>
            <w:r>
              <w:rPr>
                <w:rFonts w:hint="eastAsia" w:ascii="Times New Roman" w:hAnsi="Times New Roman" w:eastAsia="仿宋" w:cs="Times New Roman"/>
                <w:color w:val="auto"/>
                <w:sz w:val="24"/>
                <w:lang w:val="en-US" w:eastAsia="zh-CN"/>
              </w:rPr>
              <w:t>项目宣传推广方案进行打分（方案包含但不限于以下内容：推广导向、视频资料收集整理及剪辑加工、推广形式、推广内容策划等）</w:t>
            </w:r>
          </w:p>
          <w:p w14:paraId="69BD5A61">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上述内容提供齐全且合理得10分；每有一项漏项的扣2.5分，每有一处内容存在不适用项目实际情况（与项目实际不匹配、不符合项目特点）、凭空捏造、套用其他无关内容、逻辑漏洞、科学原理错误，内容不完整、实用性差以及与本项目无关等情况的扣0.5分，扣完为止。</w:t>
            </w:r>
          </w:p>
          <w:p w14:paraId="7538B28F">
            <w:pPr>
              <w:spacing w:line="360" w:lineRule="auto"/>
              <w:jc w:val="left"/>
              <w:rPr>
                <w:rFonts w:hint="eastAsia" w:ascii="Times New Roman" w:hAnsi="Times New Roman" w:eastAsia="仿宋" w:cs="Times New Roman"/>
                <w:color w:val="auto"/>
                <w:sz w:val="24"/>
                <w:lang w:val="en-US" w:eastAsia="en-US"/>
              </w:rPr>
            </w:pPr>
            <w:r>
              <w:rPr>
                <w:rFonts w:hint="eastAsia" w:ascii="Times New Roman" w:hAnsi="Times New Roman" w:eastAsia="仿宋" w:cs="Times New Roman"/>
                <w:color w:val="auto"/>
                <w:sz w:val="24"/>
                <w:lang w:val="en-US" w:eastAsia="zh-CN"/>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0BE5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9" w:hRule="atLeast"/>
          <w:jc w:val="center"/>
        </w:trPr>
        <w:tc>
          <w:tcPr>
            <w:tcW w:w="465" w:type="dxa"/>
            <w:noWrap w:val="0"/>
            <w:vAlign w:val="center"/>
          </w:tcPr>
          <w:p w14:paraId="0798372B">
            <w:pPr>
              <w:spacing w:line="360" w:lineRule="auto"/>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4</w:t>
            </w:r>
          </w:p>
        </w:tc>
        <w:tc>
          <w:tcPr>
            <w:tcW w:w="1366" w:type="dxa"/>
            <w:noWrap w:val="0"/>
            <w:vAlign w:val="center"/>
          </w:tcPr>
          <w:p w14:paraId="30244E5A">
            <w:pPr>
              <w:spacing w:line="360" w:lineRule="auto"/>
              <w:jc w:val="center"/>
              <w:rPr>
                <w:rFonts w:hint="eastAsia" w:ascii="Times New Roman" w:hAnsi="Times New Roman" w:eastAsia="仿宋" w:cs="Times New Roman"/>
                <w:color w:val="auto"/>
                <w:sz w:val="24"/>
                <w:lang w:val="en-US" w:eastAsia="en-US"/>
              </w:rPr>
            </w:pPr>
            <w:r>
              <w:rPr>
                <w:rFonts w:hint="eastAsia" w:ascii="Times New Roman" w:hAnsi="Times New Roman" w:eastAsia="仿宋" w:cs="Times New Roman"/>
                <w:color w:val="auto"/>
                <w:sz w:val="24"/>
                <w:lang w:val="en-US" w:eastAsia="zh-CN"/>
              </w:rPr>
              <w:t>应急处理方案</w:t>
            </w:r>
          </w:p>
        </w:tc>
        <w:tc>
          <w:tcPr>
            <w:tcW w:w="1200" w:type="dxa"/>
            <w:noWrap w:val="0"/>
            <w:vAlign w:val="center"/>
          </w:tcPr>
          <w:p w14:paraId="08B13974">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12分</w:t>
            </w:r>
          </w:p>
        </w:tc>
        <w:tc>
          <w:tcPr>
            <w:tcW w:w="8024" w:type="dxa"/>
            <w:noWrap w:val="0"/>
            <w:vAlign w:val="center"/>
          </w:tcPr>
          <w:p w14:paraId="6FF6CAA6">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根据本项目采购需求要求，对供应商</w:t>
            </w:r>
            <w:r>
              <w:rPr>
                <w:rFonts w:hint="default" w:ascii="Times New Roman" w:hAnsi="Times New Roman" w:eastAsia="仿宋" w:cs="Times New Roman"/>
                <w:color w:val="auto"/>
                <w:sz w:val="24"/>
                <w:lang w:val="en-US" w:eastAsia="zh-CN"/>
              </w:rPr>
              <w:t>提供的</w:t>
            </w:r>
            <w:r>
              <w:rPr>
                <w:rFonts w:hint="eastAsia" w:ascii="Times New Roman" w:hAnsi="Times New Roman" w:eastAsia="仿宋" w:cs="Times New Roman"/>
                <w:color w:val="auto"/>
                <w:sz w:val="24"/>
                <w:lang w:val="en-US" w:eastAsia="zh-CN"/>
              </w:rPr>
              <w:t>应急处理方案进行打分（方案包含但不限于以下内容：应急组织机构、应急响应时间、拍摄场地变动应急预案及其处理、教师变动应急预案及其处理措施、应急预案内容质量把控及其处理措施、后期制作阶段应急预案及其处理措施等）</w:t>
            </w:r>
          </w:p>
          <w:p w14:paraId="0AE2F7F8">
            <w:pPr>
              <w:spacing w:line="360" w:lineRule="auto"/>
              <w:jc w:val="left"/>
              <w:rPr>
                <w:rFonts w:hint="eastAsia" w:ascii="Times New Roman" w:hAnsi="Times New Roman" w:eastAsia="仿宋" w:cs="Times New Roman"/>
                <w:color w:val="auto"/>
                <w:sz w:val="24"/>
                <w:lang w:val="zh-CN" w:eastAsia="zh-CN"/>
              </w:rPr>
            </w:pPr>
            <w:r>
              <w:rPr>
                <w:rFonts w:hint="eastAsia" w:ascii="Times New Roman" w:hAnsi="Times New Roman" w:eastAsia="仿宋" w:cs="Times New Roman"/>
                <w:color w:val="auto"/>
                <w:sz w:val="24"/>
                <w:lang w:val="zh-CN" w:eastAsia="zh-CN"/>
              </w:rPr>
              <w:t>以上内容完整且完全满足项目要求得</w:t>
            </w:r>
            <w:r>
              <w:rPr>
                <w:rFonts w:hint="eastAsia" w:ascii="Times New Roman" w:hAnsi="Times New Roman" w:eastAsia="仿宋" w:cs="Times New Roman"/>
                <w:color w:val="auto"/>
                <w:sz w:val="24"/>
                <w:lang w:val="en-US" w:eastAsia="zh-CN"/>
              </w:rPr>
              <w:t>12</w:t>
            </w:r>
            <w:r>
              <w:rPr>
                <w:rFonts w:hint="eastAsia" w:ascii="Times New Roman" w:hAnsi="Times New Roman" w:eastAsia="仿宋" w:cs="Times New Roman"/>
                <w:color w:val="auto"/>
                <w:sz w:val="24"/>
                <w:lang w:val="zh-CN" w:eastAsia="zh-CN"/>
              </w:rPr>
              <w:t>分，每缺失一项内容扣</w:t>
            </w:r>
            <w:r>
              <w:rPr>
                <w:rFonts w:hint="eastAsia" w:ascii="Times New Roman" w:hAnsi="Times New Roman" w:eastAsia="仿宋" w:cs="Times New Roman"/>
                <w:color w:val="auto"/>
                <w:sz w:val="24"/>
                <w:lang w:val="en-US" w:eastAsia="zh-CN"/>
              </w:rPr>
              <w:t>2</w:t>
            </w:r>
            <w:r>
              <w:rPr>
                <w:rFonts w:hint="eastAsia" w:ascii="Times New Roman" w:hAnsi="Times New Roman" w:eastAsia="仿宋" w:cs="Times New Roman"/>
                <w:color w:val="auto"/>
                <w:sz w:val="24"/>
                <w:lang w:val="zh-CN" w:eastAsia="zh-CN"/>
              </w:rPr>
              <w:t>分，每项内容中有一处内容缺陷扣</w:t>
            </w:r>
            <w:r>
              <w:rPr>
                <w:rFonts w:hint="eastAsia" w:ascii="Times New Roman" w:hAnsi="Times New Roman" w:eastAsia="仿宋" w:cs="Times New Roman"/>
                <w:color w:val="auto"/>
                <w:sz w:val="24"/>
                <w:lang w:val="en-US" w:eastAsia="zh-CN"/>
              </w:rPr>
              <w:t>0.5</w:t>
            </w:r>
            <w:r>
              <w:rPr>
                <w:rFonts w:hint="eastAsia" w:ascii="Times New Roman" w:hAnsi="Times New Roman" w:eastAsia="仿宋" w:cs="Times New Roman"/>
                <w:color w:val="auto"/>
                <w:sz w:val="24"/>
                <w:lang w:val="zh-CN" w:eastAsia="zh-CN"/>
              </w:rPr>
              <w:t>分</w:t>
            </w:r>
            <w:r>
              <w:rPr>
                <w:rFonts w:hint="eastAsia" w:ascii="Times New Roman" w:hAnsi="Times New Roman" w:eastAsia="仿宋" w:cs="Times New Roman"/>
                <w:color w:val="auto"/>
                <w:sz w:val="24"/>
                <w:lang w:val="en-US" w:eastAsia="zh-CN"/>
              </w:rPr>
              <w:t>，扣完为止。</w:t>
            </w:r>
          </w:p>
          <w:p w14:paraId="0045DE2A">
            <w:pPr>
              <w:spacing w:line="360" w:lineRule="auto"/>
              <w:jc w:val="left"/>
              <w:rPr>
                <w:rFonts w:hint="eastAsia" w:ascii="Times New Roman" w:hAnsi="Times New Roman" w:eastAsia="仿宋" w:cs="Times New Roman"/>
                <w:color w:val="auto"/>
                <w:sz w:val="24"/>
                <w:lang w:val="en-US" w:eastAsia="en-US"/>
              </w:rPr>
            </w:pPr>
            <w:r>
              <w:rPr>
                <w:rFonts w:hint="eastAsia" w:ascii="Times New Roman" w:hAnsi="Times New Roman" w:eastAsia="仿宋" w:cs="Times New Roman"/>
                <w:color w:val="auto"/>
                <w:sz w:val="24"/>
                <w:lang w:val="en-US" w:eastAsia="zh-CN"/>
              </w:rPr>
              <w:t>（缺陷是指：项目信息内容错误、前后内容不一致、存在凭空编造、与实际情况不符、与实际情况结合程度低、针对性差、前后逻辑错误、涉及的规范及标准错误、相关内容简略粗泛或与本项目无关等任意一种情形）</w:t>
            </w:r>
          </w:p>
        </w:tc>
      </w:tr>
      <w:tr w14:paraId="1B6D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465" w:type="dxa"/>
            <w:noWrap w:val="0"/>
            <w:vAlign w:val="center"/>
          </w:tcPr>
          <w:p w14:paraId="7435009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p>
        </w:tc>
        <w:tc>
          <w:tcPr>
            <w:tcW w:w="1366" w:type="dxa"/>
            <w:noWrap w:val="0"/>
            <w:vAlign w:val="center"/>
          </w:tcPr>
          <w:p w14:paraId="58DE68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商务部分</w:t>
            </w:r>
          </w:p>
        </w:tc>
        <w:tc>
          <w:tcPr>
            <w:tcW w:w="1200" w:type="dxa"/>
            <w:noWrap w:val="0"/>
            <w:vAlign w:val="center"/>
          </w:tcPr>
          <w:p w14:paraId="1880C32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20</w:t>
            </w:r>
            <w:r>
              <w:rPr>
                <w:rFonts w:hint="eastAsia" w:ascii="宋体" w:hAnsi="宋体" w:eastAsia="宋体" w:cs="宋体"/>
                <w:b/>
                <w:bCs/>
                <w:color w:val="auto"/>
                <w:kern w:val="2"/>
                <w:sz w:val="24"/>
                <w:szCs w:val="24"/>
                <w:highlight w:val="none"/>
                <w:lang w:val="en-US" w:eastAsia="zh-CN" w:bidi="ar-SA"/>
              </w:rPr>
              <w:t>分</w:t>
            </w:r>
          </w:p>
        </w:tc>
        <w:tc>
          <w:tcPr>
            <w:tcW w:w="8024" w:type="dxa"/>
            <w:noWrap w:val="0"/>
            <w:vAlign w:val="center"/>
          </w:tcPr>
          <w:p w14:paraId="1C7653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具体按下列标准要求进行评审</w:t>
            </w:r>
          </w:p>
        </w:tc>
      </w:tr>
      <w:tr w14:paraId="4F4C9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465" w:type="dxa"/>
            <w:noWrap w:val="0"/>
            <w:vAlign w:val="center"/>
          </w:tcPr>
          <w:p w14:paraId="00D4FBC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366" w:type="dxa"/>
            <w:noWrap w:val="0"/>
            <w:vAlign w:val="center"/>
          </w:tcPr>
          <w:p w14:paraId="199A52FC">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项目团队</w:t>
            </w:r>
          </w:p>
        </w:tc>
        <w:tc>
          <w:tcPr>
            <w:tcW w:w="1200" w:type="dxa"/>
            <w:noWrap w:val="0"/>
            <w:vAlign w:val="center"/>
          </w:tcPr>
          <w:p w14:paraId="42E08ADE">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9分</w:t>
            </w:r>
          </w:p>
        </w:tc>
        <w:tc>
          <w:tcPr>
            <w:tcW w:w="8024" w:type="dxa"/>
            <w:noWrap w:val="0"/>
            <w:vAlign w:val="center"/>
          </w:tcPr>
          <w:p w14:paraId="2148BBC1">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 xml:space="preserve">拟派实施团队人员中，每有一位多媒体设计与制作、广播电视新闻、新媒体运营等相关专业人员，得3分，最多得9分。 提供以上人员有效的毕业证书或技能证书扫描件、身份证、社保证明（开标截止日前3个月由投标单位缴纳的社保单）。 </w:t>
            </w:r>
          </w:p>
        </w:tc>
      </w:tr>
      <w:tr w14:paraId="736B5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03" w:hRule="atLeast"/>
          <w:jc w:val="center"/>
        </w:trPr>
        <w:tc>
          <w:tcPr>
            <w:tcW w:w="465" w:type="dxa"/>
            <w:noWrap w:val="0"/>
            <w:vAlign w:val="center"/>
          </w:tcPr>
          <w:p w14:paraId="3C154D1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366" w:type="dxa"/>
            <w:noWrap w:val="0"/>
            <w:vAlign w:val="center"/>
          </w:tcPr>
          <w:p w14:paraId="1C680A55">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履约能力情况</w:t>
            </w:r>
          </w:p>
        </w:tc>
        <w:tc>
          <w:tcPr>
            <w:tcW w:w="1200" w:type="dxa"/>
            <w:noWrap w:val="0"/>
            <w:vAlign w:val="center"/>
          </w:tcPr>
          <w:p w14:paraId="563CAC77">
            <w:pPr>
              <w:spacing w:line="360" w:lineRule="auto"/>
              <w:jc w:val="center"/>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11分</w:t>
            </w:r>
          </w:p>
        </w:tc>
        <w:tc>
          <w:tcPr>
            <w:tcW w:w="8024" w:type="dxa"/>
            <w:noWrap w:val="0"/>
            <w:vAlign w:val="top"/>
          </w:tcPr>
          <w:p w14:paraId="7F2AE58E">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 xml:space="preserve">投标人自2022年1月1日至今（以合同签订日期为准），提供类似项目服务的成功案例，须提供有效的相关证明资料，每提供一份得3分，最高9分。 </w:t>
            </w:r>
          </w:p>
          <w:p w14:paraId="14BE1016">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 xml:space="preserve">投标人自2022年1月1日至今（以合同签订日期为准）提供大型活动服务类项目的服务案例，每提供一份得1分，最高2分。注：提供相关证明材料扫描件并加盖公章。" </w:t>
            </w:r>
          </w:p>
          <w:p w14:paraId="745E639A">
            <w:pPr>
              <w:spacing w:line="360" w:lineRule="auto"/>
              <w:jc w:val="left"/>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【注】业绩证明文件以中标/成交通知书或合同为准，包括但不限于：合同首页、合同盖章页、合同签字页及合同签订日期页。</w:t>
            </w:r>
          </w:p>
        </w:tc>
      </w:tr>
    </w:tbl>
    <w:p w14:paraId="1EC15509">
      <w:pPr>
        <w:pStyle w:val="44"/>
        <w:rPr>
          <w:rFonts w:hint="default"/>
        </w:rPr>
      </w:pPr>
    </w:p>
    <w:p w14:paraId="6A5C6C2E">
      <w:pPr>
        <w:keepNext w:val="0"/>
        <w:keepLines w:val="0"/>
        <w:pageBreakBefore w:val="0"/>
        <w:kinsoku/>
        <w:wordWrap/>
        <w:overflowPunct/>
        <w:topLinePunct w:val="0"/>
        <w:bidi w:val="0"/>
        <w:snapToGrid/>
        <w:spacing w:beforeAutospacing="0" w:afterAutospacing="0" w:line="360" w:lineRule="auto"/>
        <w:ind w:left="0" w:leftChars="0" w:right="0" w:rightChars="0"/>
        <w:rPr>
          <w:rFonts w:hint="default" w:ascii="Times New Roman" w:hAnsi="Times New Roman" w:eastAsia="仿宋" w:cs="Times New Roman"/>
          <w:b/>
          <w:sz w:val="32"/>
          <w:szCs w:val="32"/>
        </w:rPr>
      </w:pPr>
      <w:r>
        <w:rPr>
          <w:rFonts w:hint="default" w:ascii="Times New Roman" w:hAnsi="Times New Roman" w:eastAsia="仿宋" w:cs="Times New Roman"/>
          <w:b/>
          <w:color w:val="auto"/>
          <w:sz w:val="24"/>
          <w:szCs w:val="24"/>
          <w:highlight w:val="none"/>
        </w:rPr>
        <w:t xml:space="preserve">评审专家（签字）：                  </w:t>
      </w:r>
    </w:p>
    <w:p w14:paraId="69385482">
      <w:pPr>
        <w:tabs>
          <w:tab w:val="left" w:pos="8280"/>
        </w:tabs>
        <w:spacing w:line="360" w:lineRule="auto"/>
        <w:ind w:right="-1"/>
        <w:jc w:val="center"/>
        <w:rPr>
          <w:rFonts w:hint="default" w:ascii="Times New Roman" w:hAnsi="Times New Roman" w:eastAsia="仿宋" w:cs="Times New Roman"/>
          <w:b/>
          <w:sz w:val="24"/>
          <w:lang w:val="zh-CN"/>
        </w:rPr>
      </w:pPr>
      <w:r>
        <w:rPr>
          <w:rFonts w:hint="default" w:ascii="Times New Roman" w:hAnsi="Times New Roman" w:eastAsia="仿宋" w:cs="Times New Roman"/>
          <w:b/>
          <w:sz w:val="32"/>
          <w:szCs w:val="32"/>
        </w:rPr>
        <w:t>价格评标（分）记录明细表</w:t>
      </w:r>
    </w:p>
    <w:tbl>
      <w:tblPr>
        <w:tblStyle w:val="35"/>
        <w:tblpPr w:leftFromText="180" w:rightFromText="180" w:vertAnchor="text" w:horzAnchor="page" w:tblpX="497" w:tblpY="367"/>
        <w:tblOverlap w:val="never"/>
        <w:tblW w:w="108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8"/>
        <w:gridCol w:w="1267"/>
        <w:gridCol w:w="780"/>
        <w:gridCol w:w="4338"/>
        <w:gridCol w:w="688"/>
        <w:gridCol w:w="3310"/>
      </w:tblGrid>
      <w:tr w14:paraId="253A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488" w:type="dxa"/>
            <w:tcBorders>
              <w:top w:val="single" w:color="auto" w:sz="4" w:space="0"/>
              <w:bottom w:val="single" w:color="auto" w:sz="4" w:space="0"/>
            </w:tcBorders>
            <w:vAlign w:val="center"/>
          </w:tcPr>
          <w:p w14:paraId="1A2FB598">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序号</w:t>
            </w:r>
          </w:p>
        </w:tc>
        <w:tc>
          <w:tcPr>
            <w:tcW w:w="1267" w:type="dxa"/>
            <w:tcBorders>
              <w:top w:val="single" w:color="auto" w:sz="4" w:space="0"/>
              <w:bottom w:val="single" w:color="auto" w:sz="4" w:space="0"/>
            </w:tcBorders>
            <w:vAlign w:val="center"/>
          </w:tcPr>
          <w:p w14:paraId="21168C04">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考核项目</w:t>
            </w:r>
          </w:p>
        </w:tc>
        <w:tc>
          <w:tcPr>
            <w:tcW w:w="780" w:type="dxa"/>
            <w:tcBorders>
              <w:top w:val="single" w:color="auto" w:sz="4" w:space="0"/>
              <w:bottom w:val="single" w:color="auto" w:sz="4" w:space="0"/>
            </w:tcBorders>
            <w:vAlign w:val="center"/>
          </w:tcPr>
          <w:p w14:paraId="28BF2E18">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分数标准</w:t>
            </w:r>
          </w:p>
        </w:tc>
        <w:tc>
          <w:tcPr>
            <w:tcW w:w="4338" w:type="dxa"/>
            <w:tcBorders>
              <w:top w:val="single" w:color="auto" w:sz="4" w:space="0"/>
              <w:bottom w:val="single" w:color="auto" w:sz="4" w:space="0"/>
            </w:tcBorders>
            <w:vAlign w:val="center"/>
          </w:tcPr>
          <w:p w14:paraId="4A7D38D2">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评分标准（</w:t>
            </w:r>
            <w:r>
              <w:rPr>
                <w:rFonts w:hint="default" w:ascii="Times New Roman" w:hAnsi="Times New Roman" w:eastAsia="仿宋" w:cs="Times New Roman"/>
                <w:sz w:val="24"/>
                <w:szCs w:val="24"/>
              </w:rPr>
              <w:t>须作出评估具体依据和理由）</w:t>
            </w:r>
          </w:p>
        </w:tc>
        <w:tc>
          <w:tcPr>
            <w:tcW w:w="688" w:type="dxa"/>
            <w:vAlign w:val="center"/>
          </w:tcPr>
          <w:p w14:paraId="1FE6A598">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c>
          <w:tcPr>
            <w:tcW w:w="3310" w:type="dxa"/>
            <w:vAlign w:val="center"/>
          </w:tcPr>
          <w:p w14:paraId="71A87546">
            <w:pPr>
              <w:pStyle w:val="73"/>
              <w:spacing w:before="0" w:after="0" w:line="360" w:lineRule="auto"/>
              <w:ind w:left="0" w:leftChars="0" w:firstLine="0" w:firstLineChars="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具体评估（价）的依据及理由</w:t>
            </w:r>
          </w:p>
        </w:tc>
      </w:tr>
      <w:tr w14:paraId="7DD0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488" w:type="dxa"/>
            <w:tcBorders>
              <w:top w:val="single" w:color="auto" w:sz="4" w:space="0"/>
              <w:bottom w:val="single" w:color="auto" w:sz="4" w:space="0"/>
            </w:tcBorders>
            <w:vAlign w:val="center"/>
          </w:tcPr>
          <w:p w14:paraId="5E107BA6">
            <w:pPr>
              <w:spacing w:line="360" w:lineRule="auto"/>
              <w:jc w:val="center"/>
              <w:rPr>
                <w:rFonts w:hint="eastAsia" w:ascii="Times New Roman" w:hAnsi="Times New Roman" w:eastAsia="仿宋" w:cs="Times New Roman"/>
                <w:b/>
                <w:sz w:val="24"/>
                <w:szCs w:val="24"/>
                <w:lang w:eastAsia="zh-CN"/>
              </w:rPr>
            </w:pPr>
            <w:r>
              <w:rPr>
                <w:rFonts w:hint="eastAsia" w:eastAsia="仿宋" w:cs="Times New Roman"/>
                <w:b/>
                <w:bCs w:val="0"/>
                <w:sz w:val="24"/>
                <w:szCs w:val="24"/>
                <w:highlight w:val="none"/>
                <w:lang w:eastAsia="zh-CN"/>
              </w:rPr>
              <w:t>三</w:t>
            </w:r>
          </w:p>
        </w:tc>
        <w:tc>
          <w:tcPr>
            <w:tcW w:w="1267" w:type="dxa"/>
            <w:tcBorders>
              <w:top w:val="single" w:color="auto" w:sz="4" w:space="0"/>
              <w:bottom w:val="single" w:color="auto" w:sz="4" w:space="0"/>
            </w:tcBorders>
            <w:vAlign w:val="center"/>
          </w:tcPr>
          <w:p w14:paraId="74A709A3">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报价</w:t>
            </w:r>
          </w:p>
        </w:tc>
        <w:tc>
          <w:tcPr>
            <w:tcW w:w="780" w:type="dxa"/>
            <w:tcBorders>
              <w:top w:val="single" w:color="auto" w:sz="4" w:space="0"/>
              <w:bottom w:val="single" w:color="auto" w:sz="4" w:space="0"/>
            </w:tcBorders>
            <w:vAlign w:val="center"/>
          </w:tcPr>
          <w:p w14:paraId="56CE05F6">
            <w:pPr>
              <w:spacing w:line="360" w:lineRule="auto"/>
              <w:jc w:val="center"/>
              <w:rPr>
                <w:rFonts w:hint="default" w:ascii="Times New Roman" w:hAnsi="Times New Roman" w:eastAsia="仿宋" w:cs="Times New Roman"/>
                <w:b/>
                <w:sz w:val="24"/>
                <w:szCs w:val="24"/>
                <w:lang w:val="en-US" w:eastAsia="zh-CN"/>
              </w:rPr>
            </w:pPr>
            <w:r>
              <w:rPr>
                <w:rFonts w:hint="eastAsia" w:eastAsia="仿宋" w:cs="Times New Roman"/>
                <w:b/>
                <w:sz w:val="24"/>
                <w:szCs w:val="24"/>
                <w:lang w:val="en-US" w:eastAsia="zh-CN"/>
              </w:rPr>
              <w:t>10</w:t>
            </w:r>
          </w:p>
        </w:tc>
        <w:tc>
          <w:tcPr>
            <w:tcW w:w="4338" w:type="dxa"/>
            <w:tcBorders>
              <w:top w:val="single" w:color="auto" w:sz="4" w:space="0"/>
              <w:bottom w:val="single" w:color="auto" w:sz="4" w:space="0"/>
            </w:tcBorders>
            <w:vAlign w:val="center"/>
          </w:tcPr>
          <w:p w14:paraId="7190FE7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具体按下列标准要求进行评审</w:t>
            </w:r>
          </w:p>
        </w:tc>
        <w:tc>
          <w:tcPr>
            <w:tcW w:w="688" w:type="dxa"/>
            <w:vAlign w:val="center"/>
          </w:tcPr>
          <w:p w14:paraId="3DF19972">
            <w:pPr>
              <w:pStyle w:val="73"/>
              <w:spacing w:before="0" w:after="0" w:line="360" w:lineRule="auto"/>
              <w:ind w:firstLine="0"/>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得分</w:t>
            </w:r>
          </w:p>
        </w:tc>
        <w:tc>
          <w:tcPr>
            <w:tcW w:w="3310" w:type="dxa"/>
            <w:vAlign w:val="center"/>
          </w:tcPr>
          <w:p w14:paraId="66215F8A">
            <w:pPr>
              <w:pStyle w:val="73"/>
              <w:spacing w:before="0" w:after="0" w:line="360" w:lineRule="auto"/>
              <w:ind w:firstLine="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 xml:space="preserve">               报价</w:t>
            </w:r>
          </w:p>
        </w:tc>
      </w:tr>
      <w:tr w14:paraId="1647C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78" w:hRule="atLeast"/>
        </w:trPr>
        <w:tc>
          <w:tcPr>
            <w:tcW w:w="488" w:type="dxa"/>
            <w:tcBorders>
              <w:top w:val="single" w:color="auto" w:sz="4" w:space="0"/>
              <w:bottom w:val="single" w:color="auto" w:sz="4" w:space="0"/>
            </w:tcBorders>
            <w:vAlign w:val="center"/>
          </w:tcPr>
          <w:p w14:paraId="6A956B03">
            <w:pPr>
              <w:spacing w:line="36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1</w:t>
            </w:r>
          </w:p>
        </w:tc>
        <w:tc>
          <w:tcPr>
            <w:tcW w:w="1267" w:type="dxa"/>
            <w:tcBorders>
              <w:top w:val="single" w:color="auto" w:sz="4" w:space="0"/>
              <w:bottom w:val="single" w:color="auto" w:sz="4" w:space="0"/>
            </w:tcBorders>
            <w:vAlign w:val="center"/>
          </w:tcPr>
          <w:p w14:paraId="6AEF4816">
            <w:pPr>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最终报价</w:t>
            </w:r>
          </w:p>
        </w:tc>
        <w:tc>
          <w:tcPr>
            <w:tcW w:w="780" w:type="dxa"/>
            <w:tcBorders>
              <w:top w:val="single" w:color="auto" w:sz="4" w:space="0"/>
              <w:bottom w:val="single" w:color="auto" w:sz="4" w:space="0"/>
            </w:tcBorders>
            <w:vAlign w:val="center"/>
          </w:tcPr>
          <w:p w14:paraId="004E0980">
            <w:pPr>
              <w:spacing w:line="360" w:lineRule="auto"/>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1</w:t>
            </w:r>
            <w:r>
              <w:rPr>
                <w:rFonts w:hint="eastAsia" w:eastAsia="仿宋" w:cs="Times New Roman"/>
                <w:sz w:val="24"/>
                <w:szCs w:val="24"/>
                <w:lang w:eastAsia="zh-CN"/>
              </w:rPr>
              <w:t>0</w:t>
            </w:r>
            <w:r>
              <w:rPr>
                <w:rFonts w:hint="default" w:ascii="Times New Roman" w:hAnsi="Times New Roman" w:eastAsia="仿宋" w:cs="Times New Roman"/>
                <w:sz w:val="24"/>
                <w:szCs w:val="24"/>
              </w:rPr>
              <w:t>分</w:t>
            </w:r>
          </w:p>
        </w:tc>
        <w:tc>
          <w:tcPr>
            <w:tcW w:w="4338" w:type="dxa"/>
            <w:tcBorders>
              <w:top w:val="single" w:color="auto" w:sz="4" w:space="0"/>
              <w:bottom w:val="single" w:color="auto" w:sz="4" w:space="0"/>
            </w:tcBorders>
            <w:vAlign w:val="center"/>
          </w:tcPr>
          <w:p w14:paraId="35A85CB7">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价格分应当采用低价优先法计算，即满足招标文件要求且投标价格最低的投标报价为评标基准价，其价格分为满分。其他投标人的价格分统一按照下列公式计算：</w:t>
            </w:r>
          </w:p>
          <w:p w14:paraId="5491889E">
            <w:pPr>
              <w:spacing w:line="36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投标报价得分=(评标基准价／投标报价)×100×</w:t>
            </w:r>
            <w:r>
              <w:rPr>
                <w:rFonts w:hint="eastAsia" w:eastAsia="仿宋" w:cs="Times New Roman"/>
                <w:color w:val="auto"/>
                <w:sz w:val="24"/>
                <w:szCs w:val="24"/>
                <w:lang w:val="en-US" w:eastAsia="zh-CN"/>
              </w:rPr>
              <w:t>1</w:t>
            </w:r>
            <w:r>
              <w:rPr>
                <w:rFonts w:hint="eastAsia" w:eastAsia="仿宋" w:cs="Times New Roman"/>
                <w:color w:val="auto"/>
                <w:sz w:val="24"/>
                <w:szCs w:val="24"/>
                <w:lang w:eastAsia="zh-CN"/>
              </w:rPr>
              <w:t>0</w:t>
            </w:r>
            <w:r>
              <w:rPr>
                <w:rFonts w:hint="default" w:ascii="Times New Roman" w:hAnsi="Times New Roman" w:eastAsia="仿宋" w:cs="Times New Roman"/>
                <w:color w:val="auto"/>
                <w:sz w:val="24"/>
                <w:szCs w:val="24"/>
              </w:rPr>
              <w:t>%</w:t>
            </w:r>
          </w:p>
          <w:p w14:paraId="3F9D9CFA">
            <w:pPr>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color w:val="auto"/>
                <w:sz w:val="24"/>
                <w:szCs w:val="24"/>
              </w:rPr>
              <w:t>评估具体依据和理由用其报价金额表述。</w:t>
            </w:r>
          </w:p>
        </w:tc>
        <w:tc>
          <w:tcPr>
            <w:tcW w:w="688" w:type="dxa"/>
            <w:vAlign w:val="top"/>
          </w:tcPr>
          <w:p w14:paraId="4B4C2708">
            <w:pPr>
              <w:pStyle w:val="73"/>
              <w:spacing w:before="0" w:after="0" w:line="360" w:lineRule="auto"/>
              <w:rPr>
                <w:rFonts w:hint="default" w:ascii="Times New Roman" w:hAnsi="Times New Roman" w:eastAsia="仿宋" w:cs="Times New Roman"/>
                <w:sz w:val="24"/>
                <w:szCs w:val="24"/>
              </w:rPr>
            </w:pPr>
          </w:p>
        </w:tc>
        <w:tc>
          <w:tcPr>
            <w:tcW w:w="3310" w:type="dxa"/>
            <w:vAlign w:val="top"/>
          </w:tcPr>
          <w:p w14:paraId="79B1FF4F">
            <w:pPr>
              <w:pStyle w:val="73"/>
              <w:spacing w:before="0" w:after="0" w:line="360" w:lineRule="auto"/>
              <w:rPr>
                <w:rFonts w:hint="default" w:ascii="Times New Roman" w:hAnsi="Times New Roman" w:eastAsia="仿宋" w:cs="Times New Roman"/>
                <w:b/>
                <w:sz w:val="24"/>
                <w:szCs w:val="24"/>
              </w:rPr>
            </w:pPr>
          </w:p>
          <w:p w14:paraId="2661920B">
            <w:pPr>
              <w:pStyle w:val="73"/>
              <w:spacing w:before="0" w:after="0" w:line="360" w:lineRule="auto"/>
              <w:rPr>
                <w:rFonts w:hint="default" w:ascii="Times New Roman" w:hAnsi="Times New Roman" w:eastAsia="仿宋" w:cs="Times New Roman"/>
                <w:b/>
                <w:sz w:val="24"/>
                <w:szCs w:val="24"/>
              </w:rPr>
            </w:pPr>
          </w:p>
          <w:p w14:paraId="6F3E819A">
            <w:pPr>
              <w:pStyle w:val="73"/>
              <w:spacing w:before="0" w:after="0" w:line="360" w:lineRule="auto"/>
              <w:ind w:firstLine="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元</w:t>
            </w:r>
          </w:p>
        </w:tc>
      </w:tr>
    </w:tbl>
    <w:p w14:paraId="02E29C4B">
      <w:pPr>
        <w:tabs>
          <w:tab w:val="left" w:pos="8280"/>
        </w:tabs>
        <w:spacing w:line="360" w:lineRule="auto"/>
        <w:ind w:right="-1"/>
        <w:rPr>
          <w:rFonts w:hint="default" w:ascii="Times New Roman" w:hAnsi="Times New Roman" w:eastAsia="仿宋" w:cs="Times New Roman"/>
          <w:bCs/>
          <w:color w:val="auto"/>
          <w:sz w:val="24"/>
          <w:lang w:val="zh-CN"/>
        </w:rPr>
      </w:pPr>
      <w:r>
        <w:rPr>
          <w:rFonts w:hint="default" w:ascii="Times New Roman" w:hAnsi="Times New Roman" w:eastAsia="仿宋" w:cs="Times New Roman"/>
          <w:b/>
          <w:sz w:val="24"/>
          <w:szCs w:val="24"/>
        </w:rPr>
        <w:t>评审专家（签字）：                  核对人：           录入人：</w:t>
      </w:r>
    </w:p>
    <w:p w14:paraId="1DB9C2E1">
      <w:pPr>
        <w:tabs>
          <w:tab w:val="left" w:pos="8280"/>
        </w:tabs>
        <w:spacing w:line="360" w:lineRule="auto"/>
        <w:rPr>
          <w:rFonts w:hint="default" w:ascii="Times New Roman" w:hAnsi="Times New Roman" w:eastAsia="仿宋" w:cs="Times New Roman"/>
          <w:bCs/>
          <w:color w:val="auto"/>
          <w:sz w:val="24"/>
          <w:lang w:val="zh-CN"/>
        </w:rPr>
      </w:pPr>
    </w:p>
    <w:p w14:paraId="057FD51D">
      <w:pPr>
        <w:tabs>
          <w:tab w:val="left" w:pos="8280"/>
        </w:tabs>
        <w:spacing w:line="360" w:lineRule="auto"/>
        <w:rPr>
          <w:rFonts w:hint="default" w:ascii="Times New Roman" w:hAnsi="Times New Roman" w:eastAsia="仿宋" w:cs="Times New Roman"/>
          <w:bCs/>
          <w:color w:val="auto"/>
          <w:sz w:val="24"/>
          <w:lang w:val="zh-CN"/>
        </w:rPr>
      </w:pPr>
    </w:p>
    <w:p w14:paraId="3460796D">
      <w:pPr>
        <w:tabs>
          <w:tab w:val="left" w:pos="8280"/>
        </w:tabs>
        <w:spacing w:line="360" w:lineRule="auto"/>
        <w:rPr>
          <w:rFonts w:hint="default" w:ascii="Times New Roman" w:hAnsi="Times New Roman" w:eastAsia="仿宋" w:cs="Times New Roman"/>
          <w:bCs/>
          <w:color w:val="auto"/>
          <w:sz w:val="24"/>
          <w:lang w:val="zh-CN"/>
        </w:rPr>
      </w:pPr>
    </w:p>
    <w:p w14:paraId="4DB99B58">
      <w:pPr>
        <w:tabs>
          <w:tab w:val="left" w:pos="8280"/>
        </w:tabs>
        <w:spacing w:line="360" w:lineRule="auto"/>
        <w:rPr>
          <w:rFonts w:hint="default" w:ascii="Times New Roman" w:hAnsi="Times New Roman" w:eastAsia="仿宋" w:cs="Times New Roman"/>
          <w:bCs/>
          <w:color w:val="auto"/>
          <w:sz w:val="24"/>
          <w:lang w:val="zh-CN"/>
        </w:rPr>
      </w:pPr>
    </w:p>
    <w:p w14:paraId="7156FB05">
      <w:pPr>
        <w:tabs>
          <w:tab w:val="left" w:pos="8280"/>
        </w:tabs>
        <w:spacing w:line="360" w:lineRule="auto"/>
        <w:rPr>
          <w:rFonts w:hint="default" w:ascii="Times New Roman" w:hAnsi="Times New Roman" w:eastAsia="仿宋" w:cs="Times New Roman"/>
          <w:b/>
          <w:bCs w:val="0"/>
          <w:color w:val="auto"/>
          <w:sz w:val="24"/>
          <w:highlight w:val="none"/>
          <w:lang w:val="zh-CN"/>
        </w:rPr>
      </w:pPr>
      <w:r>
        <w:rPr>
          <w:rFonts w:hint="eastAsia" w:eastAsia="仿宋" w:cs="Times New Roman"/>
          <w:b/>
          <w:bCs w:val="0"/>
          <w:color w:val="auto"/>
          <w:sz w:val="24"/>
          <w:highlight w:val="none"/>
          <w:lang w:val="zh-CN"/>
        </w:rPr>
        <w:t>（一）</w:t>
      </w:r>
      <w:r>
        <w:rPr>
          <w:rFonts w:hint="default" w:ascii="Times New Roman" w:hAnsi="Times New Roman" w:eastAsia="仿宋" w:cs="Times New Roman"/>
          <w:b/>
          <w:bCs w:val="0"/>
          <w:color w:val="auto"/>
          <w:sz w:val="24"/>
          <w:highlight w:val="none"/>
          <w:lang w:val="zh-CN"/>
        </w:rPr>
        <w:t>中小企业价格折扣比例及方法</w:t>
      </w:r>
    </w:p>
    <w:tbl>
      <w:tblPr>
        <w:tblStyle w:val="35"/>
        <w:tblW w:w="10135"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5"/>
      </w:tblGrid>
      <w:tr w14:paraId="12B7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vAlign w:val="top"/>
          </w:tcPr>
          <w:p w14:paraId="2D531A8D">
            <w:pPr>
              <w:spacing w:line="360" w:lineRule="auto"/>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根据中华人民共和国财政部、中华人民共和国工业和信息化部《关于印发《政府采购促进中小企业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办法》的通知》（财库[20</w:t>
            </w:r>
            <w:r>
              <w:rPr>
                <w:rFonts w:hint="default" w:ascii="Times New Roman" w:hAnsi="Times New Roman" w:eastAsia="仿宋" w:cs="Times New Roman"/>
                <w:bCs/>
                <w:color w:val="auto"/>
                <w:kern w:val="2"/>
                <w:sz w:val="24"/>
                <w:szCs w:val="22"/>
                <w:highlight w:val="none"/>
                <w:lang w:val="en-US" w:eastAsia="zh-CN"/>
              </w:rPr>
              <w:t>20</w:t>
            </w:r>
            <w:r>
              <w:rPr>
                <w:rFonts w:hint="default" w:ascii="Times New Roman" w:hAnsi="Times New Roman" w:eastAsia="仿宋" w:cs="Times New Roman"/>
                <w:bCs/>
                <w:color w:val="auto"/>
                <w:kern w:val="2"/>
                <w:sz w:val="24"/>
                <w:szCs w:val="22"/>
                <w:highlight w:val="none"/>
                <w:lang w:val="zh-CN"/>
              </w:rPr>
              <w:t>]</w:t>
            </w:r>
            <w:r>
              <w:rPr>
                <w:rFonts w:hint="default" w:ascii="Times New Roman" w:hAnsi="Times New Roman" w:eastAsia="仿宋" w:cs="Times New Roman"/>
                <w:bCs/>
                <w:color w:val="auto"/>
                <w:kern w:val="2"/>
                <w:sz w:val="24"/>
                <w:szCs w:val="22"/>
                <w:highlight w:val="none"/>
                <w:lang w:val="en-US" w:eastAsia="zh-CN"/>
              </w:rPr>
              <w:t>46</w:t>
            </w:r>
            <w:r>
              <w:rPr>
                <w:rFonts w:hint="default" w:ascii="Times New Roman" w:hAnsi="Times New Roman" w:eastAsia="仿宋" w:cs="Times New Roman"/>
                <w:bCs/>
                <w:color w:val="auto"/>
                <w:kern w:val="2"/>
                <w:sz w:val="24"/>
                <w:szCs w:val="22"/>
                <w:highlight w:val="none"/>
                <w:lang w:val="zh-CN"/>
              </w:rPr>
              <w:t>号文）文件的规定,属于中小企业评审优惠内容及幅度如下:</w:t>
            </w:r>
          </w:p>
          <w:p w14:paraId="4166127D">
            <w:pPr>
              <w:pStyle w:val="14"/>
              <w:numPr>
                <w:ilvl w:val="0"/>
                <w:numId w:val="5"/>
              </w:numPr>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中小企业(含中型、小型、微型企业)应当同时符合以下条件:</w:t>
            </w:r>
          </w:p>
          <w:p w14:paraId="036F856B">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符合中小企业划分标准(按《关于印发中小企业划型标准规定的通知》(工信部联企业(2011)300号)执行)</w:t>
            </w:r>
          </w:p>
          <w:p w14:paraId="3FF2C0BE">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2</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提供本企业制造的货物、承担的项目或者服务,或者提供其他中小企业制造的货物。</w:t>
            </w:r>
          </w:p>
          <w:p w14:paraId="5CF210C4">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本项所称货物不包括使用大型企业注册商标的货物;</w:t>
            </w:r>
          </w:p>
          <w:p w14:paraId="7F19B2EA">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3</w:t>
            </w:r>
            <w:r>
              <w:rPr>
                <w:rFonts w:hint="default" w:ascii="Times New Roman" w:hAnsi="Times New Roman" w:eastAsia="仿宋" w:cs="Times New Roman"/>
                <w:bCs/>
                <w:color w:val="auto"/>
                <w:kern w:val="2"/>
                <w:sz w:val="24"/>
                <w:szCs w:val="22"/>
                <w:highlight w:val="none"/>
                <w:lang w:val="en-US" w:eastAsia="zh-CN"/>
              </w:rPr>
              <w:t>.</w:t>
            </w:r>
            <w:r>
              <w:rPr>
                <w:rFonts w:hint="default" w:ascii="Times New Roman" w:hAnsi="Times New Roman" w:eastAsia="仿宋" w:cs="Times New Roman"/>
                <w:bCs/>
                <w:color w:val="auto"/>
                <w:kern w:val="2"/>
                <w:sz w:val="24"/>
                <w:szCs w:val="22"/>
                <w:highlight w:val="none"/>
                <w:lang w:val="zh-CN"/>
              </w:rPr>
              <w:t>小型、微型企业提供中型企业制造的货物的,视同为中型企业。</w:t>
            </w:r>
          </w:p>
          <w:p w14:paraId="070435F8">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(二)价格扣除办法:</w:t>
            </w:r>
          </w:p>
          <w:p w14:paraId="57D844C9">
            <w:pPr>
              <w:pStyle w:val="14"/>
              <w:rPr>
                <w:rFonts w:hint="default" w:ascii="Times New Roman" w:hAnsi="Times New Roman" w:eastAsia="仿宋" w:cs="Times New Roman"/>
                <w:b/>
                <w:color w:val="auto"/>
                <w:kern w:val="2"/>
                <w:sz w:val="24"/>
                <w:szCs w:val="22"/>
                <w:highlight w:val="none"/>
                <w:lang w:val="zh-CN"/>
              </w:rPr>
            </w:pPr>
            <w:r>
              <w:rPr>
                <w:rFonts w:hint="default" w:ascii="Times New Roman" w:hAnsi="Times New Roman" w:eastAsia="仿宋" w:cs="Times New Roman"/>
                <w:b/>
                <w:color w:val="auto"/>
                <w:kern w:val="2"/>
                <w:sz w:val="24"/>
                <w:szCs w:val="22"/>
                <w:highlight w:val="none"/>
                <w:lang w:val="zh-CN"/>
              </w:rPr>
              <w:t>对于非专门面向中小企业的项目,对小型和微型企业(或联合体各方均为小型、微型企业的,残疾人福利性单位、监狱企业视为小微企业)产品的价格给予</w:t>
            </w:r>
            <w:r>
              <w:rPr>
                <w:rFonts w:hint="default" w:ascii="Times New Roman" w:hAnsi="Times New Roman" w:eastAsia="仿宋" w:cs="Times New Roman"/>
                <w:b/>
                <w:color w:val="auto"/>
                <w:kern w:val="2"/>
                <w:sz w:val="24"/>
                <w:szCs w:val="22"/>
                <w:highlight w:val="none"/>
                <w:lang w:val="en-US" w:eastAsia="zh-CN"/>
              </w:rPr>
              <w:t>10</w:t>
            </w:r>
            <w:r>
              <w:rPr>
                <w:rFonts w:hint="default" w:ascii="Times New Roman" w:hAnsi="Times New Roman" w:eastAsia="仿宋" w:cs="Times New Roman"/>
                <w:b/>
                <w:color w:val="auto"/>
                <w:kern w:val="2"/>
                <w:sz w:val="24"/>
                <w:szCs w:val="22"/>
                <w:highlight w:val="none"/>
                <w:lang w:val="zh-CN"/>
              </w:rPr>
              <w:t>%的扣除,用扣除后的价格参与价格的评审。</w:t>
            </w:r>
          </w:p>
          <w:p w14:paraId="3EB1DB51">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(三)小型和微型企业适用价格扣除办法时应提供的相关资料:</w:t>
            </w:r>
          </w:p>
          <w:p w14:paraId="5742F343">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en-US"/>
              </w:rPr>
              <w:t>1</w:t>
            </w:r>
            <w:r>
              <w:rPr>
                <w:rFonts w:hint="default" w:ascii="Times New Roman" w:hAnsi="Times New Roman" w:eastAsia="仿宋" w:cs="Times New Roman"/>
                <w:bCs/>
                <w:color w:val="auto"/>
                <w:kern w:val="2"/>
                <w:sz w:val="24"/>
                <w:szCs w:val="22"/>
                <w:highlight w:val="none"/>
                <w:lang w:val="zh-CN"/>
              </w:rPr>
              <w:t>、供应商《中小企业声明函》或残疾人福利性单位声明函。</w:t>
            </w:r>
          </w:p>
          <w:p w14:paraId="283D11E9">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供应商应</w:t>
            </w:r>
            <w:r>
              <w:rPr>
                <w:rFonts w:hint="default" w:ascii="Times New Roman" w:hAnsi="Times New Roman" w:eastAsia="仿宋" w:cs="Times New Roman"/>
                <w:b/>
                <w:color w:val="auto"/>
                <w:kern w:val="2"/>
                <w:sz w:val="24"/>
                <w:szCs w:val="22"/>
                <w:highlight w:val="none"/>
                <w:lang w:val="zh-CN"/>
              </w:rPr>
              <w:t>提供</w:t>
            </w:r>
            <w:r>
              <w:rPr>
                <w:rFonts w:hint="default" w:ascii="Times New Roman" w:hAnsi="Times New Roman" w:eastAsia="仿宋" w:cs="Times New Roman"/>
                <w:bCs/>
                <w:color w:val="auto"/>
                <w:kern w:val="2"/>
                <w:sz w:val="24"/>
                <w:szCs w:val="22"/>
                <w:highlight w:val="none"/>
                <w:lang w:val="zh-CN"/>
              </w:rPr>
              <w:t>以上材料,否则将不给予价格扣除。</w:t>
            </w:r>
          </w:p>
          <w:p w14:paraId="0DC31AB5">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若所供应产品为进口产品的,不适用《政府采购促进中小企业</w:t>
            </w:r>
            <w:r>
              <w:rPr>
                <w:rFonts w:hint="default" w:ascii="Times New Roman" w:hAnsi="Times New Roman" w:eastAsia="仿宋" w:cs="Times New Roman"/>
                <w:bCs/>
                <w:color w:val="auto"/>
                <w:kern w:val="2"/>
                <w:sz w:val="24"/>
                <w:szCs w:val="22"/>
                <w:highlight w:val="none"/>
                <w:lang w:val="zh-CN" w:eastAsia="zh-CN"/>
              </w:rPr>
              <w:t>发</w:t>
            </w:r>
            <w:r>
              <w:rPr>
                <w:rFonts w:hint="default" w:ascii="Times New Roman" w:hAnsi="Times New Roman" w:eastAsia="仿宋" w:cs="Times New Roman"/>
                <w:bCs/>
                <w:color w:val="auto"/>
                <w:kern w:val="2"/>
                <w:sz w:val="24"/>
                <w:szCs w:val="22"/>
                <w:highlight w:val="none"/>
                <w:lang w:val="zh-CN"/>
              </w:rPr>
              <w:t>展</w:t>
            </w:r>
            <w:r>
              <w:rPr>
                <w:rFonts w:hint="default" w:ascii="Times New Roman" w:hAnsi="Times New Roman" w:eastAsia="仿宋" w:cs="Times New Roman"/>
                <w:bCs/>
                <w:color w:val="auto"/>
                <w:kern w:val="2"/>
                <w:sz w:val="24"/>
                <w:szCs w:val="22"/>
                <w:highlight w:val="none"/>
                <w:lang w:val="zh-CN" w:eastAsia="zh-CN"/>
              </w:rPr>
              <w:t>管理</w:t>
            </w:r>
            <w:r>
              <w:rPr>
                <w:rFonts w:hint="default" w:ascii="Times New Roman" w:hAnsi="Times New Roman" w:eastAsia="仿宋" w:cs="Times New Roman"/>
                <w:bCs/>
                <w:color w:val="auto"/>
                <w:kern w:val="2"/>
                <w:sz w:val="24"/>
                <w:szCs w:val="22"/>
                <w:highlight w:val="none"/>
                <w:lang w:val="zh-CN"/>
              </w:rPr>
              <w:t>办法》。</w:t>
            </w:r>
          </w:p>
          <w:p w14:paraId="75BD328B">
            <w:pPr>
              <w:pStyle w:val="14"/>
              <w:rPr>
                <w:rFonts w:hint="default" w:ascii="Times New Roman" w:hAnsi="Times New Roman" w:eastAsia="仿宋" w:cs="Times New Roman"/>
                <w:bCs/>
                <w:color w:val="auto"/>
                <w:kern w:val="2"/>
                <w:sz w:val="24"/>
                <w:szCs w:val="22"/>
                <w:highlight w:val="none"/>
                <w:lang w:val="zh-CN"/>
              </w:rPr>
            </w:pPr>
            <w:r>
              <w:rPr>
                <w:rFonts w:hint="default" w:ascii="Times New Roman" w:hAnsi="Times New Roman" w:eastAsia="仿宋" w:cs="Times New Roman"/>
                <w:bCs/>
                <w:color w:val="auto"/>
                <w:kern w:val="2"/>
                <w:sz w:val="24"/>
                <w:szCs w:val="22"/>
                <w:highlight w:val="none"/>
                <w:lang w:val="zh-CN"/>
              </w:rPr>
              <w:t>残疾人福利性单位、监狱企业仅需提供声明函,不须要提供其他证明材料。</w:t>
            </w:r>
          </w:p>
        </w:tc>
      </w:tr>
    </w:tbl>
    <w:p w14:paraId="0AF3A526">
      <w:pPr>
        <w:pStyle w:val="14"/>
        <w:rPr>
          <w:rFonts w:hint="default" w:ascii="Times New Roman" w:hAnsi="Times New Roman" w:eastAsia="仿宋" w:cs="Times New Roman"/>
          <w:color w:val="auto"/>
          <w:highlight w:val="none"/>
          <w:lang w:val="zh-CN"/>
        </w:rPr>
      </w:pPr>
    </w:p>
    <w:p w14:paraId="1D74AC3E">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（二）</w:t>
      </w:r>
      <w:r>
        <w:rPr>
          <w:rFonts w:hint="default" w:ascii="Times New Roman" w:hAnsi="Times New Roman" w:eastAsia="仿宋" w:cs="Times New Roman"/>
          <w:b/>
          <w:color w:val="auto"/>
          <w:sz w:val="24"/>
          <w:highlight w:val="none"/>
          <w:lang w:val="zh-CN"/>
        </w:rPr>
        <w:t>推荐拟中标候选人</w:t>
      </w:r>
    </w:p>
    <w:p w14:paraId="4A7B1199">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zh-CN"/>
        </w:rPr>
        <w:t>由评标委员会集体按照经署名确认的汇总得分排序顺序，</w:t>
      </w:r>
      <w:r>
        <w:rPr>
          <w:rFonts w:hint="default" w:ascii="Times New Roman" w:hAnsi="Times New Roman" w:eastAsia="仿宋" w:cs="Times New Roman"/>
          <w:bCs/>
          <w:color w:val="auto"/>
          <w:sz w:val="24"/>
          <w:highlight w:val="none"/>
        </w:rPr>
        <w:t>推荐拟中标候选人。</w:t>
      </w:r>
    </w:p>
    <w:p w14:paraId="68A874BE">
      <w:pPr>
        <w:tabs>
          <w:tab w:val="left" w:pos="8280"/>
        </w:tabs>
        <w:spacing w:line="360" w:lineRule="auto"/>
        <w:ind w:firstLine="540" w:firstLineChars="225"/>
        <w:rPr>
          <w:rFonts w:hint="default" w:ascii="Times New Roman" w:hAnsi="Times New Roman" w:eastAsia="仿宋" w:cs="Times New Roman"/>
          <w:bCs/>
          <w:color w:val="auto"/>
          <w:sz w:val="24"/>
          <w:highlight w:val="none"/>
        </w:rPr>
      </w:pPr>
      <w:r>
        <w:rPr>
          <w:rFonts w:hint="eastAsia" w:eastAsia="仿宋" w:cs="Times New Roman"/>
          <w:bCs/>
          <w:color w:val="auto"/>
          <w:sz w:val="24"/>
          <w:highlight w:val="none"/>
          <w:lang w:val="en-US" w:eastAsia="zh-CN"/>
        </w:rPr>
        <w:t>2、</w:t>
      </w:r>
      <w:r>
        <w:rPr>
          <w:rFonts w:hint="default" w:ascii="Times New Roman" w:hAnsi="Times New Roman" w:eastAsia="仿宋" w:cs="Times New Roman"/>
          <w:bCs/>
          <w:color w:val="auto"/>
          <w:sz w:val="24"/>
          <w:highlight w:val="none"/>
        </w:rPr>
        <w:t>推荐拟中标候选供应商数量应当根据采购需要确定，应当限定在一至三人，并标明排列顺序。排序第一位的为推荐的</w:t>
      </w:r>
      <w:r>
        <w:rPr>
          <w:rFonts w:hint="default" w:ascii="Times New Roman" w:hAnsi="Times New Roman" w:eastAsia="仿宋" w:cs="Times New Roman"/>
          <w:color w:val="auto"/>
          <w:sz w:val="24"/>
          <w:szCs w:val="24"/>
          <w:highlight w:val="none"/>
        </w:rPr>
        <w:t>第一拟中标供应商。</w:t>
      </w:r>
    </w:p>
    <w:p w14:paraId="680D6753">
      <w:pPr>
        <w:tabs>
          <w:tab w:val="left" w:pos="8280"/>
        </w:tabs>
        <w:spacing w:line="360" w:lineRule="auto"/>
        <w:ind w:firstLine="540" w:firstLineChars="225"/>
        <w:rPr>
          <w:rFonts w:hint="default" w:ascii="Times New Roman" w:hAnsi="Times New Roman" w:eastAsia="仿宋" w:cs="Times New Roman"/>
          <w:color w:val="auto"/>
          <w:sz w:val="24"/>
          <w:highlight w:val="none"/>
          <w:lang w:val="zh-CN"/>
        </w:rPr>
      </w:pPr>
      <w:r>
        <w:rPr>
          <w:rFonts w:hint="eastAsia"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zh-CN"/>
        </w:rPr>
        <w:t>投标方</w:t>
      </w:r>
      <w:r>
        <w:rPr>
          <w:rFonts w:hint="default" w:ascii="Times New Roman" w:hAnsi="Times New Roman" w:eastAsia="仿宋" w:cs="Times New Roman"/>
          <w:bCs/>
          <w:color w:val="auto"/>
          <w:sz w:val="24"/>
          <w:highlight w:val="none"/>
        </w:rPr>
        <w:t>最低投标报价不是唯一中标条件</w:t>
      </w:r>
      <w:r>
        <w:rPr>
          <w:rFonts w:hint="default" w:ascii="Times New Roman" w:hAnsi="Times New Roman" w:eastAsia="仿宋" w:cs="Times New Roman"/>
          <w:color w:val="auto"/>
          <w:sz w:val="24"/>
          <w:highlight w:val="none"/>
          <w:lang w:val="zh-CN"/>
        </w:rPr>
        <w:t>。对资格资质审查和符合性审查合格的投标报价文件完整无缺、最大限度的满足招标文件需求的投标方，中标机会均等。</w:t>
      </w:r>
    </w:p>
    <w:p w14:paraId="2B4AF596">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如汇总得分排序后出现</w:t>
      </w:r>
      <w:r>
        <w:rPr>
          <w:rFonts w:hint="default" w:ascii="Times New Roman" w:hAnsi="Times New Roman" w:eastAsia="仿宋" w:cs="Times New Roman"/>
          <w:bCs/>
          <w:color w:val="auto"/>
          <w:sz w:val="24"/>
          <w:highlight w:val="none"/>
        </w:rPr>
        <w:t>推荐拟中标候选人</w:t>
      </w:r>
      <w:r>
        <w:rPr>
          <w:rFonts w:hint="default" w:ascii="Times New Roman" w:hAnsi="Times New Roman" w:eastAsia="仿宋" w:cs="Times New Roman"/>
          <w:color w:val="auto"/>
          <w:sz w:val="24"/>
          <w:szCs w:val="24"/>
          <w:highlight w:val="none"/>
        </w:rPr>
        <w:t>得分相同的，评标委员会只对取得得分前三位供应商，按照</w:t>
      </w:r>
      <w:r>
        <w:rPr>
          <w:rFonts w:hint="default" w:ascii="Times New Roman" w:hAnsi="Times New Roman" w:eastAsia="仿宋" w:cs="Times New Roman"/>
          <w:color w:val="auto"/>
          <w:sz w:val="24"/>
          <w:highlight w:val="none"/>
          <w:lang w:val="zh-CN"/>
        </w:rPr>
        <w:t>其报价由低到高顺序排列；得分且其报价相等的，则按核心技术指标优劣顺序排列。价格、技术指标的高</w:t>
      </w:r>
      <w:r>
        <w:rPr>
          <w:rFonts w:hint="default" w:ascii="Times New Roman" w:hAnsi="Times New Roman" w:eastAsia="仿宋" w:cs="Times New Roman"/>
          <w:color w:val="auto"/>
          <w:sz w:val="24"/>
          <w:szCs w:val="24"/>
          <w:highlight w:val="none"/>
        </w:rPr>
        <w:t>低或优劣由评标委员会集体进行综合确认评定。排序在前三位之后的，按原排序不变，允许排序并列。</w:t>
      </w:r>
    </w:p>
    <w:p w14:paraId="0AEE3B53">
      <w:pPr>
        <w:spacing w:line="360" w:lineRule="auto"/>
        <w:ind w:firstLine="480" w:firstLineChars="200"/>
        <w:rPr>
          <w:rFonts w:hint="default" w:ascii="Times New Roman" w:hAnsi="Times New Roman" w:eastAsia="仿宋" w:cs="Times New Roman"/>
          <w:bCs/>
          <w:color w:val="auto"/>
          <w:sz w:val="24"/>
          <w:highlight w:val="none"/>
        </w:rPr>
      </w:pPr>
      <w:r>
        <w:rPr>
          <w:rFonts w:hint="eastAsia" w:eastAsia="仿宋" w:cs="Times New Roman"/>
          <w:color w:val="auto"/>
          <w:sz w:val="24"/>
          <w:highlight w:val="none"/>
          <w:lang w:val="en-US" w:eastAsia="zh-CN"/>
        </w:rPr>
        <w:t>5、</w:t>
      </w:r>
      <w:r>
        <w:rPr>
          <w:rFonts w:hint="default" w:ascii="Times New Roman" w:hAnsi="Times New Roman" w:eastAsia="仿宋" w:cs="Times New Roman"/>
          <w:color w:val="auto"/>
          <w:sz w:val="24"/>
          <w:highlight w:val="none"/>
          <w:lang w:val="zh-CN"/>
        </w:rPr>
        <w:t>由招标方对未推荐拟中标候选人、确认废标的，进行核对汇总后，由评标委员会各成员签署确认。</w:t>
      </w:r>
    </w:p>
    <w:p w14:paraId="14ABD8AC">
      <w:pPr>
        <w:tabs>
          <w:tab w:val="left" w:pos="8280"/>
        </w:tabs>
        <w:spacing w:line="360" w:lineRule="auto"/>
        <w:ind w:firstLine="542" w:firstLineChars="225"/>
        <w:rPr>
          <w:rFonts w:hint="default" w:ascii="Times New Roman" w:hAnsi="Times New Roman" w:eastAsia="仿宋" w:cs="Times New Roman"/>
          <w:b/>
          <w:color w:val="auto"/>
          <w:sz w:val="24"/>
          <w:highlight w:val="none"/>
          <w:lang w:val="zh-CN"/>
        </w:rPr>
      </w:pPr>
      <w:r>
        <w:rPr>
          <w:rFonts w:hint="eastAsia" w:eastAsia="仿宋" w:cs="Times New Roman"/>
          <w:b/>
          <w:color w:val="auto"/>
          <w:sz w:val="24"/>
          <w:highlight w:val="none"/>
          <w:lang w:val="zh-CN"/>
        </w:rPr>
        <w:t>（三）</w:t>
      </w:r>
      <w:r>
        <w:rPr>
          <w:rFonts w:hint="default" w:ascii="Times New Roman" w:hAnsi="Times New Roman" w:eastAsia="仿宋" w:cs="Times New Roman"/>
          <w:b/>
          <w:color w:val="auto"/>
          <w:sz w:val="24"/>
          <w:highlight w:val="none"/>
          <w:lang w:val="zh-CN"/>
        </w:rPr>
        <w:t>编写评标报告</w:t>
      </w:r>
    </w:p>
    <w:p w14:paraId="45305985">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根据全体成员签字的评标（评审）原始记录和结果，编写评标报告，并现场提交给招标方。编写的评标报告要符合招标文件的要求。</w:t>
      </w:r>
    </w:p>
    <w:p w14:paraId="5EAA4C2B">
      <w:pPr>
        <w:tabs>
          <w:tab w:val="left" w:pos="8280"/>
        </w:tabs>
        <w:spacing w:line="360" w:lineRule="auto"/>
        <w:ind w:firstLine="542" w:firstLineChars="225"/>
        <w:rPr>
          <w:rFonts w:hint="default" w:ascii="Times New Roman" w:hAnsi="Times New Roman" w:eastAsia="仿宋" w:cs="Times New Roman"/>
          <w:b/>
          <w:color w:val="auto"/>
          <w:sz w:val="24"/>
          <w:szCs w:val="24"/>
          <w:highlight w:val="none"/>
        </w:rPr>
      </w:pPr>
      <w:r>
        <w:rPr>
          <w:rFonts w:hint="eastAsia" w:eastAsia="仿宋" w:cs="Times New Roman"/>
          <w:b/>
          <w:color w:val="auto"/>
          <w:sz w:val="24"/>
          <w:szCs w:val="24"/>
          <w:highlight w:val="none"/>
          <w:lang w:eastAsia="zh-CN"/>
        </w:rPr>
        <w:t>（四）</w:t>
      </w:r>
      <w:r>
        <w:rPr>
          <w:rFonts w:hint="default" w:ascii="Times New Roman" w:hAnsi="Times New Roman" w:eastAsia="仿宋" w:cs="Times New Roman"/>
          <w:b/>
          <w:color w:val="auto"/>
          <w:sz w:val="24"/>
          <w:szCs w:val="24"/>
          <w:highlight w:val="none"/>
        </w:rPr>
        <w:t>评标结束</w:t>
      </w:r>
    </w:p>
    <w:p w14:paraId="6A2B32C2">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招标方应按规定时间，通知全部参与本次招标投标有效的供应商，宣布本次</w:t>
      </w:r>
      <w:r>
        <w:rPr>
          <w:rFonts w:hint="default" w:ascii="Times New Roman" w:hAnsi="Times New Roman" w:eastAsia="仿宋" w:cs="Times New Roman"/>
          <w:color w:val="auto"/>
          <w:sz w:val="24"/>
          <w:highlight w:val="none"/>
          <w:lang w:val="zh-CN"/>
        </w:rPr>
        <w:t>评标委员会</w:t>
      </w:r>
      <w:r>
        <w:rPr>
          <w:rFonts w:hint="default" w:ascii="Times New Roman" w:hAnsi="Times New Roman" w:eastAsia="仿宋" w:cs="Times New Roman"/>
          <w:color w:val="auto"/>
          <w:sz w:val="24"/>
          <w:szCs w:val="24"/>
          <w:highlight w:val="none"/>
        </w:rPr>
        <w:t>推荐的第一拟中标供应商名单。</w:t>
      </w:r>
    </w:p>
    <w:p w14:paraId="75AC8D31">
      <w:pPr>
        <w:tabs>
          <w:tab w:val="left" w:pos="8280"/>
        </w:tabs>
        <w:spacing w:line="360" w:lineRule="auto"/>
        <w:ind w:firstLine="540" w:firstLineChars="225"/>
        <w:rPr>
          <w:rFonts w:hint="default" w:ascii="Times New Roman" w:hAnsi="Times New Roman" w:eastAsia="仿宋" w:cs="Times New Roman"/>
          <w:b/>
          <w:color w:val="auto"/>
          <w:sz w:val="24"/>
          <w:szCs w:val="24"/>
          <w:highlight w:val="none"/>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评标小组各成员名单不公开。</w:t>
      </w:r>
    </w:p>
    <w:p w14:paraId="3C01A1E7">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由招标方宣读有关招标信息公告、中标确认原则及质疑（投诉）事项等说明。</w:t>
      </w:r>
    </w:p>
    <w:p w14:paraId="2D483451">
      <w:pPr>
        <w:tabs>
          <w:tab w:val="left" w:pos="8280"/>
        </w:tabs>
        <w:spacing w:line="360" w:lineRule="auto"/>
        <w:ind w:firstLine="540" w:firstLineChars="225"/>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在宣布会议结束后，招标方均有义务告知所有投标供应商办理投标保证金的退付手续。</w:t>
      </w:r>
    </w:p>
    <w:p w14:paraId="44FF926C">
      <w:pPr>
        <w:spacing w:line="360" w:lineRule="auto"/>
        <w:ind w:firstLine="480" w:firstLineChars="200"/>
        <w:rPr>
          <w:rFonts w:hint="default" w:ascii="Times New Roman" w:hAnsi="Times New Roman" w:cs="Times New Roman"/>
        </w:rPr>
      </w:pPr>
      <w:r>
        <w:rPr>
          <w:rFonts w:hint="eastAsia" w:eastAsia="仿宋" w:cs="Times New Roman"/>
          <w:color w:val="auto"/>
          <w:sz w:val="24"/>
          <w:highlight w:val="none"/>
          <w:lang w:val="en-US" w:eastAsia="zh-CN"/>
        </w:rPr>
        <w:t>5、</w:t>
      </w:r>
      <w:r>
        <w:rPr>
          <w:rFonts w:hint="default" w:ascii="Times New Roman" w:hAnsi="Times New Roman" w:eastAsia="仿宋" w:cs="Times New Roman"/>
          <w:bCs/>
          <w:color w:val="auto"/>
          <w:sz w:val="24"/>
          <w:szCs w:val="24"/>
          <w:highlight w:val="none"/>
        </w:rPr>
        <w:t>评</w:t>
      </w:r>
      <w:r>
        <w:rPr>
          <w:rFonts w:hint="default" w:ascii="Times New Roman" w:hAnsi="Times New Roman" w:eastAsia="仿宋" w:cs="Times New Roman"/>
          <w:bCs/>
          <w:color w:val="auto"/>
          <w:sz w:val="24"/>
          <w:szCs w:val="24"/>
        </w:rPr>
        <w:t>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w:t>
      </w:r>
      <w:r>
        <w:rPr>
          <w:rFonts w:hint="default" w:ascii="Times New Roman" w:hAnsi="Times New Roman" w:eastAsia="仿宋" w:cs="Times New Roman"/>
          <w:bCs/>
          <w:color w:val="auto"/>
          <w:sz w:val="24"/>
          <w:szCs w:val="24"/>
          <w:lang w:eastAsia="zh-CN"/>
        </w:rPr>
        <w:t>竞争性磋商文件</w:t>
      </w:r>
      <w:r>
        <w:rPr>
          <w:rFonts w:hint="default" w:ascii="Times New Roman" w:hAnsi="Times New Roman" w:eastAsia="仿宋" w:cs="Times New Roman"/>
          <w:bCs/>
          <w:color w:val="auto"/>
          <w:sz w:val="24"/>
          <w:szCs w:val="24"/>
        </w:rPr>
        <w:t>的实质性内容。</w:t>
      </w:r>
    </w:p>
    <w:p w14:paraId="4A8ABF05">
      <w:pPr>
        <w:spacing w:line="360" w:lineRule="auto"/>
        <w:jc w:val="center"/>
        <w:rPr>
          <w:rFonts w:hint="default" w:ascii="Times New Roman" w:hAnsi="Times New Roman" w:eastAsia="仿宋" w:cs="Times New Roman"/>
          <w:b/>
          <w:color w:val="000000"/>
          <w:sz w:val="28"/>
          <w:szCs w:val="28"/>
          <w:shd w:val="clear" w:color="auto" w:fill="FFFFFF"/>
        </w:rPr>
      </w:pPr>
    </w:p>
    <w:p w14:paraId="0F383863">
      <w:pPr>
        <w:spacing w:line="360" w:lineRule="auto"/>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rPr>
        <w:t>七、定标</w:t>
      </w:r>
    </w:p>
    <w:p w14:paraId="76037003">
      <w:pPr>
        <w:spacing w:line="360" w:lineRule="auto"/>
        <w:ind w:firstLine="480" w:firstLineChars="2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（一）</w:t>
      </w:r>
      <w:r>
        <w:rPr>
          <w:rFonts w:hint="default" w:ascii="Times New Roman" w:hAnsi="Times New Roman" w:eastAsia="仿宋" w:cs="Times New Roman"/>
          <w:bCs/>
          <w:color w:val="auto"/>
          <w:sz w:val="24"/>
          <w:szCs w:val="24"/>
          <w:lang w:eastAsia="zh-CN"/>
        </w:rPr>
        <w:t>招标方</w:t>
      </w:r>
      <w:r>
        <w:rPr>
          <w:rFonts w:hint="default" w:ascii="Times New Roman" w:hAnsi="Times New Roman" w:eastAsia="仿宋" w:cs="Times New Roman"/>
          <w:bCs/>
          <w:color w:val="auto"/>
          <w:sz w:val="24"/>
          <w:szCs w:val="24"/>
        </w:rPr>
        <w:t>根据评标委员会的评标报告，在评标结束后，将中标结果在省级以上财政部门指定的信息发布媒体上公告1个工作日，在公告中标结果的同时，招标方向中标投标人发出《中标通知书》 。</w:t>
      </w:r>
    </w:p>
    <w:p w14:paraId="1E8730B1">
      <w:pPr>
        <w:spacing w:line="360" w:lineRule="auto"/>
        <w:ind w:firstLine="480" w:firstLineChars="20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（二） 成交投标人领取《成交通知书》时，须向招标方提交招标代理服务费，拒绝提交的，视为放弃成交项目。</w:t>
      </w:r>
    </w:p>
    <w:p w14:paraId="30E72837">
      <w:pPr>
        <w:spacing w:line="360" w:lineRule="auto"/>
        <w:ind w:firstLine="480" w:firstLineChars="200"/>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lang w:eastAsia="zh-CN"/>
        </w:rPr>
        <w:t>（三）履约保证金</w:t>
      </w:r>
    </w:p>
    <w:p w14:paraId="7ED0BF97">
      <w:pPr>
        <w:spacing w:line="360" w:lineRule="auto"/>
        <w:ind w:firstLine="480" w:firstLineChars="200"/>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lang w:eastAsia="zh-CN"/>
        </w:rPr>
        <w:t>1</w:t>
      </w:r>
      <w:r>
        <w:rPr>
          <w:rFonts w:hint="eastAsia" w:eastAsia="仿宋" w:cs="Times New Roman"/>
          <w:bCs/>
          <w:color w:val="auto"/>
          <w:sz w:val="24"/>
          <w:szCs w:val="24"/>
          <w:lang w:eastAsia="zh-CN"/>
        </w:rPr>
        <w:t>、</w:t>
      </w:r>
      <w:r>
        <w:rPr>
          <w:rFonts w:hint="default" w:ascii="Times New Roman" w:hAnsi="Times New Roman" w:eastAsia="仿宋" w:cs="Times New Roman"/>
          <w:bCs/>
          <w:color w:val="auto"/>
          <w:sz w:val="24"/>
          <w:szCs w:val="24"/>
          <w:lang w:eastAsia="zh-CN"/>
        </w:rPr>
        <w:t>成交投标人须将履约保证金交到采购方指定帐户。</w:t>
      </w:r>
    </w:p>
    <w:p w14:paraId="32649B68">
      <w:pPr>
        <w:spacing w:line="360" w:lineRule="auto"/>
        <w:ind w:firstLine="480" w:firstLineChars="200"/>
        <w:rPr>
          <w:rFonts w:hint="default" w:ascii="Times New Roman" w:hAnsi="Times New Roman" w:eastAsia="仿宋" w:cs="Times New Roman"/>
          <w:bCs/>
          <w:color w:val="auto"/>
          <w:sz w:val="24"/>
          <w:szCs w:val="24"/>
          <w:lang w:eastAsia="zh-CN"/>
        </w:rPr>
      </w:pPr>
      <w:r>
        <w:rPr>
          <w:rFonts w:hint="default" w:ascii="Times New Roman" w:hAnsi="Times New Roman" w:eastAsia="仿宋" w:cs="Times New Roman"/>
          <w:bCs/>
          <w:color w:val="auto"/>
          <w:sz w:val="24"/>
          <w:szCs w:val="24"/>
          <w:lang w:eastAsia="zh-CN"/>
        </w:rPr>
        <w:t>2</w:t>
      </w:r>
      <w:r>
        <w:rPr>
          <w:rFonts w:hint="eastAsia" w:eastAsia="仿宋" w:cs="Times New Roman"/>
          <w:bCs/>
          <w:color w:val="auto"/>
          <w:sz w:val="24"/>
          <w:szCs w:val="24"/>
          <w:lang w:eastAsia="zh-CN"/>
        </w:rPr>
        <w:t>、</w:t>
      </w:r>
      <w:r>
        <w:rPr>
          <w:rFonts w:hint="default" w:ascii="Times New Roman" w:hAnsi="Times New Roman" w:eastAsia="仿宋" w:cs="Times New Roman"/>
          <w:bCs/>
          <w:color w:val="auto"/>
          <w:sz w:val="24"/>
          <w:szCs w:val="24"/>
          <w:lang w:eastAsia="zh-CN"/>
        </w:rPr>
        <w:t>待服务合同执行期满，由采购方无息退还。</w:t>
      </w:r>
    </w:p>
    <w:p w14:paraId="68815DA3">
      <w:pPr>
        <w:spacing w:line="360" w:lineRule="auto"/>
        <w:ind w:firstLine="480" w:firstLineChars="200"/>
        <w:rPr>
          <w:rFonts w:hint="default" w:ascii="Times New Roman" w:hAnsi="Times New Roman" w:cs="Times New Roman"/>
          <w:lang w:eastAsia="zh-CN"/>
        </w:rPr>
      </w:pPr>
      <w:r>
        <w:rPr>
          <w:rFonts w:hint="default" w:ascii="Times New Roman" w:hAnsi="Times New Roman" w:eastAsia="仿宋" w:cs="Times New Roman"/>
          <w:bCs/>
          <w:color w:val="auto"/>
          <w:sz w:val="24"/>
          <w:szCs w:val="24"/>
          <w:lang w:val="en-US" w:eastAsia="zh-CN"/>
        </w:rPr>
        <w:t>3</w:t>
      </w:r>
      <w:r>
        <w:rPr>
          <w:rFonts w:hint="eastAsia" w:eastAsia="仿宋" w:cs="Times New Roman"/>
          <w:bCs/>
          <w:color w:val="auto"/>
          <w:sz w:val="24"/>
          <w:szCs w:val="24"/>
          <w:lang w:val="en-US" w:eastAsia="zh-CN"/>
        </w:rPr>
        <w:t>、</w:t>
      </w:r>
      <w:r>
        <w:rPr>
          <w:rFonts w:hint="default" w:ascii="Times New Roman" w:hAnsi="Times New Roman" w:eastAsia="仿宋" w:cs="Times New Roman"/>
          <w:bCs/>
          <w:color w:val="auto"/>
          <w:sz w:val="24"/>
          <w:szCs w:val="24"/>
          <w:lang w:eastAsia="zh-CN"/>
        </w:rPr>
        <w:t>中标投标人提交的合同履约保证金，其有效期限应不低于合同有效期。</w:t>
      </w:r>
    </w:p>
    <w:p w14:paraId="72286B9F">
      <w:pPr>
        <w:spacing w:line="360" w:lineRule="auto"/>
        <w:jc w:val="both"/>
        <w:rPr>
          <w:rFonts w:hint="default" w:ascii="Times New Roman" w:hAnsi="Times New Roman" w:eastAsia="仿宋" w:cs="Times New Roman"/>
          <w:b/>
          <w:color w:val="000000"/>
          <w:sz w:val="28"/>
          <w:szCs w:val="28"/>
          <w:shd w:val="clear" w:color="auto" w:fill="FFFFFF"/>
          <w:lang w:eastAsia="zh-CN"/>
        </w:rPr>
      </w:pPr>
    </w:p>
    <w:p w14:paraId="7B174DF7">
      <w:pPr>
        <w:spacing w:line="360" w:lineRule="auto"/>
        <w:ind w:firstLine="562" w:firstLineChars="200"/>
        <w:jc w:val="center"/>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color w:val="000000"/>
          <w:sz w:val="28"/>
          <w:szCs w:val="28"/>
          <w:shd w:val="clear" w:color="auto" w:fill="FFFFFF"/>
          <w:lang w:eastAsia="zh-CN"/>
        </w:rPr>
        <w:t>八</w:t>
      </w:r>
      <w:r>
        <w:rPr>
          <w:rFonts w:hint="default" w:ascii="Times New Roman" w:hAnsi="Times New Roman" w:eastAsia="仿宋" w:cs="Times New Roman"/>
          <w:b/>
          <w:color w:val="000000"/>
          <w:sz w:val="28"/>
          <w:szCs w:val="28"/>
          <w:shd w:val="clear" w:color="auto" w:fill="FFFFFF"/>
        </w:rPr>
        <w:t>、</w:t>
      </w:r>
      <w:bookmarkStart w:id="47" w:name="_Toc177870556"/>
      <w:r>
        <w:rPr>
          <w:rFonts w:hint="default" w:ascii="Times New Roman" w:hAnsi="Times New Roman" w:eastAsia="仿宋" w:cs="Times New Roman"/>
          <w:b/>
          <w:color w:val="000000"/>
          <w:sz w:val="28"/>
          <w:szCs w:val="28"/>
          <w:shd w:val="clear" w:color="auto" w:fill="FFFFFF"/>
        </w:rPr>
        <w:t>合同</w:t>
      </w:r>
      <w:bookmarkEnd w:id="47"/>
    </w:p>
    <w:p w14:paraId="3A39535C">
      <w:pPr>
        <w:spacing w:line="360" w:lineRule="auto"/>
        <w:ind w:firstLine="562" w:firstLineChars="200"/>
        <w:rPr>
          <w:rFonts w:hint="default" w:ascii="Times New Roman" w:hAnsi="Times New Roman" w:eastAsia="仿宋" w:cs="Times New Roman"/>
          <w:b/>
          <w:sz w:val="28"/>
          <w:szCs w:val="28"/>
          <w:shd w:val="clear" w:color="auto" w:fill="FFFFFF"/>
        </w:rPr>
      </w:pPr>
      <w:r>
        <w:rPr>
          <w:rFonts w:hint="default" w:ascii="Times New Roman" w:hAnsi="Times New Roman" w:eastAsia="仿宋" w:cs="Times New Roman"/>
          <w:b/>
          <w:sz w:val="28"/>
          <w:szCs w:val="28"/>
          <w:shd w:val="clear" w:color="auto" w:fill="FFFFFF"/>
        </w:rPr>
        <w:t>（一）签订合同</w:t>
      </w:r>
    </w:p>
    <w:p w14:paraId="7EC819FE">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szCs w:val="24"/>
          <w:highlight w:val="none"/>
          <w:lang w:val="en-US" w:eastAsia="zh-CN"/>
        </w:rPr>
        <w:t>1、</w:t>
      </w:r>
      <w:r>
        <w:rPr>
          <w:rFonts w:hint="default" w:ascii="Times New Roman" w:hAnsi="Times New Roman" w:eastAsia="仿宋" w:cs="Times New Roman"/>
          <w:sz w:val="24"/>
          <w:szCs w:val="24"/>
          <w:highlight w:val="none"/>
        </w:rPr>
        <w:t>中标供应商应当自《中标通知书》发出之日起30日内，</w:t>
      </w:r>
      <w:r>
        <w:rPr>
          <w:rFonts w:hint="default" w:ascii="Times New Roman" w:hAnsi="Times New Roman" w:eastAsia="仿宋" w:cs="Times New Roman"/>
          <w:sz w:val="24"/>
          <w:highlight w:val="none"/>
          <w:lang w:val="zh-CN"/>
        </w:rPr>
        <w:t>按照招标方招标文件的约定和中标方竞争性磋商文件中的承诺与采购单位签订书面合同，所签订的合同不得对招标方招标文件和中标方的竞争性磋商文件作实质性修改。</w:t>
      </w:r>
    </w:p>
    <w:p w14:paraId="6469DF20">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2、</w:t>
      </w:r>
      <w:r>
        <w:rPr>
          <w:rFonts w:hint="default" w:ascii="Times New Roman" w:hAnsi="Times New Roman" w:eastAsia="仿宋" w:cs="Times New Roman"/>
          <w:sz w:val="24"/>
          <w:highlight w:val="none"/>
          <w:lang w:val="zh-CN"/>
        </w:rPr>
        <w:t xml:space="preserve"> 采购单位不得向中标供应商提出任何不合理要求作为签订合同的条件，不得与中标供应商私下订立背离合同实质性内容的协议。</w:t>
      </w:r>
    </w:p>
    <w:p w14:paraId="179D62FB">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3、</w:t>
      </w:r>
      <w:r>
        <w:rPr>
          <w:rFonts w:hint="default" w:ascii="Times New Roman" w:hAnsi="Times New Roman" w:eastAsia="仿宋" w:cs="Times New Roman"/>
          <w:sz w:val="24"/>
          <w:highlight w:val="none"/>
          <w:lang w:val="zh-CN"/>
        </w:rPr>
        <w:t>合同的双方当事人不得擅自变更、中止或者终止合同。</w:t>
      </w:r>
    </w:p>
    <w:p w14:paraId="0033D69A">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4、</w:t>
      </w:r>
      <w:r>
        <w:rPr>
          <w:rFonts w:hint="default" w:ascii="Times New Roman" w:hAnsi="Times New Roman" w:eastAsia="仿宋" w:cs="Times New Roman"/>
          <w:sz w:val="24"/>
          <w:highlight w:val="none"/>
          <w:lang w:val="zh-CN"/>
        </w:rPr>
        <w:t xml:space="preserve"> 合同继续履行将损害国家利益和社会公共利益的，双方当事人应当变更、中止或者终止合同。有过错的一方承担赔偿责任，双方都有过错的，各自承担相应责任。</w:t>
      </w:r>
    </w:p>
    <w:p w14:paraId="5352AD0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5、</w:t>
      </w:r>
      <w:r>
        <w:rPr>
          <w:rFonts w:hint="default" w:ascii="Times New Roman" w:hAnsi="Times New Roman" w:eastAsia="仿宋" w:cs="Times New Roman"/>
          <w:sz w:val="24"/>
          <w:highlight w:val="none"/>
          <w:lang w:val="zh-CN"/>
        </w:rPr>
        <w:t xml:space="preserve"> 合同履行中，采购人需追加与合同标的相同的货物、工程或者服务的，在不改变其他条款的前提下，可以与供应商签订补充合同，所有补充合同的采购金额不得超过原合同金额的10%。</w:t>
      </w:r>
    </w:p>
    <w:p w14:paraId="5E9EF68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6、</w:t>
      </w:r>
      <w:r>
        <w:rPr>
          <w:rFonts w:hint="default" w:ascii="Times New Roman" w:hAnsi="Times New Roman" w:eastAsia="仿宋" w:cs="Times New Roman"/>
          <w:sz w:val="24"/>
          <w:highlight w:val="none"/>
          <w:lang w:val="zh-CN"/>
        </w:rPr>
        <w:t>招标方的招标文件、中标方的竞争性磋商文件及其澄清、询标（答疑）文件等，均做为签订合同的法律依据。</w:t>
      </w:r>
    </w:p>
    <w:p w14:paraId="5C56665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7、</w:t>
      </w:r>
      <w:r>
        <w:rPr>
          <w:rFonts w:hint="default" w:ascii="Times New Roman" w:hAnsi="Times New Roman" w:eastAsia="仿宋" w:cs="Times New Roman"/>
          <w:sz w:val="24"/>
          <w:highlight w:val="none"/>
          <w:lang w:val="zh-CN"/>
        </w:rPr>
        <w:t xml:space="preserve"> 在未经采购人允许的情况下，不允许中标人将成交项目分包或转交他人承担。而且，采购人和招标方也不得直接指定分包人。</w:t>
      </w:r>
    </w:p>
    <w:p w14:paraId="2594B2B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8、</w:t>
      </w:r>
      <w:r>
        <w:rPr>
          <w:rFonts w:hint="default" w:ascii="Times New Roman" w:hAnsi="Times New Roman" w:eastAsia="仿宋" w:cs="Times New Roman"/>
          <w:sz w:val="24"/>
          <w:highlight w:val="none"/>
          <w:lang w:val="zh-CN"/>
        </w:rPr>
        <w:t xml:space="preserve"> 经采购人同意，中标供应商可以依法采取分包方式履行合同。合同分包履行的，中标供应商就采购项目和分包项目向采购人负责，分包供应商向分包项目承担责任。</w:t>
      </w:r>
    </w:p>
    <w:p w14:paraId="5570A98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9、</w:t>
      </w:r>
      <w:r>
        <w:rPr>
          <w:rFonts w:hint="default" w:ascii="Times New Roman" w:hAnsi="Times New Roman" w:eastAsia="仿宋" w:cs="Times New Roman"/>
          <w:sz w:val="24"/>
          <w:highlight w:val="none"/>
          <w:lang w:val="zh-CN"/>
        </w:rPr>
        <w:t>对于不具备分包条件或者不符合分包规定的，</w:t>
      </w:r>
      <w:r>
        <w:rPr>
          <w:rFonts w:hint="default" w:ascii="Times New Roman" w:hAnsi="Times New Roman" w:eastAsia="仿宋" w:cs="Times New Roman"/>
          <w:sz w:val="24"/>
          <w:highlight w:val="none"/>
          <w:lang w:val="en-US" w:eastAsia="zh-CN"/>
        </w:rPr>
        <w:t>采购人</w:t>
      </w:r>
      <w:r>
        <w:rPr>
          <w:rFonts w:hint="default" w:ascii="Times New Roman" w:hAnsi="Times New Roman" w:eastAsia="仿宋" w:cs="Times New Roman"/>
          <w:sz w:val="24"/>
          <w:highlight w:val="none"/>
          <w:lang w:val="zh-CN"/>
        </w:rPr>
        <w:t>有权在签订合同或中标供应商提出分包要求时予以拒绝。如发现中标供应商转包或违法分包时，有权要求其改正；拒不改正的，有权要求终止合同，并报请有关行政监督部门查处。</w:t>
      </w:r>
    </w:p>
    <w:p w14:paraId="29434A3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highlight w:val="none"/>
          <w:lang w:val="zh-CN"/>
        </w:rPr>
      </w:pPr>
      <w:r>
        <w:rPr>
          <w:rFonts w:hint="eastAsia" w:eastAsia="仿宋" w:cs="Times New Roman"/>
          <w:sz w:val="24"/>
          <w:highlight w:val="none"/>
          <w:lang w:val="en-US" w:eastAsia="zh-CN"/>
        </w:rPr>
        <w:t>10、</w:t>
      </w:r>
      <w:r>
        <w:rPr>
          <w:rFonts w:hint="default" w:ascii="Times New Roman" w:hAnsi="Times New Roman" w:eastAsia="仿宋" w:cs="Times New Roman"/>
          <w:sz w:val="24"/>
          <w:highlight w:val="none"/>
          <w:lang w:val="zh-CN"/>
        </w:rPr>
        <w:t>中标供应商必须与采购人协商后，共同决定将合同标的中的部分由第三方承担供货和服务责任，但中标供应商必须对合同标的的全部内容向采购人负责，并保证第三方提供的供货和服务符合招标方招标文件的约定和其竞争性磋商文件的承诺及相关约定。</w:t>
      </w:r>
    </w:p>
    <w:p w14:paraId="2EDBCA96">
      <w:pPr>
        <w:spacing w:line="360" w:lineRule="auto"/>
        <w:ind w:firstLine="562" w:firstLineChars="200"/>
        <w:rPr>
          <w:rFonts w:hint="default" w:ascii="Times New Roman" w:hAnsi="Times New Roman" w:eastAsia="仿宋" w:cs="Times New Roman"/>
          <w:b/>
          <w:color w:val="000000"/>
          <w:sz w:val="28"/>
          <w:szCs w:val="28"/>
          <w:shd w:val="clear" w:color="auto" w:fill="FFFFFF"/>
        </w:rPr>
      </w:pPr>
      <w:r>
        <w:rPr>
          <w:rFonts w:hint="default" w:ascii="Times New Roman" w:hAnsi="Times New Roman" w:eastAsia="仿宋" w:cs="Times New Roman"/>
          <w:b/>
          <w:sz w:val="28"/>
          <w:szCs w:val="28"/>
          <w:shd w:val="clear" w:color="auto" w:fill="FFFFFF"/>
        </w:rPr>
        <w:t>（二）</w:t>
      </w:r>
      <w:r>
        <w:rPr>
          <w:rFonts w:hint="default" w:ascii="Times New Roman" w:hAnsi="Times New Roman" w:eastAsia="仿宋" w:cs="Times New Roman"/>
          <w:b/>
          <w:color w:val="000000"/>
          <w:sz w:val="28"/>
          <w:szCs w:val="28"/>
          <w:shd w:val="clear" w:color="auto" w:fill="FFFFFF"/>
        </w:rPr>
        <w:t>对投标人不良行为的处罚</w:t>
      </w:r>
    </w:p>
    <w:p w14:paraId="1E0EE60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投标人发生下列情形之一的，将被列入不良行为记录名单，在一至三年内禁止参加政府采购活动。</w:t>
      </w:r>
    </w:p>
    <w:p w14:paraId="14541B2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1、提供虚假资料谋取中标的;</w:t>
      </w:r>
    </w:p>
    <w:p w14:paraId="41B0A6A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2</w:t>
      </w:r>
      <w:r>
        <w:rPr>
          <w:rFonts w:hint="default" w:ascii="Times New Roman" w:hAnsi="Times New Roman" w:eastAsia="仿宋" w:cs="Times New Roman"/>
          <w:sz w:val="24"/>
          <w:szCs w:val="22"/>
          <w:highlight w:val="none"/>
          <w:lang w:val="zh-CN"/>
        </w:rPr>
        <w:t>、采取不正当手段诋毁、排挤其他供应商的;</w:t>
      </w:r>
    </w:p>
    <w:p w14:paraId="23609F0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eastAsia="仿宋" w:cs="Times New Roman"/>
          <w:sz w:val="24"/>
          <w:szCs w:val="22"/>
          <w:highlight w:val="none"/>
          <w:lang w:val="en-US" w:eastAsia="zh-CN"/>
        </w:rPr>
        <w:t>3</w:t>
      </w:r>
      <w:r>
        <w:rPr>
          <w:rFonts w:hint="default" w:ascii="Times New Roman" w:hAnsi="Times New Roman" w:eastAsia="仿宋" w:cs="Times New Roman"/>
          <w:sz w:val="24"/>
          <w:szCs w:val="22"/>
          <w:highlight w:val="none"/>
          <w:lang w:val="zh-CN"/>
        </w:rPr>
        <w:t>、与采购人、其他供应商或集中采购机构恶意串通的;</w:t>
      </w:r>
    </w:p>
    <w:p w14:paraId="6E6893C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4、向采购人、集中采购机构行贿或者提供其他不正当利益的；</w:t>
      </w:r>
    </w:p>
    <w:p w14:paraId="7791B48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5、在公开招标采购过程中与采购人进行协商谈判的；</w:t>
      </w:r>
    </w:p>
    <w:p w14:paraId="606FA40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6、拒绝有关部门监督检查或提供虚假情况的；</w:t>
      </w:r>
    </w:p>
    <w:p w14:paraId="6BFA625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cs="Times New Roman"/>
          <w:lang w:val="zh-CN"/>
        </w:rPr>
      </w:pPr>
      <w:r>
        <w:rPr>
          <w:rFonts w:hint="eastAsia" w:eastAsia="仿宋" w:cs="Times New Roman"/>
          <w:sz w:val="24"/>
          <w:szCs w:val="22"/>
          <w:highlight w:val="none"/>
          <w:lang w:val="en-US" w:eastAsia="zh-CN"/>
        </w:rPr>
        <w:t>7、</w:t>
      </w:r>
      <w:r>
        <w:rPr>
          <w:rFonts w:hint="default" w:ascii="Times New Roman" w:hAnsi="Times New Roman" w:eastAsia="仿宋" w:cs="Times New Roman"/>
          <w:sz w:val="24"/>
          <w:szCs w:val="22"/>
          <w:highlight w:val="none"/>
          <w:lang w:val="zh-CN"/>
        </w:rPr>
        <w:t>投标人有前六项情形之一的，中标结果无效。</w:t>
      </w:r>
    </w:p>
    <w:p w14:paraId="0C275D94">
      <w:pPr>
        <w:pStyle w:val="23"/>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124D7E40">
      <w:pPr>
        <w:pStyle w:val="23"/>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p>
    <w:p w14:paraId="0334585C">
      <w:pPr>
        <w:pStyle w:val="23"/>
        <w:spacing w:line="360" w:lineRule="auto"/>
        <w:ind w:left="0" w:leftChars="0" w:firstLine="0" w:firstLineChars="0"/>
        <w:jc w:val="center"/>
        <w:rPr>
          <w:rFonts w:hint="default" w:ascii="Times New Roman" w:hAnsi="Times New Roman" w:eastAsia="仿宋" w:cs="Times New Roman"/>
          <w:b/>
          <w:color w:val="auto"/>
          <w:kern w:val="2"/>
          <w:sz w:val="32"/>
          <w:szCs w:val="32"/>
          <w:highlight w:val="none"/>
          <w:lang w:val="en-US" w:eastAsia="zh-CN" w:bidi="ar-SA"/>
        </w:rPr>
      </w:pPr>
      <w:r>
        <w:rPr>
          <w:rFonts w:hint="default" w:ascii="Times New Roman" w:hAnsi="Times New Roman" w:eastAsia="仿宋" w:cs="Times New Roman"/>
          <w:b/>
          <w:color w:val="auto"/>
          <w:kern w:val="2"/>
          <w:sz w:val="32"/>
          <w:szCs w:val="32"/>
          <w:highlight w:val="none"/>
          <w:lang w:val="en-US" w:eastAsia="zh-CN" w:bidi="ar-SA"/>
        </w:rPr>
        <w:t>合同模板（仅供参考）</w:t>
      </w:r>
    </w:p>
    <w:p w14:paraId="48E50D04">
      <w:pPr>
        <w:spacing w:line="360" w:lineRule="auto"/>
        <w:ind w:firstLine="723" w:firstLineChars="200"/>
        <w:jc w:val="center"/>
        <w:rPr>
          <w:rFonts w:hint="default" w:ascii="Times New Roman" w:hAnsi="Times New Roman" w:eastAsia="仿宋" w:cs="Times New Roman"/>
          <w:b/>
          <w:bCs/>
          <w:color w:val="auto"/>
          <w:sz w:val="36"/>
          <w:szCs w:val="24"/>
          <w:highlight w:val="none"/>
        </w:rPr>
      </w:pPr>
    </w:p>
    <w:p w14:paraId="7604DADB">
      <w:pPr>
        <w:spacing w:line="360" w:lineRule="auto"/>
        <w:jc w:val="center"/>
        <w:rPr>
          <w:rFonts w:hint="default" w:ascii="Times New Roman" w:hAnsi="Times New Roman" w:eastAsia="仿宋" w:cs="Times New Roman"/>
          <w:b/>
          <w:bCs/>
          <w:color w:val="auto"/>
          <w:sz w:val="36"/>
          <w:szCs w:val="24"/>
          <w:highlight w:val="none"/>
        </w:rPr>
      </w:pPr>
      <w:r>
        <w:rPr>
          <w:rFonts w:hint="default" w:ascii="Times New Roman" w:hAnsi="Times New Roman" w:eastAsia="仿宋" w:cs="Times New Roman"/>
          <w:b/>
          <w:bCs/>
          <w:color w:val="auto"/>
          <w:sz w:val="36"/>
          <w:szCs w:val="24"/>
          <w:highlight w:val="none"/>
        </w:rPr>
        <w:t>合</w:t>
      </w:r>
      <w:r>
        <w:rPr>
          <w:rFonts w:hint="default" w:ascii="Times New Roman" w:hAnsi="Times New Roman" w:eastAsia="仿宋" w:cs="Times New Roman"/>
          <w:b/>
          <w:bCs/>
          <w:color w:val="auto"/>
          <w:sz w:val="36"/>
          <w:szCs w:val="24"/>
          <w:highlight w:val="none"/>
          <w:lang w:val="en-US" w:eastAsia="zh-CN"/>
        </w:rPr>
        <w:t xml:space="preserve">  </w:t>
      </w:r>
      <w:r>
        <w:rPr>
          <w:rFonts w:hint="default" w:ascii="Times New Roman" w:hAnsi="Times New Roman" w:eastAsia="仿宋" w:cs="Times New Roman"/>
          <w:b/>
          <w:bCs/>
          <w:color w:val="auto"/>
          <w:sz w:val="36"/>
          <w:szCs w:val="24"/>
          <w:highlight w:val="none"/>
        </w:rPr>
        <w:t>同</w:t>
      </w:r>
      <w:r>
        <w:rPr>
          <w:rFonts w:hint="default" w:ascii="Times New Roman" w:hAnsi="Times New Roman" w:eastAsia="仿宋" w:cs="Times New Roman"/>
          <w:b/>
          <w:bCs/>
          <w:color w:val="auto"/>
          <w:sz w:val="36"/>
          <w:szCs w:val="24"/>
          <w:highlight w:val="none"/>
          <w:lang w:val="en-US" w:eastAsia="zh-CN"/>
        </w:rPr>
        <w:t xml:space="preserve">  </w:t>
      </w:r>
      <w:r>
        <w:rPr>
          <w:rFonts w:hint="default" w:ascii="Times New Roman" w:hAnsi="Times New Roman" w:eastAsia="仿宋" w:cs="Times New Roman"/>
          <w:b/>
          <w:bCs/>
          <w:color w:val="auto"/>
          <w:sz w:val="36"/>
          <w:szCs w:val="24"/>
          <w:highlight w:val="none"/>
        </w:rPr>
        <w:t>书</w:t>
      </w:r>
    </w:p>
    <w:p w14:paraId="3F3EDDC5">
      <w:pPr>
        <w:spacing w:line="500" w:lineRule="exact"/>
        <w:rPr>
          <w:rFonts w:hint="default" w:ascii="Times New Roman" w:hAnsi="Times New Roman" w:cs="Times New Roman"/>
          <w:b/>
          <w:sz w:val="28"/>
          <w:szCs w:val="28"/>
        </w:rPr>
      </w:pPr>
    </w:p>
    <w:p w14:paraId="52F54892">
      <w:pPr>
        <w:spacing w:line="600" w:lineRule="exact"/>
        <w:ind w:firstLine="200" w:firstLineChars="100"/>
        <w:rPr>
          <w:rFonts w:hint="default" w:ascii="Times New Roman" w:hAnsi="Times New Roman" w:eastAsia="仿宋" w:cs="Times New Roman"/>
          <w:sz w:val="24"/>
          <w:u w:val="single"/>
          <w:lang w:val="en-US" w:eastAsia="zh-CN"/>
        </w:rPr>
      </w:pPr>
      <w:r>
        <w:rPr>
          <w:rFonts w:hint="default" w:ascii="Times New Roman" w:hAnsi="Times New Roman" w:eastAsia="仿宋" w:cs="Times New Roman"/>
          <w:spacing w:val="-20"/>
          <w:sz w:val="24"/>
        </w:rPr>
        <w:t>合同名称：</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p>
    <w:p w14:paraId="5E448BEF">
      <w:pPr>
        <w:spacing w:line="600" w:lineRule="exact"/>
        <w:ind w:firstLine="200" w:firstLineChars="100"/>
        <w:rPr>
          <w:rFonts w:hint="default" w:ascii="Times New Roman" w:hAnsi="Times New Roman" w:eastAsia="仿宋" w:cs="Times New Roman"/>
          <w:sz w:val="24"/>
          <w:u w:val="single"/>
        </w:rPr>
      </w:pPr>
      <w:r>
        <w:rPr>
          <w:rFonts w:hint="default" w:ascii="Times New Roman" w:hAnsi="Times New Roman" w:eastAsia="仿宋" w:cs="Times New Roman"/>
          <w:spacing w:val="-20"/>
          <w:sz w:val="24"/>
        </w:rPr>
        <w:t>合同编号：</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p>
    <w:p w14:paraId="0DE5229C">
      <w:pPr>
        <w:rPr>
          <w:rFonts w:hint="default" w:ascii="Times New Roman" w:hAnsi="Times New Roman" w:cs="Times New Roman"/>
          <w:b/>
          <w:sz w:val="24"/>
          <w:szCs w:val="28"/>
          <w:u w:val="single"/>
        </w:rPr>
      </w:pPr>
    </w:p>
    <w:p w14:paraId="4955E222">
      <w:pPr>
        <w:spacing w:line="600" w:lineRule="exact"/>
        <w:ind w:firstLine="200" w:firstLineChars="100"/>
        <w:rPr>
          <w:rFonts w:hint="default" w:ascii="Times New Roman" w:hAnsi="Times New Roman" w:eastAsia="仿宋" w:cs="Times New Roman"/>
          <w:sz w:val="24"/>
          <w:u w:val="single"/>
        </w:rPr>
      </w:pPr>
      <w:r>
        <w:rPr>
          <w:rFonts w:hint="default" w:ascii="Times New Roman" w:hAnsi="Times New Roman" w:eastAsia="仿宋" w:cs="Times New Roman"/>
          <w:spacing w:val="-20"/>
          <w:sz w:val="24"/>
        </w:rPr>
        <w:t>采购人（甲方）：</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u w:val="single"/>
          <w:lang w:val="en-US" w:eastAsia="zh-CN"/>
        </w:rPr>
        <w:t xml:space="preserve">                         </w:t>
      </w:r>
      <w:r>
        <w:rPr>
          <w:rFonts w:hint="default" w:ascii="Times New Roman" w:hAnsi="Times New Roman" w:eastAsia="仿宋" w:cs="Times New Roman"/>
          <w:sz w:val="24"/>
          <w:u w:val="single"/>
        </w:rPr>
        <w:t xml:space="preserve"> </w:t>
      </w:r>
    </w:p>
    <w:p w14:paraId="345BFC2F">
      <w:pPr>
        <w:tabs>
          <w:tab w:val="left" w:pos="8080"/>
        </w:tabs>
        <w:spacing w:line="600" w:lineRule="exact"/>
        <w:rPr>
          <w:rFonts w:hint="default" w:ascii="Times New Roman" w:hAnsi="Times New Roman" w:eastAsia="仿宋" w:cs="Times New Roman"/>
          <w:b/>
          <w:sz w:val="24"/>
          <w:szCs w:val="28"/>
          <w:u w:val="single"/>
          <w:lang w:val="en-US" w:eastAsia="zh-CN"/>
        </w:rPr>
      </w:pPr>
      <w:r>
        <w:rPr>
          <w:rFonts w:hint="default" w:ascii="Times New Roman" w:hAnsi="Times New Roman" w:eastAsia="仿宋" w:cs="Times New Roman"/>
          <w:spacing w:val="-20"/>
          <w:sz w:val="24"/>
          <w:lang w:val="en-US" w:eastAsia="zh-CN"/>
        </w:rPr>
        <w:t xml:space="preserve">     </w:t>
      </w:r>
    </w:p>
    <w:p w14:paraId="2C9F261F">
      <w:pPr>
        <w:spacing w:line="600" w:lineRule="exact"/>
        <w:ind w:firstLine="200" w:firstLineChars="100"/>
        <w:rPr>
          <w:rFonts w:hint="default" w:ascii="Times New Roman" w:hAnsi="Times New Roman" w:cs="Times New Roman"/>
          <w:b/>
          <w:sz w:val="24"/>
          <w:szCs w:val="28"/>
          <w:u w:val="single"/>
        </w:rPr>
      </w:pPr>
      <w:r>
        <w:rPr>
          <w:rFonts w:hint="default" w:ascii="Times New Roman" w:hAnsi="Times New Roman" w:eastAsia="仿宋" w:cs="Times New Roman"/>
          <w:spacing w:val="-20"/>
          <w:sz w:val="24"/>
        </w:rPr>
        <w:t>供应商（乙方）：</w:t>
      </w:r>
      <w:r>
        <w:rPr>
          <w:rFonts w:hint="default" w:ascii="Times New Roman" w:hAnsi="Times New Roman" w:eastAsia="仿宋" w:cs="Times New Roman"/>
          <w:sz w:val="24"/>
          <w:u w:val="single"/>
        </w:rPr>
        <w:t xml:space="preserve">                           </w:t>
      </w:r>
    </w:p>
    <w:p w14:paraId="32F395C3">
      <w:pPr>
        <w:ind w:firstLine="241" w:firstLineChars="100"/>
        <w:rPr>
          <w:rFonts w:hint="default" w:ascii="Times New Roman" w:hAnsi="Times New Roman" w:cs="Times New Roman"/>
          <w:b/>
          <w:sz w:val="24"/>
          <w:szCs w:val="28"/>
          <w:u w:val="single"/>
        </w:rPr>
      </w:pPr>
    </w:p>
    <w:p w14:paraId="5B5D3238">
      <w:pPr>
        <w:ind w:firstLine="241" w:firstLineChars="100"/>
        <w:rPr>
          <w:rFonts w:hint="default" w:ascii="Times New Roman" w:hAnsi="Times New Roman" w:cs="Times New Roman"/>
          <w:b/>
          <w:sz w:val="24"/>
          <w:szCs w:val="28"/>
          <w:u w:val="single"/>
        </w:rPr>
      </w:pPr>
    </w:p>
    <w:p w14:paraId="4C41156D">
      <w:pPr>
        <w:spacing w:line="600" w:lineRule="exact"/>
        <w:ind w:firstLine="200" w:firstLineChars="100"/>
        <w:rPr>
          <w:rFonts w:hint="default" w:ascii="Times New Roman" w:hAnsi="Times New Roman" w:cs="Times New Roman"/>
          <w:b/>
          <w:sz w:val="24"/>
          <w:szCs w:val="28"/>
          <w:u w:val="single"/>
        </w:rPr>
      </w:pPr>
      <w:r>
        <w:rPr>
          <w:rFonts w:hint="default" w:ascii="Times New Roman" w:hAnsi="Times New Roman" w:eastAsia="仿宋" w:cs="Times New Roman"/>
          <w:spacing w:val="-20"/>
          <w:sz w:val="24"/>
        </w:rPr>
        <w:t>签订合同地点：</w:t>
      </w:r>
      <w:r>
        <w:rPr>
          <w:rFonts w:hint="default" w:ascii="Times New Roman" w:hAnsi="Times New Roman" w:eastAsia="仿宋" w:cs="Times New Roman"/>
          <w:sz w:val="24"/>
          <w:u w:val="single"/>
        </w:rPr>
        <w:t xml:space="preserve">                             </w:t>
      </w:r>
    </w:p>
    <w:p w14:paraId="1C943909">
      <w:pPr>
        <w:spacing w:line="600" w:lineRule="exact"/>
        <w:ind w:firstLine="200" w:firstLineChars="100"/>
        <w:rPr>
          <w:rFonts w:hint="default" w:ascii="Times New Roman" w:hAnsi="Times New Roman" w:cs="Times New Roman"/>
          <w:b/>
          <w:sz w:val="24"/>
          <w:szCs w:val="28"/>
          <w:u w:val="single"/>
        </w:rPr>
      </w:pPr>
      <w:r>
        <w:rPr>
          <w:rFonts w:hint="default" w:ascii="Times New Roman" w:hAnsi="Times New Roman" w:eastAsia="仿宋" w:cs="Times New Roman"/>
          <w:spacing w:val="-20"/>
          <w:sz w:val="24"/>
        </w:rPr>
        <w:t>签订合同时间：</w:t>
      </w:r>
      <w:r>
        <w:rPr>
          <w:rFonts w:hint="default" w:ascii="Times New Roman" w:hAnsi="Times New Roman" w:eastAsia="仿宋" w:cs="Times New Roman"/>
          <w:sz w:val="24"/>
          <w:u w:val="single"/>
        </w:rPr>
        <w:t xml:space="preserve">                            </w:t>
      </w:r>
    </w:p>
    <w:p w14:paraId="6D20A7FF">
      <w:pPr>
        <w:rPr>
          <w:rFonts w:hint="default" w:ascii="Times New Roman" w:hAnsi="Times New Roman" w:eastAsia="仿宋" w:cs="Times New Roman"/>
        </w:rPr>
      </w:pPr>
    </w:p>
    <w:p w14:paraId="14363108">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sz w:val="32"/>
          <w:szCs w:val="32"/>
        </w:rPr>
        <w:br w:type="page"/>
      </w:r>
      <w:bookmarkStart w:id="48" w:name="_Toc204135092"/>
      <w:bookmarkEnd w:id="48"/>
      <w:bookmarkStart w:id="49" w:name="_Toc393058590"/>
      <w:bookmarkEnd w:id="49"/>
      <w:r>
        <w:rPr>
          <w:rFonts w:hint="default" w:ascii="Times New Roman" w:hAnsi="Times New Roman" w:eastAsia="仿宋" w:cs="Times New Roman"/>
          <w:b/>
          <w:bCs/>
          <w:sz w:val="32"/>
          <w:szCs w:val="32"/>
        </w:rPr>
        <w:t>政府采购合同</w:t>
      </w:r>
    </w:p>
    <w:p w14:paraId="4A19C074">
      <w:pPr>
        <w:tabs>
          <w:tab w:val="left" w:pos="8460"/>
        </w:tabs>
        <w:snapToGrid w:val="0"/>
        <w:spacing w:line="400" w:lineRule="exact"/>
        <w:ind w:right="-45"/>
        <w:rPr>
          <w:rFonts w:hint="default" w:ascii="Times New Roman" w:hAnsi="Times New Roman" w:eastAsia="仿宋" w:cs="Times New Roman"/>
          <w:bCs/>
          <w:szCs w:val="21"/>
        </w:rPr>
      </w:pPr>
    </w:p>
    <w:p w14:paraId="494B0BE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w:t>
      </w:r>
      <w:r>
        <w:rPr>
          <w:rFonts w:hint="default" w:ascii="Times New Roman" w:hAnsi="Times New Roman" w:eastAsia="仿宋" w:cs="Times New Roman"/>
          <w:sz w:val="24"/>
          <w:szCs w:val="22"/>
          <w:highlight w:val="none"/>
          <w:lang w:val="zh-CN"/>
        </w:rPr>
        <w:t>同编号：</w:t>
      </w:r>
    </w:p>
    <w:p w14:paraId="1F808D3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w:t>
      </w:r>
      <w:r>
        <w:rPr>
          <w:rFonts w:hint="default" w:ascii="Times New Roman" w:hAnsi="Times New Roman" w:eastAsia="仿宋" w:cs="Times New Roman"/>
          <w:sz w:val="24"/>
          <w:szCs w:val="22"/>
          <w:highlight w:val="none"/>
          <w:lang w:val="zh-CN"/>
        </w:rPr>
        <w:t>方：******（填写采购单位名称）</w:t>
      </w:r>
    </w:p>
    <w:p w14:paraId="6B398B1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2AEDBAE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w:t>
      </w:r>
      <w:r>
        <w:rPr>
          <w:rFonts w:hint="default" w:ascii="Times New Roman" w:hAnsi="Times New Roman" w:eastAsia="仿宋" w:cs="Times New Roman"/>
          <w:sz w:val="24"/>
          <w:szCs w:val="22"/>
          <w:highlight w:val="none"/>
          <w:lang w:val="zh-CN"/>
        </w:rPr>
        <w:t>方：******（填写中标、成交供应商名称）</w:t>
      </w:r>
    </w:p>
    <w:p w14:paraId="6E40257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地</w:t>
      </w:r>
      <w:r>
        <w:rPr>
          <w:rFonts w:hint="default" w:ascii="Times New Roman" w:hAnsi="Times New Roman" w:eastAsia="仿宋" w:cs="Times New Roman"/>
          <w:sz w:val="24"/>
          <w:szCs w:val="22"/>
          <w:highlight w:val="none"/>
          <w:lang w:val="zh-CN"/>
        </w:rPr>
        <w:t>址：******（填写详细地址）</w:t>
      </w:r>
    </w:p>
    <w:p w14:paraId="31C86E0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甲乙双方根据《中华人民共和国政府采购法》《中华人民共和国政府采购法实施条例》《中华人民共和国民法典》等相关法律法规、规范性文件以及</w:t>
      </w:r>
      <w:r>
        <w:rPr>
          <w:rFonts w:hint="default" w:ascii="Times New Roman" w:hAnsi="Times New Roman" w:eastAsia="仿宋" w:cs="Times New Roman"/>
          <w:sz w:val="24"/>
          <w:szCs w:val="22"/>
          <w:highlight w:val="none"/>
          <w:lang w:val="zh-CN"/>
        </w:rPr>
        <w:t>项目（填写项目名称）填写政府采购项目</w:t>
      </w:r>
      <w:r>
        <w:rPr>
          <w:rFonts w:hint="eastAsia" w:ascii="Times New Roman" w:hAnsi="Times New Roman" w:eastAsia="仿宋" w:cs="Times New Roman"/>
          <w:sz w:val="24"/>
          <w:szCs w:val="22"/>
          <w:highlight w:val="none"/>
          <w:lang w:val="zh-CN"/>
        </w:rPr>
        <w:t>编号）的中标（成交）结果、招标（磋商、谈判）文件、投标（响应）文件等文件的相关内容，经平等自愿协商一致，就如下合同条款达成一致意见。</w:t>
      </w:r>
    </w:p>
    <w:p w14:paraId="2556093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一</w:t>
      </w:r>
      <w:r>
        <w:rPr>
          <w:rFonts w:hint="default" w:ascii="Times New Roman" w:hAnsi="Times New Roman" w:eastAsia="仿宋" w:cs="Times New Roman"/>
          <w:b/>
          <w:bCs/>
          <w:sz w:val="24"/>
          <w:szCs w:val="22"/>
          <w:highlight w:val="none"/>
          <w:lang w:val="zh-CN"/>
        </w:rPr>
        <w:t>、乙方向甲方提供的服务内容</w:t>
      </w:r>
    </w:p>
    <w:p w14:paraId="4D550B6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（一）根据招标（磋商、谈判）文件及中标（成交）结果公告，乙方向</w:t>
      </w:r>
    </w:p>
    <w:p w14:paraId="63B1215F">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甲方提供的服务、货物（如有）内容如下：。</w:t>
      </w:r>
    </w:p>
    <w:p w14:paraId="6F81FBC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（二）服务项目名称、服务具体内容、服务方式、服务要求、服务成果及与之相关的货物等详细内容，见合同附件—服务清单。</w:t>
      </w:r>
    </w:p>
    <w:p w14:paraId="6D60184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二、乙方服务成果的交付时间、地点</w:t>
      </w:r>
    </w:p>
    <w:p w14:paraId="38D1B03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（一）服务期限：</w:t>
      </w:r>
    </w:p>
    <w:p w14:paraId="02EEAD2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（二）服务成果的交付时间和交付要求（如有）：</w:t>
      </w:r>
    </w:p>
    <w:p w14:paraId="41065A2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（三）服务地点：</w:t>
      </w:r>
      <w:r>
        <w:rPr>
          <w:rFonts w:hint="default" w:ascii="Times New Roman" w:hAnsi="Times New Roman" w:eastAsia="仿宋" w:cs="Times New Roman"/>
          <w:sz w:val="24"/>
          <w:szCs w:val="22"/>
          <w:highlight w:val="none"/>
          <w:lang w:val="zh-CN"/>
        </w:rPr>
        <w:t>（填写详细地址）</w:t>
      </w:r>
    </w:p>
    <w:p w14:paraId="4EBE0AD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528A46A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（五）甲方代表及联系电话：</w:t>
      </w:r>
      <w:r>
        <w:rPr>
          <w:rFonts w:hint="default" w:ascii="Times New Roman" w:hAnsi="Times New Roman" w:eastAsia="仿宋" w:cs="Times New Roman"/>
          <w:sz w:val="24"/>
          <w:szCs w:val="22"/>
          <w:highlight w:val="none"/>
          <w:lang w:val="zh-CN"/>
        </w:rPr>
        <w:t>（填写姓名</w:t>
      </w:r>
      <w:r>
        <w:rPr>
          <w:rFonts w:hint="eastAsia" w:ascii="Times New Roman" w:hAnsi="Times New Roman" w:eastAsia="仿宋" w:cs="Times New Roman"/>
          <w:sz w:val="24"/>
          <w:szCs w:val="22"/>
          <w:highlight w:val="none"/>
          <w:lang w:val="zh-CN"/>
        </w:rPr>
        <w:t>和联系电话）</w:t>
      </w:r>
    </w:p>
    <w:p w14:paraId="24115DC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注：服务成果分阶段交付的，应分别列明各阶段的交付时间、交付内容。</w:t>
      </w:r>
    </w:p>
    <w:p w14:paraId="468BD09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三、乙方提供服务成果的质量</w:t>
      </w:r>
    </w:p>
    <w:p w14:paraId="6BE9070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（一）乙方提供的服务应同时满足：</w:t>
      </w:r>
    </w:p>
    <w:p w14:paraId="4959889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1.符合国家法律法规和规范性文件</w:t>
      </w:r>
      <w:r>
        <w:rPr>
          <w:rFonts w:hint="eastAsia" w:ascii="Times New Roman" w:hAnsi="Times New Roman" w:eastAsia="仿宋" w:cs="Times New Roman"/>
          <w:sz w:val="24"/>
          <w:szCs w:val="22"/>
          <w:highlight w:val="none"/>
          <w:lang w:val="zh-CN"/>
        </w:rPr>
        <w:t>对服务质量的要求；</w:t>
      </w:r>
    </w:p>
    <w:p w14:paraId="55C6BCB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2.符合甲方招标（磋商、谈判）文件对服务的质量要求；</w:t>
      </w:r>
    </w:p>
    <w:p w14:paraId="7EFB28D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3.符合乙方在投标（响应）文件中或磋商、谈判过程中对服务质量作出的书</w:t>
      </w:r>
      <w:r>
        <w:rPr>
          <w:rFonts w:hint="eastAsia" w:ascii="Times New Roman" w:hAnsi="Times New Roman" w:eastAsia="仿宋" w:cs="Times New Roman"/>
          <w:sz w:val="24"/>
          <w:szCs w:val="22"/>
          <w:highlight w:val="none"/>
          <w:lang w:val="zh-CN"/>
        </w:rPr>
        <w:t>面承诺、声明或保证。上述质量要求作为甲方对乙方服务质量的验收依据。</w:t>
      </w:r>
    </w:p>
    <w:p w14:paraId="732E714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（二）乙方应根据国家法律法规和规范性文件的规定、招标（磋商、谈判）文件的相关要求、投标（响应）文件及乙方承诺、声明或保证，向甲方提供相应的服务质量证明文件。</w:t>
      </w:r>
    </w:p>
    <w:p w14:paraId="31E6BE4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四、</w:t>
      </w:r>
      <w:r>
        <w:rPr>
          <w:rFonts w:hint="eastAsia" w:ascii="Times New Roman" w:hAnsi="Times New Roman" w:eastAsia="仿宋" w:cs="Times New Roman"/>
          <w:sz w:val="24"/>
          <w:szCs w:val="22"/>
          <w:highlight w:val="none"/>
          <w:lang w:val="zh-CN"/>
        </w:rPr>
        <w:t>乙方服务成果的交付方式及载体乙方交付服务成果方式及载体应符合国家法律法规和规范性文件的要求，并符合甲方招标（磋商、谈判）文件的要求、乙方在投标（响应）文件中对服务成果交付方式及载体作出的承诺。</w:t>
      </w:r>
    </w:p>
    <w:p w14:paraId="3444D5F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五、甲方对乙方服务的监督</w:t>
      </w:r>
    </w:p>
    <w:p w14:paraId="31033D6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14:paraId="2D17AE2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六、合同金额</w:t>
      </w:r>
    </w:p>
    <w:p w14:paraId="390FAAC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在乙方提供完全符合合同要求的服务的前提下，本合同总金额为元（小写）</w:t>
      </w:r>
      <w:r>
        <w:rPr>
          <w:rFonts w:hint="default" w:ascii="Times New Roman" w:hAnsi="Times New Roman" w:eastAsia="仿宋" w:cs="Times New Roman"/>
          <w:sz w:val="24"/>
          <w:szCs w:val="22"/>
          <w:highlight w:val="none"/>
          <w:lang w:val="zh-CN"/>
        </w:rPr>
        <w:t>（大写）。</w:t>
      </w:r>
    </w:p>
    <w:p w14:paraId="4F86999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七、付款时间及条件</w:t>
      </w:r>
    </w:p>
    <w:p w14:paraId="311DE21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（一）付款时间：</w:t>
      </w:r>
    </w:p>
    <w:p w14:paraId="01D2FB1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（二）付款条件：</w:t>
      </w:r>
    </w:p>
    <w:p w14:paraId="69D0D19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（三）乙方账户信息</w:t>
      </w:r>
    </w:p>
    <w:p w14:paraId="2BE2090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乙方名称：</w:t>
      </w:r>
    </w:p>
    <w:p w14:paraId="44FBECD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开户银行：</w:t>
      </w:r>
    </w:p>
    <w:p w14:paraId="4B13828C">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银行账号：</w:t>
      </w:r>
    </w:p>
    <w:p w14:paraId="336E40D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八、知识产权</w:t>
      </w:r>
    </w:p>
    <w:p w14:paraId="70829DE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乙方应保证其提供的服务及服务成果的全部及部分，均不存在侵犯第三方知识产权的情形，其服务成果的所有权由甲方享有。否则，乙方应向甲方承担违约责任及赔偿由此给甲方造成的名誉及经济损失。</w:t>
      </w:r>
    </w:p>
    <w:p w14:paraId="47C3FD7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九、违约条款</w:t>
      </w:r>
    </w:p>
    <w:p w14:paraId="79710F0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（一）甲方没有正当理由逾期支付合同款项的，每延期一日，甲方应按照逾期支付金额</w:t>
      </w:r>
      <w:r>
        <w:rPr>
          <w:rFonts w:hint="default" w:ascii="Times New Roman" w:hAnsi="Times New Roman" w:eastAsia="仿宋" w:cs="Times New Roman"/>
          <w:sz w:val="24"/>
          <w:szCs w:val="22"/>
          <w:highlight w:val="none"/>
          <w:lang w:val="zh-CN"/>
        </w:rPr>
        <w:t>的承担违约责任。延期达到日，乙方有</w:t>
      </w:r>
      <w:r>
        <w:rPr>
          <w:rFonts w:hint="eastAsia" w:ascii="Times New Roman" w:hAnsi="Times New Roman" w:eastAsia="仿宋" w:cs="Times New Roman"/>
          <w:sz w:val="24"/>
          <w:szCs w:val="22"/>
          <w:highlight w:val="none"/>
          <w:lang w:val="zh-CN"/>
        </w:rPr>
        <w:t>权解除合同，并要求甲方赔偿由此造成的经济损失。</w:t>
      </w:r>
    </w:p>
    <w:p w14:paraId="473E9BB0">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（二）甲方存在其他违反本合同的行为，应承担相应的违约责任（注：可以根据情况进行细化）；违约金不足以赔偿乙方损失的，乙方有权要求甲方赔偿由此造成的经济损失。</w:t>
      </w:r>
    </w:p>
    <w:p w14:paraId="407908E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（三）乙方逾期提供服务成果的，每延期一日，乙方应按照合同总金额的</w:t>
      </w:r>
      <w:r>
        <w:rPr>
          <w:rFonts w:hint="default" w:ascii="Times New Roman" w:hAnsi="Times New Roman" w:eastAsia="仿宋" w:cs="Times New Roman"/>
          <w:sz w:val="24"/>
          <w:szCs w:val="22"/>
          <w:highlight w:val="none"/>
          <w:lang w:val="zh-CN"/>
        </w:rPr>
        <w:t>承担违约责任。延期达到日，甲方有权解除合同，拒付延期部分的</w:t>
      </w:r>
      <w:r>
        <w:rPr>
          <w:rFonts w:hint="eastAsia" w:ascii="Times New Roman" w:hAnsi="Times New Roman" w:eastAsia="仿宋" w:cs="Times New Roman"/>
          <w:sz w:val="24"/>
          <w:szCs w:val="22"/>
          <w:highlight w:val="none"/>
          <w:lang w:val="zh-CN"/>
        </w:rPr>
        <w:t>相应服务款项，并要求乙方赔偿甲方的经济损失。</w:t>
      </w:r>
    </w:p>
    <w:p w14:paraId="3CD7F1B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（四）乙方交付的服务不符合质量要求，或其服务成果存在侵权行为的，甲方有权解除合同，并要求乙方支付合同总金额</w:t>
      </w:r>
      <w:r>
        <w:rPr>
          <w:rFonts w:hint="default" w:ascii="Times New Roman" w:hAnsi="Times New Roman" w:eastAsia="仿宋" w:cs="Times New Roman"/>
          <w:sz w:val="24"/>
          <w:szCs w:val="22"/>
          <w:highlight w:val="none"/>
          <w:lang w:val="zh-CN"/>
        </w:rPr>
        <w:t>%的违约金，违约金不足</w:t>
      </w:r>
      <w:r>
        <w:rPr>
          <w:rFonts w:hint="eastAsia" w:ascii="Times New Roman" w:hAnsi="Times New Roman" w:eastAsia="仿宋" w:cs="Times New Roman"/>
          <w:sz w:val="24"/>
          <w:szCs w:val="22"/>
          <w:highlight w:val="none"/>
          <w:lang w:val="zh-CN"/>
        </w:rPr>
        <w:t>以赔偿甲方损失的，甲方有权要求乙方赔偿经济损失。</w:t>
      </w:r>
    </w:p>
    <w:p w14:paraId="790E0AE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（五）乙方在参与本项目采购活动过程中，如存在提供虚假承诺、证明、串通投标等违法违规行为，除承担相应的行政责任外，甲方有权解除合同，并要求乙方承担合同总金额</w:t>
      </w:r>
      <w:r>
        <w:rPr>
          <w:rFonts w:hint="default" w:ascii="Times New Roman" w:hAnsi="Times New Roman" w:eastAsia="仿宋" w:cs="Times New Roman"/>
          <w:sz w:val="24"/>
          <w:szCs w:val="22"/>
          <w:highlight w:val="none"/>
          <w:lang w:val="zh-CN"/>
        </w:rPr>
        <w:t>%的违约金，违约金不足以赔偿甲方损失的，</w:t>
      </w:r>
      <w:r>
        <w:rPr>
          <w:rFonts w:hint="eastAsia" w:ascii="Times New Roman" w:hAnsi="Times New Roman" w:eastAsia="仿宋" w:cs="Times New Roman"/>
          <w:sz w:val="24"/>
          <w:szCs w:val="22"/>
          <w:highlight w:val="none"/>
          <w:lang w:val="zh-CN"/>
        </w:rPr>
        <w:t>甲方有权要求乙方赔偿经济损失。</w:t>
      </w:r>
    </w:p>
    <w:p w14:paraId="5262CD72">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（六）乙方存在其他违反本合同的行为，应承担相应的违约责任（注：可以根据情况进行细化）；违约金不足以赔偿甲方损失的，甲方有权要求乙方赔偿经济损失。</w:t>
      </w:r>
    </w:p>
    <w:p w14:paraId="5E48FE78">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十、不可抗力</w:t>
      </w:r>
    </w:p>
    <w:p w14:paraId="1855FBFD">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因不可抗力致使一方不能及时或完全履行合同的，应及时通知另一方，双方互不承担责任，并在</w:t>
      </w:r>
      <w:r>
        <w:rPr>
          <w:rFonts w:hint="default" w:ascii="Times New Roman" w:hAnsi="Times New Roman" w:eastAsia="仿宋" w:cs="Times New Roman"/>
          <w:sz w:val="24"/>
          <w:szCs w:val="22"/>
          <w:highlight w:val="none"/>
          <w:lang w:val="zh-CN"/>
        </w:rPr>
        <w:t>天内提供有关不可抗力的相关证明。合同未</w:t>
      </w:r>
      <w:r>
        <w:rPr>
          <w:rFonts w:hint="eastAsia" w:ascii="Times New Roman" w:hAnsi="Times New Roman" w:eastAsia="仿宋" w:cs="Times New Roman"/>
          <w:sz w:val="24"/>
          <w:szCs w:val="22"/>
          <w:highlight w:val="none"/>
          <w:lang w:val="zh-CN"/>
        </w:rPr>
        <w:t>履行部分是否继续履行、如何履行等问题，由双方协商解决。</w:t>
      </w:r>
    </w:p>
    <w:p w14:paraId="6E3C331E">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十一、争议的解决方式</w:t>
      </w:r>
    </w:p>
    <w:p w14:paraId="2CE2210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合同发生纠纷时，双方应协商解决，协商不成，可以采用下列方式解决：</w:t>
      </w:r>
    </w:p>
    <w:p w14:paraId="79DE076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（一）提交</w:t>
      </w:r>
      <w:r>
        <w:rPr>
          <w:rFonts w:hint="default" w:ascii="Times New Roman" w:hAnsi="Times New Roman" w:eastAsia="仿宋" w:cs="Times New Roman"/>
          <w:sz w:val="24"/>
          <w:szCs w:val="22"/>
          <w:highlight w:val="none"/>
          <w:lang w:val="zh-CN"/>
        </w:rPr>
        <w:t>仲裁委员会仲裁。</w:t>
      </w:r>
    </w:p>
    <w:p w14:paraId="78C96259">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（二）向</w:t>
      </w:r>
      <w:r>
        <w:rPr>
          <w:rFonts w:hint="default" w:ascii="Times New Roman" w:hAnsi="Times New Roman" w:eastAsia="仿宋" w:cs="Times New Roman"/>
          <w:sz w:val="24"/>
          <w:szCs w:val="22"/>
          <w:highlight w:val="none"/>
          <w:lang w:val="zh-CN"/>
        </w:rPr>
        <w:t>人民法院起诉。</w:t>
      </w:r>
    </w:p>
    <w:p w14:paraId="40705907">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十二、合同保存</w:t>
      </w:r>
    </w:p>
    <w:p w14:paraId="69F0622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合同文本一式</w:t>
      </w:r>
      <w:r>
        <w:rPr>
          <w:rFonts w:hint="default" w:ascii="Times New Roman" w:hAnsi="Times New Roman" w:eastAsia="仿宋" w:cs="Times New Roman"/>
          <w:sz w:val="24"/>
          <w:szCs w:val="22"/>
          <w:highlight w:val="none"/>
          <w:lang w:val="zh-CN"/>
        </w:rPr>
        <w:t>份，采购单位、中标（成交）供应商、采购代理机构、</w:t>
      </w:r>
      <w:r>
        <w:rPr>
          <w:rFonts w:hint="eastAsia" w:ascii="Times New Roman" w:hAnsi="Times New Roman" w:eastAsia="仿宋" w:cs="Times New Roman"/>
          <w:sz w:val="24"/>
          <w:szCs w:val="22"/>
          <w:highlight w:val="none"/>
          <w:lang w:val="zh-CN"/>
        </w:rPr>
        <w:t>各执一份。合同文本保存期限为从采购结束之日起至少保存十五年。</w:t>
      </w:r>
    </w:p>
    <w:p w14:paraId="151E00C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b/>
          <w:bCs/>
          <w:sz w:val="24"/>
          <w:szCs w:val="22"/>
          <w:highlight w:val="none"/>
          <w:lang w:val="zh-CN"/>
        </w:rPr>
        <w:t>十三、合同附件</w:t>
      </w:r>
    </w:p>
    <w:p w14:paraId="7453169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eastAsia" w:ascii="Times New Roman" w:hAnsi="Times New Roman" w:eastAsia="仿宋" w:cs="Times New Roman"/>
          <w:sz w:val="24"/>
          <w:szCs w:val="22"/>
          <w:highlight w:val="none"/>
          <w:lang w:val="zh-CN"/>
        </w:rPr>
        <w:t>本合同所附下列文件是构成本合同不可分割的部分，与本合同具有同等法律效力：</w:t>
      </w:r>
    </w:p>
    <w:p w14:paraId="31FE61F3">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1、服务清单（双方应盖章确认）</w:t>
      </w:r>
    </w:p>
    <w:p w14:paraId="4726E55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2、乙方出具的报价单（函）</w:t>
      </w:r>
    </w:p>
    <w:p w14:paraId="413F9A2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3、中标（成交）结果公告及中标（成交）通知书</w:t>
      </w:r>
    </w:p>
    <w:p w14:paraId="5CACE04A">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4、甲方招标（磋商、谈判）文件</w:t>
      </w:r>
    </w:p>
    <w:p w14:paraId="6886643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5、乙方投标（响应）文件</w:t>
      </w:r>
    </w:p>
    <w:p w14:paraId="065C40C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sz w:val="24"/>
          <w:szCs w:val="22"/>
          <w:highlight w:val="none"/>
          <w:lang w:val="zh-CN"/>
        </w:rPr>
      </w:pPr>
      <w:r>
        <w:rPr>
          <w:rFonts w:hint="default" w:ascii="Times New Roman" w:hAnsi="Times New Roman" w:eastAsia="仿宋" w:cs="Times New Roman"/>
          <w:sz w:val="24"/>
          <w:szCs w:val="22"/>
          <w:highlight w:val="none"/>
          <w:lang w:val="zh-CN"/>
        </w:rPr>
        <w:t>6、甲乙双方商定的其他文件</w:t>
      </w:r>
    </w:p>
    <w:p w14:paraId="566BD314">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十四、双方约定的其他事宜</w:t>
      </w:r>
    </w:p>
    <w:p w14:paraId="481FA186">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十五、合同未尽事宜，双方另行签订补充协议，补充协议是合同的组成</w:t>
      </w:r>
    </w:p>
    <w:p w14:paraId="7A85D645">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default" w:ascii="Times New Roman" w:hAnsi="Times New Roman" w:eastAsia="仿宋" w:cs="Times New Roman"/>
          <w:b/>
          <w:bCs/>
          <w:sz w:val="24"/>
          <w:szCs w:val="22"/>
          <w:highlight w:val="none"/>
          <w:lang w:val="zh-CN"/>
        </w:rPr>
      </w:pPr>
      <w:r>
        <w:rPr>
          <w:rFonts w:hint="eastAsia" w:ascii="Times New Roman" w:hAnsi="Times New Roman" w:eastAsia="仿宋" w:cs="Times New Roman"/>
          <w:b/>
          <w:bCs/>
          <w:sz w:val="24"/>
          <w:szCs w:val="22"/>
          <w:highlight w:val="none"/>
          <w:lang w:val="zh-CN"/>
        </w:rPr>
        <w:t>部分。</w:t>
      </w:r>
    </w:p>
    <w:p w14:paraId="59A81391">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ascii="宋体" w:hAnsi="宋体" w:eastAsia="宋体"/>
          <w:sz w:val="24"/>
          <w:szCs w:val="24"/>
        </w:rPr>
      </w:pPr>
      <w:r>
        <w:rPr>
          <w:rFonts w:hint="eastAsia" w:ascii="Times New Roman" w:hAnsi="Times New Roman" w:eastAsia="仿宋" w:cs="Times New Roman"/>
          <w:b/>
          <w:bCs/>
          <w:sz w:val="24"/>
          <w:szCs w:val="22"/>
          <w:highlight w:val="none"/>
          <w:lang w:val="zh-CN"/>
        </w:rPr>
        <w:t>十六、本合同由甲乙双方盖章生效。</w:t>
      </w:r>
      <w:r>
        <w:rPr>
          <w:rFonts w:hint="default" w:ascii="Times New Roman" w:hAnsi="Times New Roman" w:eastAsia="仿宋" w:cs="Times New Roman"/>
          <w:sz w:val="24"/>
          <w:szCs w:val="22"/>
          <w:highlight w:val="none"/>
          <w:lang w:val="zh-CN"/>
        </w:rPr>
        <w:t xml:space="preserve">   </w:t>
      </w:r>
      <w:r>
        <w:rPr>
          <w:rFonts w:ascii="宋体" w:hAnsi="宋体" w:eastAsia="宋体"/>
          <w:sz w:val="24"/>
          <w:szCs w:val="24"/>
        </w:rPr>
        <w:t xml:space="preserve">                   </w:t>
      </w:r>
    </w:p>
    <w:p w14:paraId="03949F4E">
      <w:pPr>
        <w:snapToGrid w:val="0"/>
        <w:spacing w:line="440" w:lineRule="exact"/>
        <w:ind w:firstLine="480" w:firstLineChars="200"/>
        <w:rPr>
          <w:rFonts w:hint="default" w:ascii="Times New Roman" w:hAnsi="Times New Roman" w:eastAsia="仿宋" w:cs="Times New Roman"/>
          <w:sz w:val="24"/>
        </w:rPr>
      </w:pPr>
    </w:p>
    <w:tbl>
      <w:tblPr>
        <w:tblStyle w:val="3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D8A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68496E56">
            <w:pPr>
              <w:spacing w:line="440" w:lineRule="exact"/>
              <w:ind w:firstLine="36" w:firstLineChars="15"/>
              <w:rPr>
                <w:rFonts w:hint="default" w:ascii="Times New Roman" w:hAnsi="Times New Roman" w:eastAsia="仿宋" w:cs="Times New Roman"/>
                <w:sz w:val="24"/>
              </w:rPr>
            </w:pPr>
            <w:r>
              <w:rPr>
                <w:rFonts w:hint="default" w:ascii="Times New Roman" w:hAnsi="Times New Roman" w:eastAsia="仿宋" w:cs="Times New Roman"/>
                <w:sz w:val="24"/>
              </w:rPr>
              <w:t>甲方（章）：</w:t>
            </w:r>
          </w:p>
          <w:p w14:paraId="13F6D0E8">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14:paraId="30D7B419">
            <w:pPr>
              <w:snapToGrid w:val="0"/>
              <w:spacing w:line="400" w:lineRule="exact"/>
              <w:ind w:firstLine="1080" w:firstLineChars="45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4517" w:type="dxa"/>
            <w:vAlign w:val="center"/>
          </w:tcPr>
          <w:p w14:paraId="20774B8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乙方（章）：    </w:t>
            </w:r>
          </w:p>
          <w:p w14:paraId="77185B2C">
            <w:pPr>
              <w:snapToGrid w:val="0"/>
              <w:spacing w:line="400" w:lineRule="exact"/>
              <w:rPr>
                <w:rFonts w:hint="default" w:ascii="Times New Roman" w:hAnsi="Times New Roman" w:eastAsia="仿宋" w:cs="Times New Roman"/>
                <w:sz w:val="24"/>
              </w:rPr>
            </w:pPr>
          </w:p>
          <w:p w14:paraId="3F81695F">
            <w:pPr>
              <w:snapToGrid w:val="0"/>
              <w:spacing w:line="400" w:lineRule="exact"/>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14:paraId="32BA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584DEE06">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c>
          <w:tcPr>
            <w:tcW w:w="4517" w:type="dxa"/>
            <w:vAlign w:val="center"/>
          </w:tcPr>
          <w:p w14:paraId="71AE164B">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单位地址：</w:t>
            </w:r>
          </w:p>
        </w:tc>
      </w:tr>
      <w:tr w14:paraId="0B8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B867B9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法定代表人（或单位负责人）：</w:t>
            </w:r>
          </w:p>
        </w:tc>
        <w:tc>
          <w:tcPr>
            <w:tcW w:w="4517" w:type="dxa"/>
            <w:vAlign w:val="center"/>
          </w:tcPr>
          <w:p w14:paraId="179434A0">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法定代表人：</w:t>
            </w:r>
          </w:p>
        </w:tc>
      </w:tr>
      <w:tr w14:paraId="5D08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81CEB3B">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委托代理人：</w:t>
            </w:r>
          </w:p>
        </w:tc>
        <w:tc>
          <w:tcPr>
            <w:tcW w:w="4517" w:type="dxa"/>
            <w:vAlign w:val="center"/>
          </w:tcPr>
          <w:p w14:paraId="1B901796">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委托代理人</w:t>
            </w:r>
          </w:p>
        </w:tc>
      </w:tr>
      <w:tr w14:paraId="346C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4415B5C2">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电话：</w:t>
            </w:r>
          </w:p>
        </w:tc>
        <w:tc>
          <w:tcPr>
            <w:tcW w:w="4517" w:type="dxa"/>
            <w:vAlign w:val="center"/>
          </w:tcPr>
          <w:p w14:paraId="71023F13">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电话：</w:t>
            </w:r>
          </w:p>
        </w:tc>
      </w:tr>
      <w:tr w14:paraId="3BCB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53CAF398">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c>
          <w:tcPr>
            <w:tcW w:w="4517" w:type="dxa"/>
            <w:vAlign w:val="center"/>
          </w:tcPr>
          <w:p w14:paraId="494E0BE5">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电子邮箱：</w:t>
            </w:r>
          </w:p>
        </w:tc>
      </w:tr>
      <w:tr w14:paraId="05F7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12A2CFE4">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p>
        </w:tc>
        <w:tc>
          <w:tcPr>
            <w:tcW w:w="4517" w:type="dxa"/>
            <w:vAlign w:val="center"/>
          </w:tcPr>
          <w:p w14:paraId="1A16EA39">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p>
        </w:tc>
      </w:tr>
      <w:tr w14:paraId="4E0A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21618DB0">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账号：</w:t>
            </w:r>
          </w:p>
        </w:tc>
        <w:tc>
          <w:tcPr>
            <w:tcW w:w="4517" w:type="dxa"/>
            <w:vAlign w:val="center"/>
          </w:tcPr>
          <w:p w14:paraId="59097093">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账号：</w:t>
            </w:r>
          </w:p>
        </w:tc>
      </w:tr>
      <w:tr w14:paraId="3A2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066495EE">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邮政编码：</w:t>
            </w:r>
          </w:p>
        </w:tc>
        <w:tc>
          <w:tcPr>
            <w:tcW w:w="4517" w:type="dxa"/>
            <w:vAlign w:val="center"/>
          </w:tcPr>
          <w:p w14:paraId="29209FB2">
            <w:pPr>
              <w:snapToGrid w:val="0"/>
              <w:spacing w:line="400" w:lineRule="exact"/>
              <w:rPr>
                <w:rFonts w:hint="default" w:ascii="Times New Roman" w:hAnsi="Times New Roman" w:eastAsia="仿宋" w:cs="Times New Roman"/>
                <w:sz w:val="24"/>
              </w:rPr>
            </w:pPr>
            <w:r>
              <w:rPr>
                <w:rFonts w:hint="default" w:ascii="Times New Roman" w:hAnsi="Times New Roman" w:eastAsia="仿宋" w:cs="Times New Roman"/>
                <w:sz w:val="24"/>
              </w:rPr>
              <w:t>邮政编码：</w:t>
            </w:r>
          </w:p>
        </w:tc>
      </w:tr>
      <w:tr w14:paraId="400F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9033" w:type="dxa"/>
            <w:gridSpan w:val="2"/>
            <w:vAlign w:val="top"/>
          </w:tcPr>
          <w:p w14:paraId="3DAC01A8">
            <w:pPr>
              <w:snapToGrid w:val="0"/>
              <w:spacing w:line="400" w:lineRule="exact"/>
              <w:ind w:right="240"/>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经办人：                                               </w:t>
            </w:r>
          </w:p>
          <w:p w14:paraId="1E16F6AB">
            <w:pPr>
              <w:snapToGrid w:val="0"/>
              <w:spacing w:line="400" w:lineRule="exact"/>
              <w:ind w:right="240"/>
              <w:jc w:val="right"/>
              <w:rPr>
                <w:rFonts w:hint="default" w:ascii="Times New Roman" w:hAnsi="Times New Roman" w:eastAsia="仿宋" w:cs="Times New Roman"/>
                <w:sz w:val="24"/>
              </w:rPr>
            </w:pPr>
          </w:p>
          <w:p w14:paraId="2630E98A">
            <w:pPr>
              <w:snapToGrid w:val="0"/>
              <w:spacing w:line="400" w:lineRule="exact"/>
              <w:ind w:right="24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14:paraId="2FE967CB">
      <w:pPr>
        <w:rPr>
          <w:rFonts w:hint="default" w:ascii="Times New Roman" w:hAnsi="Times New Roman" w:eastAsia="仿宋" w:cs="Times New Roman"/>
          <w:sz w:val="24"/>
          <w:szCs w:val="22"/>
          <w:highlight w:val="none"/>
          <w:lang w:val="zh-CN"/>
        </w:rPr>
      </w:pPr>
    </w:p>
    <w:p w14:paraId="086E9C71">
      <w:pPr>
        <w:pStyle w:val="2"/>
        <w:rPr>
          <w:rFonts w:hint="default" w:ascii="Times New Roman" w:hAnsi="Times New Roman" w:eastAsia="仿宋" w:cs="Times New Roman"/>
          <w:sz w:val="24"/>
          <w:szCs w:val="22"/>
          <w:highlight w:val="none"/>
          <w:lang w:val="zh-CN"/>
        </w:rPr>
      </w:pPr>
    </w:p>
    <w:p w14:paraId="7D4B3BAF">
      <w:pPr>
        <w:rPr>
          <w:rFonts w:hint="default" w:ascii="Times New Roman" w:hAnsi="Times New Roman" w:eastAsia="仿宋" w:cs="Times New Roman"/>
          <w:sz w:val="24"/>
          <w:szCs w:val="22"/>
          <w:highlight w:val="none"/>
          <w:lang w:val="zh-CN"/>
        </w:rPr>
      </w:pPr>
    </w:p>
    <w:p w14:paraId="5A4E1D8C">
      <w:pPr>
        <w:pStyle w:val="23"/>
        <w:keepNext w:val="0"/>
        <w:keepLines w:val="0"/>
        <w:pageBreakBefore w:val="0"/>
        <w:numPr>
          <w:ilvl w:val="0"/>
          <w:numId w:val="6"/>
        </w:numPr>
        <w:kinsoku/>
        <w:wordWrap/>
        <w:overflowPunct/>
        <w:topLinePunct w:val="0"/>
        <w:bidi w:val="0"/>
        <w:snapToGrid/>
        <w:spacing w:beforeAutospacing="0" w:afterAutospacing="0" w:line="360" w:lineRule="auto"/>
        <w:ind w:left="0" w:leftChars="0" w:right="0" w:rightChars="0" w:firstLine="0"/>
        <w:jc w:val="center"/>
        <w:rPr>
          <w:rFonts w:hint="default" w:ascii="Times New Roman" w:hAnsi="Times New Roman" w:eastAsia="仿宋" w:cs="Times New Roman"/>
          <w:b/>
          <w:color w:val="auto"/>
          <w:sz w:val="36"/>
          <w:highlight w:val="none"/>
          <w:u w:val="none"/>
        </w:rPr>
      </w:pPr>
      <w:r>
        <w:rPr>
          <w:rFonts w:hint="default" w:ascii="Times New Roman" w:hAnsi="Times New Roman" w:eastAsia="仿宋" w:cs="Times New Roman"/>
          <w:b/>
          <w:color w:val="auto"/>
          <w:sz w:val="36"/>
          <w:highlight w:val="none"/>
          <w:u w:val="none"/>
          <w:lang w:eastAsia="zh-CN"/>
        </w:rPr>
        <w:t>服务内容及</w:t>
      </w:r>
      <w:r>
        <w:rPr>
          <w:rFonts w:hint="default" w:ascii="Times New Roman" w:hAnsi="Times New Roman" w:eastAsia="仿宋" w:cs="Times New Roman"/>
          <w:b/>
          <w:color w:val="auto"/>
          <w:sz w:val="36"/>
          <w:highlight w:val="none"/>
          <w:u w:val="none"/>
        </w:rPr>
        <w:t>说明</w:t>
      </w:r>
    </w:p>
    <w:p w14:paraId="3BDBC41B">
      <w:pPr>
        <w:keepLines w:val="0"/>
        <w:pageBreakBefore w:val="0"/>
        <w:kinsoku/>
        <w:wordWrap/>
        <w:overflowPunct/>
        <w:topLinePunct w:val="0"/>
        <w:autoSpaceDE w:val="0"/>
        <w:autoSpaceDN w:val="0"/>
        <w:bidi w:val="0"/>
        <w:adjustRightInd w:val="0"/>
        <w:spacing w:beforeAutospacing="0" w:afterAutospacing="0" w:line="360" w:lineRule="auto"/>
        <w:ind w:left="0" w:leftChars="0" w:right="0" w:firstLine="472"/>
        <w:rPr>
          <w:rFonts w:hint="eastAsia" w:ascii="Times New Roman" w:hAnsi="Times New Roman" w:eastAsia="仿宋" w:cs="Times New Roman"/>
          <w:sz w:val="24"/>
          <w:szCs w:val="22"/>
          <w:highlight w:val="yellow"/>
          <w:lang w:val="zh-CN"/>
        </w:rPr>
      </w:pPr>
    </w:p>
    <w:p w14:paraId="68F2AEA8">
      <w:pPr>
        <w:spacing w:line="360" w:lineRule="auto"/>
        <w:ind w:firstLine="602" w:firstLineChars="25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一、活动目标</w:t>
      </w:r>
    </w:p>
    <w:p w14:paraId="0C906A73">
      <w:pPr>
        <w:spacing w:line="360" w:lineRule="auto"/>
        <w:ind w:firstLine="600" w:firstLineChars="25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为促进我州各级文化事业和旅游产业健康发展，推进公共文化服务体系建设，切实提高基本公共文化服务的覆盖面和实用性，</w:t>
      </w:r>
      <w:r>
        <w:rPr>
          <w:rFonts w:hint="eastAsia" w:ascii="Times New Roman" w:hAnsi="Times New Roman" w:eastAsia="仿宋" w:cs="Times New Roman"/>
          <w:color w:val="auto"/>
          <w:sz w:val="24"/>
          <w:lang w:val="en-US" w:eastAsia="zh-CN"/>
        </w:rPr>
        <w:t>通过集中授课、开展示范志愿服务活动，将“送文化”与“种文化”有机结合，促进公共文化和旅游深度融合，打造专业化、品牌化的文旅志愿服务队伍。</w:t>
      </w:r>
    </w:p>
    <w:p w14:paraId="6DB2026B">
      <w:pPr>
        <w:spacing w:line="360" w:lineRule="auto"/>
        <w:ind w:firstLine="602" w:firstLineChars="25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二、活动内容</w:t>
      </w:r>
    </w:p>
    <w:p w14:paraId="417FF8B4">
      <w:pPr>
        <w:spacing w:line="360" w:lineRule="auto"/>
        <w:ind w:firstLine="600" w:firstLineChars="25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通过竞争性磋商采购方式，采购一支具有行业资质，能聘请专业师资，合理安排课程的培训团队，面向州本级、八县一市开展不少于10场文化和旅游志愿服务培训及文旅志愿服务示范活动，活动课程涵盖巴州文旅志愿服务定位、志愿服务对公共文化高质量发展的重要性、志愿者服务技能及团队建设等不少于3个主题，每场活动培训人数不少于40人，实践时长不少于3小时，培训时长不少于1天。</w:t>
      </w:r>
    </w:p>
    <w:p w14:paraId="6D1A403F">
      <w:pPr>
        <w:pStyle w:val="14"/>
        <w:rPr>
          <w:rFonts w:hint="eastAsia" w:ascii="Times New Roman" w:hAnsi="Times New Roman" w:eastAsia="仿宋" w:cs="Times New Roman"/>
          <w:b/>
          <w:sz w:val="48"/>
          <w:szCs w:val="48"/>
          <w:lang w:val="en-US" w:eastAsia="zh-CN"/>
        </w:rPr>
      </w:pPr>
    </w:p>
    <w:p w14:paraId="3CBEDCDE">
      <w:pPr>
        <w:rPr>
          <w:rFonts w:hint="eastAsia" w:ascii="Times New Roman" w:hAnsi="Times New Roman" w:eastAsia="仿宋" w:cs="Times New Roman"/>
          <w:b/>
          <w:sz w:val="48"/>
          <w:szCs w:val="48"/>
          <w:lang w:val="en-US" w:eastAsia="zh-CN"/>
        </w:rPr>
      </w:pPr>
    </w:p>
    <w:p w14:paraId="1FD26A0F">
      <w:pPr>
        <w:pStyle w:val="14"/>
        <w:rPr>
          <w:rFonts w:hint="eastAsia" w:ascii="Times New Roman" w:hAnsi="Times New Roman" w:eastAsia="仿宋" w:cs="Times New Roman"/>
          <w:b/>
          <w:sz w:val="48"/>
          <w:szCs w:val="48"/>
          <w:lang w:val="en-US" w:eastAsia="zh-CN"/>
        </w:rPr>
      </w:pPr>
    </w:p>
    <w:p w14:paraId="376BA627">
      <w:pPr>
        <w:rPr>
          <w:rFonts w:hint="eastAsia" w:ascii="Times New Roman" w:hAnsi="Times New Roman" w:eastAsia="仿宋" w:cs="Times New Roman"/>
          <w:b/>
          <w:sz w:val="48"/>
          <w:szCs w:val="48"/>
          <w:lang w:val="en-US" w:eastAsia="zh-CN"/>
        </w:rPr>
      </w:pPr>
    </w:p>
    <w:p w14:paraId="3BA45887">
      <w:pPr>
        <w:pStyle w:val="14"/>
        <w:rPr>
          <w:rFonts w:hint="eastAsia" w:ascii="Times New Roman" w:hAnsi="Times New Roman" w:eastAsia="仿宋" w:cs="Times New Roman"/>
          <w:b/>
          <w:sz w:val="48"/>
          <w:szCs w:val="48"/>
          <w:lang w:val="en-US" w:eastAsia="zh-CN"/>
        </w:rPr>
      </w:pPr>
    </w:p>
    <w:p w14:paraId="08D536C1">
      <w:pPr>
        <w:rPr>
          <w:rFonts w:hint="eastAsia" w:ascii="Times New Roman" w:hAnsi="Times New Roman" w:eastAsia="仿宋" w:cs="Times New Roman"/>
          <w:b/>
          <w:sz w:val="48"/>
          <w:szCs w:val="48"/>
          <w:lang w:val="en-US" w:eastAsia="zh-CN"/>
        </w:rPr>
      </w:pPr>
    </w:p>
    <w:p w14:paraId="62F8342E">
      <w:pPr>
        <w:pStyle w:val="14"/>
        <w:rPr>
          <w:rFonts w:hint="eastAsia" w:ascii="Times New Roman" w:hAnsi="Times New Roman" w:eastAsia="仿宋" w:cs="Times New Roman"/>
          <w:b/>
          <w:sz w:val="48"/>
          <w:szCs w:val="48"/>
          <w:lang w:val="en-US" w:eastAsia="zh-CN"/>
        </w:rPr>
      </w:pPr>
    </w:p>
    <w:p w14:paraId="5BF544F0">
      <w:pPr>
        <w:rPr>
          <w:rFonts w:hint="eastAsia" w:ascii="Times New Roman" w:hAnsi="Times New Roman" w:eastAsia="仿宋" w:cs="Times New Roman"/>
          <w:b/>
          <w:sz w:val="48"/>
          <w:szCs w:val="48"/>
          <w:lang w:val="en-US" w:eastAsia="zh-CN"/>
        </w:rPr>
      </w:pPr>
    </w:p>
    <w:p w14:paraId="69D2BD32">
      <w:pPr>
        <w:rPr>
          <w:rFonts w:hint="eastAsia" w:ascii="Times New Roman" w:hAnsi="Times New Roman" w:eastAsia="仿宋" w:cs="Times New Roman"/>
          <w:b/>
          <w:sz w:val="48"/>
          <w:szCs w:val="48"/>
          <w:lang w:val="en-US" w:eastAsia="zh-CN"/>
        </w:rPr>
      </w:pPr>
    </w:p>
    <w:p w14:paraId="1E5830E8">
      <w:pPr>
        <w:rPr>
          <w:rFonts w:hint="eastAsia" w:ascii="Times New Roman" w:hAnsi="Times New Roman" w:eastAsia="仿宋" w:cs="Times New Roman"/>
          <w:b/>
          <w:sz w:val="48"/>
          <w:szCs w:val="48"/>
          <w:lang w:val="en-US" w:eastAsia="zh-CN"/>
        </w:rPr>
      </w:pPr>
    </w:p>
    <w:p w14:paraId="770D7C46">
      <w:pPr>
        <w:rPr>
          <w:rFonts w:hint="eastAsia" w:ascii="Times New Roman" w:hAnsi="Times New Roman" w:eastAsia="仿宋" w:cs="Times New Roman"/>
          <w:b/>
          <w:sz w:val="48"/>
          <w:szCs w:val="48"/>
          <w:lang w:val="en-US" w:eastAsia="zh-CN"/>
        </w:rPr>
      </w:pPr>
    </w:p>
    <w:p w14:paraId="636FE746">
      <w:pPr>
        <w:pStyle w:val="21"/>
        <w:numPr>
          <w:ilvl w:val="0"/>
          <w:numId w:val="0"/>
        </w:numPr>
        <w:tabs>
          <w:tab w:val="left" w:pos="2475"/>
          <w:tab w:val="center" w:pos="4873"/>
        </w:tabs>
        <w:spacing w:line="360" w:lineRule="auto"/>
        <w:ind w:left="630" w:leftChars="0"/>
        <w:jc w:val="both"/>
        <w:outlineLvl w:val="0"/>
        <w:rPr>
          <w:rFonts w:hint="default" w:ascii="Times New Roman" w:hAnsi="Times New Roman" w:eastAsia="仿宋" w:cs="Times New Roman"/>
          <w:b/>
          <w:sz w:val="40"/>
          <w:szCs w:val="40"/>
        </w:rPr>
      </w:pPr>
      <w:r>
        <w:rPr>
          <w:rFonts w:hint="eastAsia" w:ascii="Times New Roman" w:hAnsi="Times New Roman" w:eastAsia="仿宋" w:cs="Times New Roman"/>
          <w:b/>
          <w:sz w:val="48"/>
          <w:szCs w:val="48"/>
          <w:lang w:val="en-US" w:eastAsia="zh-CN"/>
        </w:rPr>
        <w:t xml:space="preserve">第五部分 </w:t>
      </w:r>
      <w:r>
        <w:rPr>
          <w:rFonts w:hint="default" w:ascii="Times New Roman" w:hAnsi="Times New Roman" w:eastAsia="仿宋" w:cs="Times New Roman"/>
          <w:b/>
          <w:sz w:val="48"/>
          <w:szCs w:val="48"/>
          <w:lang w:eastAsia="zh-CN"/>
        </w:rPr>
        <w:t>竞争性磋商投标文件</w:t>
      </w:r>
      <w:r>
        <w:rPr>
          <w:rFonts w:hint="default" w:ascii="Times New Roman" w:hAnsi="Times New Roman" w:eastAsia="仿宋" w:cs="Times New Roman"/>
          <w:b/>
          <w:sz w:val="48"/>
          <w:szCs w:val="48"/>
        </w:rPr>
        <w:t>格式</w:t>
      </w:r>
    </w:p>
    <w:p w14:paraId="3421E991">
      <w:pPr>
        <w:spacing w:line="360" w:lineRule="auto"/>
        <w:ind w:firstLine="181" w:firstLineChars="75"/>
        <w:rPr>
          <w:rFonts w:hint="eastAsia" w:ascii="Times New Roman" w:hAnsi="Times New Roman" w:eastAsia="仿宋" w:cs="Times New Roman"/>
          <w:b/>
          <w:color w:val="auto"/>
          <w:sz w:val="24"/>
          <w:lang w:eastAsia="zh-CN"/>
        </w:rPr>
      </w:pPr>
      <w:r>
        <w:rPr>
          <w:rFonts w:hint="default" w:ascii="Times New Roman" w:hAnsi="Times New Roman" w:eastAsia="仿宋" w:cs="Times New Roman"/>
          <w:b/>
          <w:color w:val="auto"/>
          <w:sz w:val="24"/>
          <w:lang w:eastAsia="zh-CN"/>
        </w:rPr>
        <w:t>竞争性磋商投标文件</w:t>
      </w:r>
      <w:r>
        <w:rPr>
          <w:rFonts w:hint="default" w:ascii="Times New Roman" w:hAnsi="Times New Roman" w:eastAsia="仿宋" w:cs="Times New Roman"/>
          <w:b/>
          <w:color w:val="auto"/>
          <w:sz w:val="24"/>
        </w:rPr>
        <w:t>封面统一格式</w:t>
      </w:r>
      <w:r>
        <w:rPr>
          <w:rFonts w:hint="eastAsia" w:eastAsia="仿宋" w:cs="Times New Roman"/>
          <w:b/>
          <w:color w:val="auto"/>
          <w:sz w:val="24"/>
          <w:lang w:eastAsia="zh-CN"/>
        </w:rPr>
        <w:t>（参考）</w:t>
      </w:r>
    </w:p>
    <w:p w14:paraId="428C13F5">
      <w:pPr>
        <w:pStyle w:val="14"/>
        <w:rPr>
          <w:rFonts w:hint="default" w:ascii="Times New Roman" w:hAnsi="Times New Roman" w:cs="Times New Roman"/>
        </w:rPr>
      </w:pPr>
    </w:p>
    <w:p w14:paraId="30EE5770">
      <w:pPr>
        <w:pStyle w:val="14"/>
        <w:rPr>
          <w:rFonts w:hint="default" w:ascii="Times New Roman" w:hAnsi="Times New Roman" w:cs="Times New Roman"/>
        </w:rPr>
      </w:pPr>
    </w:p>
    <w:p w14:paraId="5C83CDC8">
      <w:pPr>
        <w:pStyle w:val="14"/>
        <w:rPr>
          <w:rFonts w:hint="default" w:ascii="Times New Roman" w:hAnsi="Times New Roman" w:cs="Times New Roman"/>
        </w:rPr>
      </w:pPr>
    </w:p>
    <w:p w14:paraId="78B6A53E">
      <w:pPr>
        <w:spacing w:line="360" w:lineRule="auto"/>
        <w:rPr>
          <w:rFonts w:hint="default" w:ascii="Times New Roman" w:hAnsi="Times New Roman" w:eastAsia="仿宋" w:cs="Times New Roman"/>
          <w:b/>
          <w:color w:val="auto"/>
          <w:sz w:val="84"/>
          <w:u w:val="single"/>
          <w:lang w:val="en-US"/>
        </w:rPr>
      </w:pPr>
      <w:r>
        <w:rPr>
          <w:rFonts w:hint="default" w:ascii="Times New Roman" w:hAnsi="Times New Roman" w:eastAsia="仿宋" w:cs="Times New Roman"/>
          <w:b/>
          <w:color w:val="auto"/>
          <w:sz w:val="44"/>
          <w:szCs w:val="44"/>
          <w:u w:val="single"/>
          <w:lang w:val="en-US" w:eastAsia="zh-CN"/>
        </w:rPr>
        <w:t xml:space="preserve">                                    项目</w:t>
      </w:r>
    </w:p>
    <w:p w14:paraId="01682D22">
      <w:pPr>
        <w:spacing w:line="360" w:lineRule="auto"/>
        <w:jc w:val="center"/>
        <w:rPr>
          <w:rFonts w:hint="default" w:ascii="Times New Roman" w:hAnsi="Times New Roman" w:eastAsia="仿宋" w:cs="Times New Roman"/>
          <w:b/>
          <w:color w:val="auto"/>
          <w:sz w:val="84"/>
          <w:lang w:eastAsia="zh-CN"/>
        </w:rPr>
      </w:pPr>
    </w:p>
    <w:p w14:paraId="73420B6E">
      <w:pPr>
        <w:spacing w:line="360" w:lineRule="auto"/>
        <w:jc w:val="center"/>
        <w:rPr>
          <w:rFonts w:hint="default" w:ascii="Times New Roman" w:hAnsi="Times New Roman" w:eastAsia="仿宋" w:cs="Times New Roman"/>
          <w:b/>
          <w:color w:val="auto"/>
          <w:sz w:val="84"/>
          <w:lang w:eastAsia="zh-CN"/>
        </w:rPr>
      </w:pPr>
      <w:r>
        <w:rPr>
          <w:rFonts w:hint="default" w:ascii="Times New Roman" w:hAnsi="Times New Roman" w:eastAsia="仿宋" w:cs="Times New Roman"/>
          <w:b/>
          <w:color w:val="auto"/>
          <w:sz w:val="84"/>
          <w:lang w:eastAsia="zh-CN"/>
        </w:rPr>
        <w:t>竞争性磋商投标文件</w:t>
      </w:r>
    </w:p>
    <w:p w14:paraId="1230D48C">
      <w:pPr>
        <w:spacing w:line="360" w:lineRule="auto"/>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14:paraId="5F4DE03F">
      <w:pPr>
        <w:spacing w:line="360" w:lineRule="auto"/>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采购</w:t>
      </w:r>
      <w:r>
        <w:rPr>
          <w:rFonts w:hint="default" w:ascii="Times New Roman" w:hAnsi="Times New Roman" w:eastAsia="仿宋" w:cs="Times New Roman"/>
          <w:color w:val="auto"/>
          <w:sz w:val="32"/>
          <w:szCs w:val="32"/>
          <w:lang w:eastAsia="zh-CN"/>
        </w:rPr>
        <w:t>项目</w:t>
      </w:r>
      <w:r>
        <w:rPr>
          <w:rFonts w:hint="default" w:ascii="Times New Roman" w:hAnsi="Times New Roman" w:eastAsia="仿宋" w:cs="Times New Roman"/>
          <w:color w:val="auto"/>
          <w:sz w:val="32"/>
          <w:szCs w:val="32"/>
        </w:rPr>
        <w:t xml:space="preserve">编号： </w:t>
      </w:r>
    </w:p>
    <w:p w14:paraId="1D1E4E17">
      <w:pPr>
        <w:pStyle w:val="14"/>
        <w:ind w:left="0" w:leftChars="0" w:firstLine="0" w:firstLineChars="0"/>
        <w:rPr>
          <w:rFonts w:hint="default" w:ascii="Times New Roman" w:hAnsi="Times New Roman" w:eastAsia="仿宋" w:cs="Times New Roman"/>
          <w:color w:val="auto"/>
          <w:sz w:val="44"/>
        </w:rPr>
      </w:pPr>
    </w:p>
    <w:p w14:paraId="55FC963D">
      <w:pPr>
        <w:pStyle w:val="14"/>
        <w:rPr>
          <w:rFonts w:hint="default" w:ascii="Times New Roman" w:hAnsi="Times New Roman" w:eastAsia="仿宋" w:cs="Times New Roman"/>
          <w:color w:val="auto"/>
          <w:sz w:val="44"/>
        </w:rPr>
      </w:pPr>
    </w:p>
    <w:p w14:paraId="7147C781">
      <w:pPr>
        <w:pStyle w:val="14"/>
        <w:rPr>
          <w:rFonts w:hint="default" w:ascii="Times New Roman" w:hAnsi="Times New Roman" w:eastAsia="仿宋" w:cs="Times New Roman"/>
          <w:color w:val="auto"/>
          <w:sz w:val="44"/>
        </w:rPr>
      </w:pPr>
    </w:p>
    <w:p w14:paraId="0EF04C6B">
      <w:pPr>
        <w:spacing w:line="360" w:lineRule="auto"/>
        <w:rPr>
          <w:rFonts w:hint="default" w:ascii="Times New Roman" w:hAnsi="Times New Roman" w:eastAsia="仿宋" w:cs="Times New Roman"/>
          <w:b/>
          <w:color w:val="auto"/>
          <w:sz w:val="28"/>
          <w:szCs w:val="28"/>
          <w:u w:val="single"/>
        </w:rPr>
      </w:pPr>
      <w:r>
        <w:rPr>
          <w:rFonts w:hint="default" w:ascii="Times New Roman" w:hAnsi="Times New Roman" w:eastAsia="仿宋" w:cs="Times New Roman"/>
          <w:b/>
          <w:color w:val="auto"/>
          <w:sz w:val="28"/>
          <w:szCs w:val="28"/>
        </w:rPr>
        <w:t>投标公司名称（盖章）:</w:t>
      </w:r>
      <w:r>
        <w:rPr>
          <w:rFonts w:hint="default" w:ascii="Times New Roman" w:hAnsi="Times New Roman" w:eastAsia="仿宋" w:cs="Times New Roman"/>
          <w:b/>
          <w:color w:val="auto"/>
          <w:sz w:val="28"/>
          <w:szCs w:val="28"/>
          <w:u w:val="single"/>
        </w:rPr>
        <w:t xml:space="preserve">               </w:t>
      </w:r>
      <w:r>
        <w:rPr>
          <w:rFonts w:hint="default" w:ascii="Times New Roman" w:hAnsi="Times New Roman" w:eastAsia="仿宋" w:cs="Times New Roman"/>
          <w:b/>
          <w:color w:val="auto"/>
          <w:sz w:val="28"/>
          <w:szCs w:val="28"/>
          <w:u w:val="single"/>
          <w:lang w:val="en-US" w:eastAsia="zh-CN"/>
        </w:rPr>
        <w:t xml:space="preserve">            </w:t>
      </w:r>
      <w:r>
        <w:rPr>
          <w:rFonts w:hint="default" w:ascii="Times New Roman" w:hAnsi="Times New Roman" w:eastAsia="仿宋" w:cs="Times New Roman"/>
          <w:b/>
          <w:color w:val="auto"/>
          <w:sz w:val="28"/>
          <w:szCs w:val="28"/>
          <w:u w:val="single"/>
        </w:rPr>
        <w:t xml:space="preserve">        </w:t>
      </w:r>
    </w:p>
    <w:p w14:paraId="5C229D62">
      <w:pPr>
        <w:spacing w:line="360" w:lineRule="auto"/>
        <w:rPr>
          <w:rFonts w:hint="default" w:ascii="Times New Roman" w:hAnsi="Times New Roman" w:eastAsia="仿宋" w:cs="Times New Roman"/>
          <w:b/>
          <w:color w:val="auto"/>
          <w:sz w:val="28"/>
          <w:szCs w:val="28"/>
          <w:highlight w:val="none"/>
          <w:u w:val="single"/>
        </w:rPr>
      </w:pPr>
      <w:r>
        <w:rPr>
          <w:rFonts w:hint="default" w:ascii="Times New Roman" w:hAnsi="Times New Roman" w:eastAsia="仿宋" w:cs="Times New Roman"/>
          <w:b/>
          <w:color w:val="auto"/>
          <w:sz w:val="28"/>
          <w:szCs w:val="28"/>
          <w:highlight w:val="none"/>
        </w:rPr>
        <w:t>公司法定代表人（签字）:</w:t>
      </w:r>
      <w:r>
        <w:rPr>
          <w:rFonts w:hint="default" w:ascii="Times New Roman" w:hAnsi="Times New Roman" w:eastAsia="仿宋" w:cs="Times New Roman"/>
          <w:b/>
          <w:color w:val="auto"/>
          <w:sz w:val="28"/>
          <w:szCs w:val="28"/>
          <w:highlight w:val="none"/>
          <w:u w:val="single"/>
        </w:rPr>
        <w:t xml:space="preserve">            </w:t>
      </w:r>
      <w:r>
        <w:rPr>
          <w:rFonts w:hint="default" w:ascii="Times New Roman" w:hAnsi="Times New Roman" w:eastAsia="仿宋" w:cs="Times New Roman"/>
          <w:b/>
          <w:color w:val="auto"/>
          <w:sz w:val="28"/>
          <w:szCs w:val="28"/>
          <w:highlight w:val="none"/>
          <w:u w:val="single"/>
          <w:lang w:val="en-US" w:eastAsia="zh-CN"/>
        </w:rPr>
        <w:t xml:space="preserve">            </w:t>
      </w:r>
      <w:r>
        <w:rPr>
          <w:rFonts w:hint="default" w:ascii="Times New Roman" w:hAnsi="Times New Roman" w:eastAsia="仿宋" w:cs="Times New Roman"/>
          <w:b/>
          <w:color w:val="auto"/>
          <w:sz w:val="28"/>
          <w:szCs w:val="28"/>
          <w:highlight w:val="none"/>
          <w:u w:val="single"/>
        </w:rPr>
        <w:t xml:space="preserve">         </w:t>
      </w:r>
    </w:p>
    <w:p w14:paraId="54094A8D">
      <w:pPr>
        <w:spacing w:line="360" w:lineRule="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公司法人授权代表人（签字）：</w:t>
      </w:r>
      <w:r>
        <w:rPr>
          <w:rFonts w:hint="default" w:ascii="Times New Roman" w:hAnsi="Times New Roman" w:eastAsia="仿宋" w:cs="Times New Roman"/>
          <w:b/>
          <w:color w:val="auto"/>
          <w:sz w:val="28"/>
          <w:szCs w:val="28"/>
          <w:u w:val="single"/>
        </w:rPr>
        <w:t xml:space="preserve">       </w:t>
      </w:r>
      <w:r>
        <w:rPr>
          <w:rFonts w:hint="default" w:ascii="Times New Roman" w:hAnsi="Times New Roman" w:eastAsia="仿宋" w:cs="Times New Roman"/>
          <w:b/>
          <w:color w:val="auto"/>
          <w:sz w:val="28"/>
          <w:szCs w:val="28"/>
          <w:u w:val="single"/>
          <w:lang w:val="en-US" w:eastAsia="zh-CN"/>
        </w:rPr>
        <w:t xml:space="preserve">           </w:t>
      </w:r>
      <w:r>
        <w:rPr>
          <w:rFonts w:hint="default" w:ascii="Times New Roman" w:hAnsi="Times New Roman" w:eastAsia="仿宋" w:cs="Times New Roman"/>
          <w:b/>
          <w:color w:val="auto"/>
          <w:sz w:val="28"/>
          <w:szCs w:val="28"/>
          <w:u w:val="single"/>
        </w:rPr>
        <w:t xml:space="preserve">          </w:t>
      </w:r>
    </w:p>
    <w:p w14:paraId="676177A4">
      <w:pPr>
        <w:spacing w:line="360" w:lineRule="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 xml:space="preserve">    郑重申明：本公司将对本</w:t>
      </w:r>
      <w:r>
        <w:rPr>
          <w:rFonts w:hint="default" w:ascii="Times New Roman" w:hAnsi="Times New Roman" w:eastAsia="仿宋" w:cs="Times New Roman"/>
          <w:b/>
          <w:color w:val="auto"/>
          <w:sz w:val="28"/>
          <w:szCs w:val="28"/>
          <w:lang w:eastAsia="zh-CN"/>
        </w:rPr>
        <w:t>竞争性磋商文件</w:t>
      </w:r>
      <w:r>
        <w:rPr>
          <w:rFonts w:hint="default" w:ascii="Times New Roman" w:hAnsi="Times New Roman" w:eastAsia="仿宋" w:cs="Times New Roman"/>
          <w:b/>
          <w:color w:val="auto"/>
          <w:sz w:val="28"/>
          <w:szCs w:val="28"/>
        </w:rPr>
        <w:t>所有内容的真实性和有效性负责，并为此承担全部法律责任</w:t>
      </w:r>
    </w:p>
    <w:p w14:paraId="565D3CC8">
      <w:pPr>
        <w:spacing w:line="360" w:lineRule="auto"/>
        <w:jc w:val="center"/>
        <w:rPr>
          <w:rFonts w:hint="default" w:ascii="Times New Roman" w:hAnsi="Times New Roman" w:eastAsia="仿宋" w:cs="Times New Roman"/>
          <w:b/>
          <w:color w:val="auto"/>
          <w:sz w:val="28"/>
          <w:szCs w:val="28"/>
        </w:rPr>
      </w:pPr>
    </w:p>
    <w:p w14:paraId="3FABBF99">
      <w:pPr>
        <w:spacing w:line="360" w:lineRule="auto"/>
        <w:jc w:val="center"/>
        <w:rPr>
          <w:rFonts w:hint="default" w:ascii="Times New Roman" w:hAnsi="Times New Roman" w:eastAsia="仿宋" w:cs="Times New Roman"/>
          <w:b/>
          <w:sz w:val="44"/>
          <w:szCs w:val="44"/>
        </w:rPr>
      </w:pPr>
      <w:r>
        <w:rPr>
          <w:rFonts w:hint="default" w:ascii="Times New Roman" w:hAnsi="Times New Roman" w:eastAsia="仿宋" w:cs="Times New Roman"/>
          <w:b/>
          <w:color w:val="auto"/>
          <w:sz w:val="28"/>
          <w:szCs w:val="28"/>
        </w:rPr>
        <w:t xml:space="preserve"> 年  月  日</w:t>
      </w:r>
    </w:p>
    <w:p w14:paraId="7C6100D2">
      <w:pPr>
        <w:spacing w:line="360" w:lineRule="auto"/>
        <w:ind w:firstLine="700" w:firstLineChars="249"/>
        <w:rPr>
          <w:rFonts w:hint="default" w:ascii="Times New Roman" w:hAnsi="Times New Roman" w:eastAsia="仿宋" w:cs="Times New Roman"/>
          <w:b/>
          <w:color w:val="000000"/>
          <w:sz w:val="24"/>
          <w:szCs w:val="24"/>
          <w:highlight w:val="yellow"/>
        </w:rPr>
      </w:pPr>
      <w:r>
        <w:rPr>
          <w:rFonts w:hint="default" w:ascii="Times New Roman" w:hAnsi="Times New Roman" w:eastAsia="仿宋" w:cs="Times New Roman"/>
          <w:b/>
          <w:bCs/>
          <w:sz w:val="28"/>
          <w:szCs w:val="28"/>
          <w:highlight w:val="none"/>
          <w:lang w:eastAsia="zh-CN"/>
        </w:rPr>
        <w:t>竞争性磋商投标文件主要文件目录</w:t>
      </w:r>
      <w:r>
        <w:rPr>
          <w:rFonts w:hint="default" w:ascii="Times New Roman" w:hAnsi="Times New Roman" w:eastAsia="仿宋" w:cs="Times New Roman"/>
          <w:color w:val="auto"/>
          <w:sz w:val="24"/>
          <w:szCs w:val="24"/>
        </w:rPr>
        <w:t>：</w:t>
      </w:r>
    </w:p>
    <w:p w14:paraId="6C68E775">
      <w:pPr>
        <w:keepNext w:val="0"/>
        <w:keepLines w:val="0"/>
        <w:pageBreakBefore w:val="0"/>
        <w:widowControl w:val="0"/>
        <w:kinsoku/>
        <w:wordWrap/>
        <w:overflowPunct/>
        <w:topLinePunct w:val="0"/>
        <w:autoSpaceDE/>
        <w:autoSpaceDN/>
        <w:bidi w:val="0"/>
        <w:adjustRightInd/>
        <w:snapToGrid/>
        <w:spacing w:line="560" w:lineRule="exact"/>
        <w:ind w:firstLine="597" w:firstLineChars="249"/>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（一）</w:t>
      </w:r>
      <w:r>
        <w:rPr>
          <w:rFonts w:hint="default" w:ascii="Times New Roman" w:hAnsi="Times New Roman" w:eastAsia="仿宋" w:cs="Times New Roman"/>
          <w:color w:val="auto"/>
          <w:sz w:val="24"/>
          <w:szCs w:val="24"/>
          <w:highlight w:val="none"/>
          <w:lang w:eastAsia="zh-CN"/>
        </w:rPr>
        <w:t>投标方</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eastAsia="zh-CN"/>
        </w:rPr>
        <w:t>投标文件</w:t>
      </w:r>
      <w:r>
        <w:rPr>
          <w:rFonts w:hint="default" w:ascii="Times New Roman" w:hAnsi="Times New Roman" w:eastAsia="仿宋" w:cs="Times New Roman"/>
          <w:color w:val="auto"/>
          <w:sz w:val="24"/>
          <w:szCs w:val="24"/>
          <w:highlight w:val="none"/>
        </w:rPr>
        <w:t>必须制作目录和页码。</w:t>
      </w:r>
    </w:p>
    <w:p w14:paraId="5C354A99">
      <w:pPr>
        <w:keepNext w:val="0"/>
        <w:keepLines w:val="0"/>
        <w:pageBreakBefore w:val="0"/>
        <w:widowControl w:val="0"/>
        <w:kinsoku/>
        <w:wordWrap/>
        <w:overflowPunct/>
        <w:topLinePunct w:val="0"/>
        <w:autoSpaceDE/>
        <w:autoSpaceDN/>
        <w:bidi w:val="0"/>
        <w:adjustRightInd/>
        <w:snapToGrid/>
        <w:spacing w:line="560" w:lineRule="exact"/>
        <w:ind w:firstLine="597" w:firstLineChars="249"/>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w:t>
      </w:r>
      <w:r>
        <w:rPr>
          <w:rFonts w:hint="default" w:ascii="Times New Roman" w:hAnsi="Times New Roman" w:eastAsia="仿宋" w:cs="Times New Roman"/>
          <w:color w:val="auto"/>
          <w:sz w:val="24"/>
          <w:szCs w:val="24"/>
          <w:highlight w:val="none"/>
        </w:rPr>
        <w:t>投标人的投标文件编制顺序排列</w:t>
      </w:r>
      <w:r>
        <w:rPr>
          <w:rFonts w:hint="eastAsia" w:eastAsia="仿宋" w:cs="Times New Roman"/>
          <w:color w:val="auto"/>
          <w:sz w:val="24"/>
          <w:szCs w:val="24"/>
          <w:highlight w:val="none"/>
          <w:lang w:eastAsia="zh-CN"/>
        </w:rPr>
        <w:t>参考</w:t>
      </w:r>
      <w:r>
        <w:rPr>
          <w:rFonts w:hint="default" w:ascii="Times New Roman" w:hAnsi="Times New Roman" w:eastAsia="仿宋" w:cs="Times New Roman"/>
          <w:color w:val="auto"/>
          <w:sz w:val="24"/>
          <w:szCs w:val="24"/>
          <w:highlight w:val="none"/>
        </w:rPr>
        <w:t>如下：</w:t>
      </w:r>
    </w:p>
    <w:p w14:paraId="564F5A08">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1、投标函</w:t>
      </w:r>
    </w:p>
    <w:p w14:paraId="35680582">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2、法人代表授权委托书原件及授权代表身份证明原件</w:t>
      </w:r>
    </w:p>
    <w:p w14:paraId="3EF75E7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3、开标一览表</w:t>
      </w:r>
    </w:p>
    <w:p w14:paraId="166D9B38">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4、投标方资质证明文件，包括但不仅限于：</w:t>
      </w:r>
    </w:p>
    <w:p w14:paraId="667505A4">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（1）投标人营业执照复印件以及特定资质复印件</w:t>
      </w:r>
    </w:p>
    <w:p w14:paraId="10D5E3A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p>
    <w:p w14:paraId="072609EC">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3</w:t>
      </w:r>
      <w:r>
        <w:rPr>
          <w:rFonts w:hint="default" w:ascii="Times New Roman" w:hAnsi="Times New Roman" w:eastAsia="仿宋" w:cs="Times New Roman"/>
          <w:color w:val="auto"/>
          <w:sz w:val="24"/>
        </w:rPr>
        <w:t>）有关行业的经营企业许可证、注册证复印件（特殊行业需提供本行业国家颁发的有关资质证明）</w:t>
      </w:r>
    </w:p>
    <w:p w14:paraId="0FEF4C2C">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4</w:t>
      </w:r>
      <w:r>
        <w:rPr>
          <w:rFonts w:hint="default" w:ascii="Times New Roman" w:hAnsi="Times New Roman" w:eastAsia="仿宋" w:cs="Times New Roman"/>
          <w:color w:val="auto"/>
          <w:sz w:val="24"/>
        </w:rPr>
        <w:t>）关于资格的声明函。</w:t>
      </w:r>
    </w:p>
    <w:p w14:paraId="2CF3F0C8">
      <w:pPr>
        <w:spacing w:line="360" w:lineRule="auto"/>
        <w:ind w:firstLine="600" w:firstLineChars="25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rPr>
        <w:t>5、投标人企业基本情况、经营基</w:t>
      </w:r>
      <w:r>
        <w:rPr>
          <w:rFonts w:hint="default" w:ascii="Times New Roman" w:hAnsi="Times New Roman" w:eastAsia="仿宋" w:cs="Times New Roman"/>
          <w:sz w:val="24"/>
          <w:highlight w:val="none"/>
        </w:rPr>
        <w:t>本情况</w:t>
      </w:r>
    </w:p>
    <w:p w14:paraId="59BB8F46">
      <w:pPr>
        <w:spacing w:line="360" w:lineRule="auto"/>
        <w:ind w:firstLine="600" w:firstLineChars="25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rPr>
        <w:t>6、服务管理工作设计（</w:t>
      </w:r>
      <w:r>
        <w:rPr>
          <w:rFonts w:hint="default" w:ascii="Times New Roman" w:hAnsi="Times New Roman" w:eastAsia="仿宋" w:cs="Times New Roman"/>
          <w:color w:val="auto"/>
          <w:sz w:val="24"/>
          <w:lang w:eastAsia="zh-CN"/>
        </w:rPr>
        <w:t>包括但</w:t>
      </w:r>
      <w:r>
        <w:rPr>
          <w:rFonts w:hint="default" w:ascii="Times New Roman" w:hAnsi="Times New Roman" w:eastAsia="仿宋" w:cs="Times New Roman"/>
          <w:color w:val="auto"/>
          <w:sz w:val="24"/>
          <w:lang w:val="en-US" w:eastAsia="zh-CN"/>
        </w:rPr>
        <w:t>不限于：</w:t>
      </w:r>
      <w:r>
        <w:rPr>
          <w:rFonts w:hint="eastAsia" w:ascii="Times New Roman" w:hAnsi="Times New Roman" w:eastAsia="仿宋" w:cs="Times New Roman"/>
          <w:color w:val="auto"/>
          <w:sz w:val="24"/>
          <w:lang w:val="en-US" w:eastAsia="zh-CN"/>
        </w:rPr>
        <w:t>项目管理方案、项目实施方案、宣传推广方案、应急处理方案、项目团队</w:t>
      </w:r>
      <w:r>
        <w:rPr>
          <w:rFonts w:hint="default" w:ascii="Times New Roman" w:hAnsi="Times New Roman" w:eastAsia="仿宋" w:cs="Times New Roman"/>
          <w:color w:val="auto"/>
          <w:sz w:val="24"/>
          <w:highlight w:val="none"/>
          <w:lang w:eastAsia="zh-CN"/>
        </w:rPr>
        <w:t>等）</w:t>
      </w:r>
    </w:p>
    <w:p w14:paraId="7CF3F44C">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7、人员配置表及拟派项目负责人简历表</w:t>
      </w:r>
    </w:p>
    <w:p w14:paraId="2D2B9B7D">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（1）人员配置表（姓名、性别、年龄、岗位名称、学历、职称、主要资历、经验及承担过的项目）</w:t>
      </w:r>
    </w:p>
    <w:p w14:paraId="3FA3B7C4">
      <w:pPr>
        <w:spacing w:line="360" w:lineRule="auto"/>
        <w:ind w:firstLine="600" w:firstLineChars="25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rPr>
        <w:t>（2）</w:t>
      </w:r>
      <w:r>
        <w:rPr>
          <w:rFonts w:hint="default" w:ascii="Times New Roman" w:hAnsi="Times New Roman" w:eastAsia="仿宋" w:cs="Times New Roman"/>
          <w:color w:val="auto"/>
          <w:sz w:val="24"/>
          <w:szCs w:val="22"/>
        </w:rPr>
        <w:t>拟派项目负责人简历表</w:t>
      </w:r>
    </w:p>
    <w:p w14:paraId="57B2F6DE">
      <w:pPr>
        <w:spacing w:line="360" w:lineRule="auto"/>
        <w:ind w:firstLine="600" w:firstLineChars="250"/>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rPr>
        <w:t>8、</w:t>
      </w:r>
      <w:r>
        <w:rPr>
          <w:rFonts w:hint="default" w:ascii="Times New Roman" w:hAnsi="Times New Roman" w:eastAsia="仿宋" w:cs="Times New Roman"/>
          <w:sz w:val="24"/>
          <w:highlight w:val="none"/>
        </w:rPr>
        <w:t>投标方提</w:t>
      </w:r>
      <w:r>
        <w:rPr>
          <w:rFonts w:hint="default" w:ascii="Times New Roman" w:hAnsi="Times New Roman" w:eastAsia="仿宋" w:cs="Times New Roman"/>
          <w:sz w:val="24"/>
        </w:rPr>
        <w:t>供实施本项目的</w:t>
      </w:r>
      <w:r>
        <w:rPr>
          <w:rFonts w:hint="default" w:ascii="Times New Roman" w:hAnsi="Times New Roman" w:eastAsia="仿宋" w:cs="Times New Roman"/>
          <w:sz w:val="24"/>
          <w:lang w:val="en-US" w:eastAsia="zh-CN"/>
        </w:rPr>
        <w:t>质量承诺及保证措施</w:t>
      </w:r>
    </w:p>
    <w:p w14:paraId="24DEFB72">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9、投标方提供项目服务过程中的相关管理制度</w:t>
      </w:r>
    </w:p>
    <w:p w14:paraId="086F3C11">
      <w:pPr>
        <w:spacing w:line="360" w:lineRule="auto"/>
        <w:ind w:firstLine="600" w:firstLineChars="250"/>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r>
        <w:rPr>
          <w:rFonts w:hint="default" w:ascii="Times New Roman" w:hAnsi="Times New Roman" w:eastAsia="仿宋" w:cs="Times New Roman"/>
          <w:sz w:val="24"/>
          <w:lang w:val="zh-CN"/>
        </w:rPr>
        <w:t>售后服务体系及服务情况</w:t>
      </w:r>
    </w:p>
    <w:p w14:paraId="2A2E4166">
      <w:pPr>
        <w:spacing w:line="360" w:lineRule="auto"/>
        <w:ind w:firstLine="600" w:firstLineChars="250"/>
        <w:rPr>
          <w:rFonts w:hint="default" w:ascii="Times New Roman" w:hAnsi="Times New Roman" w:eastAsia="仿宋" w:cs="Times New Roman"/>
          <w:sz w:val="24"/>
        </w:rPr>
      </w:pPr>
      <w:r>
        <w:rPr>
          <w:rFonts w:hint="default" w:ascii="Times New Roman" w:hAnsi="Times New Roman" w:eastAsia="仿宋" w:cs="Times New Roman"/>
          <w:sz w:val="24"/>
        </w:rPr>
        <w:t>11、服务偏离表</w:t>
      </w:r>
    </w:p>
    <w:p w14:paraId="6FF89CA8">
      <w:pPr>
        <w:spacing w:line="360" w:lineRule="auto"/>
        <w:ind w:firstLine="600" w:firstLineChars="250"/>
        <w:rPr>
          <w:rFonts w:hint="eastAsia" w:eastAsia="仿宋" w:cs="Times New Roman"/>
          <w:sz w:val="24"/>
          <w:highlight w:val="none"/>
          <w:lang w:val="en-US" w:eastAsia="zh-CN"/>
        </w:rPr>
      </w:pPr>
      <w:r>
        <w:rPr>
          <w:rFonts w:hint="default" w:ascii="Times New Roman" w:hAnsi="Times New Roman" w:eastAsia="仿宋" w:cs="Times New Roman"/>
          <w:color w:val="auto"/>
          <w:sz w:val="24"/>
        </w:rPr>
        <w:t>12、</w:t>
      </w:r>
      <w:r>
        <w:rPr>
          <w:rFonts w:hint="eastAsia" w:eastAsia="仿宋" w:cs="Times New Roman"/>
          <w:sz w:val="24"/>
          <w:highlight w:val="none"/>
          <w:lang w:val="en-US" w:eastAsia="zh-CN"/>
        </w:rPr>
        <w:t>提供2023年度或2024年度经审计过的财务审计报告或财务报表（财务报表应至少包括资产负债表、利润表、现金流量表或财务状况变动表等）或银行出具的近三个月的资金证明，新成立不足一年的投标人无法提供审计报告，则需提供开户银行出具的有效的资金证明；</w:t>
      </w:r>
    </w:p>
    <w:p w14:paraId="098550C7">
      <w:pPr>
        <w:spacing w:line="360" w:lineRule="auto"/>
        <w:ind w:firstLine="600" w:firstLineChars="250"/>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13、</w:t>
      </w:r>
      <w:r>
        <w:rPr>
          <w:rFonts w:hint="eastAsia" w:ascii="Times New Roman" w:hAnsi="Times New Roman" w:eastAsia="仿宋" w:cs="Times New Roman"/>
          <w:color w:val="auto"/>
          <w:sz w:val="24"/>
          <w:szCs w:val="24"/>
          <w:highlight w:val="none"/>
          <w:lang w:val="en-US" w:eastAsia="zh-CN"/>
        </w:rPr>
        <w:t>202</w:t>
      </w:r>
      <w:r>
        <w:rPr>
          <w:rFonts w:hint="eastAsia" w:eastAsia="仿宋" w:cs="Times New Roman"/>
          <w:color w:val="auto"/>
          <w:sz w:val="24"/>
          <w:szCs w:val="24"/>
          <w:highlight w:val="none"/>
          <w:lang w:val="en-US" w:eastAsia="zh-CN"/>
        </w:rPr>
        <w:t>2</w:t>
      </w:r>
      <w:r>
        <w:rPr>
          <w:rFonts w:hint="eastAsia" w:ascii="Times New Roman" w:hAnsi="Times New Roman" w:eastAsia="仿宋" w:cs="Times New Roman"/>
          <w:color w:val="auto"/>
          <w:sz w:val="24"/>
          <w:szCs w:val="24"/>
          <w:highlight w:val="none"/>
          <w:lang w:val="en-US" w:eastAsia="zh-CN"/>
        </w:rPr>
        <w:t>年1月1日至今具有类似服务项目业绩</w:t>
      </w:r>
    </w:p>
    <w:p w14:paraId="4916110B">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14、投标单位（供应商）反商业贿赂承诺书</w:t>
      </w:r>
    </w:p>
    <w:p w14:paraId="1D9B7815">
      <w:pPr>
        <w:spacing w:line="360" w:lineRule="auto"/>
        <w:ind w:firstLine="600" w:firstLineChars="25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rPr>
        <w:t>15、</w:t>
      </w:r>
      <w:r>
        <w:rPr>
          <w:rFonts w:hint="eastAsia" w:ascii="Times New Roman" w:hAnsi="Times New Roman" w:eastAsia="仿宋" w:cs="Times New Roman"/>
          <w:color w:val="auto"/>
          <w:sz w:val="24"/>
          <w:szCs w:val="24"/>
          <w:highlight w:val="none"/>
          <w:lang w:val="en-US" w:eastAsia="zh-CN"/>
        </w:rPr>
        <w:t>投标保证金缴纳凭证</w:t>
      </w:r>
      <w:r>
        <w:rPr>
          <w:rFonts w:hint="eastAsia" w:ascii="Times New Roman" w:hAnsi="Times New Roman" w:eastAsia="仿宋" w:cs="Times New Roman"/>
          <w:color w:val="auto"/>
          <w:sz w:val="24"/>
          <w:szCs w:val="24"/>
          <w:highlight w:val="none"/>
          <w:lang w:val="zh-CN" w:eastAsia="zh-CN"/>
        </w:rPr>
        <w:t>或</w:t>
      </w:r>
      <w:r>
        <w:rPr>
          <w:rFonts w:hint="eastAsia" w:ascii="Times New Roman" w:hAnsi="Times New Roman" w:eastAsia="仿宋" w:cs="Times New Roman"/>
          <w:color w:val="auto"/>
          <w:sz w:val="24"/>
          <w:szCs w:val="24"/>
          <w:highlight w:val="none"/>
          <w:lang w:val="en-US" w:eastAsia="zh-CN"/>
        </w:rPr>
        <w:t>金融机构、担保机构出具的保函</w:t>
      </w:r>
    </w:p>
    <w:p w14:paraId="1E3C01F1">
      <w:pPr>
        <w:spacing w:line="360" w:lineRule="auto"/>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16、投标单位（供应商）《遵守政府采购相关法律法规承诺书》</w:t>
      </w:r>
    </w:p>
    <w:p w14:paraId="073E2839">
      <w:pPr>
        <w:spacing w:line="360" w:lineRule="auto"/>
        <w:ind w:firstLine="600" w:firstLineChars="250"/>
        <w:rPr>
          <w:rFonts w:hint="default" w:ascii="Times New Roman" w:hAnsi="Times New Roman" w:cs="Times New Roman"/>
          <w:color w:val="auto"/>
        </w:rPr>
      </w:pPr>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lang w:val="en-US" w:eastAsia="zh-CN"/>
        </w:rPr>
        <w:t>7</w:t>
      </w:r>
      <w:r>
        <w:rPr>
          <w:rFonts w:hint="default" w:ascii="Times New Roman" w:hAnsi="Times New Roman" w:eastAsia="仿宋" w:cs="Times New Roman"/>
          <w:color w:val="auto"/>
          <w:sz w:val="24"/>
        </w:rPr>
        <w:t>、中小微企业声明函、监狱企业声明函、残疾人福利性单位声明函</w:t>
      </w:r>
    </w:p>
    <w:p w14:paraId="59EA73D0">
      <w:pPr>
        <w:keepNext w:val="0"/>
        <w:keepLines w:val="0"/>
        <w:pageBreakBefore w:val="0"/>
        <w:kinsoku/>
        <w:wordWrap/>
        <w:overflowPunct/>
        <w:topLinePunct w:val="0"/>
        <w:bidi w:val="0"/>
        <w:snapToGrid/>
        <w:spacing w:beforeAutospacing="0" w:afterAutospacing="0" w:line="360" w:lineRule="auto"/>
        <w:ind w:left="0" w:leftChars="0" w:right="0" w:rightChars="0" w:firstLine="600" w:firstLineChars="250"/>
        <w:rPr>
          <w:rFonts w:hint="default" w:ascii="Times New Roman" w:hAnsi="Times New Roman" w:eastAsia="仿宋" w:cs="Times New Roman"/>
          <w:kern w:val="2"/>
          <w:sz w:val="24"/>
          <w:lang w:val="en-US" w:eastAsia="zh-CN" w:bidi="ar-SA"/>
        </w:rPr>
      </w:pPr>
      <w:r>
        <w:rPr>
          <w:rFonts w:hint="default" w:ascii="Times New Roman" w:hAnsi="Times New Roman" w:eastAsia="仿宋" w:cs="Times New Roman"/>
          <w:color w:val="auto"/>
          <w:sz w:val="24"/>
          <w:lang w:val="en-US" w:eastAsia="zh-CN"/>
        </w:rPr>
        <w:t>18</w:t>
      </w:r>
      <w:r>
        <w:rPr>
          <w:rFonts w:hint="default" w:ascii="Times New Roman" w:hAnsi="Times New Roman" w:eastAsia="仿宋" w:cs="Times New Roman"/>
          <w:color w:val="auto"/>
          <w:sz w:val="24"/>
        </w:rPr>
        <w:t>、投标人认为需提供的其它证明文件</w:t>
      </w: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6C286903">
      <w:pPr>
        <w:spacing w:line="360" w:lineRule="auto"/>
        <w:ind w:firstLine="602" w:firstLineChars="250"/>
        <w:rPr>
          <w:rFonts w:hint="default" w:ascii="Times New Roman" w:hAnsi="Times New Roman" w:eastAsia="仿宋" w:cs="Times New Roman"/>
          <w:b/>
          <w:color w:val="auto"/>
          <w:sz w:val="24"/>
        </w:rPr>
      </w:pPr>
    </w:p>
    <w:p w14:paraId="26D9CC4E">
      <w:pPr>
        <w:spacing w:line="360" w:lineRule="auto"/>
        <w:ind w:firstLine="602" w:firstLineChars="250"/>
        <w:rPr>
          <w:rFonts w:hint="default" w:ascii="Times New Roman" w:hAnsi="Times New Roman" w:eastAsia="仿宋" w:cs="Times New Roman"/>
          <w:b/>
          <w:color w:val="auto"/>
          <w:sz w:val="24"/>
        </w:rPr>
      </w:pPr>
    </w:p>
    <w:p w14:paraId="1F33B999">
      <w:pPr>
        <w:spacing w:line="360" w:lineRule="auto"/>
        <w:ind w:firstLine="602" w:firstLineChars="250"/>
        <w:rPr>
          <w:rFonts w:hint="default" w:ascii="Times New Roman" w:hAnsi="Times New Roman" w:eastAsia="仿宋" w:cs="Times New Roman"/>
          <w:b/>
          <w:color w:val="auto"/>
          <w:sz w:val="24"/>
        </w:rPr>
      </w:pPr>
    </w:p>
    <w:p w14:paraId="03225FA3">
      <w:pPr>
        <w:spacing w:line="360" w:lineRule="auto"/>
        <w:ind w:firstLine="602" w:firstLineChars="250"/>
        <w:rPr>
          <w:rFonts w:hint="default" w:ascii="Times New Roman" w:hAnsi="Times New Roman" w:eastAsia="仿宋" w:cs="Times New Roman"/>
          <w:b/>
          <w:color w:val="auto"/>
          <w:sz w:val="24"/>
        </w:rPr>
      </w:pPr>
    </w:p>
    <w:p w14:paraId="304E69A2">
      <w:pPr>
        <w:spacing w:line="360" w:lineRule="auto"/>
        <w:ind w:firstLine="602" w:firstLineChars="250"/>
        <w:rPr>
          <w:rFonts w:hint="default" w:ascii="Times New Roman" w:hAnsi="Times New Roman" w:eastAsia="仿宋" w:cs="Times New Roman"/>
          <w:b/>
          <w:color w:val="auto"/>
          <w:sz w:val="24"/>
        </w:rPr>
      </w:pPr>
    </w:p>
    <w:p w14:paraId="0F98A5CE">
      <w:pPr>
        <w:pStyle w:val="9"/>
        <w:rPr>
          <w:rFonts w:hint="default" w:ascii="Times New Roman" w:hAnsi="Times New Roman" w:eastAsia="仿宋" w:cs="Times New Roman"/>
          <w:b/>
          <w:color w:val="auto"/>
          <w:sz w:val="24"/>
        </w:rPr>
      </w:pPr>
    </w:p>
    <w:p w14:paraId="33B5B368">
      <w:pPr>
        <w:rPr>
          <w:rFonts w:hint="default" w:ascii="Times New Roman" w:hAnsi="Times New Roman" w:eastAsia="仿宋" w:cs="Times New Roman"/>
          <w:b/>
          <w:color w:val="auto"/>
          <w:sz w:val="24"/>
        </w:rPr>
      </w:pPr>
    </w:p>
    <w:p w14:paraId="1BD99672">
      <w:pPr>
        <w:pStyle w:val="9"/>
        <w:rPr>
          <w:rFonts w:hint="default" w:ascii="Times New Roman" w:hAnsi="Times New Roman" w:eastAsia="仿宋" w:cs="Times New Roman"/>
          <w:b/>
          <w:color w:val="auto"/>
          <w:sz w:val="24"/>
        </w:rPr>
      </w:pPr>
    </w:p>
    <w:p w14:paraId="0CAC69B1">
      <w:pPr>
        <w:rPr>
          <w:rFonts w:hint="default" w:ascii="Times New Roman" w:hAnsi="Times New Roman" w:eastAsia="仿宋" w:cs="Times New Roman"/>
          <w:b/>
          <w:color w:val="auto"/>
          <w:sz w:val="24"/>
        </w:rPr>
      </w:pPr>
    </w:p>
    <w:p w14:paraId="18BE1C00">
      <w:pPr>
        <w:pStyle w:val="9"/>
        <w:rPr>
          <w:rFonts w:hint="default" w:ascii="Times New Roman" w:hAnsi="Times New Roman" w:eastAsia="仿宋" w:cs="Times New Roman"/>
          <w:b/>
          <w:color w:val="auto"/>
          <w:sz w:val="24"/>
        </w:rPr>
      </w:pPr>
    </w:p>
    <w:p w14:paraId="2F09B1FF">
      <w:pPr>
        <w:rPr>
          <w:rFonts w:hint="default" w:ascii="Times New Roman" w:hAnsi="Times New Roman" w:eastAsia="仿宋" w:cs="Times New Roman"/>
          <w:b/>
          <w:color w:val="auto"/>
          <w:sz w:val="24"/>
        </w:rPr>
      </w:pPr>
    </w:p>
    <w:p w14:paraId="03510A02">
      <w:pPr>
        <w:pStyle w:val="9"/>
        <w:rPr>
          <w:rFonts w:hint="default" w:ascii="Times New Roman" w:hAnsi="Times New Roman" w:eastAsia="仿宋" w:cs="Times New Roman"/>
          <w:b/>
          <w:color w:val="auto"/>
          <w:sz w:val="24"/>
        </w:rPr>
      </w:pPr>
    </w:p>
    <w:p w14:paraId="44262895">
      <w:pPr>
        <w:rPr>
          <w:rFonts w:hint="default" w:ascii="Times New Roman" w:hAnsi="Times New Roman" w:eastAsia="仿宋" w:cs="Times New Roman"/>
          <w:b/>
          <w:color w:val="auto"/>
          <w:sz w:val="24"/>
        </w:rPr>
      </w:pPr>
    </w:p>
    <w:p w14:paraId="76F95B3B">
      <w:pPr>
        <w:pStyle w:val="9"/>
        <w:rPr>
          <w:rFonts w:hint="default" w:ascii="Times New Roman" w:hAnsi="Times New Roman" w:eastAsia="仿宋" w:cs="Times New Roman"/>
          <w:b/>
          <w:color w:val="auto"/>
          <w:sz w:val="24"/>
        </w:rPr>
      </w:pPr>
    </w:p>
    <w:p w14:paraId="4C6C2BDF">
      <w:pPr>
        <w:rPr>
          <w:rFonts w:hint="default" w:ascii="Times New Roman" w:hAnsi="Times New Roman" w:eastAsia="仿宋" w:cs="Times New Roman"/>
          <w:b/>
          <w:color w:val="auto"/>
          <w:sz w:val="24"/>
        </w:rPr>
      </w:pPr>
    </w:p>
    <w:p w14:paraId="7305990D">
      <w:pPr>
        <w:pStyle w:val="9"/>
        <w:rPr>
          <w:rFonts w:hint="default" w:ascii="Times New Roman" w:hAnsi="Times New Roman" w:eastAsia="仿宋" w:cs="Times New Roman"/>
          <w:b/>
          <w:color w:val="auto"/>
          <w:sz w:val="24"/>
        </w:rPr>
      </w:pPr>
    </w:p>
    <w:p w14:paraId="7CE62BB3">
      <w:pPr>
        <w:rPr>
          <w:rFonts w:hint="default" w:ascii="Times New Roman" w:hAnsi="Times New Roman" w:eastAsia="仿宋" w:cs="Times New Roman"/>
          <w:b/>
          <w:color w:val="auto"/>
          <w:sz w:val="24"/>
        </w:rPr>
      </w:pPr>
    </w:p>
    <w:p w14:paraId="448E7142">
      <w:pPr>
        <w:pStyle w:val="9"/>
        <w:rPr>
          <w:rFonts w:hint="default" w:ascii="Times New Roman" w:hAnsi="Times New Roman" w:eastAsia="仿宋" w:cs="Times New Roman"/>
          <w:b/>
          <w:color w:val="auto"/>
          <w:sz w:val="24"/>
        </w:rPr>
      </w:pPr>
    </w:p>
    <w:p w14:paraId="127181A5">
      <w:pPr>
        <w:rPr>
          <w:rFonts w:hint="default" w:ascii="Times New Roman" w:hAnsi="Times New Roman" w:eastAsia="仿宋" w:cs="Times New Roman"/>
          <w:b/>
          <w:color w:val="auto"/>
          <w:sz w:val="24"/>
        </w:rPr>
      </w:pPr>
    </w:p>
    <w:p w14:paraId="4884BDA8">
      <w:pPr>
        <w:pStyle w:val="9"/>
        <w:rPr>
          <w:rFonts w:hint="default" w:ascii="Times New Roman" w:hAnsi="Times New Roman" w:eastAsia="仿宋" w:cs="Times New Roman"/>
          <w:b/>
          <w:color w:val="auto"/>
          <w:sz w:val="24"/>
        </w:rPr>
      </w:pPr>
    </w:p>
    <w:p w14:paraId="04382774">
      <w:pPr>
        <w:rPr>
          <w:rFonts w:hint="default" w:ascii="Times New Roman" w:hAnsi="Times New Roman" w:eastAsia="仿宋" w:cs="Times New Roman"/>
          <w:b/>
          <w:color w:val="auto"/>
          <w:sz w:val="24"/>
        </w:rPr>
      </w:pPr>
    </w:p>
    <w:p w14:paraId="28A30489">
      <w:pPr>
        <w:pStyle w:val="9"/>
        <w:rPr>
          <w:rFonts w:hint="default" w:ascii="Times New Roman" w:hAnsi="Times New Roman" w:eastAsia="仿宋" w:cs="Times New Roman"/>
          <w:b/>
          <w:color w:val="auto"/>
          <w:sz w:val="24"/>
        </w:rPr>
      </w:pPr>
    </w:p>
    <w:p w14:paraId="36BEA604">
      <w:pPr>
        <w:rPr>
          <w:rFonts w:hint="default" w:ascii="Times New Roman" w:hAnsi="Times New Roman" w:eastAsia="仿宋" w:cs="Times New Roman"/>
          <w:b/>
          <w:color w:val="auto"/>
          <w:sz w:val="24"/>
        </w:rPr>
      </w:pPr>
    </w:p>
    <w:p w14:paraId="788779A5">
      <w:pPr>
        <w:pStyle w:val="9"/>
        <w:rPr>
          <w:rFonts w:hint="default" w:ascii="Times New Roman" w:hAnsi="Times New Roman" w:eastAsia="仿宋" w:cs="Times New Roman"/>
          <w:b/>
          <w:color w:val="auto"/>
          <w:sz w:val="24"/>
        </w:rPr>
      </w:pPr>
    </w:p>
    <w:p w14:paraId="2E6FED71">
      <w:pPr>
        <w:pStyle w:val="9"/>
        <w:rPr>
          <w:rFonts w:hint="default" w:ascii="Times New Roman" w:hAnsi="Times New Roman" w:eastAsia="仿宋" w:cs="Times New Roman"/>
          <w:b/>
          <w:color w:val="auto"/>
          <w:sz w:val="24"/>
        </w:rPr>
      </w:pPr>
    </w:p>
    <w:p w14:paraId="495388EF">
      <w:pPr>
        <w:pStyle w:val="9"/>
        <w:rPr>
          <w:rFonts w:hint="default" w:ascii="Times New Roman" w:hAnsi="Times New Roman" w:eastAsia="仿宋" w:cs="Times New Roman"/>
          <w:b/>
          <w:color w:val="auto"/>
          <w:sz w:val="24"/>
        </w:rPr>
      </w:pPr>
    </w:p>
    <w:p w14:paraId="0786032A">
      <w:pPr>
        <w:pStyle w:val="9"/>
        <w:rPr>
          <w:rFonts w:hint="default" w:ascii="Times New Roman" w:hAnsi="Times New Roman" w:eastAsia="仿宋" w:cs="Times New Roman"/>
          <w:b/>
          <w:color w:val="auto"/>
          <w:sz w:val="24"/>
        </w:rPr>
      </w:pPr>
    </w:p>
    <w:p w14:paraId="1CC3D8D6">
      <w:pPr>
        <w:rPr>
          <w:rFonts w:hint="default" w:ascii="Times New Roman" w:hAnsi="Times New Roman" w:eastAsia="仿宋" w:cs="Times New Roman"/>
          <w:b/>
          <w:color w:val="auto"/>
          <w:sz w:val="24"/>
        </w:rPr>
      </w:pPr>
    </w:p>
    <w:p w14:paraId="35C712D0">
      <w:pPr>
        <w:pStyle w:val="9"/>
        <w:rPr>
          <w:rFonts w:hint="default" w:ascii="Times New Roman" w:hAnsi="Times New Roman" w:eastAsia="仿宋" w:cs="Times New Roman"/>
          <w:b/>
          <w:color w:val="auto"/>
          <w:sz w:val="24"/>
        </w:rPr>
      </w:pPr>
    </w:p>
    <w:p w14:paraId="1C7872C5">
      <w:pPr>
        <w:rPr>
          <w:rFonts w:hint="default" w:ascii="Times New Roman" w:hAnsi="Times New Roman" w:eastAsia="仿宋" w:cs="Times New Roman"/>
          <w:b/>
          <w:color w:val="auto"/>
          <w:sz w:val="24"/>
        </w:rPr>
      </w:pPr>
    </w:p>
    <w:p w14:paraId="0507C139">
      <w:pPr>
        <w:pStyle w:val="69"/>
        <w:spacing w:line="360" w:lineRule="auto"/>
        <w:outlineLvl w:val="1"/>
        <w:rPr>
          <w:rFonts w:hint="default" w:ascii="Times New Roman" w:hAnsi="Times New Roman" w:eastAsia="仿宋_GB2312" w:cs="Times New Roman"/>
          <w:color w:val="auto"/>
          <w:kern w:val="2"/>
          <w:sz w:val="28"/>
          <w:szCs w:val="21"/>
        </w:rPr>
      </w:pPr>
      <w:r>
        <w:rPr>
          <w:rFonts w:hint="default" w:ascii="Times New Roman" w:hAnsi="Times New Roman" w:cs="Times New Roman"/>
          <w:b/>
          <w:color w:val="auto"/>
          <w:sz w:val="40"/>
          <w:szCs w:val="36"/>
        </w:rPr>
        <w:t xml:space="preserve"> </w:t>
      </w:r>
      <w:r>
        <w:rPr>
          <w:rFonts w:hint="default" w:ascii="Times New Roman" w:hAnsi="Times New Roman" w:cs="Times New Roman"/>
          <w:b/>
          <w:color w:val="auto"/>
          <w:sz w:val="32"/>
          <w:szCs w:val="28"/>
        </w:rPr>
        <w:t xml:space="preserve">                 </w:t>
      </w:r>
      <w:r>
        <w:rPr>
          <w:rFonts w:hint="default" w:ascii="Times New Roman" w:hAnsi="Times New Roman" w:cs="Times New Roman"/>
          <w:b/>
          <w:color w:val="auto"/>
          <w:sz w:val="32"/>
          <w:szCs w:val="28"/>
          <w:lang w:eastAsia="zh-CN"/>
        </w:rPr>
        <w:t>一、</w:t>
      </w:r>
      <w:r>
        <w:rPr>
          <w:rFonts w:hint="default" w:ascii="Times New Roman" w:hAnsi="Times New Roman" w:eastAsia="仿宋_GB2312" w:cs="Times New Roman"/>
          <w:color w:val="auto"/>
          <w:kern w:val="2"/>
          <w:sz w:val="28"/>
          <w:szCs w:val="21"/>
        </w:rPr>
        <w:t xml:space="preserve"> </w:t>
      </w:r>
      <w:r>
        <w:rPr>
          <w:rFonts w:hint="default" w:ascii="Times New Roman" w:hAnsi="Times New Roman" w:eastAsia="仿宋_GB2312" w:cs="Times New Roman"/>
          <w:b/>
          <w:bCs/>
          <w:color w:val="auto"/>
          <w:kern w:val="2"/>
          <w:sz w:val="40"/>
          <w:szCs w:val="28"/>
        </w:rPr>
        <w:t>投标函</w:t>
      </w:r>
    </w:p>
    <w:p w14:paraId="014C6571">
      <w:pPr>
        <w:spacing w:line="360" w:lineRule="auto"/>
        <w:rPr>
          <w:rFonts w:hint="default" w:ascii="Times New Roman" w:hAnsi="Times New Roman" w:eastAsia="仿宋_GB2312" w:cs="Times New Roman"/>
          <w:color w:val="auto"/>
          <w:sz w:val="24"/>
        </w:rPr>
      </w:pPr>
    </w:p>
    <w:p w14:paraId="79B252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致：</w:t>
      </w:r>
      <w:r>
        <w:rPr>
          <w:rFonts w:hint="eastAsia" w:eastAsia="仿宋_GB2312" w:cs="Times New Roman"/>
          <w:color w:val="auto"/>
          <w:sz w:val="24"/>
          <w:lang w:eastAsia="zh-CN"/>
        </w:rPr>
        <w:t>巴州聚诚项目管理有限责任公司</w:t>
      </w:r>
      <w:r>
        <w:rPr>
          <w:rFonts w:hint="default" w:ascii="Times New Roman" w:hAnsi="Times New Roman" w:eastAsia="仿宋_GB2312" w:cs="Times New Roman"/>
          <w:color w:val="auto"/>
          <w:sz w:val="24"/>
        </w:rPr>
        <w:t>:</w:t>
      </w:r>
    </w:p>
    <w:p w14:paraId="3D28D758">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根据贵方为</w:t>
      </w:r>
      <w:r>
        <w:rPr>
          <w:rFonts w:hint="default" w:ascii="Times New Roman" w:hAnsi="Times New Roman" w:eastAsia="仿宋_GB2312" w:cs="Times New Roman"/>
          <w:color w:val="auto"/>
          <w:sz w:val="24"/>
          <w:u w:val="single"/>
        </w:rPr>
        <w:t xml:space="preserve">　　　（项目名称）    </w:t>
      </w:r>
      <w:r>
        <w:rPr>
          <w:rFonts w:hint="default" w:ascii="Times New Roman" w:hAnsi="Times New Roman" w:eastAsia="仿宋_GB2312" w:cs="Times New Roman"/>
          <w:color w:val="auto"/>
          <w:sz w:val="24"/>
        </w:rPr>
        <w:t>项目招标的投标邀请</w:t>
      </w:r>
      <w:r>
        <w:rPr>
          <w:rFonts w:hint="default" w:ascii="Times New Roman" w:hAnsi="Times New Roman" w:eastAsia="仿宋_GB2312" w:cs="Times New Roman"/>
          <w:color w:val="auto"/>
          <w:sz w:val="24"/>
          <w:u w:val="single"/>
        </w:rPr>
        <w:t xml:space="preserve">（招标编号） </w:t>
      </w:r>
      <w:r>
        <w:rPr>
          <w:rFonts w:hint="default" w:ascii="Times New Roman" w:hAnsi="Times New Roman" w:eastAsia="仿宋_GB2312" w:cs="Times New Roman"/>
          <w:color w:val="auto"/>
          <w:sz w:val="24"/>
        </w:rPr>
        <w:t>，签字代表</w:t>
      </w:r>
      <w:r>
        <w:rPr>
          <w:rFonts w:hint="default" w:ascii="Times New Roman" w:hAnsi="Times New Roman" w:eastAsia="仿宋_GB2312" w:cs="Times New Roman"/>
          <w:color w:val="auto"/>
          <w:sz w:val="24"/>
          <w:u w:val="single"/>
        </w:rPr>
        <w:t>（姓名、职务）</w:t>
      </w:r>
      <w:r>
        <w:rPr>
          <w:rFonts w:hint="default" w:ascii="Times New Roman" w:hAnsi="Times New Roman" w:eastAsia="仿宋_GB2312" w:cs="Times New Roman"/>
          <w:color w:val="auto"/>
          <w:sz w:val="24"/>
        </w:rPr>
        <w:t>经正式授权并代表投标人</w:t>
      </w:r>
      <w:r>
        <w:rPr>
          <w:rFonts w:hint="default" w:ascii="Times New Roman" w:hAnsi="Times New Roman" w:eastAsia="仿宋_GB2312" w:cs="Times New Roman"/>
          <w:color w:val="auto"/>
          <w:sz w:val="24"/>
          <w:u w:val="single"/>
        </w:rPr>
        <w:t>（投标人名称、地址）</w:t>
      </w:r>
      <w:r>
        <w:rPr>
          <w:rFonts w:hint="default" w:ascii="Times New Roman" w:hAnsi="Times New Roman" w:eastAsia="仿宋_GB2312" w:cs="Times New Roman"/>
          <w:color w:val="auto"/>
          <w:sz w:val="24"/>
        </w:rPr>
        <w:t>提交下述</w:t>
      </w:r>
      <w:r>
        <w:rPr>
          <w:rFonts w:hint="default" w:ascii="Times New Roman" w:hAnsi="Times New Roman" w:eastAsia="仿宋_GB2312" w:cs="Times New Roman"/>
          <w:color w:val="auto"/>
          <w:sz w:val="24"/>
          <w:lang w:eastAsia="zh-CN"/>
        </w:rPr>
        <w:t>电子投标</w:t>
      </w:r>
      <w:r>
        <w:rPr>
          <w:rFonts w:hint="default" w:ascii="Times New Roman" w:hAnsi="Times New Roman" w:eastAsia="仿宋_GB2312" w:cs="Times New Roman"/>
          <w:color w:val="auto"/>
          <w:sz w:val="24"/>
        </w:rPr>
        <w:t>文件。</w:t>
      </w:r>
    </w:p>
    <w:p w14:paraId="53A8F93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一、</w:t>
      </w:r>
      <w:r>
        <w:rPr>
          <w:rFonts w:hint="default" w:ascii="Times New Roman" w:hAnsi="Times New Roman" w:eastAsia="仿宋_GB2312" w:cs="Times New Roman"/>
          <w:color w:val="auto"/>
          <w:sz w:val="24"/>
        </w:rPr>
        <w:t>开标一览表（格式见下面表三）</w:t>
      </w:r>
    </w:p>
    <w:p w14:paraId="6D68BB5E">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明细报价表</w:t>
      </w:r>
    </w:p>
    <w:p w14:paraId="57B010FB">
      <w:pPr>
        <w:keepNext w:val="0"/>
        <w:keepLines w:val="0"/>
        <w:pageBreakBefore w:val="0"/>
        <w:widowControl w:val="0"/>
        <w:numPr>
          <w:ilvl w:val="0"/>
          <w:numId w:val="7"/>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服务保障承诺书</w:t>
      </w:r>
    </w:p>
    <w:p w14:paraId="23B316C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eastAsia" w:eastAsia="仿宋_GB2312" w:cs="Times New Roman"/>
          <w:color w:val="auto"/>
          <w:sz w:val="24"/>
          <w:szCs w:val="22"/>
          <w:lang w:eastAsia="zh-CN"/>
        </w:rPr>
        <w:t>四、</w:t>
      </w:r>
      <w:r>
        <w:rPr>
          <w:rFonts w:hint="default" w:ascii="Times New Roman" w:hAnsi="Times New Roman" w:eastAsia="仿宋_GB2312" w:cs="Times New Roman"/>
          <w:color w:val="auto"/>
          <w:sz w:val="24"/>
          <w:szCs w:val="22"/>
        </w:rPr>
        <w:t>人员配</w:t>
      </w:r>
      <w:r>
        <w:rPr>
          <w:rFonts w:hint="default" w:ascii="Times New Roman" w:hAnsi="Times New Roman" w:eastAsia="仿宋_GB2312" w:cs="Times New Roman"/>
          <w:color w:val="auto"/>
          <w:sz w:val="24"/>
        </w:rPr>
        <w:t>置表及拟派项目负责人简历表</w:t>
      </w:r>
    </w:p>
    <w:p w14:paraId="5354194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lang w:eastAsia="zh-CN"/>
        </w:rPr>
        <w:t>五、</w:t>
      </w:r>
      <w:r>
        <w:rPr>
          <w:rFonts w:hint="default" w:ascii="Times New Roman" w:hAnsi="Times New Roman" w:eastAsia="仿宋_GB2312" w:cs="Times New Roman"/>
          <w:color w:val="auto"/>
          <w:sz w:val="24"/>
        </w:rPr>
        <w:t>服务管理工作设计（</w:t>
      </w:r>
      <w:r>
        <w:rPr>
          <w:rFonts w:hint="default" w:ascii="Times New Roman" w:hAnsi="Times New Roman" w:eastAsia="仿宋_GB2312" w:cs="Times New Roman"/>
          <w:color w:val="auto"/>
          <w:sz w:val="24"/>
          <w:lang w:eastAsia="zh-CN"/>
        </w:rPr>
        <w:t>包括但不限于：</w:t>
      </w:r>
      <w:r>
        <w:rPr>
          <w:rFonts w:hint="eastAsia" w:ascii="Times New Roman" w:hAnsi="Times New Roman" w:eastAsia="仿宋_GB2312" w:cs="Times New Roman"/>
          <w:color w:val="auto"/>
          <w:sz w:val="24"/>
          <w:lang w:val="en-US" w:eastAsia="zh-CN"/>
        </w:rPr>
        <w:t>项目管理方案、项目实施方案、宣传推广方案、应急处理方案、项目团队</w:t>
      </w:r>
      <w:r>
        <w:rPr>
          <w:rFonts w:hint="default" w:ascii="Times New Roman" w:hAnsi="Times New Roman" w:eastAsia="仿宋_GB2312" w:cs="Times New Roman"/>
          <w:color w:val="auto"/>
          <w:sz w:val="24"/>
          <w:lang w:eastAsia="zh-CN"/>
        </w:rPr>
        <w:t>等）</w:t>
      </w:r>
    </w:p>
    <w:p w14:paraId="2989FF0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szCs w:val="22"/>
        </w:rPr>
      </w:pPr>
      <w:r>
        <w:rPr>
          <w:rFonts w:hint="eastAsia" w:eastAsia="仿宋_GB2312" w:cs="Times New Roman"/>
          <w:color w:val="auto"/>
          <w:sz w:val="24"/>
          <w:szCs w:val="22"/>
          <w:lang w:eastAsia="zh-CN"/>
        </w:rPr>
        <w:t>六、</w:t>
      </w:r>
      <w:r>
        <w:rPr>
          <w:rFonts w:hint="default" w:ascii="Times New Roman" w:hAnsi="Times New Roman" w:eastAsia="仿宋_GB2312" w:cs="Times New Roman"/>
          <w:color w:val="auto"/>
          <w:sz w:val="24"/>
          <w:szCs w:val="22"/>
        </w:rPr>
        <w:t>资格证明文件</w:t>
      </w:r>
    </w:p>
    <w:p w14:paraId="45DB4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2"/>
        <w:rPr>
          <w:rFonts w:hint="default" w:ascii="Times New Roman" w:hAnsi="Times New Roman" w:eastAsia="仿宋_GB2312" w:cs="Times New Roman"/>
          <w:color w:val="auto"/>
          <w:sz w:val="24"/>
        </w:rPr>
      </w:pPr>
      <w:r>
        <w:rPr>
          <w:rFonts w:hint="eastAsia" w:eastAsia="仿宋_GB2312" w:cs="Times New Roman"/>
          <w:color w:val="auto"/>
          <w:sz w:val="24"/>
          <w:lang w:eastAsia="zh-CN"/>
        </w:rPr>
        <w:t>七、</w:t>
      </w:r>
      <w:r>
        <w:rPr>
          <w:rFonts w:hint="default" w:ascii="Times New Roman" w:hAnsi="Times New Roman" w:eastAsia="仿宋_GB2312" w:cs="Times New Roman"/>
          <w:color w:val="auto"/>
          <w:sz w:val="24"/>
        </w:rPr>
        <w:t>投标保证金，形式</w:t>
      </w:r>
      <w:r>
        <w:rPr>
          <w:rFonts w:hint="eastAsia"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w:t>
      </w:r>
      <w:r>
        <w:rPr>
          <w:rFonts w:hint="eastAsia" w:ascii="Times New Roman" w:hAnsi="Times New Roman" w:eastAsia="仿宋_GB2312" w:cs="Times New Roman"/>
          <w:color w:val="auto"/>
          <w:sz w:val="24"/>
        </w:rPr>
        <w:t>公对公、支票、汇票、本票、保函等非现金形式</w:t>
      </w:r>
      <w:r>
        <w:rPr>
          <w:rFonts w:hint="default" w:ascii="Times New Roman" w:hAnsi="Times New Roman" w:eastAsia="仿宋_GB2312" w:cs="Times New Roman"/>
          <w:color w:val="auto"/>
          <w:sz w:val="24"/>
        </w:rPr>
        <w:t>），金额为</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w:t>
      </w:r>
    </w:p>
    <w:p w14:paraId="0D6011AF">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据此函，签字代表宣布并同意如下：</w:t>
      </w:r>
    </w:p>
    <w:p w14:paraId="20298DAE">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1、所附投标报价表中规定的应提交和交付的服务投标总价为</w:t>
      </w:r>
      <w:r>
        <w:rPr>
          <w:rFonts w:hint="default" w:ascii="Times New Roman" w:hAnsi="Times New Roman"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（注明币种，并用文字和数字表示的投标总价</w:t>
      </w:r>
      <w:r>
        <w:rPr>
          <w:rFonts w:hint="default" w:ascii="Times New Roman" w:hAnsi="Times New Roman" w:eastAsia="仿宋_GB2312" w:cs="Times New Roman"/>
          <w:color w:val="auto"/>
          <w:sz w:val="24"/>
        </w:rPr>
        <w:t>）。</w:t>
      </w:r>
    </w:p>
    <w:p w14:paraId="1F6B1532">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2、投标方将按招标文件的规定履行合同责任和义务；</w:t>
      </w:r>
    </w:p>
    <w:p w14:paraId="50CE1FCB">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3、投标方已详细阅读并理解了招标文件的全部，包括修改文件。我们完全理解并同意放弃对这方面有不明及误解的权利。</w:t>
      </w:r>
    </w:p>
    <w:p w14:paraId="7042A5A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4、本投标有效期自开标之日起</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个日历日。</w:t>
      </w:r>
    </w:p>
    <w:p w14:paraId="71A0D645">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5、在规定的开标时间后，如果在投标有效期内撤回投标，同意投标保证金将被贵方没收。</w:t>
      </w:r>
    </w:p>
    <w:p w14:paraId="16F12633">
      <w:pPr>
        <w:keepNext w:val="0"/>
        <w:keepLines w:val="0"/>
        <w:pageBreakBefore w:val="0"/>
        <w:widowControl w:val="0"/>
        <w:kinsoku/>
        <w:wordWrap/>
        <w:overflowPunct/>
        <w:topLinePunct w:val="0"/>
        <w:autoSpaceDE/>
        <w:autoSpaceDN/>
        <w:bidi w:val="0"/>
        <w:adjustRightInd/>
        <w:snapToGrid/>
        <w:spacing w:line="560" w:lineRule="exact"/>
        <w:ind w:firstLine="55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6、投标人同意提供按照贵方可能要求的与其投标有关的一切数据或资料，完全理解贵方不一定接受最低价的投标或收到的任何投标的约定。</w:t>
      </w:r>
    </w:p>
    <w:p w14:paraId="7126720E">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7、与本投标有关的一切正式往来信函请寄：</w:t>
      </w:r>
    </w:p>
    <w:p w14:paraId="572B27A6">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投 标 人 名 称：</w:t>
      </w:r>
      <w:r>
        <w:rPr>
          <w:rFonts w:hint="default" w:ascii="Times New Roman" w:hAnsi="Times New Roman" w:eastAsia="仿宋_GB2312" w:cs="Times New Roman"/>
          <w:color w:val="auto"/>
          <w:sz w:val="24"/>
          <w:u w:val="single"/>
        </w:rPr>
        <w:t xml:space="preserve">　      　　　　　　　　　          </w:t>
      </w:r>
    </w:p>
    <w:p w14:paraId="70EF4A8D">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投标人代表签字：</w:t>
      </w:r>
      <w:r>
        <w:rPr>
          <w:rFonts w:hint="default" w:ascii="Times New Roman" w:hAnsi="Times New Roman" w:eastAsia="仿宋_GB2312" w:cs="Times New Roman"/>
          <w:color w:val="auto"/>
          <w:sz w:val="24"/>
          <w:u w:val="single"/>
        </w:rPr>
        <w:t xml:space="preserve">　　　　　　　　　　　              </w:t>
      </w:r>
    </w:p>
    <w:p w14:paraId="332111F0">
      <w:pPr>
        <w:keepNext w:val="0"/>
        <w:keepLines w:val="0"/>
        <w:pageBreakBefore w:val="0"/>
        <w:widowControl w:val="0"/>
        <w:kinsoku/>
        <w:wordWrap/>
        <w:overflowPunct/>
        <w:topLinePunct w:val="0"/>
        <w:autoSpaceDE/>
        <w:autoSpaceDN/>
        <w:bidi w:val="0"/>
        <w:adjustRightInd/>
        <w:snapToGrid/>
        <w:spacing w:line="560" w:lineRule="exact"/>
        <w:ind w:firstLine="840" w:firstLineChars="350"/>
        <w:textAlignment w:val="auto"/>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公          章：</w:t>
      </w:r>
      <w:r>
        <w:rPr>
          <w:rFonts w:hint="default" w:ascii="Times New Roman" w:hAnsi="Times New Roman" w:eastAsia="仿宋_GB2312" w:cs="Times New Roman"/>
          <w:color w:val="auto"/>
          <w:sz w:val="24"/>
          <w:u w:val="single"/>
        </w:rPr>
        <w:t xml:space="preserve">　　　　　　　　　　　　　          </w:t>
      </w:r>
    </w:p>
    <w:p w14:paraId="24339AEE">
      <w:pPr>
        <w:keepNext w:val="0"/>
        <w:keepLines w:val="0"/>
        <w:pageBreakBefore w:val="0"/>
        <w:widowControl w:val="0"/>
        <w:kinsoku/>
        <w:wordWrap/>
        <w:overflowPunct/>
        <w:topLinePunct w:val="0"/>
        <w:autoSpaceDE/>
        <w:autoSpaceDN/>
        <w:bidi w:val="0"/>
        <w:adjustRightInd/>
        <w:snapToGrid/>
        <w:spacing w:line="560" w:lineRule="exact"/>
        <w:ind w:firstLine="876" w:firstLineChars="365"/>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地　　　　  址：</w:t>
      </w:r>
      <w:r>
        <w:rPr>
          <w:rFonts w:hint="default" w:ascii="Times New Roman" w:hAnsi="Times New Roman" w:eastAsia="仿宋_GB2312" w:cs="Times New Roman"/>
          <w:color w:val="auto"/>
          <w:sz w:val="24"/>
          <w:u w:val="single"/>
        </w:rPr>
        <w:t xml:space="preserve">　　　　　　　　    　              </w:t>
      </w:r>
    </w:p>
    <w:p w14:paraId="2AB612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电　　　　　话：</w:t>
      </w:r>
      <w:r>
        <w:rPr>
          <w:rFonts w:hint="default" w:ascii="Times New Roman" w:hAnsi="Times New Roman" w:eastAsia="仿宋_GB2312" w:cs="Times New Roman"/>
          <w:color w:val="auto"/>
          <w:sz w:val="24"/>
          <w:u w:val="single"/>
        </w:rPr>
        <w:t xml:space="preserve">　　　　　　　　　　                </w:t>
      </w:r>
    </w:p>
    <w:p w14:paraId="37646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邮          编：</w:t>
      </w:r>
      <w:r>
        <w:rPr>
          <w:rFonts w:hint="default" w:ascii="Times New Roman" w:hAnsi="Times New Roman" w:eastAsia="仿宋_GB2312" w:cs="Times New Roman"/>
          <w:color w:val="auto"/>
          <w:sz w:val="24"/>
          <w:u w:val="single"/>
        </w:rPr>
        <w:t xml:space="preserve">　　　　   　　　                   </w:t>
      </w:r>
    </w:p>
    <w:p w14:paraId="4094DD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传          真：</w:t>
      </w:r>
      <w:r>
        <w:rPr>
          <w:rFonts w:hint="default" w:ascii="Times New Roman" w:hAnsi="Times New Roman" w:eastAsia="仿宋_GB2312" w:cs="Times New Roman"/>
          <w:color w:val="auto"/>
          <w:sz w:val="24"/>
          <w:u w:val="single"/>
        </w:rPr>
        <w:t xml:space="preserve">　   　　　　　　                   </w:t>
      </w:r>
    </w:p>
    <w:p w14:paraId="6E2FF263">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p>
    <w:p w14:paraId="3C8EAB4B">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20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年</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日</w:t>
      </w:r>
    </w:p>
    <w:p w14:paraId="75F4CF3A">
      <w:pPr>
        <w:pStyle w:val="14"/>
        <w:spacing w:line="360" w:lineRule="auto"/>
        <w:rPr>
          <w:rFonts w:hint="default" w:ascii="Times New Roman" w:hAnsi="Times New Roman" w:cs="Times New Roman"/>
          <w:color w:val="auto"/>
        </w:rPr>
      </w:pPr>
    </w:p>
    <w:p w14:paraId="5F1CD0B5">
      <w:pPr>
        <w:pStyle w:val="14"/>
        <w:spacing w:line="360" w:lineRule="auto"/>
        <w:rPr>
          <w:rFonts w:hint="default" w:ascii="Times New Roman" w:hAnsi="Times New Roman" w:cs="Times New Roman"/>
          <w:color w:val="auto"/>
        </w:rPr>
      </w:pPr>
    </w:p>
    <w:p w14:paraId="12393B38">
      <w:pPr>
        <w:pStyle w:val="14"/>
        <w:spacing w:line="360" w:lineRule="auto"/>
        <w:rPr>
          <w:rFonts w:hint="default" w:ascii="Times New Roman" w:hAnsi="Times New Roman" w:cs="Times New Roman"/>
          <w:color w:val="auto"/>
        </w:rPr>
      </w:pPr>
    </w:p>
    <w:p w14:paraId="4BFABC75">
      <w:pPr>
        <w:pStyle w:val="14"/>
        <w:spacing w:line="360" w:lineRule="auto"/>
        <w:ind w:left="0" w:leftChars="0" w:firstLine="0" w:firstLineChars="0"/>
        <w:rPr>
          <w:rFonts w:hint="default" w:ascii="Times New Roman" w:hAnsi="Times New Roman" w:cs="Times New Roman"/>
          <w:color w:val="auto"/>
        </w:rPr>
      </w:pPr>
    </w:p>
    <w:p w14:paraId="03C2CAE1">
      <w:pPr>
        <w:rPr>
          <w:rFonts w:hint="default" w:ascii="Times New Roman" w:hAnsi="Times New Roman" w:cs="Times New Roman"/>
          <w:color w:val="auto"/>
        </w:rPr>
      </w:pPr>
    </w:p>
    <w:p w14:paraId="0AB8C17B">
      <w:pPr>
        <w:pStyle w:val="4"/>
        <w:rPr>
          <w:rFonts w:hint="default" w:ascii="Times New Roman" w:hAnsi="Times New Roman" w:cs="Times New Roman"/>
          <w:color w:val="auto"/>
        </w:rPr>
      </w:pPr>
    </w:p>
    <w:p w14:paraId="5F3B421B">
      <w:pPr>
        <w:rPr>
          <w:rFonts w:hint="default" w:ascii="Times New Roman" w:hAnsi="Times New Roman" w:cs="Times New Roman"/>
          <w:color w:val="auto"/>
        </w:rPr>
      </w:pPr>
    </w:p>
    <w:p w14:paraId="3E868C5A">
      <w:pPr>
        <w:pStyle w:val="4"/>
        <w:rPr>
          <w:rFonts w:hint="default" w:ascii="Times New Roman" w:hAnsi="Times New Roman" w:cs="Times New Roman"/>
          <w:color w:val="auto"/>
        </w:rPr>
      </w:pPr>
    </w:p>
    <w:p w14:paraId="54377F3A">
      <w:pPr>
        <w:rPr>
          <w:rFonts w:hint="default" w:ascii="Times New Roman" w:hAnsi="Times New Roman" w:cs="Times New Roman"/>
          <w:color w:val="auto"/>
        </w:rPr>
      </w:pPr>
    </w:p>
    <w:p w14:paraId="100CA386">
      <w:pPr>
        <w:rPr>
          <w:rFonts w:hint="default" w:ascii="Times New Roman" w:hAnsi="Times New Roman" w:cs="Times New Roman"/>
          <w:color w:val="auto"/>
        </w:rPr>
      </w:pPr>
    </w:p>
    <w:p w14:paraId="0581EC87">
      <w:pPr>
        <w:rPr>
          <w:rFonts w:hint="default" w:ascii="Times New Roman" w:hAnsi="Times New Roman" w:cs="Times New Roman"/>
          <w:color w:val="auto"/>
        </w:rPr>
      </w:pPr>
    </w:p>
    <w:p w14:paraId="56D0C32B">
      <w:pPr>
        <w:rPr>
          <w:rFonts w:hint="default" w:ascii="Times New Roman" w:hAnsi="Times New Roman" w:cs="Times New Roman"/>
          <w:color w:val="auto"/>
        </w:rPr>
      </w:pPr>
    </w:p>
    <w:p w14:paraId="7EB621BB">
      <w:pPr>
        <w:rPr>
          <w:rFonts w:hint="default"/>
        </w:rPr>
      </w:pPr>
    </w:p>
    <w:p w14:paraId="5AD3C82B">
      <w:pPr>
        <w:rPr>
          <w:rFonts w:hint="default" w:ascii="Times New Roman" w:hAnsi="Times New Roman" w:cs="Times New Roman"/>
          <w:color w:val="auto"/>
        </w:rPr>
      </w:pPr>
    </w:p>
    <w:p w14:paraId="397B0024">
      <w:pPr>
        <w:spacing w:line="360" w:lineRule="auto"/>
        <w:jc w:val="center"/>
        <w:outlineLvl w:val="1"/>
        <w:rPr>
          <w:rFonts w:hint="default" w:ascii="Times New Roman" w:hAnsi="Times New Roman" w:eastAsia="仿宋_GB2312" w:cs="Times New Roman"/>
          <w:b/>
          <w:bCs/>
          <w:color w:val="auto"/>
          <w:sz w:val="36"/>
          <w:szCs w:val="36"/>
        </w:rPr>
      </w:pPr>
      <w:r>
        <w:rPr>
          <w:rFonts w:hint="default" w:ascii="Times New Roman" w:hAnsi="Times New Roman" w:eastAsia="仿宋_GB2312" w:cs="Times New Roman"/>
          <w:b/>
          <w:bCs/>
          <w:color w:val="auto"/>
          <w:sz w:val="36"/>
          <w:szCs w:val="36"/>
          <w:lang w:eastAsia="zh-CN"/>
        </w:rPr>
        <w:t>二、</w:t>
      </w:r>
      <w:r>
        <w:rPr>
          <w:rFonts w:hint="default" w:ascii="Times New Roman" w:hAnsi="Times New Roman" w:eastAsia="仿宋_GB2312" w:cs="Times New Roman"/>
          <w:b/>
          <w:bCs/>
          <w:color w:val="auto"/>
          <w:sz w:val="36"/>
          <w:szCs w:val="36"/>
        </w:rPr>
        <w:t>法人代表授权书</w:t>
      </w:r>
    </w:p>
    <w:p w14:paraId="4BCF71E9">
      <w:pPr>
        <w:spacing w:line="360" w:lineRule="auto"/>
        <w:rPr>
          <w:rFonts w:hint="default" w:ascii="Times New Roman" w:hAnsi="Times New Roman" w:cs="Times New Roman"/>
          <w:b/>
          <w:color w:val="auto"/>
          <w:sz w:val="30"/>
        </w:rPr>
      </w:pPr>
      <w:r>
        <w:rPr>
          <w:rFonts w:hint="default" w:ascii="Times New Roman" w:hAnsi="Times New Roman" w:cs="Times New Roman"/>
          <w:b/>
          <w:color w:val="auto"/>
          <w:sz w:val="30"/>
        </w:rPr>
        <w:t xml:space="preserve">    </w:t>
      </w:r>
    </w:p>
    <w:p w14:paraId="260374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color w:val="auto"/>
          <w:sz w:val="24"/>
          <w:szCs w:val="24"/>
        </w:rPr>
        <w:t>本授权书声明：注册于</w:t>
      </w:r>
      <w:r>
        <w:rPr>
          <w:rFonts w:hint="default" w:ascii="Times New Roman" w:hAnsi="Times New Roman" w:eastAsia="仿宋_GB2312" w:cs="Times New Roman"/>
          <w:color w:val="auto"/>
          <w:sz w:val="24"/>
          <w:szCs w:val="24"/>
          <w:u w:val="single"/>
        </w:rPr>
        <w:t>（地区的名称）</w:t>
      </w:r>
      <w:r>
        <w:rPr>
          <w:rFonts w:hint="default" w:ascii="Times New Roman" w:hAnsi="Times New Roman" w:eastAsia="仿宋_GB2312" w:cs="Times New Roman"/>
          <w:color w:val="auto"/>
          <w:sz w:val="24"/>
          <w:szCs w:val="24"/>
        </w:rPr>
        <w:t>的</w:t>
      </w:r>
      <w:r>
        <w:rPr>
          <w:rFonts w:hint="default" w:ascii="Times New Roman" w:hAnsi="Times New Roman" w:eastAsia="仿宋_GB2312" w:cs="Times New Roman"/>
          <w:color w:val="auto"/>
          <w:sz w:val="24"/>
          <w:szCs w:val="24"/>
          <w:u w:val="single"/>
        </w:rPr>
        <w:t>（公司名称）</w:t>
      </w:r>
      <w:r>
        <w:rPr>
          <w:rFonts w:hint="default" w:ascii="Times New Roman" w:hAnsi="Times New Roman" w:eastAsia="仿宋_GB2312" w:cs="Times New Roman"/>
          <w:color w:val="auto"/>
          <w:sz w:val="24"/>
          <w:szCs w:val="24"/>
        </w:rPr>
        <w:t>，在下面签字的法人代表</w:t>
      </w:r>
      <w:r>
        <w:rPr>
          <w:rFonts w:hint="default" w:ascii="Times New Roman" w:hAnsi="Times New Roman" w:eastAsia="仿宋_GB2312" w:cs="Times New Roman"/>
          <w:color w:val="auto"/>
          <w:sz w:val="24"/>
          <w:szCs w:val="24"/>
          <w:u w:val="single"/>
        </w:rPr>
        <w:t>（姓名、职务）</w:t>
      </w:r>
      <w:r>
        <w:rPr>
          <w:rFonts w:hint="default" w:ascii="Times New Roman" w:hAnsi="Times New Roman" w:eastAsia="仿宋_GB2312" w:cs="Times New Roman"/>
          <w:color w:val="auto"/>
          <w:sz w:val="24"/>
          <w:szCs w:val="24"/>
        </w:rPr>
        <w:t>，代表本公司授权在下面签字的</w:t>
      </w:r>
      <w:r>
        <w:rPr>
          <w:rFonts w:hint="default" w:ascii="Times New Roman" w:hAnsi="Times New Roman" w:eastAsia="仿宋_GB2312" w:cs="Times New Roman"/>
          <w:color w:val="auto"/>
          <w:sz w:val="24"/>
          <w:szCs w:val="24"/>
          <w:u w:val="single"/>
        </w:rPr>
        <w:t>（被授权人的姓名、职务）</w:t>
      </w:r>
      <w:r>
        <w:rPr>
          <w:rFonts w:hint="default" w:ascii="Times New Roman" w:hAnsi="Times New Roman" w:eastAsia="仿宋_GB2312" w:cs="Times New Roman"/>
          <w:color w:val="auto"/>
          <w:sz w:val="24"/>
          <w:szCs w:val="24"/>
        </w:rPr>
        <w:t>为本公司的合法代理人，就</w:t>
      </w:r>
      <w:r>
        <w:rPr>
          <w:rFonts w:hint="default" w:ascii="Times New Roman" w:hAnsi="Times New Roman" w:eastAsia="仿宋_GB2312" w:cs="Times New Roman"/>
          <w:color w:val="auto"/>
          <w:sz w:val="24"/>
          <w:szCs w:val="24"/>
          <w:u w:val="single"/>
        </w:rPr>
        <w:t>　（项目名称）　</w:t>
      </w:r>
      <w:r>
        <w:rPr>
          <w:rFonts w:hint="default" w:ascii="Times New Roman" w:hAnsi="Times New Roman" w:eastAsia="仿宋_GB2312" w:cs="Times New Roman"/>
          <w:color w:val="auto"/>
          <w:sz w:val="24"/>
          <w:szCs w:val="24"/>
        </w:rPr>
        <w:t>的投标，以本公司的名义处理一切与之有关的事务。本授权书于20</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u w:val="single"/>
        </w:rPr>
        <w:t>　　</w:t>
      </w:r>
      <w:r>
        <w:rPr>
          <w:rFonts w:hint="default" w:ascii="Times New Roman" w:hAnsi="Times New Roman" w:eastAsia="仿宋_GB2312" w:cs="Times New Roman"/>
          <w:color w:val="auto"/>
          <w:sz w:val="24"/>
          <w:szCs w:val="24"/>
        </w:rPr>
        <w:t>日签字生效，特此声明。</w:t>
      </w:r>
    </w:p>
    <w:p w14:paraId="615A84A6">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default" w:ascii="Times New Roman" w:hAnsi="Times New Roman" w:eastAsia="仿宋_GB2312" w:cs="Times New Roman"/>
          <w:color w:val="auto"/>
          <w:sz w:val="24"/>
        </w:rPr>
      </w:pPr>
    </w:p>
    <w:p w14:paraId="2DBEF41A">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法人代表签字：</w:t>
      </w:r>
      <w:r>
        <w:rPr>
          <w:rFonts w:hint="default" w:ascii="Times New Roman" w:hAnsi="Times New Roman" w:eastAsia="仿宋_GB2312" w:cs="Times New Roman"/>
          <w:color w:val="auto"/>
          <w:sz w:val="24"/>
          <w:u w:val="single"/>
        </w:rPr>
        <w:t>　　　　　　　　　　　　　　　</w:t>
      </w:r>
    </w:p>
    <w:p w14:paraId="548E6192">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被授权人签字：</w:t>
      </w:r>
      <w:r>
        <w:rPr>
          <w:rFonts w:hint="default" w:ascii="Times New Roman" w:hAnsi="Times New Roman" w:eastAsia="仿宋_GB2312" w:cs="Times New Roman"/>
          <w:color w:val="auto"/>
          <w:sz w:val="24"/>
          <w:u w:val="single"/>
        </w:rPr>
        <w:t>　　　　　　　　　　　　　　　</w:t>
      </w:r>
    </w:p>
    <w:p w14:paraId="79365FF0">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公        章：</w:t>
      </w:r>
      <w:r>
        <w:rPr>
          <w:rFonts w:hint="default" w:ascii="Times New Roman" w:hAnsi="Times New Roman" w:eastAsia="仿宋_GB2312" w:cs="Times New Roman"/>
          <w:color w:val="auto"/>
          <w:sz w:val="24"/>
          <w:u w:val="single"/>
        </w:rPr>
        <w:t xml:space="preserve">                              </w:t>
      </w:r>
    </w:p>
    <w:p w14:paraId="5007331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　　　　　　　　授  权 日 期：20</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年</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u w:val="single"/>
        </w:rPr>
        <w:t>　　</w:t>
      </w:r>
      <w:r>
        <w:rPr>
          <w:rFonts w:hint="default" w:ascii="Times New Roman" w:hAnsi="Times New Roman" w:eastAsia="仿宋_GB2312" w:cs="Times New Roman"/>
          <w:color w:val="auto"/>
          <w:sz w:val="24"/>
        </w:rPr>
        <w:t>日</w:t>
      </w:r>
    </w:p>
    <w:p w14:paraId="2039A337">
      <w:pPr>
        <w:spacing w:line="360" w:lineRule="auto"/>
        <w:ind w:firstLine="482" w:firstLineChars="200"/>
        <w:rPr>
          <w:rFonts w:hint="default" w:ascii="Times New Roman" w:hAnsi="Times New Roman" w:eastAsia="仿宋_GB2312" w:cs="Times New Roman"/>
          <w:b/>
          <w:color w:val="auto"/>
          <w:sz w:val="30"/>
        </w:rPr>
      </w:pPr>
      <w:r>
        <w:rPr>
          <w:rFonts w:hint="default" w:ascii="Times New Roman" w:hAnsi="Times New Roman" w:eastAsia="仿宋_GB2312" w:cs="Times New Roman"/>
          <w:b/>
          <w:color w:val="auto"/>
          <w:sz w:val="24"/>
        </w:rPr>
        <w:t>注：法人代表本人作为公司代理人前来参加投标的，投标方可以不提供此项证明文件。</w:t>
      </w:r>
    </w:p>
    <w:p w14:paraId="726F1D87">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3CDE3E77">
                            <w:pPr>
                              <w:ind w:firstLine="640"/>
                              <w:jc w:val="center"/>
                              <w:rPr>
                                <w:sz w:val="32"/>
                                <w:szCs w:val="32"/>
                              </w:rPr>
                            </w:pPr>
                          </w:p>
                          <w:p w14:paraId="0C692EE6">
                            <w:pPr>
                              <w:ind w:firstLine="1687" w:firstLineChars="703"/>
                              <w:jc w:val="both"/>
                              <w:rPr>
                                <w:sz w:val="32"/>
                                <w:szCs w:val="32"/>
                              </w:rPr>
                            </w:pPr>
                            <w:r>
                              <w:rPr>
                                <w:rFonts w:hint="eastAsia" w:ascii="仿宋" w:hAnsi="仿宋" w:eastAsia="仿宋" w:cs="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1312;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VqXYnZAAAACgEAAA8AAAAAAAAAAQAgAAAAIgAAAGRycy9kb3du&#10;cmV2LnhtbFBLAQIUABQAAAAIAIdO4kBY24bNNwIAAJUEAAAOAAAAAAAAAAEAIAAAACgBAABkcnMv&#10;ZTJvRG9jLnhtbFBLBQYAAAAABgAGAFkBAADRBQAAAAA=&#10;">
                <v:fill on="t" focussize="0,0"/>
                <v:stroke color="#000000" miterlimit="8" joinstyle="miter"/>
                <v:imagedata o:title=""/>
                <o:lock v:ext="edit" aspectratio="f"/>
                <v:textbox>
                  <w:txbxContent>
                    <w:p w14:paraId="3CDE3E77">
                      <w:pPr>
                        <w:ind w:firstLine="640"/>
                        <w:jc w:val="center"/>
                        <w:rPr>
                          <w:sz w:val="32"/>
                          <w:szCs w:val="32"/>
                        </w:rPr>
                      </w:pPr>
                    </w:p>
                    <w:p w14:paraId="0C692EE6">
                      <w:pPr>
                        <w:ind w:firstLine="1687" w:firstLineChars="703"/>
                        <w:jc w:val="both"/>
                        <w:rPr>
                          <w:sz w:val="32"/>
                          <w:szCs w:val="32"/>
                        </w:rPr>
                      </w:pPr>
                      <w:r>
                        <w:rPr>
                          <w:rFonts w:hint="eastAsia" w:ascii="仿宋" w:hAnsi="仿宋" w:eastAsia="仿宋" w:cs="仿宋"/>
                          <w:sz w:val="24"/>
                          <w:szCs w:val="24"/>
                        </w:rPr>
                        <w:t>背面</w:t>
                      </w: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1A4F5CF7">
                            <w:pPr>
                              <w:ind w:firstLine="640"/>
                              <w:jc w:val="center"/>
                              <w:rPr>
                                <w:sz w:val="32"/>
                                <w:szCs w:val="32"/>
                              </w:rPr>
                            </w:pPr>
                          </w:p>
                          <w:p w14:paraId="606A2EA8">
                            <w:pPr>
                              <w:ind w:firstLine="1447" w:firstLineChars="6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0288;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iH4Iyz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CIfgjLOAIAAJUEAAAOAAAAAAAAAAEAIAAAACcBAABkcnMv&#10;ZTJvRG9jLnhtbFBLBQYAAAAABgAGAFkBAADRBQAAAAA=&#10;">
                <v:fill on="t" focussize="0,0"/>
                <v:stroke color="#000000" miterlimit="8" joinstyle="miter"/>
                <v:imagedata o:title=""/>
                <o:lock v:ext="edit" aspectratio="f"/>
                <v:textbox>
                  <w:txbxContent>
                    <w:p w14:paraId="1A4F5CF7">
                      <w:pPr>
                        <w:ind w:firstLine="640"/>
                        <w:jc w:val="center"/>
                        <w:rPr>
                          <w:sz w:val="32"/>
                          <w:szCs w:val="32"/>
                        </w:rPr>
                      </w:pPr>
                    </w:p>
                    <w:p w14:paraId="606A2EA8">
                      <w:pPr>
                        <w:ind w:firstLine="1447" w:firstLineChars="603"/>
                        <w:jc w:val="both"/>
                        <w:rPr>
                          <w:sz w:val="32"/>
                          <w:szCs w:val="32"/>
                        </w:rPr>
                      </w:pPr>
                      <w:r>
                        <w:rPr>
                          <w:rFonts w:hint="eastAsia" w:ascii="仿宋" w:hAnsi="仿宋" w:eastAsia="仿宋" w:cs="仿宋"/>
                          <w:sz w:val="24"/>
                          <w:szCs w:val="24"/>
                        </w:rPr>
                        <w:t>正面</w:t>
                      </w:r>
                    </w:p>
                  </w:txbxContent>
                </v:textbox>
              </v:shape>
            </w:pict>
          </mc:Fallback>
        </mc:AlternateContent>
      </w:r>
      <w:r>
        <w:rPr>
          <w:rFonts w:hint="default" w:ascii="Times New Roman" w:hAnsi="Times New Roman" w:eastAsia="仿宋" w:cs="Times New Roman"/>
          <w:sz w:val="24"/>
          <w:szCs w:val="24"/>
        </w:rPr>
        <w:t>法定代表人身份复印件：</w:t>
      </w:r>
    </w:p>
    <w:p w14:paraId="158B5680">
      <w:pPr>
        <w:spacing w:line="360" w:lineRule="auto"/>
        <w:ind w:firstLine="2400" w:firstLineChars="1000"/>
        <w:rPr>
          <w:rFonts w:hint="default" w:ascii="Times New Roman" w:hAnsi="Times New Roman" w:eastAsia="仿宋" w:cs="Times New Roman"/>
          <w:sz w:val="24"/>
          <w:szCs w:val="24"/>
        </w:rPr>
      </w:pPr>
    </w:p>
    <w:p w14:paraId="3D6D0FDC">
      <w:pPr>
        <w:spacing w:line="360" w:lineRule="auto"/>
        <w:ind w:firstLine="2400" w:firstLineChars="1000"/>
        <w:rPr>
          <w:rFonts w:hint="default" w:ascii="Times New Roman" w:hAnsi="Times New Roman" w:eastAsia="仿宋" w:cs="Times New Roman"/>
          <w:sz w:val="24"/>
          <w:szCs w:val="24"/>
        </w:rPr>
      </w:pPr>
    </w:p>
    <w:p w14:paraId="27C1E375">
      <w:pPr>
        <w:spacing w:line="360" w:lineRule="auto"/>
        <w:ind w:firstLine="2400" w:firstLineChars="1000"/>
        <w:rPr>
          <w:rFonts w:hint="default" w:ascii="Times New Roman" w:hAnsi="Times New Roman" w:eastAsia="仿宋" w:cs="Times New Roman"/>
          <w:sz w:val="24"/>
          <w:szCs w:val="24"/>
        </w:rPr>
      </w:pPr>
    </w:p>
    <w:p w14:paraId="18B3310B">
      <w:pPr>
        <w:spacing w:line="360" w:lineRule="auto"/>
        <w:ind w:firstLine="2400" w:firstLineChars="1000"/>
        <w:rPr>
          <w:rFonts w:hint="default" w:ascii="Times New Roman" w:hAnsi="Times New Roman" w:eastAsia="仿宋" w:cs="Times New Roman"/>
          <w:sz w:val="24"/>
          <w:szCs w:val="24"/>
        </w:rPr>
      </w:pPr>
    </w:p>
    <w:p w14:paraId="7D7C20B5">
      <w:pPr>
        <w:spacing w:line="360" w:lineRule="auto"/>
        <w:ind w:firstLine="2400" w:firstLineChars="1000"/>
        <w:rPr>
          <w:rFonts w:hint="default" w:ascii="Times New Roman" w:hAnsi="Times New Roman" w:eastAsia="仿宋" w:cs="Times New Roman"/>
          <w:sz w:val="24"/>
          <w:szCs w:val="24"/>
        </w:rPr>
      </w:pPr>
    </w:p>
    <w:p w14:paraId="52481AE8">
      <w:pPr>
        <w:spacing w:line="360" w:lineRule="auto"/>
        <w:ind w:firstLine="2400" w:firstLineChars="1000"/>
        <w:rPr>
          <w:rFonts w:hint="default" w:ascii="Times New Roman" w:hAnsi="Times New Roman" w:eastAsia="仿宋" w:cs="Times New Roman"/>
          <w:sz w:val="24"/>
          <w:szCs w:val="24"/>
        </w:rPr>
      </w:pPr>
    </w:p>
    <w:p w14:paraId="2F463DE0">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授权人身份证复印件：</w:t>
      </w:r>
    </w:p>
    <w:p w14:paraId="6747FB29">
      <w:pPr>
        <w:spacing w:line="360" w:lineRule="auto"/>
        <w:ind w:firstLine="2400" w:firstLineChars="10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167005</wp:posOffset>
                </wp:positionV>
                <wp:extent cx="2428875" cy="1189355"/>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692C5DB7">
                            <w:pPr>
                              <w:ind w:firstLine="640"/>
                              <w:jc w:val="center"/>
                              <w:rPr>
                                <w:sz w:val="32"/>
                                <w:szCs w:val="32"/>
                              </w:rPr>
                            </w:pPr>
                          </w:p>
                          <w:p w14:paraId="512A2881">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5D9AB320">
                            <w:pPr>
                              <w:ind w:firstLine="420"/>
                            </w:pP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261.45pt;margin-top:13.15pt;height:93.65pt;width:191.25pt;z-index:251663360;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RICtkAAAAKAQAADwAAAAAAAAABACAAAAAiAAAAZHJzL2Rv&#10;d25yZXYueG1sUEsBAhQAFAAAAAgAh07iQBhCk/Q5AgAAlQQAAA4AAAAAAAAAAQAgAAAAKAEAAGRy&#10;cy9lMm9Eb2MueG1sUEsFBgAAAAAGAAYAWQEAANMFAAAAAA==&#10;">
                <v:fill on="t" focussize="0,0"/>
                <v:stroke color="#000000" miterlimit="8" joinstyle="miter"/>
                <v:imagedata o:title=""/>
                <o:lock v:ext="edit" aspectratio="f"/>
                <v:textbox>
                  <w:txbxContent>
                    <w:p w14:paraId="692C5DB7">
                      <w:pPr>
                        <w:ind w:firstLine="640"/>
                        <w:jc w:val="center"/>
                        <w:rPr>
                          <w:sz w:val="32"/>
                          <w:szCs w:val="32"/>
                        </w:rPr>
                      </w:pPr>
                    </w:p>
                    <w:p w14:paraId="512A2881">
                      <w:pPr>
                        <w:ind w:firstLine="1687" w:firstLineChars="703"/>
                        <w:jc w:val="both"/>
                        <w:rPr>
                          <w:rFonts w:hint="eastAsia" w:ascii="仿宋" w:hAnsi="仿宋" w:eastAsia="仿宋" w:cs="仿宋"/>
                          <w:sz w:val="24"/>
                          <w:szCs w:val="24"/>
                        </w:rPr>
                      </w:pPr>
                      <w:r>
                        <w:rPr>
                          <w:rFonts w:hint="eastAsia" w:ascii="仿宋" w:hAnsi="仿宋" w:eastAsia="仿宋" w:cs="仿宋"/>
                          <w:sz w:val="24"/>
                          <w:szCs w:val="24"/>
                        </w:rPr>
                        <w:t>背面</w:t>
                      </w:r>
                    </w:p>
                    <w:p w14:paraId="5D9AB320">
                      <w:pPr>
                        <w:ind w:firstLine="420"/>
                      </w:pP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394970</wp:posOffset>
                </wp:positionH>
                <wp:positionV relativeFrom="paragraph">
                  <wp:posOffset>166370</wp:posOffset>
                </wp:positionV>
                <wp:extent cx="2552700" cy="1205865"/>
                <wp:effectExtent l="0" t="0" r="0"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4CACB89C">
                            <w:pPr>
                              <w:ind w:firstLine="640"/>
                              <w:jc w:val="center"/>
                              <w:rPr>
                                <w:sz w:val="32"/>
                                <w:szCs w:val="32"/>
                              </w:rPr>
                            </w:pPr>
                          </w:p>
                          <w:p w14:paraId="7F830B23">
                            <w:pPr>
                              <w:ind w:firstLine="1687" w:firstLineChars="703"/>
                              <w:jc w:val="both"/>
                              <w:rPr>
                                <w:sz w:val="32"/>
                                <w:szCs w:val="32"/>
                              </w:rPr>
                            </w:pPr>
                            <w:r>
                              <w:rPr>
                                <w:rFonts w:hint="eastAsia" w:ascii="仿宋" w:hAnsi="仿宋" w:eastAsia="仿宋" w:cs="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1.1pt;margin-top:13.1pt;height:94.95pt;width:201pt;z-index:251662336;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Pxvg1wAAAAkBAAAPAAAAAAAAAAEAIAAAACIAAABkcnMvZG93bnJl&#10;di54bWxQSwECFAAUAAAACACHTuJA046y2DcCAACVBAAADgAAAAAAAAABACAAAAAmAQAAZHJzL2Uy&#10;b0RvYy54bWxQSwUGAAAAAAYABgBZAQAAzwUAAAAA&#10;">
                <v:fill on="t" focussize="0,0"/>
                <v:stroke color="#000000" miterlimit="8" joinstyle="miter"/>
                <v:imagedata o:title=""/>
                <o:lock v:ext="edit" aspectratio="f"/>
                <v:textbox>
                  <w:txbxContent>
                    <w:p w14:paraId="4CACB89C">
                      <w:pPr>
                        <w:ind w:firstLine="640"/>
                        <w:jc w:val="center"/>
                        <w:rPr>
                          <w:sz w:val="32"/>
                          <w:szCs w:val="32"/>
                        </w:rPr>
                      </w:pPr>
                    </w:p>
                    <w:p w14:paraId="7F830B23">
                      <w:pPr>
                        <w:ind w:firstLine="1687" w:firstLineChars="703"/>
                        <w:jc w:val="both"/>
                        <w:rPr>
                          <w:sz w:val="32"/>
                          <w:szCs w:val="32"/>
                        </w:rPr>
                      </w:pPr>
                      <w:r>
                        <w:rPr>
                          <w:rFonts w:hint="eastAsia" w:ascii="仿宋" w:hAnsi="仿宋" w:eastAsia="仿宋" w:cs="仿宋"/>
                          <w:sz w:val="24"/>
                          <w:szCs w:val="24"/>
                        </w:rPr>
                        <w:t>正面</w:t>
                      </w:r>
                    </w:p>
                  </w:txbxContent>
                </v:textbox>
              </v:shape>
            </w:pict>
          </mc:Fallback>
        </mc:AlternateContent>
      </w:r>
    </w:p>
    <w:p w14:paraId="490C1DF7">
      <w:pPr>
        <w:pStyle w:val="69"/>
        <w:spacing w:line="360" w:lineRule="auto"/>
        <w:rPr>
          <w:rFonts w:hint="default" w:ascii="Times New Roman" w:hAnsi="Times New Roman" w:cs="Times New Roman"/>
          <w:b/>
          <w:color w:val="auto"/>
          <w:kern w:val="2"/>
          <w:sz w:val="30"/>
          <w:szCs w:val="30"/>
        </w:rPr>
      </w:pPr>
    </w:p>
    <w:p w14:paraId="39A2335F">
      <w:pPr>
        <w:pStyle w:val="69"/>
        <w:spacing w:line="360" w:lineRule="auto"/>
        <w:rPr>
          <w:rFonts w:hint="default" w:ascii="Times New Roman" w:hAnsi="Times New Roman" w:cs="Times New Roman"/>
          <w:b/>
          <w:color w:val="auto"/>
          <w:kern w:val="2"/>
          <w:sz w:val="30"/>
          <w:szCs w:val="30"/>
        </w:rPr>
      </w:pPr>
    </w:p>
    <w:p w14:paraId="1AEC37B6">
      <w:pPr>
        <w:pStyle w:val="69"/>
        <w:spacing w:line="360" w:lineRule="auto"/>
        <w:rPr>
          <w:rFonts w:hint="default" w:ascii="Times New Roman" w:hAnsi="Times New Roman" w:cs="Times New Roman"/>
          <w:b/>
          <w:color w:val="auto"/>
          <w:kern w:val="2"/>
          <w:sz w:val="30"/>
          <w:szCs w:val="30"/>
        </w:rPr>
      </w:pPr>
    </w:p>
    <w:p w14:paraId="349974D7">
      <w:pPr>
        <w:spacing w:line="440" w:lineRule="exact"/>
        <w:jc w:val="center"/>
        <w:rPr>
          <w:rFonts w:hint="default" w:ascii="Times New Roman" w:hAnsi="Times New Roman" w:eastAsia="仿宋" w:cs="Times New Roman"/>
          <w:b/>
          <w:sz w:val="30"/>
          <w:szCs w:val="30"/>
        </w:rPr>
      </w:pPr>
    </w:p>
    <w:p w14:paraId="31E43D85">
      <w:pPr>
        <w:spacing w:line="44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法定代表人资格证明书</w:t>
      </w:r>
    </w:p>
    <w:p w14:paraId="72BAB8B1">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单位名称：</w:t>
      </w:r>
    </w:p>
    <w:p w14:paraId="542EE2FC">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单位性质：</w:t>
      </w:r>
    </w:p>
    <w:p w14:paraId="0E21ADFB">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地址：</w:t>
      </w:r>
    </w:p>
    <w:p w14:paraId="3674B237">
      <w:pPr>
        <w:spacing w:beforeLines="50" w:afterLines="50" w:line="360" w:lineRule="auto"/>
        <w:ind w:left="546" w:leftChars="26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成立时间：</w:t>
      </w:r>
    </w:p>
    <w:p w14:paraId="12C9443B">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经营期限：</w:t>
      </w:r>
    </w:p>
    <w:p w14:paraId="0FDC1C9A">
      <w:pPr>
        <w:spacing w:beforeLines="50" w:afterLines="50" w:line="360" w:lineRule="auto"/>
        <w:ind w:left="546" w:leftChars="2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姓名：性别：年龄：职务：</w:t>
      </w:r>
    </w:p>
    <w:p w14:paraId="18EABBCC">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系</w:t>
      </w:r>
      <w:r>
        <w:rPr>
          <w:rFonts w:hint="default" w:ascii="Times New Roman" w:hAnsi="Times New Roman" w:eastAsia="仿宋" w:cs="Times New Roman"/>
          <w:sz w:val="24"/>
          <w:szCs w:val="24"/>
          <w:u w:val="single"/>
        </w:rPr>
        <w:t>（投标人）</w:t>
      </w:r>
      <w:r>
        <w:rPr>
          <w:rFonts w:hint="default" w:ascii="Times New Roman" w:hAnsi="Times New Roman" w:eastAsia="仿宋" w:cs="Times New Roman"/>
          <w:sz w:val="24"/>
          <w:szCs w:val="24"/>
        </w:rPr>
        <w:t>的法定代表人。</w:t>
      </w:r>
      <w:r>
        <w:rPr>
          <w:rFonts w:hint="default" w:ascii="Times New Roman" w:hAnsi="Times New Roman" w:eastAsia="仿宋" w:cs="Times New Roman"/>
          <w:sz w:val="24"/>
          <w:szCs w:val="24"/>
        </w:rPr>
        <w:cr/>
      </w:r>
    </w:p>
    <w:p w14:paraId="73AF63AE">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特此证明。</w:t>
      </w:r>
    </w:p>
    <w:p w14:paraId="31E8E99E">
      <w:pPr>
        <w:pStyle w:val="9"/>
        <w:rPr>
          <w:rFonts w:hint="default" w:ascii="Times New Roman" w:hAnsi="Times New Roman" w:cs="Times New Roman"/>
        </w:rPr>
      </w:pPr>
    </w:p>
    <w:p w14:paraId="56FF1588">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3320415</wp:posOffset>
                </wp:positionH>
                <wp:positionV relativeFrom="paragraph">
                  <wp:posOffset>382270</wp:posOffset>
                </wp:positionV>
                <wp:extent cx="2428875" cy="120205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529FA4EF">
                            <w:pPr>
                              <w:ind w:firstLine="640"/>
                              <w:jc w:val="center"/>
                              <w:rPr>
                                <w:sz w:val="32"/>
                                <w:szCs w:val="32"/>
                              </w:rPr>
                            </w:pPr>
                          </w:p>
                          <w:p w14:paraId="24FDB260">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61.45pt;margin-top:30.1pt;height:94.65pt;width:191.25pt;z-index:25166540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WpdidkAAAAKAQAADwAAAAAAAAABACAAAAAiAAAAZHJzL2Rv&#10;d25yZXYueG1sUEsBAhQAFAAAAAgAh07iQIEbRpU5AgAAlQQAAA4AAAAAAAAAAQAgAAAAKAEAAGRy&#10;cy9lMm9Eb2MueG1sUEsFBgAAAAAGAAYAWQEAANMFAAAAAA==&#10;">
                <v:fill on="t" focussize="0,0"/>
                <v:stroke color="#000000" miterlimit="8" joinstyle="miter"/>
                <v:imagedata o:title=""/>
                <o:lock v:ext="edit" aspectratio="f"/>
                <v:textbox>
                  <w:txbxContent>
                    <w:p w14:paraId="529FA4EF">
                      <w:pPr>
                        <w:ind w:firstLine="640"/>
                        <w:jc w:val="center"/>
                        <w:rPr>
                          <w:sz w:val="32"/>
                          <w:szCs w:val="32"/>
                        </w:rPr>
                      </w:pPr>
                    </w:p>
                    <w:p w14:paraId="24FDB260">
                      <w:pPr>
                        <w:ind w:firstLine="1687" w:firstLineChars="703"/>
                        <w:jc w:val="both"/>
                        <w:rPr>
                          <w:rFonts w:hint="eastAsia" w:ascii="仿宋" w:hAnsi="仿宋" w:eastAsia="仿宋"/>
                          <w:sz w:val="24"/>
                          <w:szCs w:val="24"/>
                        </w:rPr>
                      </w:pPr>
                      <w:r>
                        <w:rPr>
                          <w:rFonts w:hint="eastAsia" w:ascii="仿宋" w:hAnsi="仿宋" w:eastAsia="仿宋"/>
                          <w:sz w:val="24"/>
                          <w:szCs w:val="24"/>
                        </w:rPr>
                        <w:t>背面</w:t>
                      </w:r>
                    </w:p>
                  </w:txbxContent>
                </v:textbox>
              </v:shape>
            </w:pict>
          </mc:Fallback>
        </mc:AlternateContent>
      </w:r>
      <w:r>
        <w:rPr>
          <w:rFonts w:hint="default" w:ascii="Times New Roman" w:hAnsi="Times New Roman" w:eastAsia="仿宋"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381635</wp:posOffset>
                </wp:positionV>
                <wp:extent cx="2476500" cy="121856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2ADF8365">
                            <w:pPr>
                              <w:ind w:firstLine="640"/>
                              <w:jc w:val="center"/>
                              <w:rPr>
                                <w:sz w:val="32"/>
                                <w:szCs w:val="32"/>
                              </w:rPr>
                            </w:pPr>
                          </w:p>
                          <w:p w14:paraId="377B4BFA">
                            <w:pPr>
                              <w:ind w:firstLine="1447" w:firstLineChars="603"/>
                              <w:jc w:val="both"/>
                              <w:rPr>
                                <w:sz w:val="32"/>
                                <w:szCs w:val="32"/>
                              </w:rPr>
                            </w:pPr>
                            <w:r>
                              <w:rPr>
                                <w:rFonts w:hint="eastAsia" w:ascii="仿宋" w:hAnsi="仿宋" w:eastAsia="仿宋"/>
                                <w:sz w:val="24"/>
                                <w:szCs w:val="24"/>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1.1pt;margin-top:30.05pt;height:95.95pt;width:195pt;z-index:25166438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yyZ7YAAAACQEAAA8AAAAAAAAAAQAgAAAAIgAAAGRycy9kb3du&#10;cmV2LnhtbFBLAQIUABQAAAAIAIdO4kBOq0F0OAIAAJUEAAAOAAAAAAAAAAEAIAAAACcBAABkcnMv&#10;ZTJvRG9jLnhtbFBLBQYAAAAABgAGAFkBAADRBQAAAAA=&#10;">
                <v:fill on="t" focussize="0,0"/>
                <v:stroke color="#000000" miterlimit="8" joinstyle="miter"/>
                <v:imagedata o:title=""/>
                <o:lock v:ext="edit" aspectratio="f"/>
                <v:textbox>
                  <w:txbxContent>
                    <w:p w14:paraId="2ADF8365">
                      <w:pPr>
                        <w:ind w:firstLine="640"/>
                        <w:jc w:val="center"/>
                        <w:rPr>
                          <w:sz w:val="32"/>
                          <w:szCs w:val="32"/>
                        </w:rPr>
                      </w:pPr>
                    </w:p>
                    <w:p w14:paraId="377B4BFA">
                      <w:pPr>
                        <w:ind w:firstLine="1447" w:firstLineChars="603"/>
                        <w:jc w:val="both"/>
                        <w:rPr>
                          <w:sz w:val="32"/>
                          <w:szCs w:val="32"/>
                        </w:rPr>
                      </w:pPr>
                      <w:r>
                        <w:rPr>
                          <w:rFonts w:hint="eastAsia" w:ascii="仿宋" w:hAnsi="仿宋" w:eastAsia="仿宋"/>
                          <w:sz w:val="24"/>
                          <w:szCs w:val="24"/>
                        </w:rPr>
                        <w:t>正面</w:t>
                      </w:r>
                    </w:p>
                  </w:txbxContent>
                </v:textbox>
              </v:shape>
            </w:pict>
          </mc:Fallback>
        </mc:AlternateContent>
      </w:r>
      <w:r>
        <w:rPr>
          <w:rFonts w:hint="default" w:ascii="Times New Roman" w:hAnsi="Times New Roman" w:eastAsia="仿宋" w:cs="Times New Roman"/>
          <w:sz w:val="24"/>
          <w:szCs w:val="24"/>
        </w:rPr>
        <w:t>法定代表人身份复印件：</w:t>
      </w:r>
    </w:p>
    <w:p w14:paraId="410D1826">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19B8BE01">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AA8CA0D">
      <w:pPr>
        <w:pStyle w:val="9"/>
        <w:pageBreakBefore w:val="0"/>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color w:val="000000"/>
          <w:sz w:val="24"/>
          <w:szCs w:val="24"/>
        </w:rPr>
      </w:pPr>
    </w:p>
    <w:p w14:paraId="53C94360">
      <w:pPr>
        <w:pageBreakBefore w:val="0"/>
        <w:kinsoku/>
        <w:wordWrap/>
        <w:overflowPunct/>
        <w:topLinePunct w:val="0"/>
        <w:bidi w:val="0"/>
        <w:spacing w:line="360" w:lineRule="auto"/>
        <w:ind w:firstLine="2160" w:firstLineChars="900"/>
        <w:textAlignment w:val="auto"/>
        <w:rPr>
          <w:rFonts w:hint="default" w:ascii="Times New Roman" w:hAnsi="Times New Roman" w:eastAsia="宋体" w:cs="Times New Roman"/>
          <w:color w:val="000000"/>
          <w:sz w:val="24"/>
          <w:szCs w:val="24"/>
        </w:rPr>
      </w:pPr>
    </w:p>
    <w:p w14:paraId="63B06A41">
      <w:pPr>
        <w:spacing w:beforeLines="50" w:afterLines="50" w:line="360" w:lineRule="auto"/>
        <w:rPr>
          <w:rFonts w:hint="default" w:ascii="Times New Roman" w:hAnsi="Times New Roman" w:eastAsia="仿宋" w:cs="Times New Roman"/>
          <w:sz w:val="24"/>
          <w:szCs w:val="24"/>
        </w:rPr>
      </w:pPr>
    </w:p>
    <w:p w14:paraId="6DC5EC06">
      <w:pPr>
        <w:spacing w:beforeLines="50" w:afterLines="5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投标人公章：[投标人盖章]</w:t>
      </w:r>
    </w:p>
    <w:p w14:paraId="74009289">
      <w:pPr>
        <w:spacing w:beforeLines="50" w:afterLines="50" w:line="360" w:lineRule="auto"/>
        <w:ind w:firstLine="496" w:firstLineChars="200"/>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日期：</w:t>
      </w:r>
      <w:r>
        <w:rPr>
          <w:rFonts w:hint="default" w:ascii="Times New Roman" w:hAnsi="Times New Roman" w:eastAsia="仿宋" w:cs="Times New Roman"/>
          <w:sz w:val="24"/>
          <w:szCs w:val="24"/>
        </w:rPr>
        <w:t>年  月  日</w:t>
      </w:r>
    </w:p>
    <w:p w14:paraId="7B16D2AD">
      <w:pPr>
        <w:pStyle w:val="14"/>
        <w:rPr>
          <w:rFonts w:hint="default" w:ascii="Times New Roman" w:hAnsi="Times New Roman" w:eastAsia="仿宋" w:cs="Times New Roman"/>
          <w:sz w:val="24"/>
          <w:szCs w:val="24"/>
        </w:rPr>
      </w:pPr>
    </w:p>
    <w:p w14:paraId="66D3085E">
      <w:pPr>
        <w:pStyle w:val="14"/>
        <w:rPr>
          <w:rFonts w:hint="default" w:ascii="Times New Roman" w:hAnsi="Times New Roman" w:eastAsia="仿宋" w:cs="Times New Roman"/>
          <w:sz w:val="24"/>
          <w:szCs w:val="24"/>
        </w:rPr>
      </w:pPr>
    </w:p>
    <w:p w14:paraId="6BA4738B">
      <w:pPr>
        <w:pStyle w:val="69"/>
        <w:spacing w:line="360" w:lineRule="auto"/>
        <w:outlineLvl w:val="1"/>
        <w:rPr>
          <w:rFonts w:hint="default" w:ascii="Times New Roman" w:hAnsi="Times New Roman" w:eastAsia="仿宋" w:cs="Times New Roman"/>
          <w:b/>
          <w:color w:val="auto"/>
        </w:rPr>
      </w:pPr>
    </w:p>
    <w:p w14:paraId="62C645B1">
      <w:pPr>
        <w:pStyle w:val="69"/>
        <w:spacing w:line="360" w:lineRule="auto"/>
        <w:outlineLvl w:val="1"/>
        <w:rPr>
          <w:rFonts w:hint="default" w:ascii="Times New Roman" w:hAnsi="Times New Roman" w:eastAsia="仿宋" w:cs="Times New Roman"/>
          <w:b/>
          <w:color w:val="auto"/>
        </w:rPr>
      </w:pPr>
    </w:p>
    <w:p w14:paraId="4426612A">
      <w:pPr>
        <w:pStyle w:val="69"/>
        <w:spacing w:line="360" w:lineRule="auto"/>
        <w:outlineLvl w:val="1"/>
        <w:rPr>
          <w:rFonts w:hint="default" w:ascii="Times New Roman" w:hAnsi="Times New Roman" w:eastAsia="仿宋" w:cs="Times New Roman"/>
          <w:b/>
          <w:color w:val="auto"/>
        </w:rPr>
      </w:pPr>
    </w:p>
    <w:p w14:paraId="76F285B2">
      <w:pPr>
        <w:pStyle w:val="69"/>
        <w:spacing w:line="360" w:lineRule="auto"/>
        <w:outlineLvl w:val="1"/>
        <w:rPr>
          <w:rFonts w:hint="default" w:ascii="Times New Roman" w:hAnsi="Times New Roman" w:eastAsia="仿宋" w:cs="Times New Roman"/>
          <w:b/>
          <w:color w:val="auto"/>
        </w:rPr>
      </w:pPr>
    </w:p>
    <w:p w14:paraId="6E17F2E8">
      <w:pPr>
        <w:pStyle w:val="69"/>
        <w:spacing w:line="360" w:lineRule="auto"/>
        <w:jc w:val="center"/>
        <w:outlineLvl w:val="1"/>
        <w:rPr>
          <w:rFonts w:hint="default" w:ascii="Times New Roman" w:hAnsi="Times New Roman" w:eastAsia="仿宋_GB2312" w:cs="Times New Roman"/>
          <w:b/>
          <w:bCs/>
          <w:color w:val="auto"/>
          <w:kern w:val="2"/>
          <w:sz w:val="36"/>
          <w:szCs w:val="24"/>
        </w:rPr>
      </w:pPr>
      <w:r>
        <w:rPr>
          <w:rFonts w:hint="default" w:ascii="Times New Roman" w:hAnsi="Times New Roman" w:eastAsia="仿宋" w:cs="Times New Roman"/>
          <w:b/>
          <w:color w:val="auto"/>
          <w:sz w:val="36"/>
          <w:szCs w:val="36"/>
          <w:lang w:eastAsia="zh-CN"/>
        </w:rPr>
        <w:t>三、</w:t>
      </w:r>
      <w:r>
        <w:rPr>
          <w:rFonts w:hint="default" w:ascii="Times New Roman" w:hAnsi="Times New Roman" w:eastAsia="仿宋_GB2312" w:cs="Times New Roman"/>
          <w:b/>
          <w:bCs/>
          <w:color w:val="auto"/>
          <w:kern w:val="2"/>
          <w:sz w:val="36"/>
          <w:szCs w:val="24"/>
        </w:rPr>
        <w:t>开标一览表</w:t>
      </w:r>
    </w:p>
    <w:p w14:paraId="48CD6D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投标人名称：                      </w:t>
      </w:r>
    </w:p>
    <w:p w14:paraId="7B8F13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招标文件编号：                 招标项目名称：</w:t>
      </w:r>
    </w:p>
    <w:tbl>
      <w:tblPr>
        <w:tblStyle w:val="35"/>
        <w:tblpPr w:leftFromText="180" w:rightFromText="180" w:vertAnchor="text" w:horzAnchor="page" w:tblpXSpec="center" w:tblpY="507"/>
        <w:tblOverlap w:val="never"/>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2952"/>
        <w:gridCol w:w="2597"/>
        <w:gridCol w:w="765"/>
      </w:tblGrid>
      <w:tr w14:paraId="6D3D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07" w:type="dxa"/>
            <w:vAlign w:val="center"/>
          </w:tcPr>
          <w:p w14:paraId="30668CD0">
            <w:pPr>
              <w:pStyle w:val="69"/>
              <w:spacing w:line="360" w:lineRule="auto"/>
              <w:ind w:left="-886" w:leftChars="-422" w:right="-743" w:rightChars="-354"/>
              <w:jc w:val="center"/>
              <w:rPr>
                <w:rFonts w:hint="default" w:ascii="Times New Roman" w:hAnsi="Times New Roman" w:cs="Times New Roman"/>
                <w:color w:val="auto"/>
              </w:rPr>
            </w:pPr>
            <w:r>
              <w:rPr>
                <w:rFonts w:hint="default" w:ascii="Times New Roman" w:hAnsi="Times New Roman" w:cs="Times New Roman"/>
                <w:color w:val="auto"/>
              </w:rPr>
              <w:t>名称</w:t>
            </w:r>
          </w:p>
        </w:tc>
        <w:tc>
          <w:tcPr>
            <w:tcW w:w="2952" w:type="dxa"/>
            <w:vAlign w:val="center"/>
          </w:tcPr>
          <w:p w14:paraId="6FE3C8EE">
            <w:pPr>
              <w:pStyle w:val="69"/>
              <w:spacing w:line="360" w:lineRule="auto"/>
              <w:ind w:right="-354" w:firstLine="960" w:firstLineChars="400"/>
              <w:jc w:val="both"/>
              <w:rPr>
                <w:rFonts w:hint="default" w:ascii="Times New Roman" w:hAnsi="Times New Roman" w:cs="Times New Roman"/>
                <w:color w:val="auto"/>
              </w:rPr>
            </w:pPr>
            <w:r>
              <w:rPr>
                <w:rFonts w:hint="default" w:ascii="Times New Roman" w:hAnsi="Times New Roman" w:cs="Times New Roman"/>
                <w:color w:val="auto"/>
              </w:rPr>
              <w:t>报价（元）</w:t>
            </w:r>
          </w:p>
        </w:tc>
        <w:tc>
          <w:tcPr>
            <w:tcW w:w="2597" w:type="dxa"/>
            <w:vAlign w:val="center"/>
          </w:tcPr>
          <w:p w14:paraId="555A4326">
            <w:pPr>
              <w:pStyle w:val="69"/>
              <w:spacing w:line="360" w:lineRule="auto"/>
              <w:ind w:right="-354"/>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服务</w:t>
            </w:r>
            <w:r>
              <w:rPr>
                <w:rFonts w:hint="eastAsia" w:cs="Times New Roman"/>
                <w:color w:val="auto"/>
                <w:lang w:val="en-US" w:eastAsia="zh-CN"/>
              </w:rPr>
              <w:t>期</w:t>
            </w:r>
          </w:p>
        </w:tc>
        <w:tc>
          <w:tcPr>
            <w:tcW w:w="765" w:type="dxa"/>
            <w:vAlign w:val="center"/>
          </w:tcPr>
          <w:p w14:paraId="06DCB326">
            <w:pPr>
              <w:pStyle w:val="69"/>
              <w:spacing w:line="360" w:lineRule="auto"/>
              <w:ind w:left="-342" w:right="-354"/>
              <w:jc w:val="center"/>
              <w:rPr>
                <w:rFonts w:hint="default" w:ascii="Times New Roman" w:hAnsi="Times New Roman" w:cs="Times New Roman"/>
                <w:color w:val="auto"/>
              </w:rPr>
            </w:pPr>
            <w:r>
              <w:rPr>
                <w:rFonts w:hint="default" w:ascii="Times New Roman" w:hAnsi="Times New Roman" w:cs="Times New Roman"/>
                <w:color w:val="auto"/>
              </w:rPr>
              <w:t>备 注</w:t>
            </w:r>
          </w:p>
        </w:tc>
      </w:tr>
      <w:tr w14:paraId="023E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407" w:type="dxa"/>
            <w:vAlign w:val="center"/>
          </w:tcPr>
          <w:p w14:paraId="365E9183">
            <w:pPr>
              <w:pStyle w:val="69"/>
              <w:spacing w:line="360" w:lineRule="auto"/>
              <w:ind w:right="-354"/>
              <w:jc w:val="both"/>
              <w:rPr>
                <w:rFonts w:hint="default" w:ascii="Times New Roman" w:hAnsi="Times New Roman" w:cs="Times New Roman"/>
                <w:color w:val="auto"/>
              </w:rPr>
            </w:pPr>
          </w:p>
        </w:tc>
        <w:tc>
          <w:tcPr>
            <w:tcW w:w="2952" w:type="dxa"/>
            <w:vAlign w:val="center"/>
          </w:tcPr>
          <w:p w14:paraId="37421B87">
            <w:pPr>
              <w:pStyle w:val="69"/>
              <w:spacing w:line="360" w:lineRule="auto"/>
              <w:ind w:left="-342" w:right="-354"/>
              <w:jc w:val="center"/>
              <w:rPr>
                <w:rFonts w:hint="default" w:ascii="Times New Roman" w:hAnsi="Times New Roman" w:cs="Times New Roman"/>
                <w:color w:val="auto"/>
              </w:rPr>
            </w:pPr>
          </w:p>
        </w:tc>
        <w:tc>
          <w:tcPr>
            <w:tcW w:w="2597" w:type="dxa"/>
            <w:vAlign w:val="center"/>
          </w:tcPr>
          <w:p w14:paraId="50C5B2FB">
            <w:pPr>
              <w:pStyle w:val="69"/>
              <w:spacing w:line="360" w:lineRule="auto"/>
              <w:ind w:left="-342" w:right="-354"/>
              <w:jc w:val="center"/>
              <w:rPr>
                <w:rFonts w:hint="default" w:ascii="Times New Roman" w:hAnsi="Times New Roman" w:eastAsia="宋体" w:cs="Times New Roman"/>
                <w:color w:val="auto"/>
                <w:lang w:val="en-US" w:eastAsia="zh-CN"/>
              </w:rPr>
            </w:pPr>
          </w:p>
        </w:tc>
        <w:tc>
          <w:tcPr>
            <w:tcW w:w="765" w:type="dxa"/>
            <w:vAlign w:val="center"/>
          </w:tcPr>
          <w:p w14:paraId="05C22BD8">
            <w:pPr>
              <w:pStyle w:val="69"/>
              <w:spacing w:line="360" w:lineRule="auto"/>
              <w:ind w:left="-342" w:right="-354"/>
              <w:jc w:val="center"/>
              <w:rPr>
                <w:rFonts w:hint="default" w:ascii="Times New Roman" w:hAnsi="Times New Roman" w:cs="Times New Roman"/>
                <w:color w:val="auto"/>
              </w:rPr>
            </w:pPr>
          </w:p>
        </w:tc>
      </w:tr>
      <w:tr w14:paraId="45AD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21" w:type="dxa"/>
            <w:gridSpan w:val="4"/>
            <w:vAlign w:val="top"/>
          </w:tcPr>
          <w:p w14:paraId="259FD88C">
            <w:pPr>
              <w:pStyle w:val="69"/>
              <w:spacing w:line="360" w:lineRule="auto"/>
              <w:ind w:right="-354"/>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人民币大写：</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w:t>
            </w:r>
          </w:p>
        </w:tc>
      </w:tr>
    </w:tbl>
    <w:p w14:paraId="4D92DDA2">
      <w:pPr>
        <w:pStyle w:val="69"/>
        <w:spacing w:line="360" w:lineRule="auto"/>
        <w:rPr>
          <w:rFonts w:hint="default" w:ascii="Times New Roman" w:hAnsi="Times New Roman" w:eastAsia="仿宋_GB2312" w:cs="Times New Roman"/>
          <w:b/>
          <w:color w:val="auto"/>
        </w:rPr>
      </w:pPr>
    </w:p>
    <w:p w14:paraId="7F914D0D">
      <w:pPr>
        <w:pStyle w:val="69"/>
        <w:spacing w:line="360" w:lineRule="auto"/>
        <w:rPr>
          <w:rFonts w:hint="default" w:ascii="Times New Roman" w:hAnsi="Times New Roman" w:eastAsia="仿宋_GB2312" w:cs="Times New Roman"/>
          <w:b/>
          <w:color w:val="auto"/>
        </w:rPr>
      </w:pPr>
    </w:p>
    <w:p w14:paraId="4396F6DE">
      <w:pPr>
        <w:pStyle w:val="69"/>
        <w:spacing w:line="360" w:lineRule="auto"/>
        <w:rPr>
          <w:rFonts w:hint="default" w:ascii="Times New Roman" w:hAnsi="Times New Roman" w:eastAsia="仿宋_GB2312" w:cs="Times New Roman"/>
          <w:b/>
          <w:color w:val="auto"/>
        </w:rPr>
      </w:pPr>
    </w:p>
    <w:p w14:paraId="5CF5EC4B">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zh-CN" w:eastAsia="zh-CN"/>
        </w:rPr>
      </w:pPr>
      <w:r>
        <w:rPr>
          <w:rFonts w:hint="default" w:ascii="Times New Roman" w:hAnsi="Times New Roman" w:eastAsia="宋体" w:cs="Times New Roman"/>
          <w:b/>
          <w:bCs/>
          <w:sz w:val="24"/>
          <w:szCs w:val="24"/>
          <w:highlight w:val="none"/>
          <w:lang w:val="en-US" w:eastAsia="zh-CN"/>
        </w:rPr>
        <w:t>本项目采购预算金额：</w:t>
      </w:r>
      <w:r>
        <w:rPr>
          <w:rFonts w:hint="eastAsia" w:cs="Times New Roman"/>
          <w:b/>
          <w:bCs/>
          <w:sz w:val="24"/>
          <w:szCs w:val="24"/>
          <w:highlight w:val="none"/>
          <w:lang w:val="en-US" w:eastAsia="zh-CN"/>
        </w:rPr>
        <w:t>30</w:t>
      </w:r>
      <w:r>
        <w:rPr>
          <w:rFonts w:hint="default" w:ascii="Times New Roman" w:hAnsi="Times New Roman" w:eastAsia="宋体" w:cs="Times New Roman"/>
          <w:b/>
          <w:bCs/>
          <w:sz w:val="24"/>
          <w:szCs w:val="24"/>
          <w:highlight w:val="none"/>
          <w:lang w:val="en-US" w:eastAsia="zh-CN"/>
        </w:rPr>
        <w:t>万元</w:t>
      </w:r>
      <w:r>
        <w:rPr>
          <w:rFonts w:hint="default" w:ascii="Times New Roman" w:hAnsi="Times New Roman" w:eastAsia="宋体" w:cs="Times New Roman"/>
          <w:b/>
          <w:bCs/>
          <w:sz w:val="24"/>
          <w:szCs w:val="24"/>
          <w:highlight w:val="none"/>
          <w:lang w:val="zh-CN" w:eastAsia="zh-CN"/>
        </w:rPr>
        <w:t>，各供应商的报价一览表超出此范围将作废标处理。</w:t>
      </w:r>
    </w:p>
    <w:p w14:paraId="3C88F1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2、上述日期均以日历日为单位，包括法定节假日；</w:t>
      </w:r>
    </w:p>
    <w:p w14:paraId="11F44B8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3、对含糊不清或不确定的报价将视为无效报价。报价表述限于中文大写或阿拉伯数字小写，均已核定准确无误，若投标报价大小写不一致，以大写金额为准。</w:t>
      </w:r>
    </w:p>
    <w:p w14:paraId="2C69AC5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4、如果我方中标，我方将在采购文件规定的时间内签订合同。如果我方违约，除没收投标保证金外，贵方有权终止我方中标并选择其它中标供应商。</w:t>
      </w:r>
    </w:p>
    <w:p w14:paraId="77005D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5、贵方的中标通知书和本采购响应文件将构成约束双方的合同。</w:t>
      </w:r>
    </w:p>
    <w:p w14:paraId="51CEF5F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sz w:val="24"/>
          <w:szCs w:val="24"/>
          <w:highlight w:val="none"/>
          <w:lang w:val="en-US" w:eastAsia="zh-CN"/>
        </w:rPr>
        <w:t>6、如果我方未中标，贵方没有必要对我方做出任何解释和说明，我方将充分尊重和理解贵方的选择。</w:t>
      </w:r>
    </w:p>
    <w:p w14:paraId="392F7792">
      <w:pPr>
        <w:pStyle w:val="69"/>
        <w:spacing w:line="360" w:lineRule="auto"/>
        <w:rPr>
          <w:rFonts w:hint="default" w:ascii="Times New Roman" w:hAnsi="Times New Roman" w:eastAsia="仿宋_GB2312" w:cs="Times New Roman"/>
          <w:b/>
          <w:color w:val="auto"/>
        </w:rPr>
      </w:pPr>
    </w:p>
    <w:p w14:paraId="1D43B235">
      <w:pPr>
        <w:pStyle w:val="69"/>
        <w:spacing w:line="360" w:lineRule="auto"/>
        <w:rPr>
          <w:rFonts w:hint="default" w:ascii="Times New Roman" w:hAnsi="Times New Roman" w:eastAsia="仿宋_GB2312" w:cs="Times New Roman"/>
          <w:b/>
          <w:color w:val="auto"/>
        </w:rPr>
      </w:pPr>
    </w:p>
    <w:p w14:paraId="7E0825A8">
      <w:pPr>
        <w:pStyle w:val="69"/>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供应商：（盖章）</w:t>
      </w:r>
    </w:p>
    <w:p w14:paraId="5439294E">
      <w:pPr>
        <w:pStyle w:val="69"/>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2"/>
          <w:sz w:val="24"/>
          <w:szCs w:val="24"/>
          <w:lang w:val="en-US" w:eastAsia="zh-CN" w:bidi="ar-SA"/>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color w:val="auto"/>
          <w:kern w:val="2"/>
          <w:sz w:val="24"/>
          <w:szCs w:val="24"/>
          <w:lang w:val="en-US" w:eastAsia="zh-CN" w:bidi="ar-SA"/>
        </w:rPr>
        <w:t xml:space="preserve">法定代表人（负责人）：（盖章）             日期：    年   </w:t>
      </w:r>
      <w:r>
        <w:rPr>
          <w:rFonts w:hint="eastAsia" w:eastAsia="仿宋_GB2312" w:cs="Times New Roman"/>
          <w:color w:val="auto"/>
          <w:kern w:val="2"/>
          <w:sz w:val="24"/>
          <w:szCs w:val="24"/>
          <w:lang w:val="en-US" w:eastAsia="zh-CN" w:bidi="ar-SA"/>
        </w:rPr>
        <w:t>月  日</w:t>
      </w:r>
      <w:r>
        <w:rPr>
          <w:rFonts w:hint="default" w:ascii="Times New Roman" w:hAnsi="Times New Roman" w:eastAsia="仿宋_GB2312" w:cs="Times New Roman"/>
          <w:color w:val="auto"/>
          <w:kern w:val="2"/>
          <w:sz w:val="24"/>
          <w:szCs w:val="24"/>
          <w:lang w:val="en-US" w:eastAsia="zh-CN" w:bidi="ar-SA"/>
        </w:rPr>
        <w:t xml:space="preserve"> </w:t>
      </w:r>
    </w:p>
    <w:p w14:paraId="649912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auto"/>
          <w:sz w:val="36"/>
          <w:szCs w:val="24"/>
        </w:rPr>
      </w:pPr>
      <w:r>
        <w:rPr>
          <w:rFonts w:hint="default" w:ascii="Times New Roman" w:hAnsi="Times New Roman" w:eastAsia="仿宋" w:cs="Times New Roman"/>
          <w:b/>
          <w:bCs/>
          <w:color w:val="auto"/>
          <w:sz w:val="36"/>
          <w:szCs w:val="24"/>
          <w:lang w:eastAsia="zh-CN"/>
        </w:rPr>
        <w:t>四、</w:t>
      </w:r>
      <w:r>
        <w:rPr>
          <w:rFonts w:hint="default" w:ascii="Times New Roman" w:hAnsi="Times New Roman" w:eastAsia="仿宋" w:cs="Times New Roman"/>
          <w:b/>
          <w:bCs/>
          <w:color w:val="auto"/>
          <w:sz w:val="36"/>
          <w:szCs w:val="24"/>
        </w:rPr>
        <w:t>投标方资质证明文件</w:t>
      </w:r>
    </w:p>
    <w:p w14:paraId="3A0D4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default" w:ascii="Times New Roman" w:hAnsi="Times New Roman" w:eastAsia="仿宋" w:cs="Times New Roman"/>
          <w:color w:val="auto"/>
          <w:sz w:val="24"/>
        </w:rPr>
      </w:pPr>
    </w:p>
    <w:p w14:paraId="5A11AB8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包括但不仅限于：</w:t>
      </w:r>
    </w:p>
    <w:p w14:paraId="4ECC133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（1）投标人营业执照复印件以及特定资质复印件</w:t>
      </w:r>
    </w:p>
    <w:p w14:paraId="275D10A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依法缴纳税收和社会保障资金的相关材料（提供提交投标文件截止时间前一年内任意1个月依法缴纳税收及缴纳社会保障资金的证明材料。投标人依法享受缓缴、免缴税收、社会保障资金的提供证明材料。）</w:t>
      </w:r>
    </w:p>
    <w:p w14:paraId="021D736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）有关行业的经营企业许可证、注册证复印件（特殊行业需提供本行业国家颁发的有关资质证明）</w:t>
      </w:r>
    </w:p>
    <w:p w14:paraId="393CA3BF">
      <w:pPr>
        <w:pStyle w:val="9"/>
        <w:rPr>
          <w:rFonts w:hint="default" w:ascii="Times New Roman" w:hAnsi="Times New Roman" w:cs="Times New Roman"/>
        </w:rPr>
      </w:pPr>
    </w:p>
    <w:p w14:paraId="56F949F7">
      <w:pPr>
        <w:rPr>
          <w:rFonts w:hint="default" w:ascii="Times New Roman" w:hAnsi="Times New Roman" w:cs="Times New Roman"/>
        </w:rPr>
      </w:pPr>
    </w:p>
    <w:p w14:paraId="03B32FC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（4）关于资格的声明函</w:t>
      </w:r>
    </w:p>
    <w:p w14:paraId="612C77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致：</w:t>
      </w:r>
      <w:r>
        <w:rPr>
          <w:rFonts w:hint="eastAsia" w:cs="Times New Roman"/>
          <w:b/>
          <w:color w:val="auto"/>
          <w:sz w:val="24"/>
          <w:szCs w:val="24"/>
          <w:lang w:eastAsia="zh-CN"/>
        </w:rPr>
        <w:t>巴州聚诚项目管理有限责任公司</w:t>
      </w:r>
      <w:r>
        <w:rPr>
          <w:rFonts w:hint="default" w:ascii="Times New Roman" w:hAnsi="Times New Roman" w:cs="Times New Roman"/>
          <w:b/>
          <w:color w:val="auto"/>
          <w:sz w:val="24"/>
          <w:szCs w:val="24"/>
        </w:rPr>
        <w:t>：</w:t>
      </w:r>
    </w:p>
    <w:p w14:paraId="5A5037C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关于贵方20　　年　　月　　日第（招标编号）招标公告关于“　　　　　　　　”的招标项目，本签字人愿意参加投标，并有能力提供  （项目名称）    项目中的（  服务  ）招标相关服务，并保证所提交的所有文件和说明是真实和准确的。</w:t>
      </w:r>
    </w:p>
    <w:p w14:paraId="73BED804">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投标人（盖章）：　投标人名称　                         </w:t>
      </w:r>
    </w:p>
    <w:p w14:paraId="3D1898F9">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授权签署本资格文件人（签字）：被授权人姓名             </w:t>
      </w:r>
    </w:p>
    <w:p w14:paraId="0D39A23D">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签字人姓名、职务：被授权人姓名、职务                  </w:t>
      </w:r>
    </w:p>
    <w:p w14:paraId="0CFAB463">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地址：投标人地址                                </w:t>
      </w:r>
    </w:p>
    <w:p w14:paraId="4CA563D2">
      <w:pPr>
        <w:pStyle w:val="16"/>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传真：          　电话：            　 邮编：         　　　　　　　　　</w:t>
      </w:r>
    </w:p>
    <w:p w14:paraId="0390B662">
      <w:pPr>
        <w:pStyle w:val="2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声明日期：20　　年　月　日</w:t>
      </w:r>
    </w:p>
    <w:p w14:paraId="5CCC350C">
      <w:pPr>
        <w:pStyle w:val="69"/>
        <w:spacing w:line="360" w:lineRule="auto"/>
        <w:rPr>
          <w:rFonts w:hint="default" w:ascii="Times New Roman" w:hAnsi="Times New Roman" w:eastAsia="仿宋" w:cs="Times New Roman"/>
          <w:b/>
          <w:bCs/>
          <w:color w:val="auto"/>
          <w:sz w:val="36"/>
          <w:szCs w:val="36"/>
          <w:lang w:eastAsia="zh-CN"/>
        </w:rPr>
      </w:pPr>
    </w:p>
    <w:p w14:paraId="3FB3BB4F">
      <w:pPr>
        <w:pStyle w:val="69"/>
        <w:spacing w:line="360" w:lineRule="auto"/>
        <w:jc w:val="center"/>
        <w:rPr>
          <w:rFonts w:hint="default" w:ascii="Times New Roman" w:hAnsi="Times New Roman" w:eastAsia="仿宋_GB2312" w:cs="Times New Roman"/>
          <w:b/>
          <w:bCs/>
          <w:color w:val="auto"/>
          <w:sz w:val="36"/>
          <w:szCs w:val="36"/>
          <w:highlight w:val="none"/>
        </w:rPr>
      </w:pPr>
      <w:r>
        <w:rPr>
          <w:rFonts w:hint="default" w:ascii="Times New Roman" w:hAnsi="Times New Roman" w:eastAsia="仿宋" w:cs="Times New Roman"/>
          <w:b/>
          <w:bCs/>
          <w:color w:val="auto"/>
          <w:sz w:val="36"/>
          <w:szCs w:val="36"/>
          <w:highlight w:val="none"/>
          <w:lang w:eastAsia="zh-CN"/>
        </w:rPr>
        <w:t>五</w:t>
      </w:r>
      <w:r>
        <w:rPr>
          <w:rFonts w:hint="default" w:ascii="Times New Roman" w:hAnsi="Times New Roman" w:eastAsia="仿宋" w:cs="Times New Roman"/>
          <w:b/>
          <w:bCs/>
          <w:color w:val="auto"/>
          <w:sz w:val="36"/>
          <w:szCs w:val="36"/>
          <w:highlight w:val="none"/>
        </w:rPr>
        <w:t>、投标人企业基本情况、经营基本情况</w:t>
      </w:r>
    </w:p>
    <w:p w14:paraId="01CFCBA6">
      <w:pPr>
        <w:pStyle w:val="69"/>
        <w:spacing w:line="360" w:lineRule="auto"/>
        <w:rPr>
          <w:rFonts w:hint="default" w:ascii="Times New Roman" w:hAnsi="Times New Roman" w:eastAsia="仿宋_GB2312" w:cs="Times New Roman"/>
          <w:b/>
          <w:color w:val="auto"/>
        </w:rPr>
      </w:pPr>
    </w:p>
    <w:p w14:paraId="542804E8">
      <w:pPr>
        <w:spacing w:line="360" w:lineRule="auto"/>
        <w:ind w:firstLine="480" w:firstLineChars="200"/>
        <w:rPr>
          <w:rFonts w:hint="default" w:ascii="Times New Roman" w:hAnsi="Times New Roman" w:eastAsia="仿宋_GB2312" w:cs="Times New Roman"/>
          <w:color w:val="auto"/>
          <w:sz w:val="24"/>
        </w:rPr>
      </w:pPr>
    </w:p>
    <w:p w14:paraId="20C0AC14">
      <w:pPr>
        <w:pStyle w:val="14"/>
        <w:spacing w:line="360" w:lineRule="auto"/>
        <w:ind w:left="0" w:leftChars="0" w:firstLine="0" w:firstLineChars="0"/>
        <w:rPr>
          <w:rFonts w:hint="default" w:ascii="Times New Roman" w:hAnsi="Times New Roman" w:eastAsia="仿宋_GB2312" w:cs="Times New Roman"/>
          <w:color w:val="auto"/>
          <w:sz w:val="24"/>
        </w:rPr>
      </w:pPr>
    </w:p>
    <w:p w14:paraId="5E405EE1">
      <w:pPr>
        <w:pStyle w:val="14"/>
        <w:spacing w:line="360" w:lineRule="auto"/>
        <w:rPr>
          <w:rFonts w:hint="default" w:ascii="Times New Roman" w:hAnsi="Times New Roman" w:cs="Times New Roman"/>
          <w:color w:val="auto"/>
        </w:rPr>
      </w:pPr>
    </w:p>
    <w:p w14:paraId="5878A0E8">
      <w:pPr>
        <w:pStyle w:val="14"/>
        <w:spacing w:line="360" w:lineRule="auto"/>
        <w:rPr>
          <w:rFonts w:hint="default" w:ascii="Times New Roman" w:hAnsi="Times New Roman" w:cs="Times New Roman"/>
          <w:color w:val="auto"/>
        </w:rPr>
      </w:pPr>
    </w:p>
    <w:p w14:paraId="69D2E0F1">
      <w:pPr>
        <w:pStyle w:val="14"/>
        <w:spacing w:line="360" w:lineRule="auto"/>
        <w:rPr>
          <w:rFonts w:hint="default" w:ascii="Times New Roman" w:hAnsi="Times New Roman" w:cs="Times New Roman"/>
          <w:color w:val="auto"/>
        </w:rPr>
      </w:pPr>
    </w:p>
    <w:p w14:paraId="76306E35">
      <w:pPr>
        <w:pStyle w:val="14"/>
        <w:spacing w:line="360" w:lineRule="auto"/>
        <w:rPr>
          <w:rFonts w:hint="default" w:ascii="Times New Roman" w:hAnsi="Times New Roman" w:cs="Times New Roman"/>
          <w:color w:val="auto"/>
        </w:rPr>
      </w:pPr>
    </w:p>
    <w:p w14:paraId="4696F3E3">
      <w:pPr>
        <w:pStyle w:val="14"/>
        <w:spacing w:line="360" w:lineRule="auto"/>
        <w:rPr>
          <w:rFonts w:hint="default" w:ascii="Times New Roman" w:hAnsi="Times New Roman" w:cs="Times New Roman"/>
          <w:color w:val="auto"/>
        </w:rPr>
      </w:pPr>
    </w:p>
    <w:p w14:paraId="496EB94D">
      <w:pPr>
        <w:pStyle w:val="2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Cs/>
          <w:color w:val="auto"/>
          <w:sz w:val="24"/>
          <w:szCs w:val="24"/>
        </w:rPr>
      </w:pPr>
    </w:p>
    <w:p w14:paraId="5FBAD651">
      <w:pPr>
        <w:pStyle w:val="21"/>
        <w:spacing w:line="360" w:lineRule="auto"/>
        <w:rPr>
          <w:rFonts w:hint="default" w:ascii="Times New Roman" w:hAnsi="Times New Roman" w:cs="Times New Roman"/>
          <w:bCs/>
          <w:color w:val="auto"/>
          <w:sz w:val="24"/>
          <w:szCs w:val="24"/>
        </w:rPr>
      </w:pPr>
    </w:p>
    <w:p w14:paraId="75649DBB">
      <w:pPr>
        <w:spacing w:line="360" w:lineRule="auto"/>
        <w:jc w:val="left"/>
        <w:outlineLvl w:val="1"/>
        <w:rPr>
          <w:rFonts w:hint="default" w:ascii="Times New Roman" w:hAnsi="Times New Roman" w:eastAsia="仿宋" w:cs="Times New Roman"/>
          <w:b/>
          <w:color w:val="auto"/>
          <w:sz w:val="24"/>
          <w:szCs w:val="24"/>
        </w:rPr>
      </w:pPr>
    </w:p>
    <w:p w14:paraId="360B221B">
      <w:pPr>
        <w:spacing w:line="360" w:lineRule="auto"/>
        <w:jc w:val="left"/>
        <w:outlineLvl w:val="1"/>
        <w:rPr>
          <w:rFonts w:hint="default" w:ascii="Times New Roman" w:hAnsi="Times New Roman" w:eastAsia="仿宋" w:cs="Times New Roman"/>
          <w:b/>
          <w:color w:val="auto"/>
          <w:sz w:val="24"/>
          <w:szCs w:val="24"/>
        </w:rPr>
      </w:pPr>
    </w:p>
    <w:p w14:paraId="11E57091">
      <w:pPr>
        <w:spacing w:line="360" w:lineRule="auto"/>
        <w:jc w:val="left"/>
        <w:outlineLvl w:val="1"/>
        <w:rPr>
          <w:rFonts w:hint="default" w:ascii="Times New Roman" w:hAnsi="Times New Roman" w:eastAsia="仿宋" w:cs="Times New Roman"/>
          <w:b/>
          <w:color w:val="auto"/>
          <w:sz w:val="24"/>
          <w:szCs w:val="24"/>
        </w:rPr>
      </w:pPr>
    </w:p>
    <w:p w14:paraId="61DBBACF">
      <w:pPr>
        <w:pStyle w:val="14"/>
        <w:rPr>
          <w:rFonts w:hint="default" w:ascii="Times New Roman" w:hAnsi="Times New Roman" w:eastAsia="仿宋" w:cs="Times New Roman"/>
          <w:b/>
          <w:color w:val="auto"/>
          <w:sz w:val="24"/>
          <w:szCs w:val="24"/>
        </w:rPr>
      </w:pPr>
    </w:p>
    <w:p w14:paraId="3036AD30">
      <w:pPr>
        <w:pStyle w:val="14"/>
        <w:rPr>
          <w:rFonts w:hint="default" w:ascii="Times New Roman" w:hAnsi="Times New Roman" w:eastAsia="仿宋" w:cs="Times New Roman"/>
          <w:b/>
          <w:color w:val="auto"/>
          <w:sz w:val="24"/>
          <w:szCs w:val="24"/>
        </w:rPr>
      </w:pPr>
    </w:p>
    <w:p w14:paraId="2EBF7A08">
      <w:pPr>
        <w:pStyle w:val="14"/>
        <w:rPr>
          <w:rFonts w:hint="default" w:ascii="Times New Roman" w:hAnsi="Times New Roman" w:eastAsia="仿宋" w:cs="Times New Roman"/>
          <w:b/>
          <w:color w:val="auto"/>
          <w:sz w:val="24"/>
          <w:szCs w:val="24"/>
        </w:rPr>
      </w:pPr>
    </w:p>
    <w:p w14:paraId="14A26298">
      <w:pPr>
        <w:pStyle w:val="14"/>
        <w:rPr>
          <w:rFonts w:hint="default" w:ascii="Times New Roman" w:hAnsi="Times New Roman" w:eastAsia="仿宋" w:cs="Times New Roman"/>
          <w:b/>
          <w:color w:val="auto"/>
          <w:sz w:val="24"/>
          <w:szCs w:val="24"/>
        </w:rPr>
      </w:pPr>
    </w:p>
    <w:p w14:paraId="42A934BD">
      <w:pPr>
        <w:pStyle w:val="14"/>
        <w:rPr>
          <w:rFonts w:hint="default" w:ascii="Times New Roman" w:hAnsi="Times New Roman" w:eastAsia="仿宋" w:cs="Times New Roman"/>
          <w:b/>
          <w:color w:val="auto"/>
          <w:sz w:val="24"/>
          <w:szCs w:val="24"/>
        </w:rPr>
      </w:pPr>
    </w:p>
    <w:p w14:paraId="5F40A5E4">
      <w:pPr>
        <w:spacing w:line="360" w:lineRule="auto"/>
        <w:jc w:val="left"/>
        <w:outlineLvl w:val="1"/>
        <w:rPr>
          <w:rFonts w:hint="default" w:ascii="Times New Roman" w:hAnsi="Times New Roman" w:eastAsia="仿宋" w:cs="Times New Roman"/>
          <w:b/>
          <w:color w:val="auto"/>
          <w:sz w:val="24"/>
          <w:szCs w:val="24"/>
        </w:rPr>
      </w:pPr>
    </w:p>
    <w:p w14:paraId="70918EBE">
      <w:pPr>
        <w:pStyle w:val="4"/>
        <w:rPr>
          <w:rFonts w:hint="default" w:ascii="Times New Roman" w:hAnsi="Times New Roman" w:cs="Times New Roman"/>
        </w:rPr>
      </w:pPr>
    </w:p>
    <w:p w14:paraId="75AD78B9">
      <w:pPr>
        <w:spacing w:line="360" w:lineRule="auto"/>
        <w:jc w:val="left"/>
        <w:outlineLvl w:val="1"/>
        <w:rPr>
          <w:rFonts w:hint="default" w:ascii="Times New Roman" w:hAnsi="Times New Roman" w:eastAsia="仿宋" w:cs="Times New Roman"/>
          <w:b/>
          <w:color w:val="auto"/>
          <w:sz w:val="24"/>
          <w:szCs w:val="24"/>
        </w:rPr>
      </w:pPr>
    </w:p>
    <w:p w14:paraId="65F66BDD">
      <w:pPr>
        <w:spacing w:line="360" w:lineRule="auto"/>
        <w:jc w:val="left"/>
        <w:outlineLvl w:val="1"/>
        <w:rPr>
          <w:rFonts w:hint="default" w:ascii="Times New Roman" w:hAnsi="Times New Roman" w:eastAsia="仿宋" w:cs="Times New Roman"/>
          <w:b/>
          <w:color w:val="auto"/>
          <w:sz w:val="24"/>
          <w:szCs w:val="24"/>
        </w:rPr>
      </w:pPr>
    </w:p>
    <w:p w14:paraId="16CC5443">
      <w:pPr>
        <w:spacing w:line="360" w:lineRule="auto"/>
        <w:jc w:val="left"/>
        <w:outlineLvl w:val="1"/>
        <w:rPr>
          <w:rFonts w:hint="default" w:ascii="Times New Roman" w:hAnsi="Times New Roman" w:eastAsia="仿宋" w:cs="Times New Roman"/>
          <w:b/>
          <w:color w:val="auto"/>
          <w:sz w:val="24"/>
          <w:szCs w:val="24"/>
        </w:rPr>
      </w:pPr>
    </w:p>
    <w:p w14:paraId="3C165E90">
      <w:pPr>
        <w:pStyle w:val="9"/>
        <w:rPr>
          <w:rFonts w:hint="default" w:ascii="Times New Roman" w:hAnsi="Times New Roman" w:eastAsia="仿宋" w:cs="Times New Roman"/>
          <w:b/>
          <w:color w:val="auto"/>
          <w:sz w:val="24"/>
          <w:szCs w:val="24"/>
        </w:rPr>
      </w:pPr>
    </w:p>
    <w:p w14:paraId="206F5DA0">
      <w:pPr>
        <w:rPr>
          <w:rFonts w:hint="default" w:ascii="Times New Roman" w:hAnsi="Times New Roman" w:eastAsia="仿宋" w:cs="Times New Roman"/>
          <w:b/>
          <w:color w:val="auto"/>
          <w:sz w:val="24"/>
          <w:szCs w:val="24"/>
        </w:rPr>
      </w:pPr>
    </w:p>
    <w:p w14:paraId="704C2DA8">
      <w:pPr>
        <w:pStyle w:val="9"/>
        <w:rPr>
          <w:rFonts w:hint="default" w:ascii="Times New Roman" w:hAnsi="Times New Roman" w:eastAsia="仿宋" w:cs="Times New Roman"/>
          <w:b/>
          <w:color w:val="auto"/>
          <w:sz w:val="24"/>
          <w:szCs w:val="24"/>
        </w:rPr>
      </w:pPr>
    </w:p>
    <w:p w14:paraId="337C6B3A">
      <w:pPr>
        <w:rPr>
          <w:rFonts w:hint="default" w:ascii="Times New Roman" w:hAnsi="Times New Roman" w:cs="Times New Roman"/>
        </w:rPr>
      </w:pPr>
    </w:p>
    <w:p w14:paraId="47CDAA34">
      <w:pPr>
        <w:spacing w:line="360" w:lineRule="auto"/>
        <w:jc w:val="left"/>
        <w:outlineLvl w:val="1"/>
        <w:rPr>
          <w:rFonts w:hint="default" w:ascii="Times New Roman" w:hAnsi="Times New Roman" w:eastAsia="仿宋" w:cs="Times New Roman"/>
          <w:b/>
          <w:color w:val="auto"/>
          <w:sz w:val="24"/>
          <w:szCs w:val="24"/>
        </w:rPr>
      </w:pPr>
    </w:p>
    <w:p w14:paraId="392E1218">
      <w:pPr>
        <w:spacing w:line="360" w:lineRule="auto"/>
        <w:jc w:val="left"/>
        <w:outlineLvl w:val="1"/>
        <w:rPr>
          <w:rFonts w:hint="default" w:ascii="Times New Roman" w:hAnsi="Times New Roman" w:eastAsia="仿宋" w:cs="Times New Roman"/>
          <w:b/>
          <w:color w:val="auto"/>
          <w:sz w:val="24"/>
          <w:szCs w:val="24"/>
        </w:rPr>
      </w:pPr>
    </w:p>
    <w:p w14:paraId="3115F8AC">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lang w:eastAsia="zh-CN"/>
        </w:rPr>
      </w:pPr>
    </w:p>
    <w:p w14:paraId="511FD251">
      <w:pPr>
        <w:keepNext w:val="0"/>
        <w:keepLines w:val="0"/>
        <w:pageBreakBefore w:val="0"/>
        <w:kinsoku/>
        <w:wordWrap/>
        <w:overflowPunct/>
        <w:topLinePunct w:val="0"/>
        <w:autoSpaceDE w:val="0"/>
        <w:autoSpaceDN w:val="0"/>
        <w:bidi w:val="0"/>
        <w:adjustRightInd w:val="0"/>
        <w:snapToGrid/>
        <w:spacing w:beforeAutospacing="0" w:afterAutospacing="0" w:line="360" w:lineRule="auto"/>
        <w:ind w:left="0" w:leftChars="0" w:right="0" w:rightChars="0" w:firstLine="480"/>
        <w:rPr>
          <w:rFonts w:hint="default" w:ascii="Times New Roman" w:hAnsi="Times New Roman" w:eastAsia="仿宋" w:cs="Times New Roman"/>
          <w:b/>
          <w:color w:val="auto"/>
          <w:sz w:val="36"/>
          <w:szCs w:val="36"/>
          <w:lang w:eastAsia="zh-CN"/>
        </w:rPr>
      </w:pPr>
    </w:p>
    <w:p w14:paraId="77DD2454">
      <w:pPr>
        <w:spacing w:line="360" w:lineRule="auto"/>
        <w:ind w:firstLine="904" w:firstLineChars="250"/>
        <w:rPr>
          <w:rFonts w:hint="default" w:ascii="Times New Roman" w:hAnsi="Times New Roman" w:eastAsia="仿宋" w:cs="Times New Roman"/>
          <w:b/>
          <w:color w:val="auto"/>
          <w:sz w:val="36"/>
          <w:szCs w:val="36"/>
          <w:lang w:eastAsia="zh-CN"/>
        </w:rPr>
      </w:pPr>
      <w:r>
        <w:rPr>
          <w:rFonts w:hint="default" w:ascii="Times New Roman" w:hAnsi="Times New Roman" w:eastAsia="仿宋" w:cs="Times New Roman"/>
          <w:b/>
          <w:color w:val="auto"/>
          <w:sz w:val="36"/>
          <w:szCs w:val="36"/>
          <w:lang w:eastAsia="zh-CN"/>
        </w:rPr>
        <w:t>六、服务管理工作设计（包括但不限于：</w:t>
      </w:r>
      <w:r>
        <w:rPr>
          <w:rFonts w:hint="eastAsia" w:ascii="Times New Roman" w:hAnsi="Times New Roman" w:eastAsia="仿宋" w:cs="Times New Roman"/>
          <w:b/>
          <w:color w:val="auto"/>
          <w:sz w:val="36"/>
          <w:szCs w:val="36"/>
          <w:lang w:val="en-US" w:eastAsia="zh-CN"/>
        </w:rPr>
        <w:t>项目管理方案、项目实施方案、宣传推广方案、应急处理方案、项目团队</w:t>
      </w:r>
      <w:r>
        <w:rPr>
          <w:rFonts w:hint="default" w:ascii="Times New Roman" w:hAnsi="Times New Roman" w:eastAsia="仿宋" w:cs="Times New Roman"/>
          <w:b/>
          <w:color w:val="auto"/>
          <w:sz w:val="36"/>
          <w:szCs w:val="36"/>
          <w:lang w:eastAsia="zh-CN"/>
        </w:rPr>
        <w:t>等）</w:t>
      </w:r>
    </w:p>
    <w:p w14:paraId="374CD3B1">
      <w:pPr>
        <w:pStyle w:val="73"/>
        <w:keepNext w:val="0"/>
        <w:keepLines w:val="0"/>
        <w:pageBreakBefore w:val="0"/>
        <w:kinsoku/>
        <w:wordWrap/>
        <w:overflowPunct/>
        <w:topLinePunct w:val="0"/>
        <w:bidi w:val="0"/>
        <w:snapToGrid/>
        <w:spacing w:before="0" w:beforeAutospacing="0" w:after="0" w:afterAutospacing="0" w:line="360" w:lineRule="auto"/>
        <w:ind w:left="0" w:leftChars="0" w:right="0" w:rightChars="0" w:firstLine="0"/>
        <w:jc w:val="center"/>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（由供应商根据技术商务部分评分记录明细表的具体要求自行编制）</w:t>
      </w:r>
    </w:p>
    <w:p w14:paraId="3B6608D0">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36"/>
          <w:szCs w:val="36"/>
          <w:lang w:eastAsia="zh-CN"/>
        </w:rPr>
      </w:pPr>
    </w:p>
    <w:p w14:paraId="2B8C1049">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1E3B74A3">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55A25051">
      <w:pPr>
        <w:pStyle w:val="28"/>
        <w:rPr>
          <w:rFonts w:hint="default" w:ascii="Times New Roman" w:hAnsi="Times New Roman" w:eastAsia="仿宋" w:cs="Times New Roman"/>
          <w:color w:val="auto"/>
          <w:sz w:val="24"/>
        </w:rPr>
      </w:pPr>
    </w:p>
    <w:p w14:paraId="2E4CC5D2">
      <w:pPr>
        <w:pStyle w:val="28"/>
        <w:rPr>
          <w:rFonts w:hint="default" w:ascii="Times New Roman" w:hAnsi="Times New Roman" w:eastAsia="仿宋" w:cs="Times New Roman"/>
          <w:color w:val="auto"/>
          <w:sz w:val="24"/>
        </w:rPr>
      </w:pPr>
    </w:p>
    <w:p w14:paraId="4CB1C651">
      <w:pPr>
        <w:pStyle w:val="28"/>
        <w:rPr>
          <w:rFonts w:hint="default" w:ascii="Times New Roman" w:hAnsi="Times New Roman" w:eastAsia="仿宋" w:cs="Times New Roman"/>
          <w:color w:val="auto"/>
          <w:sz w:val="24"/>
        </w:rPr>
      </w:pPr>
    </w:p>
    <w:p w14:paraId="7258F1B3">
      <w:pPr>
        <w:pStyle w:val="28"/>
        <w:rPr>
          <w:rFonts w:hint="default" w:ascii="Times New Roman" w:hAnsi="Times New Roman" w:eastAsia="仿宋" w:cs="Times New Roman"/>
          <w:color w:val="auto"/>
          <w:sz w:val="24"/>
        </w:rPr>
      </w:pPr>
    </w:p>
    <w:p w14:paraId="66AD5E76">
      <w:pPr>
        <w:pStyle w:val="28"/>
        <w:rPr>
          <w:rFonts w:hint="default" w:ascii="Times New Roman" w:hAnsi="Times New Roman" w:eastAsia="仿宋" w:cs="Times New Roman"/>
          <w:color w:val="auto"/>
          <w:sz w:val="24"/>
        </w:rPr>
      </w:pPr>
    </w:p>
    <w:p w14:paraId="0381C040">
      <w:pPr>
        <w:pStyle w:val="28"/>
        <w:rPr>
          <w:rFonts w:hint="default" w:ascii="Times New Roman" w:hAnsi="Times New Roman" w:eastAsia="仿宋" w:cs="Times New Roman"/>
          <w:color w:val="auto"/>
          <w:sz w:val="24"/>
        </w:rPr>
      </w:pPr>
    </w:p>
    <w:p w14:paraId="270B35E1">
      <w:pPr>
        <w:pStyle w:val="28"/>
        <w:rPr>
          <w:rFonts w:hint="default" w:ascii="Times New Roman" w:hAnsi="Times New Roman" w:eastAsia="仿宋" w:cs="Times New Roman"/>
          <w:color w:val="auto"/>
          <w:sz w:val="24"/>
        </w:rPr>
      </w:pPr>
    </w:p>
    <w:p w14:paraId="50CF9C95">
      <w:pPr>
        <w:pStyle w:val="28"/>
        <w:rPr>
          <w:rFonts w:hint="default" w:ascii="Times New Roman" w:hAnsi="Times New Roman" w:eastAsia="仿宋" w:cs="Times New Roman"/>
          <w:color w:val="auto"/>
          <w:sz w:val="24"/>
        </w:rPr>
      </w:pPr>
    </w:p>
    <w:p w14:paraId="03EEFF6E">
      <w:pPr>
        <w:pStyle w:val="28"/>
        <w:rPr>
          <w:rFonts w:hint="default" w:ascii="Times New Roman" w:hAnsi="Times New Roman" w:eastAsia="仿宋" w:cs="Times New Roman"/>
          <w:color w:val="auto"/>
          <w:sz w:val="24"/>
        </w:rPr>
      </w:pPr>
    </w:p>
    <w:p w14:paraId="0CDC97D8">
      <w:pPr>
        <w:pStyle w:val="28"/>
        <w:rPr>
          <w:rFonts w:hint="default" w:ascii="Times New Roman" w:hAnsi="Times New Roman" w:eastAsia="仿宋" w:cs="Times New Roman"/>
          <w:color w:val="auto"/>
          <w:sz w:val="24"/>
        </w:rPr>
      </w:pPr>
    </w:p>
    <w:p w14:paraId="0B4BF842">
      <w:pPr>
        <w:pStyle w:val="28"/>
        <w:rPr>
          <w:rFonts w:hint="default" w:ascii="Times New Roman" w:hAnsi="Times New Roman" w:eastAsia="仿宋" w:cs="Times New Roman"/>
          <w:color w:val="auto"/>
          <w:sz w:val="24"/>
        </w:rPr>
      </w:pPr>
    </w:p>
    <w:p w14:paraId="4EFDF295">
      <w:pPr>
        <w:pStyle w:val="28"/>
        <w:rPr>
          <w:rFonts w:hint="default" w:ascii="Times New Roman" w:hAnsi="Times New Roman" w:eastAsia="仿宋" w:cs="Times New Roman"/>
          <w:color w:val="auto"/>
          <w:sz w:val="24"/>
        </w:rPr>
      </w:pPr>
    </w:p>
    <w:p w14:paraId="1C3E5C3A">
      <w:pPr>
        <w:pStyle w:val="28"/>
        <w:rPr>
          <w:rFonts w:hint="default" w:ascii="Times New Roman" w:hAnsi="Times New Roman" w:eastAsia="仿宋" w:cs="Times New Roman"/>
          <w:color w:val="auto"/>
          <w:sz w:val="24"/>
        </w:rPr>
      </w:pPr>
    </w:p>
    <w:p w14:paraId="3476CF6E">
      <w:pPr>
        <w:pStyle w:val="28"/>
        <w:rPr>
          <w:rFonts w:hint="default" w:ascii="Times New Roman" w:hAnsi="Times New Roman" w:eastAsia="仿宋" w:cs="Times New Roman"/>
          <w:color w:val="auto"/>
          <w:sz w:val="24"/>
        </w:rPr>
      </w:pPr>
    </w:p>
    <w:p w14:paraId="47CE38DD">
      <w:pPr>
        <w:pStyle w:val="28"/>
        <w:rPr>
          <w:rFonts w:hint="default" w:ascii="Times New Roman" w:hAnsi="Times New Roman" w:eastAsia="仿宋" w:cs="Times New Roman"/>
          <w:color w:val="auto"/>
          <w:sz w:val="24"/>
        </w:rPr>
      </w:pPr>
    </w:p>
    <w:p w14:paraId="26ACDED9">
      <w:pPr>
        <w:pStyle w:val="28"/>
        <w:rPr>
          <w:rFonts w:hint="default" w:ascii="Times New Roman" w:hAnsi="Times New Roman" w:eastAsia="仿宋" w:cs="Times New Roman"/>
          <w:color w:val="auto"/>
          <w:sz w:val="24"/>
        </w:rPr>
      </w:pPr>
    </w:p>
    <w:p w14:paraId="72E1678F">
      <w:pPr>
        <w:pStyle w:val="28"/>
        <w:rPr>
          <w:rFonts w:hint="default" w:ascii="Times New Roman" w:hAnsi="Times New Roman" w:eastAsia="仿宋" w:cs="Times New Roman"/>
          <w:color w:val="auto"/>
          <w:sz w:val="24"/>
        </w:rPr>
      </w:pPr>
    </w:p>
    <w:p w14:paraId="0152491A">
      <w:pPr>
        <w:pStyle w:val="28"/>
        <w:rPr>
          <w:rFonts w:hint="default" w:ascii="Times New Roman" w:hAnsi="Times New Roman" w:eastAsia="仿宋" w:cs="Times New Roman"/>
          <w:color w:val="auto"/>
          <w:sz w:val="24"/>
        </w:rPr>
      </w:pPr>
    </w:p>
    <w:p w14:paraId="60983AB4">
      <w:pPr>
        <w:pStyle w:val="28"/>
        <w:rPr>
          <w:rFonts w:hint="default" w:ascii="Times New Roman" w:hAnsi="Times New Roman" w:eastAsia="仿宋" w:cs="Times New Roman"/>
          <w:color w:val="auto"/>
          <w:sz w:val="24"/>
        </w:rPr>
      </w:pPr>
    </w:p>
    <w:p w14:paraId="1637B42F">
      <w:pPr>
        <w:pStyle w:val="28"/>
        <w:rPr>
          <w:rFonts w:hint="default" w:ascii="Times New Roman" w:hAnsi="Times New Roman" w:eastAsia="仿宋" w:cs="Times New Roman"/>
          <w:color w:val="auto"/>
          <w:sz w:val="24"/>
        </w:rPr>
      </w:pPr>
    </w:p>
    <w:p w14:paraId="6DF1308B">
      <w:pPr>
        <w:pStyle w:val="28"/>
        <w:rPr>
          <w:rFonts w:hint="default" w:ascii="Times New Roman" w:hAnsi="Times New Roman" w:eastAsia="仿宋" w:cs="Times New Roman"/>
          <w:color w:val="auto"/>
          <w:sz w:val="24"/>
        </w:rPr>
      </w:pPr>
    </w:p>
    <w:p w14:paraId="03EC08BC">
      <w:pPr>
        <w:pStyle w:val="28"/>
        <w:rPr>
          <w:rFonts w:hint="default" w:ascii="Times New Roman" w:hAnsi="Times New Roman" w:eastAsia="仿宋" w:cs="Times New Roman"/>
          <w:color w:val="auto"/>
          <w:sz w:val="24"/>
        </w:rPr>
      </w:pPr>
    </w:p>
    <w:p w14:paraId="05BC3C58">
      <w:pPr>
        <w:pStyle w:val="28"/>
        <w:rPr>
          <w:rFonts w:hint="default" w:ascii="Times New Roman" w:hAnsi="Times New Roman" w:eastAsia="仿宋" w:cs="Times New Roman"/>
          <w:color w:val="auto"/>
          <w:sz w:val="24"/>
        </w:rPr>
      </w:pPr>
    </w:p>
    <w:p w14:paraId="47A43896">
      <w:pPr>
        <w:pStyle w:val="28"/>
        <w:rPr>
          <w:rFonts w:hint="default" w:ascii="Times New Roman" w:hAnsi="Times New Roman" w:eastAsia="仿宋" w:cs="Times New Roman"/>
          <w:color w:val="auto"/>
          <w:sz w:val="24"/>
        </w:rPr>
      </w:pPr>
    </w:p>
    <w:p w14:paraId="16A7478F">
      <w:pPr>
        <w:pStyle w:val="28"/>
        <w:rPr>
          <w:rFonts w:hint="default" w:ascii="Times New Roman" w:hAnsi="Times New Roman" w:eastAsia="仿宋" w:cs="Times New Roman"/>
          <w:color w:val="auto"/>
          <w:sz w:val="24"/>
        </w:rPr>
      </w:pPr>
    </w:p>
    <w:p w14:paraId="0F1E4B89">
      <w:pPr>
        <w:pStyle w:val="28"/>
        <w:rPr>
          <w:rFonts w:hint="default" w:ascii="Times New Roman" w:hAnsi="Times New Roman" w:eastAsia="仿宋" w:cs="Times New Roman"/>
          <w:color w:val="auto"/>
          <w:sz w:val="24"/>
        </w:rPr>
      </w:pPr>
    </w:p>
    <w:p w14:paraId="6EA557B8">
      <w:pPr>
        <w:pStyle w:val="28"/>
        <w:rPr>
          <w:rFonts w:hint="default" w:ascii="Times New Roman" w:hAnsi="Times New Roman" w:eastAsia="仿宋" w:cs="Times New Roman"/>
          <w:color w:val="auto"/>
          <w:sz w:val="24"/>
        </w:rPr>
      </w:pPr>
    </w:p>
    <w:p w14:paraId="35F3C482">
      <w:pPr>
        <w:pStyle w:val="28"/>
        <w:rPr>
          <w:rFonts w:hint="default" w:ascii="Times New Roman" w:hAnsi="Times New Roman" w:eastAsia="仿宋" w:cs="Times New Roman"/>
          <w:color w:val="auto"/>
          <w:sz w:val="24"/>
        </w:rPr>
      </w:pPr>
    </w:p>
    <w:p w14:paraId="4C561B91">
      <w:pPr>
        <w:pStyle w:val="28"/>
        <w:rPr>
          <w:rFonts w:hint="default" w:ascii="Times New Roman" w:hAnsi="Times New Roman" w:eastAsia="仿宋" w:cs="Times New Roman"/>
          <w:color w:val="auto"/>
          <w:sz w:val="24"/>
        </w:rPr>
      </w:pPr>
    </w:p>
    <w:p w14:paraId="5D8ECFC9">
      <w:pPr>
        <w:pStyle w:val="28"/>
        <w:rPr>
          <w:rFonts w:hint="default" w:ascii="Times New Roman" w:hAnsi="Times New Roman" w:eastAsia="仿宋" w:cs="Times New Roman"/>
          <w:color w:val="auto"/>
          <w:sz w:val="24"/>
        </w:rPr>
      </w:pPr>
    </w:p>
    <w:p w14:paraId="57715946">
      <w:pPr>
        <w:pStyle w:val="28"/>
        <w:rPr>
          <w:rFonts w:hint="default" w:ascii="Times New Roman" w:hAnsi="Times New Roman" w:eastAsia="仿宋" w:cs="Times New Roman"/>
          <w:color w:val="auto"/>
          <w:sz w:val="24"/>
        </w:rPr>
      </w:pPr>
    </w:p>
    <w:p w14:paraId="7695B21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lang w:eastAsia="zh-CN"/>
        </w:rPr>
      </w:pPr>
    </w:p>
    <w:p w14:paraId="0A0F4735">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_GB2312" w:cs="Times New Roman"/>
          <w:color w:val="auto"/>
          <w:sz w:val="24"/>
        </w:rPr>
      </w:pPr>
      <w:r>
        <w:rPr>
          <w:rFonts w:hint="default" w:ascii="Times New Roman" w:hAnsi="Times New Roman" w:eastAsia="仿宋" w:cs="Times New Roman"/>
          <w:b/>
          <w:bCs/>
          <w:color w:val="auto"/>
          <w:sz w:val="36"/>
          <w:szCs w:val="24"/>
          <w:lang w:eastAsia="zh-CN"/>
        </w:rPr>
        <w:t>七</w:t>
      </w:r>
      <w:r>
        <w:rPr>
          <w:rFonts w:hint="default" w:ascii="Times New Roman" w:hAnsi="Times New Roman" w:eastAsia="仿宋" w:cs="Times New Roman"/>
          <w:b/>
          <w:bCs/>
          <w:color w:val="auto"/>
          <w:sz w:val="36"/>
          <w:szCs w:val="24"/>
        </w:rPr>
        <w:t>、人员配置表及拟派项目负责人简历表</w:t>
      </w:r>
    </w:p>
    <w:p w14:paraId="78F76CE6">
      <w:pPr>
        <w:spacing w:line="360" w:lineRule="auto"/>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（1）人员配置表</w:t>
      </w:r>
    </w:p>
    <w:p w14:paraId="170FF300">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（姓名、性别、年龄、专业学历、职称职务、专业工作年限）</w:t>
      </w:r>
    </w:p>
    <w:p w14:paraId="16C12435">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投标人名称（盖章）</w:t>
      </w:r>
    </w:p>
    <w:tbl>
      <w:tblPr>
        <w:tblStyle w:val="35"/>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25"/>
        <w:gridCol w:w="771"/>
        <w:gridCol w:w="908"/>
        <w:gridCol w:w="1602"/>
        <w:gridCol w:w="2126"/>
        <w:gridCol w:w="1139"/>
      </w:tblGrid>
      <w:tr w14:paraId="5385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898" w:type="dxa"/>
            <w:vAlign w:val="center"/>
          </w:tcPr>
          <w:p w14:paraId="6094C55E">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p>
        </w:tc>
        <w:tc>
          <w:tcPr>
            <w:tcW w:w="1625" w:type="dxa"/>
            <w:vAlign w:val="center"/>
          </w:tcPr>
          <w:p w14:paraId="25FA63BC">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专业学历</w:t>
            </w:r>
          </w:p>
        </w:tc>
        <w:tc>
          <w:tcPr>
            <w:tcW w:w="771" w:type="dxa"/>
            <w:vAlign w:val="center"/>
          </w:tcPr>
          <w:p w14:paraId="6E7CDA76">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性别</w:t>
            </w:r>
          </w:p>
        </w:tc>
        <w:tc>
          <w:tcPr>
            <w:tcW w:w="908" w:type="dxa"/>
            <w:vAlign w:val="center"/>
          </w:tcPr>
          <w:p w14:paraId="53088B5B">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w:t>
            </w:r>
          </w:p>
        </w:tc>
        <w:tc>
          <w:tcPr>
            <w:tcW w:w="1602" w:type="dxa"/>
            <w:vAlign w:val="center"/>
          </w:tcPr>
          <w:p w14:paraId="1EDC12E7">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职称职务</w:t>
            </w:r>
          </w:p>
        </w:tc>
        <w:tc>
          <w:tcPr>
            <w:tcW w:w="2126" w:type="dxa"/>
            <w:vAlign w:val="center"/>
          </w:tcPr>
          <w:p w14:paraId="448D328D">
            <w:pPr>
              <w:spacing w:line="36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专业工作年限</w:t>
            </w:r>
          </w:p>
        </w:tc>
        <w:tc>
          <w:tcPr>
            <w:tcW w:w="1139" w:type="dxa"/>
            <w:vAlign w:val="center"/>
          </w:tcPr>
          <w:p w14:paraId="537EE194">
            <w:pPr>
              <w:spacing w:line="360" w:lineRule="exac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5417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52D60408">
            <w:pPr>
              <w:spacing w:line="360" w:lineRule="exact"/>
              <w:jc w:val="center"/>
              <w:rPr>
                <w:rFonts w:hint="default" w:ascii="Times New Roman" w:hAnsi="Times New Roman" w:cs="Times New Roman"/>
                <w:color w:val="auto"/>
                <w:sz w:val="24"/>
                <w:highlight w:val="none"/>
              </w:rPr>
            </w:pPr>
          </w:p>
        </w:tc>
        <w:tc>
          <w:tcPr>
            <w:tcW w:w="1625" w:type="dxa"/>
            <w:vAlign w:val="center"/>
          </w:tcPr>
          <w:p w14:paraId="59718B81">
            <w:pPr>
              <w:spacing w:line="360" w:lineRule="exact"/>
              <w:jc w:val="center"/>
              <w:rPr>
                <w:rFonts w:hint="default" w:ascii="Times New Roman" w:hAnsi="Times New Roman" w:cs="Times New Roman"/>
                <w:color w:val="auto"/>
                <w:sz w:val="24"/>
                <w:highlight w:val="none"/>
              </w:rPr>
            </w:pPr>
          </w:p>
        </w:tc>
        <w:tc>
          <w:tcPr>
            <w:tcW w:w="771" w:type="dxa"/>
            <w:vAlign w:val="center"/>
          </w:tcPr>
          <w:p w14:paraId="28E1F18E">
            <w:pPr>
              <w:spacing w:line="360" w:lineRule="exact"/>
              <w:jc w:val="center"/>
              <w:rPr>
                <w:rFonts w:hint="default" w:ascii="Times New Roman" w:hAnsi="Times New Roman" w:cs="Times New Roman"/>
                <w:color w:val="auto"/>
                <w:sz w:val="24"/>
                <w:highlight w:val="none"/>
              </w:rPr>
            </w:pPr>
          </w:p>
        </w:tc>
        <w:tc>
          <w:tcPr>
            <w:tcW w:w="908" w:type="dxa"/>
            <w:vAlign w:val="center"/>
          </w:tcPr>
          <w:p w14:paraId="0903B28D">
            <w:pPr>
              <w:spacing w:line="360" w:lineRule="exact"/>
              <w:jc w:val="center"/>
              <w:rPr>
                <w:rFonts w:hint="default" w:ascii="Times New Roman" w:hAnsi="Times New Roman" w:cs="Times New Roman"/>
                <w:color w:val="auto"/>
                <w:sz w:val="24"/>
                <w:highlight w:val="none"/>
              </w:rPr>
            </w:pPr>
          </w:p>
        </w:tc>
        <w:tc>
          <w:tcPr>
            <w:tcW w:w="1602" w:type="dxa"/>
            <w:vAlign w:val="center"/>
          </w:tcPr>
          <w:p w14:paraId="7E00BEA7">
            <w:pPr>
              <w:spacing w:line="360" w:lineRule="exact"/>
              <w:jc w:val="center"/>
              <w:rPr>
                <w:rFonts w:hint="default" w:ascii="Times New Roman" w:hAnsi="Times New Roman" w:cs="Times New Roman"/>
                <w:color w:val="auto"/>
                <w:sz w:val="24"/>
                <w:highlight w:val="none"/>
              </w:rPr>
            </w:pPr>
          </w:p>
        </w:tc>
        <w:tc>
          <w:tcPr>
            <w:tcW w:w="2126" w:type="dxa"/>
            <w:vAlign w:val="center"/>
          </w:tcPr>
          <w:p w14:paraId="1DE9DD8D">
            <w:pPr>
              <w:spacing w:line="360" w:lineRule="exact"/>
              <w:jc w:val="center"/>
              <w:rPr>
                <w:rFonts w:hint="default" w:ascii="Times New Roman" w:hAnsi="Times New Roman" w:cs="Times New Roman"/>
                <w:color w:val="auto"/>
                <w:sz w:val="24"/>
                <w:highlight w:val="none"/>
              </w:rPr>
            </w:pPr>
          </w:p>
        </w:tc>
        <w:tc>
          <w:tcPr>
            <w:tcW w:w="1139" w:type="dxa"/>
            <w:vAlign w:val="center"/>
          </w:tcPr>
          <w:p w14:paraId="13D224CD">
            <w:pPr>
              <w:spacing w:line="360" w:lineRule="exact"/>
              <w:jc w:val="center"/>
              <w:rPr>
                <w:rFonts w:hint="default" w:ascii="Times New Roman" w:hAnsi="Times New Roman" w:cs="Times New Roman"/>
                <w:color w:val="auto"/>
                <w:sz w:val="24"/>
                <w:highlight w:val="none"/>
              </w:rPr>
            </w:pPr>
          </w:p>
        </w:tc>
      </w:tr>
      <w:tr w14:paraId="0146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321111DC">
            <w:pPr>
              <w:spacing w:line="360" w:lineRule="exact"/>
              <w:jc w:val="center"/>
              <w:rPr>
                <w:rFonts w:hint="default" w:ascii="Times New Roman" w:hAnsi="Times New Roman" w:cs="Times New Roman"/>
                <w:color w:val="auto"/>
                <w:sz w:val="24"/>
                <w:highlight w:val="none"/>
              </w:rPr>
            </w:pPr>
          </w:p>
        </w:tc>
        <w:tc>
          <w:tcPr>
            <w:tcW w:w="1625" w:type="dxa"/>
            <w:vAlign w:val="center"/>
          </w:tcPr>
          <w:p w14:paraId="49A14B30">
            <w:pPr>
              <w:spacing w:line="360" w:lineRule="exact"/>
              <w:jc w:val="center"/>
              <w:rPr>
                <w:rFonts w:hint="default" w:ascii="Times New Roman" w:hAnsi="Times New Roman" w:cs="Times New Roman"/>
                <w:color w:val="auto"/>
                <w:sz w:val="24"/>
                <w:highlight w:val="none"/>
              </w:rPr>
            </w:pPr>
          </w:p>
        </w:tc>
        <w:tc>
          <w:tcPr>
            <w:tcW w:w="771" w:type="dxa"/>
            <w:vAlign w:val="center"/>
          </w:tcPr>
          <w:p w14:paraId="2E985A85">
            <w:pPr>
              <w:spacing w:line="360" w:lineRule="exact"/>
              <w:jc w:val="center"/>
              <w:rPr>
                <w:rFonts w:hint="default" w:ascii="Times New Roman" w:hAnsi="Times New Roman" w:cs="Times New Roman"/>
                <w:color w:val="auto"/>
                <w:sz w:val="24"/>
                <w:highlight w:val="none"/>
              </w:rPr>
            </w:pPr>
          </w:p>
        </w:tc>
        <w:tc>
          <w:tcPr>
            <w:tcW w:w="908" w:type="dxa"/>
            <w:vAlign w:val="center"/>
          </w:tcPr>
          <w:p w14:paraId="4A8A1665">
            <w:pPr>
              <w:spacing w:line="360" w:lineRule="exact"/>
              <w:jc w:val="center"/>
              <w:rPr>
                <w:rFonts w:hint="default" w:ascii="Times New Roman" w:hAnsi="Times New Roman" w:cs="Times New Roman"/>
                <w:color w:val="auto"/>
                <w:sz w:val="24"/>
                <w:highlight w:val="none"/>
              </w:rPr>
            </w:pPr>
          </w:p>
        </w:tc>
        <w:tc>
          <w:tcPr>
            <w:tcW w:w="1602" w:type="dxa"/>
            <w:vAlign w:val="center"/>
          </w:tcPr>
          <w:p w14:paraId="6D93FDE3">
            <w:pPr>
              <w:spacing w:line="360" w:lineRule="exact"/>
              <w:jc w:val="center"/>
              <w:rPr>
                <w:rFonts w:hint="default" w:ascii="Times New Roman" w:hAnsi="Times New Roman" w:cs="Times New Roman"/>
                <w:color w:val="auto"/>
                <w:sz w:val="24"/>
                <w:highlight w:val="none"/>
              </w:rPr>
            </w:pPr>
          </w:p>
        </w:tc>
        <w:tc>
          <w:tcPr>
            <w:tcW w:w="2126" w:type="dxa"/>
            <w:vAlign w:val="center"/>
          </w:tcPr>
          <w:p w14:paraId="1D7AC97B">
            <w:pPr>
              <w:spacing w:line="360" w:lineRule="exact"/>
              <w:jc w:val="center"/>
              <w:rPr>
                <w:rFonts w:hint="default" w:ascii="Times New Roman" w:hAnsi="Times New Roman" w:cs="Times New Roman"/>
                <w:color w:val="auto"/>
                <w:sz w:val="24"/>
                <w:highlight w:val="none"/>
              </w:rPr>
            </w:pPr>
          </w:p>
        </w:tc>
        <w:tc>
          <w:tcPr>
            <w:tcW w:w="1139" w:type="dxa"/>
            <w:vAlign w:val="center"/>
          </w:tcPr>
          <w:p w14:paraId="1B1A0B02">
            <w:pPr>
              <w:spacing w:line="360" w:lineRule="exact"/>
              <w:jc w:val="center"/>
              <w:rPr>
                <w:rFonts w:hint="default" w:ascii="Times New Roman" w:hAnsi="Times New Roman" w:cs="Times New Roman"/>
                <w:color w:val="auto"/>
                <w:sz w:val="24"/>
                <w:highlight w:val="none"/>
              </w:rPr>
            </w:pPr>
          </w:p>
        </w:tc>
      </w:tr>
      <w:tr w14:paraId="5727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98" w:type="dxa"/>
            <w:vAlign w:val="center"/>
          </w:tcPr>
          <w:p w14:paraId="7C33628A">
            <w:pPr>
              <w:spacing w:line="360" w:lineRule="exact"/>
              <w:jc w:val="center"/>
              <w:rPr>
                <w:rFonts w:hint="default" w:ascii="Times New Roman" w:hAnsi="Times New Roman" w:cs="Times New Roman"/>
                <w:color w:val="auto"/>
                <w:sz w:val="24"/>
                <w:highlight w:val="none"/>
              </w:rPr>
            </w:pPr>
          </w:p>
        </w:tc>
        <w:tc>
          <w:tcPr>
            <w:tcW w:w="1625" w:type="dxa"/>
            <w:vAlign w:val="center"/>
          </w:tcPr>
          <w:p w14:paraId="372C8DE9">
            <w:pPr>
              <w:spacing w:line="360" w:lineRule="exact"/>
              <w:jc w:val="center"/>
              <w:rPr>
                <w:rFonts w:hint="default" w:ascii="Times New Roman" w:hAnsi="Times New Roman" w:cs="Times New Roman"/>
                <w:color w:val="auto"/>
                <w:sz w:val="24"/>
                <w:highlight w:val="none"/>
              </w:rPr>
            </w:pPr>
          </w:p>
        </w:tc>
        <w:tc>
          <w:tcPr>
            <w:tcW w:w="771" w:type="dxa"/>
            <w:vAlign w:val="center"/>
          </w:tcPr>
          <w:p w14:paraId="385A48C9">
            <w:pPr>
              <w:spacing w:line="360" w:lineRule="exact"/>
              <w:jc w:val="center"/>
              <w:rPr>
                <w:rFonts w:hint="default" w:ascii="Times New Roman" w:hAnsi="Times New Roman" w:cs="Times New Roman"/>
                <w:color w:val="auto"/>
                <w:sz w:val="24"/>
                <w:highlight w:val="none"/>
              </w:rPr>
            </w:pPr>
          </w:p>
        </w:tc>
        <w:tc>
          <w:tcPr>
            <w:tcW w:w="908" w:type="dxa"/>
            <w:vAlign w:val="center"/>
          </w:tcPr>
          <w:p w14:paraId="10EE3FED">
            <w:pPr>
              <w:spacing w:line="360" w:lineRule="exact"/>
              <w:jc w:val="center"/>
              <w:rPr>
                <w:rFonts w:hint="default" w:ascii="Times New Roman" w:hAnsi="Times New Roman" w:cs="Times New Roman"/>
                <w:color w:val="auto"/>
                <w:sz w:val="24"/>
                <w:highlight w:val="none"/>
              </w:rPr>
            </w:pPr>
          </w:p>
        </w:tc>
        <w:tc>
          <w:tcPr>
            <w:tcW w:w="1602" w:type="dxa"/>
            <w:vAlign w:val="center"/>
          </w:tcPr>
          <w:p w14:paraId="1A2E74A6">
            <w:pPr>
              <w:spacing w:line="360" w:lineRule="exact"/>
              <w:jc w:val="center"/>
              <w:rPr>
                <w:rFonts w:hint="default" w:ascii="Times New Roman" w:hAnsi="Times New Roman" w:cs="Times New Roman"/>
                <w:color w:val="auto"/>
                <w:sz w:val="24"/>
                <w:highlight w:val="none"/>
              </w:rPr>
            </w:pPr>
          </w:p>
        </w:tc>
        <w:tc>
          <w:tcPr>
            <w:tcW w:w="2126" w:type="dxa"/>
            <w:vAlign w:val="center"/>
          </w:tcPr>
          <w:p w14:paraId="7B41DF8E">
            <w:pPr>
              <w:spacing w:line="360" w:lineRule="exact"/>
              <w:jc w:val="center"/>
              <w:rPr>
                <w:rFonts w:hint="default" w:ascii="Times New Roman" w:hAnsi="Times New Roman" w:cs="Times New Roman"/>
                <w:color w:val="auto"/>
                <w:sz w:val="24"/>
                <w:highlight w:val="none"/>
              </w:rPr>
            </w:pPr>
          </w:p>
        </w:tc>
        <w:tc>
          <w:tcPr>
            <w:tcW w:w="1139" w:type="dxa"/>
            <w:vAlign w:val="center"/>
          </w:tcPr>
          <w:p w14:paraId="5F2B3048">
            <w:pPr>
              <w:spacing w:line="360" w:lineRule="exact"/>
              <w:jc w:val="center"/>
              <w:rPr>
                <w:rFonts w:hint="default" w:ascii="Times New Roman" w:hAnsi="Times New Roman" w:cs="Times New Roman"/>
                <w:color w:val="auto"/>
                <w:sz w:val="24"/>
                <w:highlight w:val="none"/>
              </w:rPr>
            </w:pPr>
          </w:p>
        </w:tc>
      </w:tr>
    </w:tbl>
    <w:p w14:paraId="1C67C698">
      <w:pPr>
        <w:pStyle w:val="14"/>
        <w:rPr>
          <w:rFonts w:hint="default" w:ascii="Times New Roman" w:hAnsi="Times New Roman" w:cs="Times New Roman"/>
          <w:color w:val="auto"/>
          <w:highlight w:val="none"/>
          <w:lang w:val="en-US"/>
        </w:rPr>
      </w:pPr>
    </w:p>
    <w:p w14:paraId="67B6D4CD">
      <w:pPr>
        <w:pStyle w:val="69"/>
        <w:spacing w:line="360" w:lineRule="auto"/>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投标单位法人代表或授权代表签字（盖公章）：</w:t>
      </w:r>
    </w:p>
    <w:p w14:paraId="41E0079C">
      <w:pPr>
        <w:spacing w:line="360" w:lineRule="auto"/>
        <w:ind w:firstLine="600" w:firstLineChars="2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注：上表可自行延长。</w:t>
      </w:r>
    </w:p>
    <w:p w14:paraId="4FA2EF9F">
      <w:pPr>
        <w:spacing w:line="360" w:lineRule="auto"/>
        <w:jc w:val="left"/>
        <w:outlineLvl w:val="2"/>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（2）拟派项目负责人简历表</w:t>
      </w:r>
    </w:p>
    <w:p w14:paraId="0FE4327B">
      <w:pPr>
        <w:spacing w:line="360" w:lineRule="auto"/>
        <w:ind w:firstLine="602" w:firstLineChars="25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投标人名称（盖章）</w:t>
      </w:r>
    </w:p>
    <w:tbl>
      <w:tblPr>
        <w:tblStyle w:val="3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956"/>
        <w:gridCol w:w="866"/>
        <w:gridCol w:w="1102"/>
        <w:gridCol w:w="485"/>
        <w:gridCol w:w="1675"/>
        <w:gridCol w:w="1800"/>
        <w:gridCol w:w="51"/>
        <w:gridCol w:w="1237"/>
      </w:tblGrid>
      <w:tr w14:paraId="4F33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10"/>
            <w:vAlign w:val="center"/>
          </w:tcPr>
          <w:p w14:paraId="66AC07BD">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1、一般情况</w:t>
            </w:r>
          </w:p>
        </w:tc>
      </w:tr>
      <w:tr w14:paraId="1431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7238143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姓   名</w:t>
            </w:r>
          </w:p>
        </w:tc>
        <w:tc>
          <w:tcPr>
            <w:tcW w:w="1822" w:type="dxa"/>
            <w:gridSpan w:val="2"/>
            <w:vAlign w:val="center"/>
          </w:tcPr>
          <w:p w14:paraId="31404664">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5D3FE29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年  龄</w:t>
            </w:r>
          </w:p>
        </w:tc>
        <w:tc>
          <w:tcPr>
            <w:tcW w:w="1675" w:type="dxa"/>
            <w:vAlign w:val="center"/>
          </w:tcPr>
          <w:p w14:paraId="45B9043A">
            <w:pPr>
              <w:spacing w:line="360" w:lineRule="auto"/>
              <w:jc w:val="left"/>
              <w:outlineLvl w:val="1"/>
              <w:rPr>
                <w:rFonts w:hint="default" w:ascii="Times New Roman" w:hAnsi="Times New Roman" w:eastAsia="仿宋_GB2312" w:cs="Times New Roman"/>
                <w:color w:val="auto"/>
                <w:sz w:val="24"/>
                <w:szCs w:val="22"/>
              </w:rPr>
            </w:pPr>
          </w:p>
        </w:tc>
        <w:tc>
          <w:tcPr>
            <w:tcW w:w="1851" w:type="dxa"/>
            <w:gridSpan w:val="2"/>
            <w:vAlign w:val="center"/>
          </w:tcPr>
          <w:p w14:paraId="12E6820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学  历</w:t>
            </w:r>
          </w:p>
        </w:tc>
        <w:tc>
          <w:tcPr>
            <w:tcW w:w="1237" w:type="dxa"/>
            <w:vAlign w:val="center"/>
          </w:tcPr>
          <w:p w14:paraId="4151D31D">
            <w:pPr>
              <w:spacing w:line="360" w:lineRule="auto"/>
              <w:jc w:val="left"/>
              <w:outlineLvl w:val="1"/>
              <w:rPr>
                <w:rFonts w:hint="default" w:ascii="Times New Roman" w:hAnsi="Times New Roman" w:eastAsia="仿宋_GB2312" w:cs="Times New Roman"/>
                <w:color w:val="auto"/>
                <w:sz w:val="24"/>
                <w:szCs w:val="22"/>
              </w:rPr>
            </w:pPr>
          </w:p>
        </w:tc>
      </w:tr>
      <w:tr w14:paraId="4BF5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381197AC">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毕业学校</w:t>
            </w:r>
          </w:p>
        </w:tc>
        <w:tc>
          <w:tcPr>
            <w:tcW w:w="1822" w:type="dxa"/>
            <w:gridSpan w:val="2"/>
            <w:vAlign w:val="center"/>
          </w:tcPr>
          <w:p w14:paraId="71124E29">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054DF1C5">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  业</w:t>
            </w:r>
          </w:p>
        </w:tc>
        <w:tc>
          <w:tcPr>
            <w:tcW w:w="1675" w:type="dxa"/>
            <w:vAlign w:val="center"/>
          </w:tcPr>
          <w:p w14:paraId="03922981">
            <w:pPr>
              <w:spacing w:line="360" w:lineRule="auto"/>
              <w:jc w:val="left"/>
              <w:outlineLvl w:val="1"/>
              <w:rPr>
                <w:rFonts w:hint="default" w:ascii="Times New Roman" w:hAnsi="Times New Roman" w:eastAsia="仿宋_GB2312" w:cs="Times New Roman"/>
                <w:color w:val="auto"/>
                <w:sz w:val="24"/>
                <w:szCs w:val="22"/>
              </w:rPr>
            </w:pPr>
          </w:p>
        </w:tc>
        <w:tc>
          <w:tcPr>
            <w:tcW w:w="1851" w:type="dxa"/>
            <w:gridSpan w:val="2"/>
            <w:vAlign w:val="center"/>
          </w:tcPr>
          <w:p w14:paraId="0627A14C">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  务</w:t>
            </w:r>
          </w:p>
        </w:tc>
        <w:tc>
          <w:tcPr>
            <w:tcW w:w="1237" w:type="dxa"/>
            <w:vAlign w:val="center"/>
          </w:tcPr>
          <w:p w14:paraId="203F561A">
            <w:pPr>
              <w:spacing w:line="360" w:lineRule="auto"/>
              <w:jc w:val="left"/>
              <w:outlineLvl w:val="1"/>
              <w:rPr>
                <w:rFonts w:hint="default" w:ascii="Times New Roman" w:hAnsi="Times New Roman" w:eastAsia="仿宋_GB2312" w:cs="Times New Roman"/>
                <w:color w:val="auto"/>
                <w:sz w:val="24"/>
                <w:szCs w:val="22"/>
              </w:rPr>
            </w:pPr>
          </w:p>
        </w:tc>
      </w:tr>
      <w:tr w14:paraId="409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476" w:type="dxa"/>
            <w:gridSpan w:val="2"/>
            <w:vAlign w:val="center"/>
          </w:tcPr>
          <w:p w14:paraId="53378332">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职  称</w:t>
            </w:r>
          </w:p>
        </w:tc>
        <w:tc>
          <w:tcPr>
            <w:tcW w:w="1822" w:type="dxa"/>
            <w:gridSpan w:val="2"/>
            <w:vAlign w:val="center"/>
          </w:tcPr>
          <w:p w14:paraId="1102D03A">
            <w:pPr>
              <w:spacing w:line="360" w:lineRule="auto"/>
              <w:jc w:val="left"/>
              <w:outlineLvl w:val="1"/>
              <w:rPr>
                <w:rFonts w:hint="default" w:ascii="Times New Roman" w:hAnsi="Times New Roman" w:eastAsia="仿宋_GB2312" w:cs="Times New Roman"/>
                <w:color w:val="auto"/>
                <w:sz w:val="24"/>
                <w:szCs w:val="22"/>
              </w:rPr>
            </w:pPr>
          </w:p>
        </w:tc>
        <w:tc>
          <w:tcPr>
            <w:tcW w:w="1587" w:type="dxa"/>
            <w:gridSpan w:val="2"/>
            <w:vAlign w:val="center"/>
          </w:tcPr>
          <w:p w14:paraId="4D668111">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拟任何职</w:t>
            </w:r>
          </w:p>
        </w:tc>
        <w:tc>
          <w:tcPr>
            <w:tcW w:w="1675" w:type="dxa"/>
            <w:vAlign w:val="center"/>
          </w:tcPr>
          <w:p w14:paraId="3CFD1174">
            <w:pPr>
              <w:spacing w:line="360" w:lineRule="auto"/>
              <w:jc w:val="left"/>
              <w:outlineLvl w:val="1"/>
              <w:rPr>
                <w:rFonts w:hint="default" w:ascii="Times New Roman" w:hAnsi="Times New Roman" w:eastAsia="仿宋_GB2312" w:cs="Times New Roman"/>
                <w:color w:val="auto"/>
                <w:sz w:val="24"/>
                <w:szCs w:val="22"/>
              </w:rPr>
            </w:pPr>
          </w:p>
        </w:tc>
        <w:tc>
          <w:tcPr>
            <w:tcW w:w="1851" w:type="dxa"/>
            <w:gridSpan w:val="2"/>
            <w:vAlign w:val="center"/>
          </w:tcPr>
          <w:p w14:paraId="246359D7">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参加工作时间</w:t>
            </w:r>
          </w:p>
        </w:tc>
        <w:tc>
          <w:tcPr>
            <w:tcW w:w="1237" w:type="dxa"/>
            <w:vAlign w:val="center"/>
          </w:tcPr>
          <w:p w14:paraId="616C6E30">
            <w:pPr>
              <w:spacing w:line="360" w:lineRule="auto"/>
              <w:jc w:val="left"/>
              <w:outlineLvl w:val="1"/>
              <w:rPr>
                <w:rFonts w:hint="default" w:ascii="Times New Roman" w:hAnsi="Times New Roman" w:eastAsia="仿宋_GB2312" w:cs="Times New Roman"/>
                <w:color w:val="auto"/>
                <w:sz w:val="24"/>
                <w:szCs w:val="22"/>
              </w:rPr>
            </w:pPr>
          </w:p>
        </w:tc>
      </w:tr>
      <w:tr w14:paraId="0D50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jc w:val="center"/>
        </w:trPr>
        <w:tc>
          <w:tcPr>
            <w:tcW w:w="9648" w:type="dxa"/>
            <w:gridSpan w:val="10"/>
            <w:vAlign w:val="center"/>
          </w:tcPr>
          <w:p w14:paraId="5B1CC14E">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2、个人简历</w:t>
            </w:r>
          </w:p>
        </w:tc>
      </w:tr>
      <w:tr w14:paraId="67EE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vAlign w:val="center"/>
          </w:tcPr>
          <w:p w14:paraId="5B8BFF86">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时  间</w:t>
            </w:r>
          </w:p>
        </w:tc>
        <w:tc>
          <w:tcPr>
            <w:tcW w:w="8172" w:type="dxa"/>
            <w:gridSpan w:val="8"/>
            <w:vAlign w:val="center"/>
          </w:tcPr>
          <w:p w14:paraId="02647D0E">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专业工作经历</w:t>
            </w:r>
          </w:p>
        </w:tc>
      </w:tr>
      <w:tr w14:paraId="7192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3B402258">
            <w:pPr>
              <w:spacing w:line="360" w:lineRule="auto"/>
              <w:jc w:val="left"/>
              <w:outlineLvl w:val="1"/>
              <w:rPr>
                <w:rFonts w:hint="default" w:ascii="Times New Roman" w:hAnsi="Times New Roman" w:eastAsia="仿宋_GB2312" w:cs="Times New Roman"/>
                <w:color w:val="auto"/>
                <w:sz w:val="24"/>
                <w:szCs w:val="22"/>
              </w:rPr>
            </w:pPr>
          </w:p>
        </w:tc>
        <w:tc>
          <w:tcPr>
            <w:tcW w:w="8172" w:type="dxa"/>
            <w:gridSpan w:val="8"/>
            <w:vAlign w:val="center"/>
          </w:tcPr>
          <w:p w14:paraId="733206C6">
            <w:pPr>
              <w:spacing w:line="360" w:lineRule="auto"/>
              <w:jc w:val="left"/>
              <w:outlineLvl w:val="1"/>
              <w:rPr>
                <w:rFonts w:hint="default" w:ascii="Times New Roman" w:hAnsi="Times New Roman" w:eastAsia="仿宋_GB2312" w:cs="Times New Roman"/>
                <w:color w:val="auto"/>
                <w:sz w:val="24"/>
                <w:szCs w:val="22"/>
              </w:rPr>
            </w:pPr>
          </w:p>
        </w:tc>
      </w:tr>
      <w:tr w14:paraId="2F9B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476" w:type="dxa"/>
            <w:gridSpan w:val="2"/>
            <w:vAlign w:val="center"/>
          </w:tcPr>
          <w:p w14:paraId="77DEA0BF">
            <w:pPr>
              <w:spacing w:line="360" w:lineRule="auto"/>
              <w:jc w:val="left"/>
              <w:outlineLvl w:val="1"/>
              <w:rPr>
                <w:rFonts w:hint="default" w:ascii="Times New Roman" w:hAnsi="Times New Roman" w:eastAsia="仿宋_GB2312" w:cs="Times New Roman"/>
                <w:color w:val="auto"/>
                <w:sz w:val="24"/>
                <w:szCs w:val="22"/>
              </w:rPr>
            </w:pPr>
          </w:p>
        </w:tc>
        <w:tc>
          <w:tcPr>
            <w:tcW w:w="8172" w:type="dxa"/>
            <w:gridSpan w:val="8"/>
            <w:vAlign w:val="center"/>
          </w:tcPr>
          <w:p w14:paraId="0232090C">
            <w:pPr>
              <w:spacing w:line="360" w:lineRule="auto"/>
              <w:jc w:val="left"/>
              <w:outlineLvl w:val="1"/>
              <w:rPr>
                <w:rFonts w:hint="default" w:ascii="Times New Roman" w:hAnsi="Times New Roman" w:eastAsia="仿宋_GB2312" w:cs="Times New Roman"/>
                <w:color w:val="auto"/>
                <w:sz w:val="24"/>
                <w:szCs w:val="22"/>
              </w:rPr>
            </w:pPr>
          </w:p>
        </w:tc>
      </w:tr>
      <w:tr w14:paraId="5743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8" w:type="dxa"/>
            <w:gridSpan w:val="10"/>
            <w:vAlign w:val="center"/>
          </w:tcPr>
          <w:p w14:paraId="3B6743F4">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 xml:space="preserve">                    3、近年负责类似项目业绩情况</w:t>
            </w:r>
          </w:p>
        </w:tc>
      </w:tr>
      <w:tr w14:paraId="606B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jc w:val="center"/>
        </w:trPr>
        <w:tc>
          <w:tcPr>
            <w:tcW w:w="1031" w:type="dxa"/>
            <w:vAlign w:val="center"/>
          </w:tcPr>
          <w:p w14:paraId="56D965CB">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序号</w:t>
            </w:r>
          </w:p>
        </w:tc>
        <w:tc>
          <w:tcPr>
            <w:tcW w:w="1401" w:type="dxa"/>
            <w:gridSpan w:val="2"/>
            <w:vAlign w:val="center"/>
          </w:tcPr>
          <w:p w14:paraId="31A3BD90">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项目名称</w:t>
            </w:r>
          </w:p>
        </w:tc>
        <w:tc>
          <w:tcPr>
            <w:tcW w:w="1968" w:type="dxa"/>
            <w:gridSpan w:val="2"/>
            <w:vAlign w:val="center"/>
          </w:tcPr>
          <w:p w14:paraId="1A49ED6B">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该项目中任何职</w:t>
            </w:r>
          </w:p>
        </w:tc>
        <w:tc>
          <w:tcPr>
            <w:tcW w:w="2160" w:type="dxa"/>
            <w:gridSpan w:val="2"/>
            <w:vAlign w:val="center"/>
          </w:tcPr>
          <w:p w14:paraId="617AF8AF">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开展/执行时间</w:t>
            </w:r>
          </w:p>
        </w:tc>
        <w:tc>
          <w:tcPr>
            <w:tcW w:w="1800" w:type="dxa"/>
            <w:vAlign w:val="center"/>
          </w:tcPr>
          <w:p w14:paraId="17E70125">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项目内容</w:t>
            </w:r>
          </w:p>
        </w:tc>
        <w:tc>
          <w:tcPr>
            <w:tcW w:w="1288" w:type="dxa"/>
            <w:gridSpan w:val="2"/>
            <w:vAlign w:val="center"/>
          </w:tcPr>
          <w:p w14:paraId="3A3DC37A">
            <w:pPr>
              <w:spacing w:line="360" w:lineRule="auto"/>
              <w:jc w:val="left"/>
              <w:outlineLvl w:val="1"/>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t>规模</w:t>
            </w:r>
          </w:p>
        </w:tc>
      </w:tr>
    </w:tbl>
    <w:p w14:paraId="355C7761">
      <w:pPr>
        <w:pStyle w:val="69"/>
        <w:spacing w:line="360" w:lineRule="auto"/>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t>投标单位法人代表或授权代表签字（盖公章）：</w:t>
      </w:r>
    </w:p>
    <w:p w14:paraId="7FAAB373">
      <w:pPr>
        <w:spacing w:line="360" w:lineRule="auto"/>
        <w:ind w:firstLine="600" w:firstLineChars="250"/>
        <w:rPr>
          <w:rFonts w:hint="default" w:ascii="Times New Roman" w:hAnsi="Times New Roman" w:eastAsia="仿宋" w:cs="Times New Roman"/>
          <w:b/>
          <w:color w:val="auto"/>
          <w:sz w:val="24"/>
          <w:szCs w:val="24"/>
        </w:rPr>
      </w:pPr>
      <w:r>
        <w:rPr>
          <w:rFonts w:hint="default" w:ascii="Times New Roman" w:hAnsi="Times New Roman" w:cs="Times New Roman"/>
          <w:color w:val="auto"/>
          <w:sz w:val="24"/>
          <w:szCs w:val="24"/>
        </w:rPr>
        <w:t>注：请附身份证、相关资格证明复印件</w:t>
      </w:r>
    </w:p>
    <w:p w14:paraId="7A05A2E0">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rPr>
      </w:pPr>
      <w:r>
        <w:rPr>
          <w:rFonts w:hint="default" w:ascii="Times New Roman" w:hAnsi="Times New Roman" w:eastAsia="仿宋_GB2312" w:cs="Times New Roman"/>
          <w:b/>
          <w:bCs/>
          <w:color w:val="auto"/>
          <w:sz w:val="36"/>
          <w:szCs w:val="36"/>
        </w:rPr>
        <w:t xml:space="preserve"> </w:t>
      </w:r>
      <w:r>
        <w:rPr>
          <w:rFonts w:hint="default" w:ascii="Times New Roman" w:hAnsi="Times New Roman" w:eastAsia="仿宋_GB2312" w:cs="Times New Roman"/>
          <w:b/>
          <w:bCs/>
          <w:color w:val="auto"/>
          <w:sz w:val="36"/>
          <w:szCs w:val="36"/>
          <w:lang w:eastAsia="zh-CN"/>
        </w:rPr>
        <w:t>八、</w:t>
      </w:r>
      <w:r>
        <w:rPr>
          <w:rFonts w:hint="default" w:ascii="Times New Roman" w:hAnsi="Times New Roman" w:eastAsia="仿宋" w:cs="Times New Roman"/>
          <w:b/>
          <w:bCs/>
          <w:color w:val="auto"/>
          <w:sz w:val="36"/>
          <w:szCs w:val="24"/>
        </w:rPr>
        <w:t>投标方提供服务保证及服务承诺</w:t>
      </w:r>
    </w:p>
    <w:p w14:paraId="1FA0FE51">
      <w:pPr>
        <w:spacing w:line="360" w:lineRule="auto"/>
        <w:jc w:val="left"/>
        <w:outlineLvl w:val="1"/>
        <w:rPr>
          <w:rFonts w:hint="default" w:ascii="Times New Roman" w:hAnsi="Times New Roman" w:eastAsia="仿宋_GB2312" w:cs="Times New Roman"/>
          <w:color w:val="auto"/>
          <w:sz w:val="24"/>
          <w:szCs w:val="24"/>
        </w:rPr>
      </w:pPr>
    </w:p>
    <w:p w14:paraId="384AEB56">
      <w:pPr>
        <w:spacing w:line="360" w:lineRule="auto"/>
        <w:jc w:val="center"/>
        <w:rPr>
          <w:rFonts w:hint="default" w:ascii="Times New Roman" w:hAnsi="Times New Roman" w:cs="Times New Roman"/>
          <w:b/>
          <w:color w:val="auto"/>
          <w:sz w:val="22"/>
          <w:szCs w:val="22"/>
        </w:rPr>
      </w:pPr>
    </w:p>
    <w:p w14:paraId="630804AD">
      <w:pPr>
        <w:spacing w:line="360" w:lineRule="auto"/>
        <w:jc w:val="center"/>
        <w:outlineLvl w:val="2"/>
        <w:rPr>
          <w:rFonts w:hint="default" w:ascii="Times New Roman" w:hAnsi="Times New Roman" w:cs="Times New Roman"/>
          <w:b/>
          <w:color w:val="auto"/>
          <w:sz w:val="22"/>
          <w:szCs w:val="22"/>
        </w:rPr>
      </w:pPr>
      <w:r>
        <w:rPr>
          <w:rFonts w:hint="default" w:ascii="Times New Roman" w:hAnsi="Times New Roman" w:cs="Times New Roman"/>
          <w:b/>
          <w:color w:val="auto"/>
          <w:sz w:val="22"/>
          <w:szCs w:val="22"/>
        </w:rPr>
        <w:t>服务保障承诺书</w:t>
      </w:r>
    </w:p>
    <w:p w14:paraId="2E1B7CC3">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 xml:space="preserve">                      （投标人名称）</w:t>
      </w:r>
      <w:r>
        <w:rPr>
          <w:rFonts w:hint="default" w:ascii="Times New Roman" w:hAnsi="Times New Roman" w:cs="Times New Roman"/>
          <w:color w:val="auto"/>
          <w:sz w:val="24"/>
          <w:szCs w:val="24"/>
        </w:rPr>
        <w:t>针对本项目在此承诺：</w:t>
      </w:r>
    </w:p>
    <w:p w14:paraId="3554ACEE">
      <w:pPr>
        <w:spacing w:line="360" w:lineRule="auto"/>
        <w:rPr>
          <w:rFonts w:hint="default" w:ascii="Times New Roman" w:hAnsi="Times New Roman" w:cs="Times New Roman"/>
          <w:color w:val="auto"/>
          <w:sz w:val="24"/>
          <w:szCs w:val="24"/>
        </w:rPr>
      </w:pPr>
    </w:p>
    <w:p w14:paraId="4A3D453C">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p w14:paraId="4BE4F5FA">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p w14:paraId="72E2D294">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p w14:paraId="3B3DEFBF">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p w14:paraId="3C6C98D0">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p w14:paraId="6B11C8E9">
      <w:pPr>
        <w:spacing w:line="360" w:lineRule="auto"/>
        <w:outlineLvl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p w14:paraId="5F975B0D">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投标人（盖章）：</w:t>
      </w:r>
    </w:p>
    <w:p w14:paraId="72008A03">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以上内容自行完善。</w:t>
      </w:r>
    </w:p>
    <w:p w14:paraId="58CE09A4">
      <w:pPr>
        <w:pStyle w:val="14"/>
        <w:rPr>
          <w:rFonts w:hint="default" w:ascii="Times New Roman" w:hAnsi="Times New Roman" w:cs="Times New Roman"/>
          <w:color w:val="auto"/>
        </w:rPr>
      </w:pPr>
    </w:p>
    <w:p w14:paraId="488B6EB8">
      <w:pPr>
        <w:pStyle w:val="14"/>
        <w:rPr>
          <w:rFonts w:hint="default" w:ascii="Times New Roman" w:hAnsi="Times New Roman" w:cs="Times New Roman"/>
          <w:color w:val="auto"/>
        </w:rPr>
      </w:pPr>
    </w:p>
    <w:p w14:paraId="5962D1B0">
      <w:pPr>
        <w:pStyle w:val="14"/>
        <w:rPr>
          <w:rFonts w:hint="default" w:ascii="Times New Roman" w:hAnsi="Times New Roman" w:cs="Times New Roman"/>
          <w:color w:val="auto"/>
        </w:rPr>
      </w:pPr>
    </w:p>
    <w:p w14:paraId="76421ACD">
      <w:pPr>
        <w:pStyle w:val="14"/>
        <w:rPr>
          <w:rFonts w:hint="default" w:ascii="Times New Roman" w:hAnsi="Times New Roman" w:cs="Times New Roman"/>
          <w:color w:val="auto"/>
        </w:rPr>
      </w:pPr>
    </w:p>
    <w:p w14:paraId="18D5FD75">
      <w:pPr>
        <w:pStyle w:val="14"/>
        <w:rPr>
          <w:rFonts w:hint="default" w:ascii="Times New Roman" w:hAnsi="Times New Roman" w:cs="Times New Roman"/>
          <w:color w:val="auto"/>
        </w:rPr>
      </w:pPr>
    </w:p>
    <w:p w14:paraId="77B033D9">
      <w:pPr>
        <w:pStyle w:val="14"/>
        <w:rPr>
          <w:rFonts w:hint="default" w:ascii="Times New Roman" w:hAnsi="Times New Roman" w:cs="Times New Roman"/>
          <w:color w:val="auto"/>
        </w:rPr>
      </w:pPr>
    </w:p>
    <w:p w14:paraId="615E9CAC">
      <w:pPr>
        <w:pStyle w:val="14"/>
        <w:rPr>
          <w:rFonts w:hint="default" w:ascii="Times New Roman" w:hAnsi="Times New Roman" w:cs="Times New Roman"/>
          <w:color w:val="auto"/>
        </w:rPr>
      </w:pPr>
    </w:p>
    <w:p w14:paraId="001B03B2">
      <w:pPr>
        <w:pStyle w:val="14"/>
        <w:rPr>
          <w:rFonts w:hint="default" w:ascii="Times New Roman" w:hAnsi="Times New Roman" w:cs="Times New Roman"/>
          <w:color w:val="auto"/>
        </w:rPr>
      </w:pPr>
    </w:p>
    <w:p w14:paraId="7BFD68BD">
      <w:pPr>
        <w:pStyle w:val="14"/>
        <w:rPr>
          <w:rFonts w:hint="default" w:ascii="Times New Roman" w:hAnsi="Times New Roman" w:cs="Times New Roman"/>
          <w:color w:val="auto"/>
        </w:rPr>
      </w:pPr>
    </w:p>
    <w:p w14:paraId="0E9EB5EF">
      <w:pPr>
        <w:pStyle w:val="14"/>
        <w:rPr>
          <w:rFonts w:hint="default" w:ascii="Times New Roman" w:hAnsi="Times New Roman" w:cs="Times New Roman"/>
          <w:color w:val="auto"/>
        </w:rPr>
      </w:pPr>
    </w:p>
    <w:p w14:paraId="659A9534">
      <w:pPr>
        <w:pStyle w:val="14"/>
        <w:rPr>
          <w:rFonts w:hint="default" w:ascii="Times New Roman" w:hAnsi="Times New Roman" w:cs="Times New Roman"/>
          <w:color w:val="auto"/>
        </w:rPr>
      </w:pPr>
    </w:p>
    <w:p w14:paraId="1CE2C6F7">
      <w:pPr>
        <w:pStyle w:val="14"/>
        <w:rPr>
          <w:rFonts w:hint="default" w:ascii="Times New Roman" w:hAnsi="Times New Roman" w:cs="Times New Roman"/>
          <w:color w:val="auto"/>
        </w:rPr>
      </w:pPr>
    </w:p>
    <w:p w14:paraId="4A72FA77">
      <w:pPr>
        <w:pStyle w:val="14"/>
        <w:rPr>
          <w:rFonts w:hint="default" w:ascii="Times New Roman" w:hAnsi="Times New Roman" w:cs="Times New Roman"/>
          <w:color w:val="auto"/>
        </w:rPr>
      </w:pPr>
    </w:p>
    <w:p w14:paraId="2E55FDC0">
      <w:pPr>
        <w:pStyle w:val="14"/>
        <w:rPr>
          <w:rFonts w:hint="default" w:ascii="Times New Roman" w:hAnsi="Times New Roman" w:cs="Times New Roman"/>
          <w:color w:val="auto"/>
        </w:rPr>
      </w:pPr>
    </w:p>
    <w:p w14:paraId="2B04B2F0">
      <w:pPr>
        <w:pStyle w:val="55"/>
        <w:rPr>
          <w:rFonts w:hint="default" w:ascii="Times New Roman" w:hAnsi="Times New Roman" w:cs="Times New Roman"/>
          <w:color w:val="auto"/>
        </w:rPr>
      </w:pPr>
    </w:p>
    <w:p w14:paraId="1C064403">
      <w:pPr>
        <w:rPr>
          <w:rFonts w:hint="default" w:ascii="Times New Roman" w:hAnsi="Times New Roman" w:cs="Times New Roman"/>
          <w:color w:val="auto"/>
        </w:rPr>
      </w:pPr>
    </w:p>
    <w:p w14:paraId="784771EC">
      <w:pPr>
        <w:pStyle w:val="28"/>
        <w:rPr>
          <w:rFonts w:hint="default" w:ascii="Times New Roman" w:hAnsi="Times New Roman" w:cs="Times New Roman"/>
          <w:color w:val="auto"/>
        </w:rPr>
      </w:pPr>
    </w:p>
    <w:p w14:paraId="1BC17978">
      <w:pPr>
        <w:pStyle w:val="28"/>
        <w:rPr>
          <w:rFonts w:hint="default" w:ascii="Times New Roman" w:hAnsi="Times New Roman" w:cs="Times New Roman"/>
          <w:color w:val="auto"/>
        </w:rPr>
      </w:pPr>
    </w:p>
    <w:p w14:paraId="0A864854">
      <w:pPr>
        <w:pStyle w:val="28"/>
        <w:rPr>
          <w:rFonts w:hint="default" w:ascii="Times New Roman" w:hAnsi="Times New Roman" w:cs="Times New Roman"/>
          <w:color w:val="auto"/>
        </w:rPr>
      </w:pPr>
    </w:p>
    <w:p w14:paraId="5BE97058">
      <w:pPr>
        <w:pStyle w:val="28"/>
        <w:rPr>
          <w:rFonts w:hint="default" w:ascii="Times New Roman" w:hAnsi="Times New Roman" w:cs="Times New Roman"/>
          <w:color w:val="auto"/>
        </w:rPr>
      </w:pPr>
    </w:p>
    <w:p w14:paraId="474C3647">
      <w:pPr>
        <w:pStyle w:val="28"/>
        <w:ind w:left="0" w:leftChars="0" w:firstLine="0" w:firstLineChars="0"/>
        <w:rPr>
          <w:rFonts w:hint="default" w:ascii="Times New Roman" w:hAnsi="Times New Roman" w:cs="Times New Roman"/>
          <w:color w:val="auto"/>
        </w:rPr>
      </w:pPr>
    </w:p>
    <w:p w14:paraId="5AC4AFB5">
      <w:pPr>
        <w:pStyle w:val="28"/>
        <w:rPr>
          <w:rFonts w:hint="default" w:ascii="Times New Roman" w:hAnsi="Times New Roman" w:cs="Times New Roman"/>
          <w:color w:val="auto"/>
        </w:rPr>
      </w:pPr>
    </w:p>
    <w:p w14:paraId="58911B4C">
      <w:pPr>
        <w:spacing w:line="360" w:lineRule="auto"/>
        <w:jc w:val="left"/>
        <w:outlineLvl w:val="1"/>
        <w:rPr>
          <w:rFonts w:hint="default" w:ascii="Times New Roman" w:hAnsi="Times New Roman" w:eastAsia="仿宋" w:cs="Times New Roman"/>
          <w:b/>
          <w:bCs w:val="0"/>
          <w:color w:val="auto"/>
          <w:sz w:val="36"/>
          <w:szCs w:val="36"/>
        </w:rPr>
      </w:pPr>
    </w:p>
    <w:p w14:paraId="285CDB6C">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仿宋" w:cs="Times New Roman"/>
          <w:b/>
          <w:bCs w:val="0"/>
          <w:color w:val="auto"/>
          <w:sz w:val="36"/>
          <w:szCs w:val="36"/>
          <w:lang w:eastAsia="zh-CN"/>
        </w:rPr>
      </w:pPr>
      <w:r>
        <w:rPr>
          <w:rFonts w:hint="default" w:ascii="Times New Roman" w:hAnsi="Times New Roman" w:eastAsia="仿宋" w:cs="Times New Roman"/>
          <w:b/>
          <w:bCs w:val="0"/>
          <w:color w:val="auto"/>
          <w:sz w:val="36"/>
          <w:szCs w:val="36"/>
          <w:lang w:eastAsia="zh-CN"/>
        </w:rPr>
        <w:t>九、投标方提供项目服务过程中的相关管理制度</w:t>
      </w:r>
    </w:p>
    <w:p w14:paraId="243995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 w:cs="Times New Roman"/>
          <w:b w:val="0"/>
          <w:bCs/>
          <w:color w:val="auto"/>
          <w:sz w:val="24"/>
          <w:szCs w:val="24"/>
          <w:highlight w:val="none"/>
          <w:lang w:val="en-US" w:eastAsia="zh-CN"/>
        </w:rPr>
        <w:t>（由供应商根据磋商项目的具体要求自行编制）</w:t>
      </w:r>
    </w:p>
    <w:p w14:paraId="1D890E72">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val="0"/>
          <w:color w:val="auto"/>
          <w:sz w:val="36"/>
          <w:szCs w:val="36"/>
          <w:lang w:val="en-US" w:eastAsia="zh-CN"/>
        </w:rPr>
      </w:pPr>
    </w:p>
    <w:p w14:paraId="4C1D6B01">
      <w:pPr>
        <w:pStyle w:val="14"/>
        <w:jc w:val="center"/>
        <w:rPr>
          <w:rFonts w:hint="default" w:ascii="Times New Roman" w:hAnsi="Times New Roman" w:eastAsia="仿宋_GB2312" w:cs="Times New Roman"/>
          <w:color w:val="auto"/>
          <w:kern w:val="2"/>
          <w:sz w:val="24"/>
          <w:szCs w:val="22"/>
          <w:lang w:val="en-US" w:eastAsia="zh-CN" w:bidi="ar-SA"/>
        </w:rPr>
      </w:pPr>
    </w:p>
    <w:p w14:paraId="04FCEFAA">
      <w:pPr>
        <w:pStyle w:val="14"/>
        <w:jc w:val="center"/>
        <w:rPr>
          <w:rFonts w:hint="default" w:ascii="Times New Roman" w:hAnsi="Times New Roman" w:eastAsia="仿宋_GB2312" w:cs="Times New Roman"/>
          <w:color w:val="auto"/>
          <w:kern w:val="2"/>
          <w:sz w:val="24"/>
          <w:szCs w:val="22"/>
          <w:lang w:val="en-US" w:eastAsia="zh-CN" w:bidi="ar-SA"/>
        </w:rPr>
      </w:pPr>
    </w:p>
    <w:p w14:paraId="701465DF">
      <w:pPr>
        <w:pStyle w:val="14"/>
        <w:jc w:val="center"/>
        <w:rPr>
          <w:rFonts w:hint="default" w:ascii="Times New Roman" w:hAnsi="Times New Roman" w:eastAsia="仿宋_GB2312" w:cs="Times New Roman"/>
          <w:color w:val="auto"/>
          <w:kern w:val="2"/>
          <w:sz w:val="24"/>
          <w:szCs w:val="22"/>
          <w:lang w:val="en-US" w:eastAsia="zh-CN" w:bidi="ar-SA"/>
        </w:rPr>
      </w:pPr>
    </w:p>
    <w:p w14:paraId="5C260E40">
      <w:pPr>
        <w:pStyle w:val="14"/>
        <w:jc w:val="center"/>
        <w:rPr>
          <w:rFonts w:hint="default" w:ascii="Times New Roman" w:hAnsi="Times New Roman" w:eastAsia="仿宋_GB2312" w:cs="Times New Roman"/>
          <w:color w:val="auto"/>
          <w:kern w:val="2"/>
          <w:sz w:val="24"/>
          <w:szCs w:val="22"/>
          <w:lang w:val="en-US" w:eastAsia="zh-CN" w:bidi="ar-SA"/>
        </w:rPr>
      </w:pPr>
    </w:p>
    <w:p w14:paraId="791915F9">
      <w:pPr>
        <w:pStyle w:val="14"/>
        <w:jc w:val="center"/>
        <w:rPr>
          <w:rFonts w:hint="default" w:ascii="Times New Roman" w:hAnsi="Times New Roman" w:eastAsia="仿宋_GB2312" w:cs="Times New Roman"/>
          <w:color w:val="auto"/>
          <w:kern w:val="2"/>
          <w:sz w:val="24"/>
          <w:szCs w:val="22"/>
          <w:lang w:val="en-US" w:eastAsia="zh-CN" w:bidi="ar-SA"/>
        </w:rPr>
      </w:pPr>
    </w:p>
    <w:p w14:paraId="4FE89874">
      <w:pPr>
        <w:pStyle w:val="14"/>
        <w:jc w:val="center"/>
        <w:rPr>
          <w:rFonts w:hint="default" w:ascii="Times New Roman" w:hAnsi="Times New Roman" w:eastAsia="仿宋_GB2312" w:cs="Times New Roman"/>
          <w:color w:val="auto"/>
          <w:kern w:val="2"/>
          <w:sz w:val="24"/>
          <w:szCs w:val="22"/>
          <w:lang w:val="en-US" w:eastAsia="zh-CN" w:bidi="ar-SA"/>
        </w:rPr>
      </w:pPr>
    </w:p>
    <w:p w14:paraId="72ECD377">
      <w:pPr>
        <w:pStyle w:val="14"/>
        <w:jc w:val="center"/>
        <w:rPr>
          <w:rFonts w:hint="default" w:ascii="Times New Roman" w:hAnsi="Times New Roman" w:eastAsia="仿宋_GB2312" w:cs="Times New Roman"/>
          <w:color w:val="auto"/>
          <w:kern w:val="2"/>
          <w:sz w:val="24"/>
          <w:szCs w:val="22"/>
          <w:lang w:val="en-US" w:eastAsia="zh-CN" w:bidi="ar-SA"/>
        </w:rPr>
      </w:pPr>
    </w:p>
    <w:p w14:paraId="21DD2DDC">
      <w:pPr>
        <w:pStyle w:val="14"/>
        <w:jc w:val="center"/>
        <w:rPr>
          <w:rFonts w:hint="default" w:ascii="Times New Roman" w:hAnsi="Times New Roman" w:eastAsia="仿宋_GB2312" w:cs="Times New Roman"/>
          <w:color w:val="auto"/>
          <w:kern w:val="2"/>
          <w:sz w:val="24"/>
          <w:szCs w:val="22"/>
          <w:lang w:val="en-US" w:eastAsia="zh-CN" w:bidi="ar-SA"/>
        </w:rPr>
      </w:pPr>
    </w:p>
    <w:p w14:paraId="7F409575">
      <w:pPr>
        <w:pStyle w:val="14"/>
        <w:jc w:val="center"/>
        <w:rPr>
          <w:rFonts w:hint="default" w:ascii="Times New Roman" w:hAnsi="Times New Roman" w:eastAsia="仿宋_GB2312" w:cs="Times New Roman"/>
          <w:color w:val="auto"/>
          <w:kern w:val="2"/>
          <w:sz w:val="24"/>
          <w:szCs w:val="22"/>
          <w:lang w:val="en-US" w:eastAsia="zh-CN" w:bidi="ar-SA"/>
        </w:rPr>
      </w:pPr>
    </w:p>
    <w:p w14:paraId="5A7C720C">
      <w:pPr>
        <w:pStyle w:val="14"/>
        <w:jc w:val="center"/>
        <w:rPr>
          <w:rFonts w:hint="default" w:ascii="Times New Roman" w:hAnsi="Times New Roman" w:eastAsia="仿宋_GB2312" w:cs="Times New Roman"/>
          <w:color w:val="auto"/>
          <w:kern w:val="2"/>
          <w:sz w:val="24"/>
          <w:szCs w:val="22"/>
          <w:lang w:val="en-US" w:eastAsia="zh-CN" w:bidi="ar-SA"/>
        </w:rPr>
      </w:pPr>
    </w:p>
    <w:p w14:paraId="5F1110E1">
      <w:pPr>
        <w:pStyle w:val="14"/>
        <w:jc w:val="center"/>
        <w:rPr>
          <w:rFonts w:hint="default" w:ascii="Times New Roman" w:hAnsi="Times New Roman" w:eastAsia="仿宋_GB2312" w:cs="Times New Roman"/>
          <w:color w:val="auto"/>
          <w:kern w:val="2"/>
          <w:sz w:val="24"/>
          <w:szCs w:val="22"/>
          <w:lang w:val="en-US" w:eastAsia="zh-CN" w:bidi="ar-SA"/>
        </w:rPr>
      </w:pPr>
    </w:p>
    <w:p w14:paraId="3AB34925">
      <w:pPr>
        <w:pStyle w:val="14"/>
        <w:jc w:val="center"/>
        <w:rPr>
          <w:rFonts w:hint="default" w:ascii="Times New Roman" w:hAnsi="Times New Roman" w:eastAsia="仿宋_GB2312" w:cs="Times New Roman"/>
          <w:color w:val="auto"/>
          <w:kern w:val="2"/>
          <w:sz w:val="24"/>
          <w:szCs w:val="22"/>
          <w:lang w:val="en-US" w:eastAsia="zh-CN" w:bidi="ar-SA"/>
        </w:rPr>
      </w:pPr>
    </w:p>
    <w:p w14:paraId="2A191A38">
      <w:pPr>
        <w:pStyle w:val="14"/>
        <w:jc w:val="center"/>
        <w:rPr>
          <w:rFonts w:hint="default" w:ascii="Times New Roman" w:hAnsi="Times New Roman" w:eastAsia="仿宋_GB2312" w:cs="Times New Roman"/>
          <w:color w:val="auto"/>
          <w:kern w:val="2"/>
          <w:sz w:val="24"/>
          <w:szCs w:val="22"/>
          <w:lang w:val="en-US" w:eastAsia="zh-CN" w:bidi="ar-SA"/>
        </w:rPr>
      </w:pPr>
    </w:p>
    <w:p w14:paraId="56041AB3">
      <w:pPr>
        <w:pStyle w:val="14"/>
        <w:jc w:val="center"/>
        <w:rPr>
          <w:rFonts w:hint="default" w:ascii="Times New Roman" w:hAnsi="Times New Roman" w:eastAsia="仿宋_GB2312" w:cs="Times New Roman"/>
          <w:color w:val="auto"/>
          <w:kern w:val="2"/>
          <w:sz w:val="24"/>
          <w:szCs w:val="22"/>
          <w:lang w:val="en-US" w:eastAsia="zh-CN" w:bidi="ar-SA"/>
        </w:rPr>
      </w:pPr>
    </w:p>
    <w:p w14:paraId="61BB4FBB">
      <w:pPr>
        <w:pStyle w:val="14"/>
        <w:jc w:val="center"/>
        <w:rPr>
          <w:rFonts w:hint="default" w:ascii="Times New Roman" w:hAnsi="Times New Roman" w:eastAsia="仿宋_GB2312" w:cs="Times New Roman"/>
          <w:color w:val="auto"/>
          <w:kern w:val="2"/>
          <w:sz w:val="24"/>
          <w:szCs w:val="22"/>
          <w:lang w:val="en-US" w:eastAsia="zh-CN" w:bidi="ar-SA"/>
        </w:rPr>
      </w:pPr>
    </w:p>
    <w:p w14:paraId="6768917E">
      <w:pPr>
        <w:pStyle w:val="14"/>
        <w:jc w:val="center"/>
        <w:rPr>
          <w:rFonts w:hint="default" w:ascii="Times New Roman" w:hAnsi="Times New Roman" w:eastAsia="仿宋_GB2312" w:cs="Times New Roman"/>
          <w:color w:val="auto"/>
          <w:kern w:val="2"/>
          <w:sz w:val="24"/>
          <w:szCs w:val="22"/>
          <w:lang w:val="en-US" w:eastAsia="zh-CN" w:bidi="ar-SA"/>
        </w:rPr>
      </w:pPr>
    </w:p>
    <w:p w14:paraId="28955369">
      <w:pPr>
        <w:pStyle w:val="14"/>
        <w:jc w:val="center"/>
        <w:rPr>
          <w:rFonts w:hint="default" w:ascii="Times New Roman" w:hAnsi="Times New Roman" w:eastAsia="仿宋_GB2312" w:cs="Times New Roman"/>
          <w:color w:val="auto"/>
          <w:kern w:val="2"/>
          <w:sz w:val="24"/>
          <w:szCs w:val="22"/>
          <w:lang w:val="en-US" w:eastAsia="zh-CN" w:bidi="ar-SA"/>
        </w:rPr>
      </w:pPr>
    </w:p>
    <w:p w14:paraId="6F42086D">
      <w:pPr>
        <w:pStyle w:val="14"/>
        <w:jc w:val="center"/>
        <w:rPr>
          <w:rFonts w:hint="default" w:ascii="Times New Roman" w:hAnsi="Times New Roman" w:eastAsia="仿宋_GB2312" w:cs="Times New Roman"/>
          <w:color w:val="auto"/>
          <w:kern w:val="2"/>
          <w:sz w:val="24"/>
          <w:szCs w:val="22"/>
          <w:lang w:val="en-US" w:eastAsia="zh-CN" w:bidi="ar-SA"/>
        </w:rPr>
      </w:pPr>
    </w:p>
    <w:p w14:paraId="61473C40">
      <w:pPr>
        <w:pStyle w:val="14"/>
        <w:jc w:val="center"/>
        <w:rPr>
          <w:rFonts w:hint="default" w:ascii="Times New Roman" w:hAnsi="Times New Roman" w:eastAsia="仿宋_GB2312" w:cs="Times New Roman"/>
          <w:color w:val="auto"/>
          <w:kern w:val="2"/>
          <w:sz w:val="24"/>
          <w:szCs w:val="22"/>
          <w:lang w:val="en-US" w:eastAsia="zh-CN" w:bidi="ar-SA"/>
        </w:rPr>
      </w:pPr>
    </w:p>
    <w:p w14:paraId="02575DA7">
      <w:pPr>
        <w:pStyle w:val="14"/>
        <w:jc w:val="center"/>
        <w:rPr>
          <w:rFonts w:hint="default" w:ascii="Times New Roman" w:hAnsi="Times New Roman" w:eastAsia="仿宋_GB2312" w:cs="Times New Roman"/>
          <w:color w:val="auto"/>
          <w:kern w:val="2"/>
          <w:sz w:val="24"/>
          <w:szCs w:val="22"/>
          <w:lang w:val="en-US" w:eastAsia="zh-CN" w:bidi="ar-SA"/>
        </w:rPr>
      </w:pPr>
    </w:p>
    <w:p w14:paraId="0BE93EA7">
      <w:pPr>
        <w:pStyle w:val="14"/>
        <w:jc w:val="center"/>
        <w:rPr>
          <w:rFonts w:hint="default" w:ascii="Times New Roman" w:hAnsi="Times New Roman" w:eastAsia="仿宋_GB2312" w:cs="Times New Roman"/>
          <w:color w:val="auto"/>
          <w:kern w:val="2"/>
          <w:sz w:val="24"/>
          <w:szCs w:val="22"/>
          <w:lang w:val="en-US" w:eastAsia="zh-CN" w:bidi="ar-SA"/>
        </w:rPr>
      </w:pPr>
    </w:p>
    <w:p w14:paraId="5DDDBB82">
      <w:pPr>
        <w:pStyle w:val="14"/>
        <w:jc w:val="center"/>
        <w:rPr>
          <w:rFonts w:hint="default" w:ascii="Times New Roman" w:hAnsi="Times New Roman" w:eastAsia="仿宋_GB2312" w:cs="Times New Roman"/>
          <w:color w:val="auto"/>
          <w:kern w:val="2"/>
          <w:sz w:val="24"/>
          <w:szCs w:val="22"/>
          <w:lang w:val="en-US" w:eastAsia="zh-CN" w:bidi="ar-SA"/>
        </w:rPr>
      </w:pPr>
    </w:p>
    <w:p w14:paraId="79963059">
      <w:pPr>
        <w:pStyle w:val="14"/>
        <w:jc w:val="center"/>
        <w:rPr>
          <w:rFonts w:hint="default" w:ascii="Times New Roman" w:hAnsi="Times New Roman" w:eastAsia="仿宋_GB2312" w:cs="Times New Roman"/>
          <w:color w:val="auto"/>
          <w:kern w:val="2"/>
          <w:sz w:val="24"/>
          <w:szCs w:val="22"/>
          <w:lang w:val="en-US" w:eastAsia="zh-CN" w:bidi="ar-SA"/>
        </w:rPr>
      </w:pPr>
    </w:p>
    <w:p w14:paraId="5C4CD264">
      <w:pPr>
        <w:pStyle w:val="14"/>
        <w:jc w:val="center"/>
        <w:rPr>
          <w:rFonts w:hint="default" w:ascii="Times New Roman" w:hAnsi="Times New Roman" w:eastAsia="仿宋_GB2312" w:cs="Times New Roman"/>
          <w:color w:val="auto"/>
          <w:kern w:val="2"/>
          <w:sz w:val="24"/>
          <w:szCs w:val="22"/>
          <w:lang w:val="en-US" w:eastAsia="zh-CN" w:bidi="ar-SA"/>
        </w:rPr>
      </w:pPr>
    </w:p>
    <w:p w14:paraId="5BAF9DF1">
      <w:pPr>
        <w:rPr>
          <w:rFonts w:hint="default" w:ascii="Times New Roman" w:hAnsi="Times New Roman" w:eastAsia="仿宋_GB2312" w:cs="Times New Roman"/>
          <w:color w:val="auto"/>
          <w:kern w:val="2"/>
          <w:sz w:val="24"/>
          <w:szCs w:val="22"/>
          <w:lang w:val="en-US" w:eastAsia="zh-CN" w:bidi="ar-SA"/>
        </w:rPr>
      </w:pPr>
    </w:p>
    <w:p w14:paraId="1F6A7550">
      <w:pPr>
        <w:pStyle w:val="44"/>
        <w:rPr>
          <w:rFonts w:hint="default" w:ascii="Times New Roman" w:hAnsi="Times New Roman" w:eastAsia="仿宋_GB2312" w:cs="Times New Roman"/>
          <w:color w:val="auto"/>
          <w:kern w:val="2"/>
          <w:sz w:val="24"/>
          <w:szCs w:val="22"/>
          <w:lang w:val="en-US" w:eastAsia="zh-CN" w:bidi="ar-SA"/>
        </w:rPr>
      </w:pPr>
    </w:p>
    <w:p w14:paraId="5D24EC63">
      <w:pPr>
        <w:pStyle w:val="30"/>
        <w:rPr>
          <w:rFonts w:hint="default" w:ascii="Times New Roman" w:hAnsi="Times New Roman" w:eastAsia="仿宋_GB2312" w:cs="Times New Roman"/>
          <w:color w:val="auto"/>
          <w:kern w:val="2"/>
          <w:sz w:val="24"/>
          <w:szCs w:val="22"/>
          <w:lang w:val="en-US" w:eastAsia="zh-CN" w:bidi="ar-SA"/>
        </w:rPr>
      </w:pPr>
    </w:p>
    <w:p w14:paraId="7C354D3D">
      <w:pPr>
        <w:rPr>
          <w:rFonts w:hint="default" w:ascii="Times New Roman" w:hAnsi="Times New Roman" w:cs="Times New Roman"/>
          <w:lang w:val="en-US" w:eastAsia="zh-CN"/>
        </w:rPr>
      </w:pPr>
    </w:p>
    <w:p w14:paraId="57844687">
      <w:pPr>
        <w:pStyle w:val="14"/>
        <w:jc w:val="center"/>
        <w:rPr>
          <w:rFonts w:hint="default" w:ascii="Times New Roman" w:hAnsi="Times New Roman" w:eastAsia="仿宋_GB2312" w:cs="Times New Roman"/>
          <w:color w:val="auto"/>
          <w:kern w:val="2"/>
          <w:sz w:val="24"/>
          <w:szCs w:val="22"/>
          <w:lang w:val="en-US" w:eastAsia="zh-CN" w:bidi="ar-SA"/>
        </w:rPr>
      </w:pPr>
    </w:p>
    <w:p w14:paraId="06A8AE11">
      <w:pPr>
        <w:pStyle w:val="14"/>
        <w:jc w:val="center"/>
        <w:rPr>
          <w:rFonts w:hint="default" w:ascii="Times New Roman" w:hAnsi="Times New Roman" w:eastAsia="仿宋_GB2312" w:cs="Times New Roman"/>
          <w:color w:val="auto"/>
          <w:kern w:val="2"/>
          <w:sz w:val="24"/>
          <w:szCs w:val="22"/>
          <w:lang w:val="en-US" w:eastAsia="zh-CN" w:bidi="ar-SA"/>
        </w:rPr>
      </w:pPr>
    </w:p>
    <w:p w14:paraId="516342A9">
      <w:pPr>
        <w:spacing w:line="360" w:lineRule="auto"/>
        <w:jc w:val="center"/>
        <w:outlineLvl w:val="1"/>
        <w:rPr>
          <w:rFonts w:hint="default" w:ascii="Times New Roman" w:hAnsi="Times New Roman" w:eastAsia="仿宋" w:cs="Times New Roman"/>
          <w:b/>
          <w:bCs w:val="0"/>
          <w:color w:val="auto"/>
          <w:sz w:val="36"/>
          <w:szCs w:val="36"/>
          <w:lang w:eastAsia="zh-CN"/>
        </w:rPr>
      </w:pPr>
    </w:p>
    <w:p w14:paraId="4DFEE1E6">
      <w:pPr>
        <w:spacing w:line="360" w:lineRule="auto"/>
        <w:jc w:val="center"/>
        <w:outlineLvl w:val="1"/>
        <w:rPr>
          <w:rFonts w:hint="default" w:ascii="Times New Roman" w:hAnsi="Times New Roman" w:eastAsia="仿宋" w:cs="Times New Roman"/>
          <w:b/>
          <w:bCs w:val="0"/>
          <w:color w:val="auto"/>
          <w:sz w:val="36"/>
          <w:szCs w:val="36"/>
          <w:lang w:eastAsia="zh-CN"/>
        </w:rPr>
      </w:pPr>
    </w:p>
    <w:p w14:paraId="0737AED1">
      <w:pPr>
        <w:spacing w:line="360" w:lineRule="auto"/>
        <w:jc w:val="center"/>
        <w:outlineLvl w:val="1"/>
        <w:rPr>
          <w:rFonts w:hint="default" w:ascii="Times New Roman" w:hAnsi="Times New Roman" w:eastAsia="仿宋_GB2312" w:cs="Times New Roman"/>
          <w:b/>
          <w:bCs w:val="0"/>
          <w:color w:val="auto"/>
          <w:sz w:val="36"/>
          <w:szCs w:val="24"/>
          <w:lang w:val="en-US" w:eastAsia="zh-CN"/>
        </w:rPr>
      </w:pPr>
      <w:r>
        <w:rPr>
          <w:rFonts w:hint="default" w:ascii="Times New Roman" w:hAnsi="Times New Roman" w:eastAsia="仿宋" w:cs="Times New Roman"/>
          <w:b/>
          <w:bCs w:val="0"/>
          <w:color w:val="auto"/>
          <w:sz w:val="36"/>
          <w:szCs w:val="36"/>
          <w:lang w:eastAsia="zh-CN"/>
        </w:rPr>
        <w:t>十、</w:t>
      </w:r>
      <w:r>
        <w:rPr>
          <w:rFonts w:hint="default" w:ascii="Times New Roman" w:hAnsi="Times New Roman" w:eastAsia="仿宋_GB2312" w:cs="Times New Roman"/>
          <w:b/>
          <w:bCs w:val="0"/>
          <w:color w:val="auto"/>
          <w:sz w:val="36"/>
          <w:szCs w:val="24"/>
        </w:rPr>
        <w:t>售后服务体系及服务</w:t>
      </w:r>
      <w:r>
        <w:rPr>
          <w:rFonts w:hint="default" w:ascii="Times New Roman" w:hAnsi="Times New Roman" w:eastAsia="仿宋_GB2312" w:cs="Times New Roman"/>
          <w:b/>
          <w:bCs w:val="0"/>
          <w:color w:val="auto"/>
          <w:sz w:val="36"/>
          <w:szCs w:val="24"/>
          <w:lang w:val="en-US" w:eastAsia="zh-CN"/>
        </w:rPr>
        <w:t>情况</w:t>
      </w:r>
    </w:p>
    <w:p w14:paraId="1D63AD34">
      <w:pPr>
        <w:pStyle w:val="14"/>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b/>
          <w:bCs w:val="0"/>
          <w:color w:val="auto"/>
          <w:sz w:val="36"/>
          <w:szCs w:val="24"/>
          <w:lang w:val="en-US" w:eastAsia="zh-CN"/>
        </w:rPr>
        <w:t xml:space="preserve">         </w:t>
      </w:r>
      <w:r>
        <w:rPr>
          <w:rFonts w:hint="default" w:ascii="Times New Roman" w:hAnsi="Times New Roman" w:eastAsia="仿宋_GB2312" w:cs="Times New Roman"/>
          <w:color w:val="auto"/>
          <w:kern w:val="2"/>
          <w:sz w:val="24"/>
          <w:szCs w:val="22"/>
          <w:lang w:val="en-US" w:eastAsia="zh-CN" w:bidi="ar-SA"/>
        </w:rPr>
        <w:t>（由供应商根据磋商项目的具体要求自行编制）</w:t>
      </w:r>
    </w:p>
    <w:p w14:paraId="54530C99">
      <w:pPr>
        <w:pStyle w:val="14"/>
        <w:rPr>
          <w:rFonts w:hint="default" w:ascii="Times New Roman" w:hAnsi="Times New Roman" w:eastAsia="仿宋_GB2312" w:cs="Times New Roman"/>
          <w:color w:val="auto"/>
          <w:kern w:val="2"/>
          <w:sz w:val="24"/>
          <w:szCs w:val="22"/>
          <w:lang w:val="en-US" w:eastAsia="zh-CN" w:bidi="ar-SA"/>
        </w:rPr>
      </w:pPr>
    </w:p>
    <w:p w14:paraId="25DC47E1">
      <w:pPr>
        <w:pStyle w:val="14"/>
        <w:rPr>
          <w:rFonts w:hint="default" w:ascii="Times New Roman" w:hAnsi="Times New Roman" w:eastAsia="仿宋_GB2312" w:cs="Times New Roman"/>
          <w:color w:val="auto"/>
          <w:kern w:val="2"/>
          <w:sz w:val="24"/>
          <w:szCs w:val="22"/>
          <w:lang w:val="en-US" w:eastAsia="zh-CN" w:bidi="ar-SA"/>
        </w:rPr>
      </w:pPr>
    </w:p>
    <w:p w14:paraId="759C3A6B">
      <w:pPr>
        <w:pStyle w:val="14"/>
        <w:rPr>
          <w:rFonts w:hint="default" w:ascii="Times New Roman" w:hAnsi="Times New Roman" w:eastAsia="仿宋_GB2312" w:cs="Times New Roman"/>
          <w:color w:val="auto"/>
          <w:kern w:val="2"/>
          <w:sz w:val="24"/>
          <w:szCs w:val="22"/>
          <w:lang w:val="en-US" w:eastAsia="zh-CN" w:bidi="ar-SA"/>
        </w:rPr>
      </w:pPr>
    </w:p>
    <w:p w14:paraId="43C4BDE7">
      <w:pPr>
        <w:pStyle w:val="14"/>
        <w:rPr>
          <w:rFonts w:hint="default" w:ascii="Times New Roman" w:hAnsi="Times New Roman" w:eastAsia="仿宋_GB2312" w:cs="Times New Roman"/>
          <w:color w:val="auto"/>
          <w:kern w:val="2"/>
          <w:sz w:val="24"/>
          <w:szCs w:val="22"/>
          <w:lang w:val="en-US" w:eastAsia="zh-CN" w:bidi="ar-SA"/>
        </w:rPr>
      </w:pPr>
    </w:p>
    <w:p w14:paraId="5F66035C">
      <w:pPr>
        <w:pStyle w:val="14"/>
        <w:rPr>
          <w:rFonts w:hint="default" w:ascii="Times New Roman" w:hAnsi="Times New Roman" w:eastAsia="仿宋_GB2312" w:cs="Times New Roman"/>
          <w:color w:val="auto"/>
          <w:kern w:val="2"/>
          <w:sz w:val="24"/>
          <w:szCs w:val="22"/>
          <w:lang w:val="en-US" w:eastAsia="zh-CN" w:bidi="ar-SA"/>
        </w:rPr>
      </w:pPr>
    </w:p>
    <w:p w14:paraId="0BFB4A03">
      <w:pPr>
        <w:pStyle w:val="14"/>
        <w:rPr>
          <w:rFonts w:hint="default" w:ascii="Times New Roman" w:hAnsi="Times New Roman" w:eastAsia="仿宋_GB2312" w:cs="Times New Roman"/>
          <w:color w:val="auto"/>
          <w:kern w:val="2"/>
          <w:sz w:val="24"/>
          <w:szCs w:val="22"/>
          <w:lang w:val="en-US" w:eastAsia="zh-CN" w:bidi="ar-SA"/>
        </w:rPr>
      </w:pPr>
    </w:p>
    <w:p w14:paraId="3F94810B">
      <w:pPr>
        <w:pStyle w:val="14"/>
        <w:rPr>
          <w:rFonts w:hint="default" w:ascii="Times New Roman" w:hAnsi="Times New Roman" w:eastAsia="仿宋_GB2312" w:cs="Times New Roman"/>
          <w:color w:val="auto"/>
          <w:kern w:val="2"/>
          <w:sz w:val="24"/>
          <w:szCs w:val="22"/>
          <w:lang w:val="en-US" w:eastAsia="zh-CN" w:bidi="ar-SA"/>
        </w:rPr>
      </w:pPr>
    </w:p>
    <w:p w14:paraId="4E445C39">
      <w:pPr>
        <w:pStyle w:val="14"/>
        <w:rPr>
          <w:rFonts w:hint="default" w:ascii="Times New Roman" w:hAnsi="Times New Roman" w:eastAsia="仿宋_GB2312" w:cs="Times New Roman"/>
          <w:color w:val="auto"/>
          <w:kern w:val="2"/>
          <w:sz w:val="24"/>
          <w:szCs w:val="22"/>
          <w:lang w:val="en-US" w:eastAsia="zh-CN" w:bidi="ar-SA"/>
        </w:rPr>
      </w:pPr>
    </w:p>
    <w:p w14:paraId="45902B58">
      <w:pPr>
        <w:pStyle w:val="14"/>
        <w:rPr>
          <w:rFonts w:hint="default" w:ascii="Times New Roman" w:hAnsi="Times New Roman" w:eastAsia="仿宋_GB2312" w:cs="Times New Roman"/>
          <w:color w:val="auto"/>
          <w:kern w:val="2"/>
          <w:sz w:val="24"/>
          <w:szCs w:val="22"/>
          <w:lang w:val="en-US" w:eastAsia="zh-CN" w:bidi="ar-SA"/>
        </w:rPr>
      </w:pPr>
    </w:p>
    <w:p w14:paraId="797E5631">
      <w:pPr>
        <w:pStyle w:val="14"/>
        <w:rPr>
          <w:rFonts w:hint="default" w:ascii="Times New Roman" w:hAnsi="Times New Roman" w:eastAsia="仿宋_GB2312" w:cs="Times New Roman"/>
          <w:color w:val="auto"/>
          <w:kern w:val="2"/>
          <w:sz w:val="24"/>
          <w:szCs w:val="22"/>
          <w:lang w:val="en-US" w:eastAsia="zh-CN" w:bidi="ar-SA"/>
        </w:rPr>
      </w:pPr>
    </w:p>
    <w:p w14:paraId="7ABCEC88">
      <w:pPr>
        <w:pStyle w:val="14"/>
        <w:rPr>
          <w:rFonts w:hint="default" w:ascii="Times New Roman" w:hAnsi="Times New Roman" w:eastAsia="仿宋_GB2312" w:cs="Times New Roman"/>
          <w:color w:val="auto"/>
          <w:kern w:val="2"/>
          <w:sz w:val="24"/>
          <w:szCs w:val="22"/>
          <w:lang w:val="en-US" w:eastAsia="zh-CN" w:bidi="ar-SA"/>
        </w:rPr>
      </w:pPr>
    </w:p>
    <w:p w14:paraId="69E49D55">
      <w:pPr>
        <w:pStyle w:val="14"/>
        <w:rPr>
          <w:rFonts w:hint="default" w:ascii="Times New Roman" w:hAnsi="Times New Roman" w:eastAsia="仿宋_GB2312" w:cs="Times New Roman"/>
          <w:color w:val="auto"/>
          <w:kern w:val="2"/>
          <w:sz w:val="24"/>
          <w:szCs w:val="22"/>
          <w:lang w:val="en-US" w:eastAsia="zh-CN" w:bidi="ar-SA"/>
        </w:rPr>
      </w:pPr>
    </w:p>
    <w:p w14:paraId="5F1C3001">
      <w:pPr>
        <w:pStyle w:val="14"/>
        <w:rPr>
          <w:rFonts w:hint="default" w:ascii="Times New Roman" w:hAnsi="Times New Roman" w:eastAsia="仿宋_GB2312" w:cs="Times New Roman"/>
          <w:color w:val="auto"/>
          <w:kern w:val="2"/>
          <w:sz w:val="24"/>
          <w:szCs w:val="22"/>
          <w:lang w:val="en-US" w:eastAsia="zh-CN" w:bidi="ar-SA"/>
        </w:rPr>
      </w:pPr>
    </w:p>
    <w:p w14:paraId="04BB4782">
      <w:pPr>
        <w:pStyle w:val="14"/>
        <w:rPr>
          <w:rFonts w:hint="default" w:ascii="Times New Roman" w:hAnsi="Times New Roman" w:eastAsia="仿宋_GB2312" w:cs="Times New Roman"/>
          <w:color w:val="auto"/>
          <w:kern w:val="2"/>
          <w:sz w:val="24"/>
          <w:szCs w:val="22"/>
          <w:lang w:val="en-US" w:eastAsia="zh-CN" w:bidi="ar-SA"/>
        </w:rPr>
      </w:pPr>
    </w:p>
    <w:p w14:paraId="68DEE76A">
      <w:pPr>
        <w:pStyle w:val="14"/>
        <w:rPr>
          <w:rFonts w:hint="default" w:ascii="Times New Roman" w:hAnsi="Times New Roman" w:eastAsia="仿宋_GB2312" w:cs="Times New Roman"/>
          <w:color w:val="auto"/>
          <w:kern w:val="2"/>
          <w:sz w:val="24"/>
          <w:szCs w:val="22"/>
          <w:lang w:val="en-US" w:eastAsia="zh-CN" w:bidi="ar-SA"/>
        </w:rPr>
      </w:pPr>
    </w:p>
    <w:p w14:paraId="5DE16408">
      <w:pPr>
        <w:pStyle w:val="14"/>
        <w:rPr>
          <w:rFonts w:hint="default" w:ascii="Times New Roman" w:hAnsi="Times New Roman" w:eastAsia="仿宋_GB2312" w:cs="Times New Roman"/>
          <w:color w:val="auto"/>
          <w:kern w:val="2"/>
          <w:sz w:val="24"/>
          <w:szCs w:val="22"/>
          <w:lang w:val="en-US" w:eastAsia="zh-CN" w:bidi="ar-SA"/>
        </w:rPr>
      </w:pPr>
    </w:p>
    <w:p w14:paraId="629FF04B">
      <w:pPr>
        <w:pStyle w:val="14"/>
        <w:rPr>
          <w:rFonts w:hint="default" w:ascii="Times New Roman" w:hAnsi="Times New Roman" w:eastAsia="仿宋_GB2312" w:cs="Times New Roman"/>
          <w:color w:val="auto"/>
          <w:kern w:val="2"/>
          <w:sz w:val="24"/>
          <w:szCs w:val="22"/>
          <w:lang w:val="en-US" w:eastAsia="zh-CN" w:bidi="ar-SA"/>
        </w:rPr>
      </w:pPr>
    </w:p>
    <w:p w14:paraId="68A9823A">
      <w:pPr>
        <w:pStyle w:val="14"/>
        <w:rPr>
          <w:rFonts w:hint="default" w:ascii="Times New Roman" w:hAnsi="Times New Roman" w:eastAsia="仿宋_GB2312" w:cs="Times New Roman"/>
          <w:color w:val="auto"/>
          <w:kern w:val="2"/>
          <w:sz w:val="24"/>
          <w:szCs w:val="22"/>
          <w:lang w:val="en-US" w:eastAsia="zh-CN" w:bidi="ar-SA"/>
        </w:rPr>
      </w:pPr>
    </w:p>
    <w:p w14:paraId="5C4A433D">
      <w:pPr>
        <w:pStyle w:val="14"/>
        <w:rPr>
          <w:rFonts w:hint="default" w:ascii="Times New Roman" w:hAnsi="Times New Roman" w:eastAsia="仿宋_GB2312" w:cs="Times New Roman"/>
          <w:color w:val="auto"/>
          <w:kern w:val="2"/>
          <w:sz w:val="24"/>
          <w:szCs w:val="22"/>
          <w:lang w:val="en-US" w:eastAsia="zh-CN" w:bidi="ar-SA"/>
        </w:rPr>
      </w:pPr>
    </w:p>
    <w:p w14:paraId="25D935B0">
      <w:pPr>
        <w:pStyle w:val="14"/>
        <w:rPr>
          <w:rFonts w:hint="default" w:ascii="Times New Roman" w:hAnsi="Times New Roman" w:eastAsia="仿宋_GB2312" w:cs="Times New Roman"/>
          <w:color w:val="auto"/>
          <w:kern w:val="2"/>
          <w:sz w:val="24"/>
          <w:szCs w:val="22"/>
          <w:lang w:val="en-US" w:eastAsia="zh-CN" w:bidi="ar-SA"/>
        </w:rPr>
      </w:pPr>
    </w:p>
    <w:p w14:paraId="61199221">
      <w:pPr>
        <w:pStyle w:val="14"/>
        <w:rPr>
          <w:rFonts w:hint="default" w:ascii="Times New Roman" w:hAnsi="Times New Roman" w:eastAsia="仿宋_GB2312" w:cs="Times New Roman"/>
          <w:color w:val="auto"/>
          <w:kern w:val="2"/>
          <w:sz w:val="24"/>
          <w:szCs w:val="22"/>
          <w:lang w:val="en-US" w:eastAsia="zh-CN" w:bidi="ar-SA"/>
        </w:rPr>
      </w:pPr>
    </w:p>
    <w:p w14:paraId="5178E594">
      <w:pPr>
        <w:pStyle w:val="14"/>
        <w:rPr>
          <w:rFonts w:hint="default" w:ascii="Times New Roman" w:hAnsi="Times New Roman" w:eastAsia="仿宋_GB2312" w:cs="Times New Roman"/>
          <w:color w:val="auto"/>
          <w:kern w:val="2"/>
          <w:sz w:val="24"/>
          <w:szCs w:val="22"/>
          <w:lang w:val="en-US" w:eastAsia="zh-CN" w:bidi="ar-SA"/>
        </w:rPr>
      </w:pPr>
    </w:p>
    <w:p w14:paraId="526AE08B">
      <w:pPr>
        <w:pStyle w:val="14"/>
        <w:rPr>
          <w:rFonts w:hint="default" w:ascii="Times New Roman" w:hAnsi="Times New Roman" w:eastAsia="仿宋_GB2312" w:cs="Times New Roman"/>
          <w:color w:val="auto"/>
          <w:kern w:val="2"/>
          <w:sz w:val="24"/>
          <w:szCs w:val="22"/>
          <w:lang w:val="en-US" w:eastAsia="zh-CN" w:bidi="ar-SA"/>
        </w:rPr>
      </w:pPr>
    </w:p>
    <w:p w14:paraId="749E2064">
      <w:pPr>
        <w:pStyle w:val="14"/>
        <w:rPr>
          <w:rFonts w:hint="default" w:ascii="Times New Roman" w:hAnsi="Times New Roman" w:eastAsia="仿宋_GB2312" w:cs="Times New Roman"/>
          <w:color w:val="auto"/>
          <w:kern w:val="2"/>
          <w:sz w:val="24"/>
          <w:szCs w:val="22"/>
          <w:lang w:val="en-US" w:eastAsia="zh-CN" w:bidi="ar-SA"/>
        </w:rPr>
      </w:pPr>
    </w:p>
    <w:p w14:paraId="246C3BF1">
      <w:pPr>
        <w:pStyle w:val="14"/>
        <w:rPr>
          <w:rFonts w:hint="default" w:ascii="Times New Roman" w:hAnsi="Times New Roman" w:eastAsia="仿宋_GB2312" w:cs="Times New Roman"/>
          <w:color w:val="auto"/>
          <w:kern w:val="2"/>
          <w:sz w:val="24"/>
          <w:szCs w:val="22"/>
          <w:lang w:val="en-US" w:eastAsia="zh-CN" w:bidi="ar-SA"/>
        </w:rPr>
      </w:pPr>
    </w:p>
    <w:p w14:paraId="3032E661">
      <w:pPr>
        <w:pStyle w:val="14"/>
        <w:rPr>
          <w:rFonts w:hint="default" w:ascii="Times New Roman" w:hAnsi="Times New Roman" w:eastAsia="仿宋_GB2312" w:cs="Times New Roman"/>
          <w:color w:val="auto"/>
          <w:kern w:val="2"/>
          <w:sz w:val="24"/>
          <w:szCs w:val="22"/>
          <w:lang w:val="en-US" w:eastAsia="zh-CN" w:bidi="ar-SA"/>
        </w:rPr>
      </w:pPr>
    </w:p>
    <w:p w14:paraId="6678742E">
      <w:pPr>
        <w:pStyle w:val="14"/>
        <w:rPr>
          <w:rFonts w:hint="default" w:ascii="Times New Roman" w:hAnsi="Times New Roman" w:eastAsia="仿宋_GB2312" w:cs="Times New Roman"/>
          <w:color w:val="auto"/>
          <w:kern w:val="2"/>
          <w:sz w:val="24"/>
          <w:szCs w:val="22"/>
          <w:lang w:val="en-US" w:eastAsia="zh-CN" w:bidi="ar-SA"/>
        </w:rPr>
      </w:pPr>
    </w:p>
    <w:p w14:paraId="586ED453">
      <w:pPr>
        <w:pStyle w:val="14"/>
        <w:rPr>
          <w:rFonts w:hint="default" w:ascii="Times New Roman" w:hAnsi="Times New Roman" w:eastAsia="仿宋_GB2312" w:cs="Times New Roman"/>
          <w:color w:val="auto"/>
          <w:kern w:val="2"/>
          <w:sz w:val="24"/>
          <w:szCs w:val="22"/>
          <w:lang w:val="en-US" w:eastAsia="zh-CN" w:bidi="ar-SA"/>
        </w:rPr>
      </w:pPr>
    </w:p>
    <w:p w14:paraId="72DDD7F0">
      <w:pPr>
        <w:pStyle w:val="14"/>
        <w:rPr>
          <w:rFonts w:hint="default" w:ascii="Times New Roman" w:hAnsi="Times New Roman" w:eastAsia="仿宋_GB2312" w:cs="Times New Roman"/>
          <w:color w:val="auto"/>
          <w:kern w:val="2"/>
          <w:sz w:val="24"/>
          <w:szCs w:val="22"/>
          <w:lang w:val="en-US" w:eastAsia="zh-CN" w:bidi="ar-SA"/>
        </w:rPr>
      </w:pPr>
    </w:p>
    <w:p w14:paraId="32A7A232">
      <w:pPr>
        <w:pStyle w:val="14"/>
        <w:rPr>
          <w:rFonts w:hint="default" w:ascii="Times New Roman" w:hAnsi="Times New Roman" w:eastAsia="仿宋_GB2312" w:cs="Times New Roman"/>
          <w:color w:val="auto"/>
          <w:kern w:val="2"/>
          <w:sz w:val="24"/>
          <w:szCs w:val="22"/>
          <w:lang w:val="en-US" w:eastAsia="zh-CN" w:bidi="ar-SA"/>
        </w:rPr>
      </w:pPr>
    </w:p>
    <w:p w14:paraId="5A9F8D21">
      <w:pPr>
        <w:pStyle w:val="14"/>
        <w:rPr>
          <w:rFonts w:hint="default" w:ascii="Times New Roman" w:hAnsi="Times New Roman" w:eastAsia="仿宋_GB2312" w:cs="Times New Roman"/>
          <w:color w:val="auto"/>
          <w:kern w:val="2"/>
          <w:sz w:val="24"/>
          <w:szCs w:val="22"/>
          <w:lang w:val="en-US" w:eastAsia="zh-CN" w:bidi="ar-SA"/>
        </w:rPr>
      </w:pPr>
    </w:p>
    <w:p w14:paraId="2E6A03A6">
      <w:pPr>
        <w:pStyle w:val="14"/>
        <w:rPr>
          <w:rFonts w:hint="default" w:ascii="Times New Roman" w:hAnsi="Times New Roman" w:eastAsia="仿宋_GB2312" w:cs="Times New Roman"/>
          <w:color w:val="auto"/>
          <w:kern w:val="2"/>
          <w:sz w:val="24"/>
          <w:szCs w:val="22"/>
          <w:lang w:val="en-US" w:eastAsia="zh-CN" w:bidi="ar-SA"/>
        </w:rPr>
      </w:pPr>
    </w:p>
    <w:p w14:paraId="07E9FC6D">
      <w:pPr>
        <w:pStyle w:val="14"/>
        <w:rPr>
          <w:rFonts w:hint="default" w:ascii="Times New Roman" w:hAnsi="Times New Roman" w:eastAsia="仿宋_GB2312" w:cs="Times New Roman"/>
          <w:color w:val="auto"/>
          <w:kern w:val="2"/>
          <w:sz w:val="24"/>
          <w:szCs w:val="22"/>
          <w:lang w:val="en-US" w:eastAsia="zh-CN" w:bidi="ar-SA"/>
        </w:rPr>
      </w:pPr>
    </w:p>
    <w:p w14:paraId="4CC24DE9">
      <w:pPr>
        <w:pStyle w:val="14"/>
        <w:rPr>
          <w:rFonts w:hint="default" w:ascii="Times New Roman" w:hAnsi="Times New Roman" w:eastAsia="仿宋_GB2312" w:cs="Times New Roman"/>
          <w:color w:val="auto"/>
          <w:kern w:val="2"/>
          <w:sz w:val="24"/>
          <w:szCs w:val="22"/>
          <w:lang w:val="en-US" w:eastAsia="zh-CN" w:bidi="ar-SA"/>
        </w:rPr>
      </w:pPr>
    </w:p>
    <w:p w14:paraId="5D8A395D">
      <w:pPr>
        <w:spacing w:line="360" w:lineRule="auto"/>
        <w:jc w:val="center"/>
        <w:outlineLvl w:val="1"/>
        <w:rPr>
          <w:rFonts w:hint="default" w:ascii="Times New Roman" w:hAnsi="Times New Roman" w:eastAsia="仿宋_GB2312" w:cs="Times New Roman"/>
          <w:b/>
          <w:bCs w:val="0"/>
          <w:color w:val="auto"/>
          <w:sz w:val="36"/>
          <w:szCs w:val="24"/>
        </w:rPr>
      </w:pPr>
      <w:r>
        <w:rPr>
          <w:rFonts w:hint="default" w:ascii="Times New Roman" w:hAnsi="Times New Roman" w:eastAsia="仿宋" w:cs="Times New Roman"/>
          <w:b/>
          <w:bCs w:val="0"/>
          <w:color w:val="auto"/>
          <w:sz w:val="36"/>
          <w:szCs w:val="36"/>
          <w:lang w:eastAsia="zh-CN"/>
        </w:rPr>
        <w:t>十一、</w:t>
      </w:r>
      <w:r>
        <w:rPr>
          <w:rFonts w:hint="default" w:ascii="Times New Roman" w:hAnsi="Times New Roman" w:eastAsia="仿宋_GB2312" w:cs="Times New Roman"/>
          <w:b/>
          <w:bCs w:val="0"/>
          <w:color w:val="auto"/>
          <w:sz w:val="36"/>
          <w:szCs w:val="24"/>
        </w:rPr>
        <w:t>服务偏离表</w:t>
      </w:r>
    </w:p>
    <w:p w14:paraId="0FA9FEDF">
      <w:pPr>
        <w:spacing w:line="360" w:lineRule="auto"/>
        <w:rPr>
          <w:rFonts w:hint="default" w:ascii="Times New Roman" w:hAnsi="Times New Roman" w:cs="Times New Roman"/>
          <w:b/>
          <w:color w:val="auto"/>
          <w:szCs w:val="21"/>
        </w:rPr>
      </w:pPr>
      <w:r>
        <w:rPr>
          <w:rFonts w:hint="default" w:ascii="Times New Roman" w:hAnsi="Times New Roman" w:eastAsia="仿宋_GB2312" w:cs="Times New Roman"/>
          <w:b/>
          <w:color w:val="auto"/>
          <w:sz w:val="24"/>
        </w:rPr>
        <w:t xml:space="preserve">投标人名称（公章）：         　　　　　         </w:t>
      </w:r>
      <w:r>
        <w:rPr>
          <w:rFonts w:hint="default" w:ascii="Times New Roman" w:hAnsi="Times New Roman" w:cs="Times New Roman"/>
          <w:b/>
          <w:color w:val="auto"/>
          <w:szCs w:val="21"/>
        </w:rPr>
        <w:t>　</w:t>
      </w:r>
    </w:p>
    <w:tbl>
      <w:tblPr>
        <w:tblStyle w:val="35"/>
        <w:tblW w:w="8811"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520"/>
        <w:gridCol w:w="2556"/>
        <w:gridCol w:w="1800"/>
      </w:tblGrid>
      <w:tr w14:paraId="050D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5F9577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260" w:type="dxa"/>
            <w:vAlign w:val="center"/>
          </w:tcPr>
          <w:p w14:paraId="043D1A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520" w:type="dxa"/>
            <w:vAlign w:val="center"/>
          </w:tcPr>
          <w:p w14:paraId="5AB6E6C9">
            <w:pPr>
              <w:keepNext w:val="0"/>
              <w:keepLines w:val="0"/>
              <w:pageBreakBefore w:val="0"/>
              <w:widowControl w:val="0"/>
              <w:kinsoku/>
              <w:wordWrap/>
              <w:overflowPunct/>
              <w:topLinePunct w:val="0"/>
              <w:autoSpaceDE/>
              <w:autoSpaceDN/>
              <w:bidi w:val="0"/>
              <w:adjustRightInd/>
              <w:snapToGrid/>
              <w:spacing w:line="600" w:lineRule="exact"/>
              <w:ind w:firstLine="105" w:firstLineChars="5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采购要求</w:t>
            </w:r>
          </w:p>
        </w:tc>
        <w:tc>
          <w:tcPr>
            <w:tcW w:w="2556" w:type="dxa"/>
            <w:vAlign w:val="center"/>
          </w:tcPr>
          <w:p w14:paraId="70766B0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实报内容</w:t>
            </w:r>
          </w:p>
        </w:tc>
        <w:tc>
          <w:tcPr>
            <w:tcW w:w="1800" w:type="dxa"/>
            <w:vAlign w:val="center"/>
          </w:tcPr>
          <w:p w14:paraId="6EBB86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偏离说明</w:t>
            </w:r>
          </w:p>
        </w:tc>
      </w:tr>
      <w:tr w14:paraId="4EA6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4ED007C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011D747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2ABE6C6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2640278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710652F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r w14:paraId="7A50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vAlign w:val="top"/>
          </w:tcPr>
          <w:p w14:paraId="0D5D004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2EB22F5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026BCF3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40DA9F8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763FA95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r w14:paraId="5C5F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28A5AE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7435D09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72D2DEC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4B4192B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523897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r w14:paraId="6B28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vAlign w:val="top"/>
          </w:tcPr>
          <w:p w14:paraId="5C3BB58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260" w:type="dxa"/>
            <w:vAlign w:val="top"/>
          </w:tcPr>
          <w:p w14:paraId="6EA7E1A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20" w:type="dxa"/>
            <w:vAlign w:val="top"/>
          </w:tcPr>
          <w:p w14:paraId="0E471AB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2556" w:type="dxa"/>
            <w:vAlign w:val="top"/>
          </w:tcPr>
          <w:p w14:paraId="4FDDCAF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c>
          <w:tcPr>
            <w:tcW w:w="1800" w:type="dxa"/>
            <w:vAlign w:val="top"/>
          </w:tcPr>
          <w:p w14:paraId="0D3750F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sz w:val="18"/>
                <w:szCs w:val="18"/>
              </w:rPr>
            </w:pPr>
          </w:p>
        </w:tc>
      </w:tr>
    </w:tbl>
    <w:p w14:paraId="2162869C">
      <w:pPr>
        <w:spacing w:line="360" w:lineRule="auto"/>
        <w:rPr>
          <w:rFonts w:hint="default" w:ascii="Times New Roman" w:hAnsi="Times New Roman" w:eastAsia="仿宋_GB2312" w:cs="Times New Roman"/>
          <w:color w:val="auto"/>
          <w:sz w:val="24"/>
        </w:rPr>
      </w:pPr>
    </w:p>
    <w:p w14:paraId="7135F4BB">
      <w:pPr>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r>
        <w:rPr>
          <w:rFonts w:hint="default" w:ascii="Times New Roman" w:hAnsi="Times New Roman" w:eastAsia="仿宋_GB2312" w:cs="Times New Roman"/>
          <w:b/>
          <w:color w:val="auto"/>
          <w:sz w:val="24"/>
        </w:rPr>
        <w:t>投标人代表签字：</w:t>
      </w:r>
      <w:r>
        <w:rPr>
          <w:rFonts w:hint="default" w:ascii="Times New Roman" w:hAnsi="Times New Roman" w:eastAsia="仿宋_GB2312" w:cs="Times New Roman"/>
          <w:b/>
          <w:color w:val="auto"/>
          <w:sz w:val="24"/>
          <w:u w:val="single"/>
        </w:rPr>
        <w:t>　　　　　　　　　　　　　　　</w:t>
      </w:r>
      <w:r>
        <w:rPr>
          <w:rFonts w:hint="default" w:ascii="Times New Roman" w:hAnsi="Times New Roman" w:eastAsia="仿宋_GB2312" w:cs="Times New Roman"/>
          <w:b/>
          <w:color w:val="auto"/>
          <w:sz w:val="24"/>
        </w:rPr>
        <w:t>　</w:t>
      </w:r>
    </w:p>
    <w:p w14:paraId="10E3D682">
      <w:pPr>
        <w:spacing w:line="360" w:lineRule="auto"/>
        <w:rPr>
          <w:rFonts w:hint="default" w:ascii="Times New Roman" w:hAnsi="Times New Roman" w:eastAsia="仿宋_GB2312" w:cs="Times New Roman"/>
          <w:color w:val="auto"/>
          <w:sz w:val="24"/>
        </w:rPr>
      </w:pPr>
    </w:p>
    <w:p w14:paraId="4A3E124B">
      <w:pPr>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注：1、请各投标人自行对照本次服务的内容、标准和要求，如无服务偏离，请于本表中注明“无偏离”，本表不得删除。</w:t>
      </w:r>
    </w:p>
    <w:p w14:paraId="36BDAB6E">
      <w:pPr>
        <w:spacing w:line="360" w:lineRule="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2、如有服务正偏离项，请于本表中列明服务内容，无偏离的不许赘述，上表如需要可自行延长。</w:t>
      </w:r>
    </w:p>
    <w:p w14:paraId="525B3DFF">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0A6D9393">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01FBA1A6">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23AD1E4C">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61A123D9">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7C31427B">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7E60E2FE">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27F7A855">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34D67EA5">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10968C03">
      <w:pPr>
        <w:keepNext w:val="0"/>
        <w:keepLines w:val="0"/>
        <w:pageBreakBefore w:val="0"/>
        <w:widowControl w:val="0"/>
        <w:kinsoku/>
        <w:wordWrap/>
        <w:overflowPunct/>
        <w:topLinePunct w:val="0"/>
        <w:autoSpaceDE/>
        <w:autoSpaceDN/>
        <w:bidi w:val="0"/>
        <w:adjustRightInd/>
        <w:snapToGrid/>
        <w:spacing w:line="560" w:lineRule="exact"/>
        <w:ind w:firstLine="361" w:firstLineChars="100"/>
        <w:textAlignment w:val="auto"/>
        <w:rPr>
          <w:rFonts w:hint="default" w:ascii="Times New Roman" w:hAnsi="Times New Roman" w:eastAsia="仿宋" w:cs="Times New Roman"/>
          <w:b/>
          <w:bCs/>
          <w:color w:val="auto"/>
          <w:sz w:val="36"/>
          <w:szCs w:val="24"/>
          <w:lang w:eastAsia="zh-CN"/>
        </w:rPr>
      </w:pPr>
    </w:p>
    <w:p w14:paraId="25BA9F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6"/>
          <w:szCs w:val="24"/>
          <w:lang w:eastAsia="zh-CN"/>
        </w:rPr>
      </w:pPr>
    </w:p>
    <w:p w14:paraId="5F01BB78">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r>
        <w:rPr>
          <w:rFonts w:hint="default" w:ascii="Times New Roman" w:hAnsi="Times New Roman" w:eastAsia="仿宋" w:cs="Times New Roman"/>
          <w:b/>
          <w:bCs/>
          <w:color w:val="auto"/>
          <w:sz w:val="36"/>
          <w:szCs w:val="24"/>
          <w:lang w:eastAsia="zh-CN"/>
        </w:rPr>
        <w:t>十二</w:t>
      </w:r>
      <w:r>
        <w:rPr>
          <w:rFonts w:hint="default" w:ascii="Times New Roman" w:hAnsi="Times New Roman" w:eastAsia="仿宋" w:cs="Times New Roman"/>
          <w:b/>
          <w:bCs/>
          <w:color w:val="auto"/>
          <w:sz w:val="36"/>
          <w:szCs w:val="24"/>
        </w:rPr>
        <w:t>、</w:t>
      </w:r>
      <w:r>
        <w:rPr>
          <w:rFonts w:hint="eastAsia" w:eastAsia="仿宋" w:cs="Times New Roman"/>
          <w:b/>
          <w:bCs/>
          <w:color w:val="auto"/>
          <w:sz w:val="36"/>
          <w:szCs w:val="24"/>
          <w:lang w:val="en-US" w:eastAsia="zh-CN"/>
        </w:rPr>
        <w:t>提供2023年度或2024年度经审计过的财务审计报告或财务报表（财务报表应至少包括资产负债表、利润表、现金流量表或财务状况变动表等）或银行出具的近三个月的资金证明，新成立不足一年的投标人无法提供审计报告，则需提供开户银行出具的有效的资金证明；</w:t>
      </w:r>
    </w:p>
    <w:p w14:paraId="2ACEE0BB">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678AE46B">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74285501">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0B77E414">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45E58D50">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2477384E">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51D8DA1E">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438FA27C">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156A93B5">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61E8E2BC">
      <w:pPr>
        <w:keepNext w:val="0"/>
        <w:keepLines w:val="0"/>
        <w:pageBreakBefore w:val="0"/>
        <w:widowControl w:val="0"/>
        <w:kinsoku/>
        <w:wordWrap/>
        <w:overflowPunct/>
        <w:topLinePunct w:val="0"/>
        <w:autoSpaceDE/>
        <w:autoSpaceDN/>
        <w:bidi w:val="0"/>
        <w:adjustRightInd/>
        <w:snapToGrid/>
        <w:spacing w:line="560" w:lineRule="exact"/>
        <w:ind w:firstLine="904" w:firstLineChars="250"/>
        <w:textAlignment w:val="auto"/>
        <w:rPr>
          <w:rFonts w:hint="default" w:ascii="Times New Roman" w:hAnsi="Times New Roman" w:eastAsia="仿宋" w:cs="Times New Roman"/>
          <w:b/>
          <w:bCs/>
          <w:color w:val="auto"/>
          <w:sz w:val="36"/>
          <w:szCs w:val="24"/>
          <w:lang w:eastAsia="zh-CN"/>
        </w:rPr>
      </w:pPr>
    </w:p>
    <w:p w14:paraId="7334AB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color w:val="auto"/>
          <w:sz w:val="36"/>
          <w:szCs w:val="24"/>
          <w:lang w:eastAsia="zh-CN"/>
        </w:rPr>
      </w:pPr>
    </w:p>
    <w:p w14:paraId="0D98C3EC">
      <w:pPr>
        <w:pStyle w:val="2"/>
        <w:rPr>
          <w:rFonts w:hint="default" w:ascii="Times New Roman" w:hAnsi="Times New Roman" w:eastAsia="仿宋" w:cs="Times New Roman"/>
          <w:b/>
          <w:bCs/>
          <w:color w:val="auto"/>
          <w:sz w:val="36"/>
          <w:szCs w:val="24"/>
          <w:lang w:eastAsia="zh-CN"/>
        </w:rPr>
      </w:pPr>
    </w:p>
    <w:p w14:paraId="005EBCBD">
      <w:pPr>
        <w:rPr>
          <w:rFonts w:hint="default" w:ascii="Times New Roman" w:hAnsi="Times New Roman" w:eastAsia="仿宋" w:cs="Times New Roman"/>
          <w:b/>
          <w:bCs/>
          <w:color w:val="auto"/>
          <w:sz w:val="36"/>
          <w:szCs w:val="24"/>
          <w:lang w:eastAsia="zh-CN"/>
        </w:rPr>
      </w:pPr>
    </w:p>
    <w:p w14:paraId="69DF229F">
      <w:pPr>
        <w:rPr>
          <w:rFonts w:hint="default" w:ascii="Times New Roman" w:hAnsi="Times New Roman" w:eastAsia="仿宋" w:cs="Times New Roman"/>
          <w:b/>
          <w:bCs/>
          <w:color w:val="auto"/>
          <w:sz w:val="36"/>
          <w:szCs w:val="24"/>
          <w:lang w:eastAsia="zh-CN"/>
        </w:rPr>
      </w:pPr>
    </w:p>
    <w:p w14:paraId="36BCD870">
      <w:pPr>
        <w:rPr>
          <w:rFonts w:hint="default" w:ascii="Times New Roman" w:hAnsi="Times New Roman" w:eastAsia="仿宋" w:cs="Times New Roman"/>
          <w:b/>
          <w:bCs/>
          <w:color w:val="auto"/>
          <w:sz w:val="36"/>
          <w:szCs w:val="24"/>
          <w:lang w:eastAsia="zh-CN"/>
        </w:rPr>
      </w:pPr>
    </w:p>
    <w:p w14:paraId="6D026D90">
      <w:pPr>
        <w:pStyle w:val="2"/>
        <w:rPr>
          <w:rFonts w:hint="default" w:ascii="Times New Roman" w:hAnsi="Times New Roman" w:eastAsia="仿宋" w:cs="Times New Roman"/>
          <w:b/>
          <w:bCs/>
          <w:color w:val="auto"/>
          <w:sz w:val="36"/>
          <w:szCs w:val="24"/>
          <w:lang w:eastAsia="zh-CN"/>
        </w:rPr>
      </w:pPr>
    </w:p>
    <w:p w14:paraId="6A02B6BA">
      <w:pPr>
        <w:rPr>
          <w:rFonts w:hint="default" w:ascii="Times New Roman" w:hAnsi="Times New Roman" w:eastAsia="仿宋" w:cs="Times New Roman"/>
          <w:b/>
          <w:bCs/>
          <w:color w:val="auto"/>
          <w:sz w:val="36"/>
          <w:szCs w:val="24"/>
          <w:lang w:eastAsia="zh-CN"/>
        </w:rPr>
      </w:pPr>
    </w:p>
    <w:p w14:paraId="1012BDA0">
      <w:pPr>
        <w:pStyle w:val="14"/>
        <w:rPr>
          <w:rFonts w:hint="default" w:ascii="Times New Roman" w:hAnsi="Times New Roman" w:eastAsia="仿宋" w:cs="Times New Roman"/>
          <w:b/>
          <w:bCs/>
          <w:color w:val="auto"/>
          <w:sz w:val="36"/>
          <w:szCs w:val="24"/>
          <w:lang w:eastAsia="zh-CN"/>
        </w:rPr>
      </w:pPr>
    </w:p>
    <w:p w14:paraId="6CB8524E">
      <w:pPr>
        <w:rPr>
          <w:rFonts w:hint="default"/>
          <w:lang w:eastAsia="zh-CN"/>
        </w:rPr>
      </w:pPr>
    </w:p>
    <w:p w14:paraId="50172C99">
      <w:pPr>
        <w:rPr>
          <w:rFonts w:hint="default" w:ascii="Times New Roman" w:hAnsi="Times New Roman" w:eastAsia="仿宋" w:cs="Times New Roman"/>
          <w:b/>
          <w:bCs/>
          <w:color w:val="auto"/>
          <w:sz w:val="36"/>
          <w:szCs w:val="24"/>
          <w:lang w:eastAsia="zh-CN"/>
        </w:rPr>
      </w:pPr>
    </w:p>
    <w:p w14:paraId="12DF8CD8">
      <w:pPr>
        <w:pStyle w:val="2"/>
        <w:rPr>
          <w:rFonts w:hint="default" w:ascii="Times New Roman" w:hAnsi="Times New Roman" w:eastAsia="仿宋" w:cs="Times New Roman"/>
          <w:b/>
          <w:bCs/>
          <w:color w:val="auto"/>
          <w:sz w:val="36"/>
          <w:szCs w:val="24"/>
          <w:lang w:eastAsia="zh-CN"/>
        </w:rPr>
      </w:pPr>
    </w:p>
    <w:p w14:paraId="68F24715">
      <w:pPr>
        <w:rPr>
          <w:rFonts w:hint="default" w:ascii="Times New Roman" w:hAnsi="Times New Roman" w:eastAsia="仿宋" w:cs="Times New Roman"/>
          <w:b/>
          <w:bCs/>
          <w:color w:val="auto"/>
          <w:sz w:val="36"/>
          <w:szCs w:val="24"/>
          <w:lang w:eastAsia="zh-CN"/>
        </w:rPr>
      </w:pPr>
    </w:p>
    <w:p w14:paraId="1976AB37">
      <w:pPr>
        <w:widowControl/>
        <w:spacing w:line="360" w:lineRule="auto"/>
        <w:jc w:val="center"/>
        <w:rPr>
          <w:rFonts w:hint="eastAsia" w:ascii="Times New Roman" w:hAnsi="Times New Roman" w:eastAsia="仿宋" w:cs="Times New Roman"/>
          <w:b/>
          <w:bCs w:val="0"/>
          <w:color w:val="auto"/>
          <w:sz w:val="36"/>
          <w:szCs w:val="36"/>
          <w:lang w:val="en-US" w:eastAsia="zh-CN"/>
        </w:rPr>
      </w:pPr>
      <w:r>
        <w:rPr>
          <w:rFonts w:hint="eastAsia" w:ascii="Times New Roman" w:hAnsi="Times New Roman" w:eastAsia="仿宋" w:cs="Times New Roman"/>
          <w:b/>
          <w:bCs w:val="0"/>
          <w:color w:val="auto"/>
          <w:sz w:val="36"/>
          <w:szCs w:val="36"/>
          <w:lang w:val="en-US" w:eastAsia="zh-CN"/>
        </w:rPr>
        <w:t>十三、202</w:t>
      </w:r>
      <w:r>
        <w:rPr>
          <w:rFonts w:hint="eastAsia" w:eastAsia="仿宋" w:cs="Times New Roman"/>
          <w:b/>
          <w:bCs w:val="0"/>
          <w:color w:val="auto"/>
          <w:sz w:val="36"/>
          <w:szCs w:val="36"/>
          <w:lang w:val="en-US" w:eastAsia="zh-CN"/>
        </w:rPr>
        <w:t>2</w:t>
      </w:r>
      <w:r>
        <w:rPr>
          <w:rFonts w:hint="eastAsia" w:ascii="Times New Roman" w:hAnsi="Times New Roman" w:eastAsia="仿宋" w:cs="Times New Roman"/>
          <w:b/>
          <w:bCs w:val="0"/>
          <w:color w:val="auto"/>
          <w:sz w:val="36"/>
          <w:szCs w:val="36"/>
          <w:lang w:val="en-US" w:eastAsia="zh-CN"/>
        </w:rPr>
        <w:t>年1月1日至今具有类似服务项目业绩</w:t>
      </w:r>
    </w:p>
    <w:p w14:paraId="51AE923F">
      <w:pPr>
        <w:widowControl/>
        <w:spacing w:line="360" w:lineRule="auto"/>
        <w:jc w:val="center"/>
        <w:rPr>
          <w:rFonts w:hint="eastAsia" w:ascii="Times New Roman" w:hAnsi="Times New Roman" w:eastAsia="仿宋" w:cs="Times New Roman"/>
          <w:b/>
          <w:bCs w:val="0"/>
          <w:color w:val="auto"/>
          <w:sz w:val="36"/>
          <w:szCs w:val="36"/>
          <w:lang w:val="en-US" w:eastAsia="zh-CN"/>
        </w:rPr>
      </w:pPr>
    </w:p>
    <w:p w14:paraId="642F1F14">
      <w:pPr>
        <w:numPr>
          <w:ilvl w:val="0"/>
          <w:numId w:val="0"/>
        </w:numPr>
        <w:spacing w:line="360" w:lineRule="auto"/>
        <w:rPr>
          <w:rFonts w:hint="default" w:ascii="Times New Roman" w:hAnsi="Times New Roman" w:eastAsia="仿宋_GB2312" w:cs="Times New Roman"/>
          <w:b/>
          <w:color w:val="auto"/>
          <w:sz w:val="24"/>
          <w:u w:val="single"/>
        </w:rPr>
      </w:pPr>
      <w:r>
        <w:rPr>
          <w:rFonts w:hint="default" w:ascii="Times New Roman" w:hAnsi="Times New Roman" w:eastAsia="仿宋_GB2312" w:cs="Times New Roman"/>
          <w:b/>
          <w:color w:val="auto"/>
          <w:sz w:val="24"/>
        </w:rPr>
        <w:t>投标人名称（公章）：         　　　　　           招标编号：　　　　　</w:t>
      </w:r>
    </w:p>
    <w:tbl>
      <w:tblPr>
        <w:tblStyle w:val="3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2484"/>
        <w:gridCol w:w="1476"/>
        <w:gridCol w:w="1800"/>
      </w:tblGrid>
      <w:tr w14:paraId="29D5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top"/>
          </w:tcPr>
          <w:p w14:paraId="1206855C">
            <w:pPr>
              <w:pStyle w:val="64"/>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地　　区</w:t>
            </w:r>
          </w:p>
        </w:tc>
        <w:tc>
          <w:tcPr>
            <w:tcW w:w="1620" w:type="dxa"/>
            <w:vAlign w:val="top"/>
          </w:tcPr>
          <w:p w14:paraId="3C4F34CE">
            <w:pPr>
              <w:pStyle w:val="64"/>
              <w:keepNext w:val="0"/>
              <w:keepLines w:val="0"/>
              <w:pageBreakBefore w:val="0"/>
              <w:widowControl w:val="0"/>
              <w:kinsoku/>
              <w:wordWrap/>
              <w:overflowPunct/>
              <w:topLinePunct w:val="0"/>
              <w:bidi w:val="0"/>
              <w:snapToGrid/>
              <w:spacing w:line="700" w:lineRule="exact"/>
              <w:ind w:right="-107" w:rightChars="-51"/>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服务项目名称</w:t>
            </w:r>
          </w:p>
        </w:tc>
        <w:tc>
          <w:tcPr>
            <w:tcW w:w="2484" w:type="dxa"/>
            <w:vAlign w:val="top"/>
          </w:tcPr>
          <w:p w14:paraId="3499BC2D">
            <w:pPr>
              <w:pStyle w:val="64"/>
              <w:keepNext w:val="0"/>
              <w:keepLines w:val="0"/>
              <w:pageBreakBefore w:val="0"/>
              <w:widowControl w:val="0"/>
              <w:kinsoku/>
              <w:wordWrap/>
              <w:overflowPunct/>
              <w:topLinePunct w:val="0"/>
              <w:bidi w:val="0"/>
              <w:snapToGrid/>
              <w:spacing w:line="700" w:lineRule="exact"/>
              <w:ind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服务地点</w:t>
            </w:r>
          </w:p>
        </w:tc>
        <w:tc>
          <w:tcPr>
            <w:tcW w:w="1476" w:type="dxa"/>
            <w:vAlign w:val="top"/>
          </w:tcPr>
          <w:p w14:paraId="1D4B0197">
            <w:pPr>
              <w:pStyle w:val="64"/>
              <w:keepNext w:val="0"/>
              <w:keepLines w:val="0"/>
              <w:pageBreakBefore w:val="0"/>
              <w:widowControl w:val="0"/>
              <w:kinsoku/>
              <w:wordWrap/>
              <w:overflowPunct/>
              <w:topLinePunct w:val="0"/>
              <w:bidi w:val="0"/>
              <w:snapToGrid/>
              <w:spacing w:line="70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项目规模</w:t>
            </w:r>
          </w:p>
        </w:tc>
        <w:tc>
          <w:tcPr>
            <w:tcW w:w="1800" w:type="dxa"/>
            <w:vAlign w:val="top"/>
          </w:tcPr>
          <w:p w14:paraId="539BC99C">
            <w:pPr>
              <w:pStyle w:val="64"/>
              <w:keepNext w:val="0"/>
              <w:keepLines w:val="0"/>
              <w:pageBreakBefore w:val="0"/>
              <w:widowControl w:val="0"/>
              <w:kinsoku/>
              <w:wordWrap/>
              <w:overflowPunct/>
              <w:topLinePunct w:val="0"/>
              <w:bidi w:val="0"/>
              <w:snapToGrid/>
              <w:spacing w:line="700" w:lineRule="exact"/>
              <w:ind w:firstLine="415" w:firstLineChars="197"/>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项目预算</w:t>
            </w:r>
          </w:p>
        </w:tc>
      </w:tr>
      <w:tr w14:paraId="4789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28F0569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7B8AA7D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4C8769F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727EEF4E">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3CF98BB0">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0C9A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vAlign w:val="top"/>
          </w:tcPr>
          <w:p w14:paraId="1E22E08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3EC43491">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1B324B2C">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5B76A7D1">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75B4C172">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3715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0" w:type="dxa"/>
            <w:vAlign w:val="top"/>
          </w:tcPr>
          <w:p w14:paraId="33C9107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304E8584">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5933D70D">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4F8307C6">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05144DB7">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r w14:paraId="4C34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vAlign w:val="top"/>
          </w:tcPr>
          <w:p w14:paraId="76BCB42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620" w:type="dxa"/>
            <w:vAlign w:val="top"/>
          </w:tcPr>
          <w:p w14:paraId="31A85CCA">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2484" w:type="dxa"/>
            <w:vAlign w:val="top"/>
          </w:tcPr>
          <w:p w14:paraId="6AA00E75">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476" w:type="dxa"/>
            <w:vAlign w:val="top"/>
          </w:tcPr>
          <w:p w14:paraId="47204CB2">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c>
          <w:tcPr>
            <w:tcW w:w="1800" w:type="dxa"/>
            <w:vAlign w:val="top"/>
          </w:tcPr>
          <w:p w14:paraId="2BEE81F9">
            <w:pPr>
              <w:keepNext w:val="0"/>
              <w:keepLines w:val="0"/>
              <w:pageBreakBefore w:val="0"/>
              <w:widowControl w:val="0"/>
              <w:kinsoku/>
              <w:wordWrap/>
              <w:overflowPunct/>
              <w:topLinePunct w:val="0"/>
              <w:bidi w:val="0"/>
              <w:snapToGrid/>
              <w:spacing w:line="700" w:lineRule="exact"/>
              <w:textAlignment w:val="auto"/>
              <w:rPr>
                <w:rFonts w:hint="default" w:ascii="Times New Roman" w:hAnsi="Times New Roman" w:cs="Times New Roman"/>
                <w:color w:val="auto"/>
                <w:sz w:val="18"/>
                <w:szCs w:val="18"/>
              </w:rPr>
            </w:pPr>
          </w:p>
        </w:tc>
      </w:tr>
    </w:tbl>
    <w:p w14:paraId="6A1D929E">
      <w:pPr>
        <w:spacing w:line="360" w:lineRule="auto"/>
        <w:rPr>
          <w:rFonts w:hint="default" w:ascii="Times New Roman" w:hAnsi="Times New Roman" w:eastAsia="仿宋_GB2312" w:cs="Times New Roman"/>
          <w:b/>
          <w:color w:val="auto"/>
          <w:sz w:val="24"/>
        </w:rPr>
      </w:pPr>
    </w:p>
    <w:p w14:paraId="0F63510C">
      <w:pPr>
        <w:spacing w:line="360" w:lineRule="auto"/>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 xml:space="preserve">注：业绩须附有合同原件证明。 </w:t>
      </w:r>
    </w:p>
    <w:p w14:paraId="76465F0F">
      <w:pPr>
        <w:spacing w:line="360" w:lineRule="auto"/>
        <w:rPr>
          <w:rFonts w:hint="default" w:ascii="Times New Roman" w:hAnsi="Times New Roman" w:eastAsia="仿宋_GB2312" w:cs="Times New Roman"/>
          <w:color w:val="auto"/>
          <w:sz w:val="24"/>
        </w:rPr>
      </w:pPr>
    </w:p>
    <w:p w14:paraId="70762BAA">
      <w:pPr>
        <w:spacing w:line="360" w:lineRule="auto"/>
        <w:rPr>
          <w:rFonts w:hint="default" w:ascii="Times New Roman" w:hAnsi="Times New Roman" w:cs="Times New Roman"/>
          <w:color w:val="auto"/>
          <w:sz w:val="24"/>
          <w:szCs w:val="24"/>
          <w:u w:val="single"/>
        </w:rPr>
      </w:pPr>
      <w:r>
        <w:rPr>
          <w:rFonts w:hint="default" w:ascii="Times New Roman" w:hAnsi="Times New Roman" w:eastAsia="仿宋_GB2312" w:cs="Times New Roman"/>
          <w:b/>
          <w:color w:val="auto"/>
          <w:sz w:val="24"/>
        </w:rPr>
        <w:t>投标人代表签字：</w:t>
      </w:r>
      <w:r>
        <w:rPr>
          <w:rFonts w:hint="default" w:ascii="Times New Roman" w:hAnsi="Times New Roman" w:eastAsia="仿宋_GB2312" w:cs="Times New Roman"/>
          <w:b/>
          <w:color w:val="auto"/>
          <w:sz w:val="24"/>
          <w:u w:val="single"/>
        </w:rPr>
        <w:t>　　　　　　　　　　　　　　　</w:t>
      </w:r>
      <w:r>
        <w:rPr>
          <w:rFonts w:hint="default" w:ascii="Times New Roman" w:hAnsi="Times New Roman" w:eastAsia="仿宋_GB2312" w:cs="Times New Roman"/>
          <w:b/>
          <w:color w:val="auto"/>
          <w:sz w:val="24"/>
        </w:rPr>
        <w:t>　</w:t>
      </w:r>
    </w:p>
    <w:p w14:paraId="445850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4FF76839">
      <w:pPr>
        <w:pStyle w:val="14"/>
        <w:rPr>
          <w:rFonts w:hint="default" w:ascii="Times New Roman" w:hAnsi="Times New Roman" w:eastAsia="仿宋" w:cs="Times New Roman"/>
          <w:color w:val="auto"/>
          <w:sz w:val="24"/>
        </w:rPr>
      </w:pPr>
    </w:p>
    <w:p w14:paraId="54544E7F">
      <w:pPr>
        <w:pStyle w:val="14"/>
        <w:rPr>
          <w:rFonts w:hint="default" w:ascii="Times New Roman" w:hAnsi="Times New Roman" w:eastAsia="仿宋" w:cs="Times New Roman"/>
          <w:color w:val="auto"/>
          <w:sz w:val="24"/>
        </w:rPr>
      </w:pPr>
    </w:p>
    <w:p w14:paraId="239AC55F">
      <w:pPr>
        <w:pStyle w:val="14"/>
        <w:rPr>
          <w:rFonts w:hint="default" w:ascii="Times New Roman" w:hAnsi="Times New Roman" w:eastAsia="仿宋" w:cs="Times New Roman"/>
          <w:color w:val="auto"/>
          <w:sz w:val="24"/>
        </w:rPr>
      </w:pPr>
    </w:p>
    <w:p w14:paraId="25B8C3B6">
      <w:pPr>
        <w:pStyle w:val="14"/>
        <w:rPr>
          <w:rFonts w:hint="default" w:ascii="Times New Roman" w:hAnsi="Times New Roman" w:eastAsia="仿宋" w:cs="Times New Roman"/>
          <w:color w:val="auto"/>
          <w:sz w:val="24"/>
        </w:rPr>
      </w:pPr>
    </w:p>
    <w:p w14:paraId="6E10236E">
      <w:pPr>
        <w:pStyle w:val="14"/>
        <w:rPr>
          <w:rFonts w:hint="default" w:ascii="Times New Roman" w:hAnsi="Times New Roman" w:eastAsia="仿宋" w:cs="Times New Roman"/>
          <w:color w:val="auto"/>
          <w:sz w:val="24"/>
        </w:rPr>
      </w:pPr>
    </w:p>
    <w:p w14:paraId="77802F10">
      <w:pPr>
        <w:pStyle w:val="14"/>
        <w:rPr>
          <w:rFonts w:hint="default" w:ascii="Times New Roman" w:hAnsi="Times New Roman" w:eastAsia="仿宋" w:cs="Times New Roman"/>
          <w:color w:val="auto"/>
          <w:sz w:val="24"/>
        </w:rPr>
      </w:pPr>
    </w:p>
    <w:p w14:paraId="79B0E3B8">
      <w:pPr>
        <w:pStyle w:val="14"/>
        <w:rPr>
          <w:rFonts w:hint="default" w:ascii="Times New Roman" w:hAnsi="Times New Roman" w:eastAsia="仿宋" w:cs="Times New Roman"/>
          <w:color w:val="auto"/>
          <w:sz w:val="24"/>
        </w:rPr>
      </w:pPr>
    </w:p>
    <w:p w14:paraId="30970A2D">
      <w:pPr>
        <w:pStyle w:val="14"/>
        <w:rPr>
          <w:rFonts w:hint="default" w:ascii="Times New Roman" w:hAnsi="Times New Roman" w:eastAsia="仿宋" w:cs="Times New Roman"/>
          <w:color w:val="auto"/>
          <w:sz w:val="24"/>
        </w:rPr>
      </w:pPr>
    </w:p>
    <w:p w14:paraId="36CDD08D">
      <w:pPr>
        <w:pStyle w:val="14"/>
        <w:rPr>
          <w:rFonts w:hint="default" w:ascii="Times New Roman" w:hAnsi="Times New Roman" w:eastAsia="仿宋" w:cs="Times New Roman"/>
          <w:color w:val="auto"/>
          <w:sz w:val="24"/>
        </w:rPr>
      </w:pPr>
    </w:p>
    <w:p w14:paraId="58F540FB">
      <w:pPr>
        <w:pStyle w:val="14"/>
        <w:rPr>
          <w:rFonts w:hint="default" w:ascii="Times New Roman" w:hAnsi="Times New Roman" w:eastAsia="仿宋" w:cs="Times New Roman"/>
          <w:color w:val="auto"/>
          <w:sz w:val="24"/>
        </w:rPr>
      </w:pPr>
    </w:p>
    <w:p w14:paraId="02485F0D">
      <w:pPr>
        <w:pStyle w:val="14"/>
        <w:rPr>
          <w:rFonts w:hint="default" w:ascii="Times New Roman" w:hAnsi="Times New Roman" w:eastAsia="仿宋" w:cs="Times New Roman"/>
          <w:color w:val="auto"/>
          <w:sz w:val="24"/>
        </w:rPr>
      </w:pPr>
    </w:p>
    <w:p w14:paraId="41A4E8A8">
      <w:pPr>
        <w:pStyle w:val="14"/>
        <w:rPr>
          <w:rFonts w:hint="default" w:ascii="Times New Roman" w:hAnsi="Times New Roman" w:eastAsia="仿宋" w:cs="Times New Roman"/>
          <w:color w:val="auto"/>
          <w:sz w:val="24"/>
        </w:rPr>
      </w:pPr>
    </w:p>
    <w:p w14:paraId="572D380C">
      <w:pPr>
        <w:pStyle w:val="14"/>
        <w:rPr>
          <w:rFonts w:hint="default" w:ascii="Times New Roman" w:hAnsi="Times New Roman" w:eastAsia="仿宋" w:cs="Times New Roman"/>
          <w:color w:val="auto"/>
          <w:sz w:val="24"/>
        </w:rPr>
      </w:pPr>
    </w:p>
    <w:p w14:paraId="1BD9F858">
      <w:pPr>
        <w:pStyle w:val="14"/>
        <w:rPr>
          <w:rFonts w:hint="default" w:ascii="Times New Roman" w:hAnsi="Times New Roman" w:eastAsia="仿宋" w:cs="Times New Roman"/>
          <w:color w:val="auto"/>
          <w:sz w:val="24"/>
        </w:rPr>
      </w:pPr>
    </w:p>
    <w:p w14:paraId="687A6E63">
      <w:pPr>
        <w:pStyle w:val="14"/>
        <w:ind w:left="0" w:leftChars="0" w:firstLine="0" w:firstLineChars="0"/>
        <w:rPr>
          <w:rFonts w:hint="default" w:ascii="Times New Roman" w:hAnsi="Times New Roman" w:eastAsia="仿宋" w:cs="Times New Roman"/>
          <w:color w:val="auto"/>
          <w:sz w:val="24"/>
        </w:rPr>
      </w:pPr>
    </w:p>
    <w:p w14:paraId="71093A17">
      <w:pPr>
        <w:pStyle w:val="14"/>
        <w:rPr>
          <w:rFonts w:hint="default" w:ascii="Times New Roman" w:hAnsi="Times New Roman" w:eastAsia="仿宋" w:cs="Times New Roman"/>
          <w:color w:val="auto"/>
          <w:sz w:val="24"/>
        </w:rPr>
      </w:pPr>
    </w:p>
    <w:p w14:paraId="54F3D26C">
      <w:pPr>
        <w:widowControl/>
        <w:spacing w:line="360" w:lineRule="auto"/>
        <w:ind w:firstLine="723" w:firstLineChars="200"/>
        <w:jc w:val="left"/>
        <w:rPr>
          <w:rFonts w:hint="default" w:ascii="Times New Roman" w:hAnsi="Times New Roman" w:eastAsia="仿宋" w:cs="Times New Roman"/>
          <w:b/>
          <w:bCs w:val="0"/>
          <w:color w:val="auto"/>
          <w:sz w:val="36"/>
          <w:szCs w:val="36"/>
        </w:rPr>
      </w:pPr>
      <w:r>
        <w:rPr>
          <w:rFonts w:hint="default" w:ascii="Times New Roman" w:hAnsi="Times New Roman" w:eastAsia="仿宋" w:cs="Times New Roman"/>
          <w:b/>
          <w:bCs w:val="0"/>
          <w:color w:val="auto"/>
          <w:sz w:val="36"/>
          <w:szCs w:val="36"/>
          <w:lang w:eastAsia="zh-CN"/>
        </w:rPr>
        <w:t>十四、</w:t>
      </w:r>
      <w:r>
        <w:rPr>
          <w:rFonts w:hint="default" w:ascii="Times New Roman" w:hAnsi="Times New Roman" w:eastAsia="仿宋" w:cs="Times New Roman"/>
          <w:b/>
          <w:bCs w:val="0"/>
          <w:color w:val="auto"/>
          <w:sz w:val="36"/>
          <w:szCs w:val="36"/>
        </w:rPr>
        <w:t>投标单位（供应商）反商业贿赂承诺书</w:t>
      </w:r>
    </w:p>
    <w:p w14:paraId="558A4944">
      <w:pPr>
        <w:widowControl/>
        <w:spacing w:line="360" w:lineRule="auto"/>
        <w:ind w:firstLine="480" w:firstLineChars="200"/>
        <w:jc w:val="left"/>
        <w:rPr>
          <w:rFonts w:hint="default" w:ascii="Times New Roman" w:hAnsi="Times New Roman" w:eastAsia="仿宋" w:cs="Times New Roman"/>
          <w:color w:val="auto"/>
          <w:sz w:val="24"/>
          <w:szCs w:val="24"/>
        </w:rPr>
      </w:pPr>
    </w:p>
    <w:p w14:paraId="2D3506F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我公司承诺在</w:t>
      </w:r>
      <w:r>
        <w:rPr>
          <w:rFonts w:hint="default" w:ascii="Times New Roman" w:hAnsi="Times New Roman" w:eastAsia="仿宋" w:cs="Times New Roman"/>
          <w:color w:val="auto"/>
          <w:sz w:val="24"/>
          <w:szCs w:val="24"/>
          <w:u w:val="single"/>
        </w:rPr>
        <w:t>（项目编号、项目名称）</w:t>
      </w:r>
      <w:r>
        <w:rPr>
          <w:rFonts w:hint="default" w:ascii="Times New Roman" w:hAnsi="Times New Roman" w:eastAsia="仿宋" w:cs="Times New Roman"/>
          <w:color w:val="auto"/>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6EAA397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p>
    <w:p w14:paraId="4169EDD7">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公司法人代表签字：</w:t>
      </w:r>
    </w:p>
    <w:p w14:paraId="42D28438">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法人授权代表签字：</w:t>
      </w:r>
    </w:p>
    <w:p w14:paraId="2B65DF80">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项目经办人签字：</w:t>
      </w:r>
    </w:p>
    <w:p w14:paraId="22ED44EF">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rPr>
      </w:pPr>
    </w:p>
    <w:p w14:paraId="4310C9FC">
      <w:pPr>
        <w:keepNext w:val="0"/>
        <w:keepLines w:val="0"/>
        <w:pageBreakBefore w:val="0"/>
        <w:widowControl/>
        <w:kinsoku/>
        <w:wordWrap/>
        <w:overflowPunct/>
        <w:topLinePunct w:val="0"/>
        <w:autoSpaceDE/>
        <w:autoSpaceDN/>
        <w:bidi w:val="0"/>
        <w:adjustRightInd/>
        <w:snapToGrid/>
        <w:spacing w:line="600" w:lineRule="exact"/>
        <w:ind w:firstLine="897"/>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                       承诺日期：</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rPr>
        <w:t>年   月    日</w:t>
      </w:r>
    </w:p>
    <w:p w14:paraId="790B7743">
      <w:pPr>
        <w:pStyle w:val="14"/>
        <w:numPr>
          <w:ilvl w:val="0"/>
          <w:numId w:val="0"/>
        </w:numPr>
        <w:rPr>
          <w:rFonts w:hint="default" w:ascii="Times New Roman" w:hAnsi="Times New Roman" w:cs="Times New Roman"/>
        </w:rPr>
      </w:pPr>
    </w:p>
    <w:p w14:paraId="47929395">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589990A5">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7E4ED071">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6D96BF55">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229DFCC3">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5AC9A2F3">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7014B93E">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4810C704">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bCs/>
          <w:color w:val="auto"/>
          <w:sz w:val="36"/>
          <w:szCs w:val="24"/>
          <w:lang w:eastAsia="zh-CN"/>
        </w:rPr>
      </w:pPr>
    </w:p>
    <w:p w14:paraId="72725289">
      <w:pPr>
        <w:pStyle w:val="14"/>
        <w:rPr>
          <w:rFonts w:hint="default"/>
          <w:lang w:eastAsia="zh-CN"/>
        </w:rPr>
      </w:pPr>
    </w:p>
    <w:p w14:paraId="2E62BC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lang w:eastAsia="zh-CN"/>
        </w:rPr>
      </w:pPr>
    </w:p>
    <w:p w14:paraId="186D7D5F">
      <w:pPr>
        <w:pStyle w:val="14"/>
        <w:widowControl w:val="0"/>
        <w:numPr>
          <w:ilvl w:val="0"/>
          <w:numId w:val="0"/>
        </w:numPr>
        <w:autoSpaceDE w:val="0"/>
        <w:autoSpaceDN w:val="0"/>
        <w:adjustRightInd w:val="0"/>
        <w:spacing w:before="40" w:beforeLines="0" w:after="40" w:afterLines="0" w:line="320" w:lineRule="atLeast"/>
        <w:jc w:val="center"/>
        <w:textAlignment w:val="baseline"/>
        <w:rPr>
          <w:rFonts w:hint="eastAsia" w:ascii="Times New Roman" w:hAnsi="Times New Roman" w:eastAsia="仿宋" w:cs="Times New Roman"/>
          <w:b/>
          <w:bCs w:val="0"/>
          <w:color w:val="auto"/>
          <w:kern w:val="2"/>
          <w:sz w:val="36"/>
          <w:szCs w:val="36"/>
          <w:lang w:val="en-US" w:eastAsia="zh-CN" w:bidi="ar-SA"/>
        </w:rPr>
      </w:pPr>
    </w:p>
    <w:p w14:paraId="53533700">
      <w:pPr>
        <w:pStyle w:val="14"/>
        <w:widowControl w:val="0"/>
        <w:numPr>
          <w:ilvl w:val="0"/>
          <w:numId w:val="0"/>
        </w:numPr>
        <w:autoSpaceDE w:val="0"/>
        <w:autoSpaceDN w:val="0"/>
        <w:adjustRightInd w:val="0"/>
        <w:spacing w:before="40" w:beforeLines="0" w:after="40" w:afterLines="0" w:line="320" w:lineRule="atLeast"/>
        <w:jc w:val="center"/>
        <w:textAlignment w:val="baseline"/>
        <w:rPr>
          <w:rFonts w:hint="eastAsia" w:ascii="Times New Roman" w:hAnsi="Times New Roman" w:eastAsia="仿宋" w:cs="Times New Roman"/>
          <w:b/>
          <w:bCs w:val="0"/>
          <w:color w:val="auto"/>
          <w:kern w:val="2"/>
          <w:sz w:val="36"/>
          <w:szCs w:val="36"/>
          <w:lang w:val="en-US" w:eastAsia="zh-CN" w:bidi="ar-SA"/>
        </w:rPr>
      </w:pPr>
      <w:r>
        <w:rPr>
          <w:rFonts w:hint="eastAsia" w:ascii="Times New Roman" w:hAnsi="Times New Roman" w:eastAsia="仿宋" w:cs="Times New Roman"/>
          <w:b/>
          <w:bCs w:val="0"/>
          <w:color w:val="auto"/>
          <w:kern w:val="2"/>
          <w:sz w:val="36"/>
          <w:szCs w:val="36"/>
          <w:lang w:val="en-US" w:eastAsia="zh-CN" w:bidi="ar-SA"/>
        </w:rPr>
        <w:t>十五、投标保证金缴纳凭证</w:t>
      </w:r>
      <w:r>
        <w:rPr>
          <w:rFonts w:hint="eastAsia" w:ascii="Times New Roman" w:hAnsi="Times New Roman" w:eastAsia="仿宋" w:cs="Times New Roman"/>
          <w:b/>
          <w:bCs w:val="0"/>
          <w:color w:val="auto"/>
          <w:kern w:val="2"/>
          <w:sz w:val="36"/>
          <w:szCs w:val="36"/>
          <w:lang w:val="zh-CN" w:eastAsia="zh-CN" w:bidi="ar-SA"/>
        </w:rPr>
        <w:t>或</w:t>
      </w:r>
      <w:r>
        <w:rPr>
          <w:rFonts w:hint="eastAsia" w:ascii="Times New Roman" w:hAnsi="Times New Roman" w:eastAsia="仿宋" w:cs="Times New Roman"/>
          <w:b/>
          <w:bCs w:val="0"/>
          <w:color w:val="auto"/>
          <w:kern w:val="2"/>
          <w:sz w:val="36"/>
          <w:szCs w:val="36"/>
          <w:lang w:val="en-US" w:eastAsia="zh-CN" w:bidi="ar-SA"/>
        </w:rPr>
        <w:t>金融机构、担保机构出具</w:t>
      </w:r>
    </w:p>
    <w:p w14:paraId="19816FBF">
      <w:pPr>
        <w:pStyle w:val="14"/>
        <w:widowControl w:val="0"/>
        <w:numPr>
          <w:ilvl w:val="0"/>
          <w:numId w:val="0"/>
        </w:numPr>
        <w:autoSpaceDE w:val="0"/>
        <w:autoSpaceDN w:val="0"/>
        <w:adjustRightInd w:val="0"/>
        <w:spacing w:before="40" w:beforeLines="0" w:after="40" w:afterLines="0" w:line="320" w:lineRule="atLeast"/>
        <w:jc w:val="center"/>
        <w:textAlignment w:val="baseline"/>
        <w:rPr>
          <w:rFonts w:hint="default" w:ascii="Times New Roman" w:hAnsi="Times New Roman" w:eastAsia="仿宋" w:cs="Times New Roman"/>
          <w:b/>
          <w:bCs w:val="0"/>
          <w:color w:val="auto"/>
          <w:kern w:val="2"/>
          <w:sz w:val="36"/>
          <w:szCs w:val="36"/>
          <w:lang w:val="en-US" w:eastAsia="zh-CN" w:bidi="ar-SA"/>
        </w:rPr>
      </w:pPr>
      <w:r>
        <w:rPr>
          <w:rFonts w:hint="eastAsia" w:ascii="Times New Roman" w:hAnsi="Times New Roman" w:eastAsia="仿宋" w:cs="Times New Roman"/>
          <w:b/>
          <w:bCs w:val="0"/>
          <w:color w:val="auto"/>
          <w:kern w:val="2"/>
          <w:sz w:val="36"/>
          <w:szCs w:val="36"/>
          <w:lang w:val="en-US" w:eastAsia="zh-CN" w:bidi="ar-SA"/>
        </w:rPr>
        <w:t>的保函</w:t>
      </w:r>
    </w:p>
    <w:p w14:paraId="7AA66F5D">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4DEC87F">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0E5B2190">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59CC5D68">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69CD514">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757BC9D">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4D774FA">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1D95B5E">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53CF557C">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241C184">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B8C4781">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E00355E">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8204FC7">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C67BF9C">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71C7DD9">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B4C1D6E">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77FB4FB">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8BB5615">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47F99BD">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D721B85">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040B0D2F">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7FD7932D">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9E94C18">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BA53300">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30A67BA">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68FEFB6">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2DECE394">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26C1931E">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C1A344E">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168CA704">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68332274">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41C34957">
      <w:pPr>
        <w:pStyle w:val="14"/>
        <w:widowControl w:val="0"/>
        <w:numPr>
          <w:ilvl w:val="0"/>
          <w:numId w:val="0"/>
        </w:numPr>
        <w:autoSpaceDE w:val="0"/>
        <w:autoSpaceDN w:val="0"/>
        <w:adjustRightInd w:val="0"/>
        <w:spacing w:before="40" w:beforeLines="0" w:after="40" w:afterLines="0" w:line="320" w:lineRule="atLeast"/>
        <w:jc w:val="both"/>
        <w:textAlignment w:val="baseline"/>
        <w:rPr>
          <w:rFonts w:hint="default" w:ascii="Times New Roman" w:hAnsi="Times New Roman" w:cs="Times New Roman"/>
        </w:rPr>
      </w:pPr>
    </w:p>
    <w:p w14:paraId="3AA8DE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color w:val="auto"/>
          <w:sz w:val="36"/>
          <w:szCs w:val="24"/>
          <w:lang w:eastAsia="zh-CN"/>
        </w:rPr>
      </w:pPr>
    </w:p>
    <w:p w14:paraId="59B3F8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6"/>
          <w:szCs w:val="24"/>
          <w:lang w:eastAsia="zh-CN"/>
        </w:rPr>
        <w:t>十六</w:t>
      </w:r>
      <w:r>
        <w:rPr>
          <w:rFonts w:hint="default" w:ascii="Times New Roman" w:hAnsi="Times New Roman" w:eastAsia="仿宋" w:cs="Times New Roman"/>
          <w:b/>
          <w:bCs/>
          <w:color w:val="auto"/>
          <w:sz w:val="36"/>
          <w:szCs w:val="24"/>
        </w:rPr>
        <w:t>、</w:t>
      </w:r>
      <w:r>
        <w:rPr>
          <w:rFonts w:hint="default" w:ascii="Times New Roman" w:hAnsi="Times New Roman" w:eastAsia="仿宋" w:cs="Times New Roman"/>
          <w:b/>
          <w:color w:val="auto"/>
          <w:sz w:val="36"/>
          <w:szCs w:val="24"/>
        </w:rPr>
        <w:t>投标单位（供应商）《遵守政府采购相关法律法规承诺书》</w:t>
      </w:r>
    </w:p>
    <w:p w14:paraId="6610F9AA">
      <w:pPr>
        <w:spacing w:line="360" w:lineRule="auto"/>
        <w:ind w:firstLine="480" w:firstLineChars="200"/>
        <w:rPr>
          <w:rFonts w:hint="default" w:ascii="Times New Roman" w:hAnsi="Times New Roman" w:eastAsia="仿宋" w:cs="Times New Roman"/>
          <w:color w:val="auto"/>
          <w:sz w:val="24"/>
        </w:rPr>
      </w:pPr>
    </w:p>
    <w:p w14:paraId="5DA210C5">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公司承诺在（项目编号、项目名称）采购活动中，严格遵守政府采购相关法律法规，遵循公平竞争的原则，不存在恶意串通的行为，不存在妨碍其他投标人的竞争行为，不存在损害采购人或者其他投标人的合法权益的行为。</w:t>
      </w:r>
    </w:p>
    <w:p w14:paraId="2C7C578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如发生违反政府采购相关法律法规行为，我公司及项目参与人员自愿放弃本次项目的投标、报价资格，并承担相关法律责任。</w:t>
      </w:r>
    </w:p>
    <w:p w14:paraId="7E2DBA72">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p>
    <w:p w14:paraId="1543BA07">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公司名称：（盖章）</w:t>
      </w:r>
    </w:p>
    <w:p w14:paraId="204E3BC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公司法人代表：</w:t>
      </w:r>
    </w:p>
    <w:p w14:paraId="7E24D07C">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法人授权代表：                               </w:t>
      </w:r>
    </w:p>
    <w:p w14:paraId="261BF918">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p>
    <w:p w14:paraId="78030EDF">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日期：  年   月   日   </w:t>
      </w:r>
    </w:p>
    <w:p w14:paraId="08B22357">
      <w:pPr>
        <w:keepNext w:val="0"/>
        <w:keepLines w:val="0"/>
        <w:pageBreakBefore w:val="0"/>
        <w:widowControl/>
        <w:kinsoku/>
        <w:wordWrap/>
        <w:overflowPunct/>
        <w:topLinePunct w:val="0"/>
        <w:autoSpaceDE/>
        <w:autoSpaceDN/>
        <w:bidi w:val="0"/>
        <w:adjustRightInd/>
        <w:snapToGrid/>
        <w:spacing w:line="600" w:lineRule="exact"/>
        <w:ind w:firstLine="5520" w:firstLineChars="2300"/>
        <w:jc w:val="left"/>
        <w:textAlignment w:val="auto"/>
        <w:rPr>
          <w:rFonts w:hint="default" w:ascii="Times New Roman" w:hAnsi="Times New Roman" w:eastAsia="仿宋" w:cs="Times New Roman"/>
          <w:color w:val="auto"/>
          <w:sz w:val="24"/>
        </w:rPr>
      </w:pPr>
    </w:p>
    <w:p w14:paraId="170ACCCA">
      <w:pPr>
        <w:pStyle w:val="14"/>
        <w:rPr>
          <w:rFonts w:hint="default" w:ascii="Times New Roman" w:hAnsi="Times New Roman" w:cs="Times New Roman"/>
        </w:rPr>
      </w:pPr>
    </w:p>
    <w:p w14:paraId="31DBE292">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697DF5F1">
      <w:pPr>
        <w:keepNext w:val="0"/>
        <w:keepLines w:val="0"/>
        <w:pageBreakBefore w:val="0"/>
        <w:widowControl w:val="0"/>
        <w:kinsoku/>
        <w:wordWrap/>
        <w:overflowPunct/>
        <w:topLinePunct w:val="0"/>
        <w:autoSpaceDE/>
        <w:autoSpaceDN/>
        <w:bidi w:val="0"/>
        <w:adjustRightInd/>
        <w:snapToGrid/>
        <w:spacing w:line="560" w:lineRule="exact"/>
        <w:ind w:firstLine="600" w:firstLineChars="250"/>
        <w:textAlignment w:val="auto"/>
        <w:rPr>
          <w:rFonts w:hint="default" w:ascii="Times New Roman" w:hAnsi="Times New Roman" w:eastAsia="仿宋" w:cs="Times New Roman"/>
          <w:color w:val="auto"/>
          <w:sz w:val="24"/>
        </w:rPr>
      </w:pPr>
    </w:p>
    <w:p w14:paraId="365C6A06">
      <w:pPr>
        <w:pStyle w:val="17"/>
        <w:rPr>
          <w:rFonts w:hint="default" w:ascii="Times New Roman" w:hAnsi="Times New Roman" w:eastAsia="仿宋" w:cs="Times New Roman"/>
          <w:color w:val="auto"/>
          <w:sz w:val="24"/>
        </w:rPr>
      </w:pPr>
    </w:p>
    <w:p w14:paraId="61B21897">
      <w:pPr>
        <w:pStyle w:val="34"/>
        <w:rPr>
          <w:rFonts w:hint="default" w:ascii="Times New Roman" w:hAnsi="Times New Roman" w:eastAsia="仿宋" w:cs="Times New Roman"/>
          <w:color w:val="auto"/>
          <w:sz w:val="24"/>
        </w:rPr>
      </w:pPr>
    </w:p>
    <w:p w14:paraId="02B76D9B">
      <w:pPr>
        <w:pStyle w:val="34"/>
        <w:rPr>
          <w:rFonts w:hint="default" w:ascii="Times New Roman" w:hAnsi="Times New Roman" w:eastAsia="仿宋" w:cs="Times New Roman"/>
          <w:color w:val="auto"/>
          <w:sz w:val="24"/>
        </w:rPr>
      </w:pPr>
    </w:p>
    <w:p w14:paraId="2B9443D0">
      <w:pPr>
        <w:pStyle w:val="34"/>
        <w:rPr>
          <w:rFonts w:hint="default" w:ascii="Times New Roman" w:hAnsi="Times New Roman" w:eastAsia="仿宋" w:cs="Times New Roman"/>
          <w:color w:val="auto"/>
          <w:sz w:val="24"/>
        </w:rPr>
      </w:pPr>
    </w:p>
    <w:p w14:paraId="6E46DCC9">
      <w:pPr>
        <w:pStyle w:val="34"/>
        <w:rPr>
          <w:rFonts w:hint="default" w:ascii="Times New Roman" w:hAnsi="Times New Roman" w:eastAsia="仿宋" w:cs="Times New Roman"/>
          <w:color w:val="auto"/>
          <w:sz w:val="24"/>
        </w:rPr>
      </w:pPr>
    </w:p>
    <w:p w14:paraId="5790F215">
      <w:pPr>
        <w:pStyle w:val="34"/>
        <w:rPr>
          <w:rFonts w:hint="default" w:ascii="Times New Roman" w:hAnsi="Times New Roman" w:eastAsia="仿宋" w:cs="Times New Roman"/>
          <w:color w:val="auto"/>
          <w:sz w:val="24"/>
        </w:rPr>
      </w:pPr>
    </w:p>
    <w:p w14:paraId="075690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24"/>
        </w:rPr>
      </w:pPr>
    </w:p>
    <w:p w14:paraId="30207F53">
      <w:pPr>
        <w:keepNext w:val="0"/>
        <w:keepLines w:val="0"/>
        <w:pageBreakBefore w:val="0"/>
        <w:widowControl w:val="0"/>
        <w:kinsoku/>
        <w:wordWrap/>
        <w:overflowPunct/>
        <w:topLinePunct w:val="0"/>
        <w:autoSpaceDE/>
        <w:autoSpaceDN/>
        <w:bidi w:val="0"/>
        <w:adjustRightInd/>
        <w:snapToGrid/>
        <w:spacing w:line="560" w:lineRule="exact"/>
        <w:ind w:firstLine="904" w:firstLineChars="2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bCs/>
          <w:color w:val="auto"/>
          <w:sz w:val="36"/>
          <w:szCs w:val="24"/>
          <w:lang w:eastAsia="zh-CN"/>
        </w:rPr>
        <w:t>十七</w:t>
      </w:r>
      <w:r>
        <w:rPr>
          <w:rFonts w:hint="default" w:ascii="Times New Roman" w:hAnsi="Times New Roman" w:eastAsia="仿宋" w:cs="Times New Roman"/>
          <w:b/>
          <w:bCs/>
          <w:color w:val="auto"/>
          <w:sz w:val="36"/>
          <w:szCs w:val="24"/>
        </w:rPr>
        <w:t>、中小微企业声明函、监狱企业声明函、残疾人福利性单位声明函</w:t>
      </w:r>
    </w:p>
    <w:p w14:paraId="62869F10">
      <w:pPr>
        <w:widowControl/>
        <w:spacing w:line="360" w:lineRule="auto"/>
        <w:jc w:val="both"/>
        <w:rPr>
          <w:rFonts w:hint="default" w:ascii="Times New Roman" w:hAnsi="Times New Roman" w:eastAsia="仿宋" w:cs="Times New Roman"/>
          <w:b/>
          <w:bCs/>
          <w:color w:val="auto"/>
          <w:sz w:val="28"/>
          <w:szCs w:val="21"/>
          <w:lang w:eastAsia="zh-CN"/>
        </w:rPr>
      </w:pPr>
    </w:p>
    <w:p w14:paraId="61BA24FF">
      <w:pPr>
        <w:widowControl/>
        <w:spacing w:line="360" w:lineRule="auto"/>
        <w:jc w:val="both"/>
        <w:rPr>
          <w:rFonts w:hint="default" w:ascii="Times New Roman" w:hAnsi="Times New Roman" w:eastAsia="仿宋" w:cs="Times New Roman"/>
          <w:b/>
          <w:bCs/>
          <w:color w:val="auto"/>
          <w:sz w:val="28"/>
          <w:szCs w:val="21"/>
          <w:lang w:eastAsia="zh-CN"/>
        </w:rPr>
      </w:pPr>
      <w:r>
        <w:rPr>
          <w:rFonts w:hint="default" w:ascii="Times New Roman" w:hAnsi="Times New Roman" w:eastAsia="仿宋" w:cs="Times New Roman"/>
          <w:b/>
          <w:bCs/>
          <w:color w:val="auto"/>
          <w:sz w:val="28"/>
          <w:szCs w:val="21"/>
          <w:lang w:eastAsia="zh-CN"/>
        </w:rPr>
        <w:t>（</w:t>
      </w:r>
      <w:r>
        <w:rPr>
          <w:rFonts w:hint="default" w:ascii="Times New Roman" w:hAnsi="Times New Roman" w:eastAsia="仿宋" w:cs="Times New Roman"/>
          <w:b/>
          <w:bCs/>
          <w:color w:val="auto"/>
          <w:sz w:val="28"/>
          <w:szCs w:val="21"/>
          <w:lang w:val="en-US" w:eastAsia="zh-CN"/>
        </w:rPr>
        <w:t>1</w:t>
      </w:r>
      <w:r>
        <w:rPr>
          <w:rFonts w:hint="default" w:ascii="Times New Roman" w:hAnsi="Times New Roman" w:eastAsia="仿宋" w:cs="Times New Roman"/>
          <w:b/>
          <w:bCs/>
          <w:color w:val="auto"/>
          <w:sz w:val="28"/>
          <w:szCs w:val="21"/>
          <w:lang w:eastAsia="zh-CN"/>
        </w:rPr>
        <w:t>）</w:t>
      </w:r>
      <w:r>
        <w:rPr>
          <w:rFonts w:hint="default" w:ascii="Times New Roman" w:hAnsi="Times New Roman" w:eastAsia="仿宋" w:cs="Times New Roman"/>
          <w:b/>
          <w:bCs/>
          <w:color w:val="auto"/>
          <w:sz w:val="28"/>
          <w:szCs w:val="21"/>
        </w:rPr>
        <w:t>中小微企业声明函</w:t>
      </w:r>
      <w:r>
        <w:rPr>
          <w:rFonts w:hint="default" w:ascii="Times New Roman" w:hAnsi="Times New Roman" w:eastAsia="仿宋" w:cs="Times New Roman"/>
          <w:b/>
          <w:bCs/>
          <w:color w:val="auto"/>
          <w:sz w:val="28"/>
          <w:szCs w:val="21"/>
          <w:lang w:eastAsia="zh-CN"/>
        </w:rPr>
        <w:t>：</w:t>
      </w:r>
    </w:p>
    <w:p w14:paraId="776ABAFB">
      <w:pPr>
        <w:widowControl/>
        <w:spacing w:before="100" w:beforeAutospacing="1" w:after="100" w:afterAutospacing="1" w:line="330" w:lineRule="atLeast"/>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lang w:val="en-US" w:eastAsia="zh-CN"/>
        </w:rPr>
        <w:t>中小企业声明函（服务）</w:t>
      </w:r>
    </w:p>
    <w:p w14:paraId="53AC9FD6">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本公司（联合体）郑重声明，根据《政府采购促进中小企业发展管理办法》（财库﹝2020﹞46 号）的规定，本公司（联合体）参加</w:t>
      </w:r>
      <w:r>
        <w:rPr>
          <w:rFonts w:hint="eastAsia" w:eastAsia="仿宋" w:cs="Times New Roman"/>
          <w:color w:val="auto"/>
          <w:sz w:val="24"/>
          <w:szCs w:val="22"/>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（单位名称）的</w:t>
      </w:r>
      <w:r>
        <w:rPr>
          <w:rFonts w:hint="eastAsia" w:eastAsia="仿宋" w:cs="Times New Roman"/>
          <w:color w:val="auto"/>
          <w:sz w:val="24"/>
          <w:szCs w:val="22"/>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项目名称）采购活动，工程的施工单位全部为符合政策要求的中小企业（或者：服务全部由符合政策要求的中小企业承接）。相关企业（含联合体中的中小企业、签订分包意向协议的中小企业）的具体情况如下：</w:t>
      </w:r>
    </w:p>
    <w:p w14:paraId="24E7D487">
      <w:pPr>
        <w:keepNext w:val="0"/>
        <w:keepLines w:val="0"/>
        <w:pageBreakBefore w:val="0"/>
        <w:widowControl/>
        <w:numPr>
          <w:ilvl w:val="0"/>
          <w:numId w:val="9"/>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（标的名称），属于</w:t>
      </w: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其他未列明行业</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（采购文件中明确的所属行业）；承建（承接）企业为</w:t>
      </w: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（企业名称），从业人员</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人，营业收入为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万元，资产总额为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万元，属于</w:t>
      </w:r>
      <w:r>
        <w:rPr>
          <w:rFonts w:hint="default" w:ascii="Times New Roman" w:hAnsi="Times New Roman" w:eastAsia="仿宋" w:cs="Times New Roman"/>
          <w:color w:val="auto"/>
          <w:sz w:val="24"/>
          <w:szCs w:val="22"/>
          <w:u w:val="single"/>
          <w:lang w:val="en-US" w:eastAsia="zh-CN"/>
        </w:rPr>
        <w:t xml:space="preserve">  </w:t>
      </w:r>
      <w:r>
        <w:rPr>
          <w:rFonts w:hint="eastAsia"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（中型企业、小型企业、微型企业）；</w:t>
      </w:r>
    </w:p>
    <w:p w14:paraId="6B9EC3BF">
      <w:pPr>
        <w:keepNext w:val="0"/>
        <w:keepLines w:val="0"/>
        <w:pageBreakBefore w:val="0"/>
        <w:widowControl/>
        <w:numPr>
          <w:ilvl w:val="0"/>
          <w:numId w:val="9"/>
        </w:numPr>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（标的名称），属于</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（采购文件中明确的所属行业）；承建（承接）企业为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（企业名称），从业人员</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人，营业收入为</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 xml:space="preserve">万元，资产总额为    </w:t>
      </w:r>
      <w:r>
        <w:rPr>
          <w:rFonts w:hint="default" w:ascii="Times New Roman" w:hAnsi="Times New Roman" w:eastAsia="仿宋" w:cs="Times New Roman"/>
          <w:color w:val="auto"/>
          <w:sz w:val="24"/>
          <w:szCs w:val="22"/>
          <w:u w:val="single"/>
          <w:lang w:val="en-US" w:eastAsia="zh-CN"/>
        </w:rPr>
        <w:tab/>
      </w:r>
      <w:r>
        <w:rPr>
          <w:rFonts w:hint="default" w:ascii="Times New Roman" w:hAnsi="Times New Roman" w:eastAsia="仿宋" w:cs="Times New Roman"/>
          <w:color w:val="auto"/>
          <w:sz w:val="24"/>
          <w:szCs w:val="22"/>
          <w:lang w:val="en-US" w:eastAsia="zh-CN"/>
        </w:rPr>
        <w:t>万元，属于</w:t>
      </w:r>
      <w:r>
        <w:rPr>
          <w:rFonts w:hint="default" w:ascii="Times New Roman" w:hAnsi="Times New Roman" w:eastAsia="仿宋" w:cs="Times New Roman"/>
          <w:color w:val="auto"/>
          <w:sz w:val="24"/>
          <w:szCs w:val="22"/>
          <w:u w:val="single"/>
          <w:lang w:val="en-US" w:eastAsia="zh-CN"/>
        </w:rPr>
        <w:t xml:space="preserve">   </w:t>
      </w:r>
      <w:r>
        <w:rPr>
          <w:rFonts w:hint="default" w:ascii="Times New Roman" w:hAnsi="Times New Roman" w:eastAsia="仿宋" w:cs="Times New Roman"/>
          <w:color w:val="auto"/>
          <w:sz w:val="24"/>
          <w:szCs w:val="22"/>
          <w:lang w:val="en-US" w:eastAsia="zh-CN"/>
        </w:rPr>
        <w:t>（中型企业、小型企业、微型企业）；</w:t>
      </w:r>
    </w:p>
    <w:p w14:paraId="1F10DE7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w:t>
      </w:r>
    </w:p>
    <w:p w14:paraId="74D8AE96">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以上企业，不属于大企业的分支机构，不存在控股股东为大企业的情形，也不存在与大企业的负责人为同一人的情形。</w:t>
      </w:r>
    </w:p>
    <w:p w14:paraId="5A72D56B">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本企业对上述声明内容的真实性负责。如有虚假，将依法承担相应责任。</w:t>
      </w:r>
    </w:p>
    <w:p w14:paraId="544576C1">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企业名称（盖章）：</w:t>
      </w:r>
    </w:p>
    <w:p w14:paraId="6A5BCBD1">
      <w:pPr>
        <w:pStyle w:val="14"/>
        <w:ind w:left="0" w:leftChars="0" w:firstLine="0" w:firstLineChars="0"/>
        <w:rPr>
          <w:rFonts w:hint="default" w:ascii="Times New Roman" w:hAnsi="Times New Roman" w:eastAsia="仿宋" w:cs="Times New Roman"/>
          <w:color w:val="auto"/>
          <w:sz w:val="24"/>
          <w:szCs w:val="22"/>
        </w:rPr>
      </w:pPr>
    </w:p>
    <w:p w14:paraId="4DEDA27C">
      <w:pPr>
        <w:pStyle w:val="14"/>
        <w:rPr>
          <w:rFonts w:hint="default" w:ascii="Times New Roman" w:hAnsi="Times New Roman" w:eastAsia="仿宋" w:cs="Times New Roman"/>
          <w:color w:val="auto"/>
          <w:sz w:val="24"/>
          <w:szCs w:val="22"/>
        </w:rPr>
      </w:pPr>
    </w:p>
    <w:p w14:paraId="1BC3CE62">
      <w:pPr>
        <w:widowControl/>
        <w:spacing w:line="360" w:lineRule="auto"/>
        <w:jc w:val="center"/>
        <w:rPr>
          <w:rFonts w:hint="default" w:ascii="Times New Roman" w:hAnsi="Times New Roman" w:eastAsia="仿宋" w:cs="Times New Roman"/>
          <w:b/>
          <w:bCs/>
          <w:color w:val="auto"/>
          <w:sz w:val="36"/>
          <w:szCs w:val="36"/>
        </w:rPr>
      </w:pPr>
      <w:r>
        <w:rPr>
          <w:rFonts w:hint="default" w:ascii="Times New Roman" w:hAnsi="Times New Roman" w:eastAsia="仿宋" w:cs="Times New Roman"/>
          <w:b/>
          <w:bCs/>
          <w:color w:val="auto"/>
          <w:sz w:val="36"/>
          <w:szCs w:val="36"/>
          <w:lang w:eastAsia="zh-CN"/>
        </w:rPr>
        <w:t>（</w:t>
      </w:r>
      <w:r>
        <w:rPr>
          <w:rFonts w:hint="default" w:ascii="Times New Roman" w:hAnsi="Times New Roman" w:eastAsia="仿宋" w:cs="Times New Roman"/>
          <w:b/>
          <w:bCs/>
          <w:color w:val="auto"/>
          <w:sz w:val="36"/>
          <w:szCs w:val="36"/>
          <w:lang w:val="en-US" w:eastAsia="zh-CN"/>
        </w:rPr>
        <w:t>2</w:t>
      </w:r>
      <w:r>
        <w:rPr>
          <w:rFonts w:hint="default" w:ascii="Times New Roman" w:hAnsi="Times New Roman" w:eastAsia="仿宋" w:cs="Times New Roman"/>
          <w:b/>
          <w:bCs/>
          <w:color w:val="auto"/>
          <w:sz w:val="36"/>
          <w:szCs w:val="36"/>
          <w:lang w:eastAsia="zh-CN"/>
        </w:rPr>
        <w:t>）</w:t>
      </w:r>
      <w:r>
        <w:rPr>
          <w:rFonts w:hint="default" w:ascii="Times New Roman" w:hAnsi="Times New Roman" w:eastAsia="仿宋" w:cs="Times New Roman"/>
          <w:b/>
          <w:bCs/>
          <w:color w:val="auto"/>
          <w:sz w:val="36"/>
          <w:szCs w:val="36"/>
        </w:rPr>
        <w:t>监狱企业声明函</w:t>
      </w:r>
    </w:p>
    <w:p w14:paraId="17874A2C">
      <w:pPr>
        <w:keepNext w:val="0"/>
        <w:keepLines w:val="0"/>
        <w:pageBreakBefore w:val="0"/>
        <w:widowControl/>
        <w:kinsoku/>
        <w:wordWrap/>
        <w:overflowPunct/>
        <w:topLinePunct w:val="0"/>
        <w:bidi w:val="0"/>
        <w:snapToGrid/>
        <w:spacing w:line="600" w:lineRule="exact"/>
        <w:ind w:firstLine="480" w:firstLineChars="200"/>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(监狱企业适用)</w:t>
      </w:r>
    </w:p>
    <w:p w14:paraId="15443127">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p>
    <w:p w14:paraId="0C058BBD">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本公司郑重声明,根据《关于政府采购支持监狱企业发展有关问题的通知》 (财库[2014]68号)的规定,本公司为监狱企业。</w:t>
      </w:r>
    </w:p>
    <w:p w14:paraId="76869E1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本公司参加</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单位的</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项目采购活动,采购活动提供本企业</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(填写制造的货物,由本企业承担工程,提供服务)</w:t>
      </w:r>
    </w:p>
    <w:p w14:paraId="26460AB2">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本条所称货物不包括使用大型企业注册商标的货物和服务。</w:t>
      </w:r>
    </w:p>
    <w:p w14:paraId="6A3C5B74">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本公司对上述声明的真实性负责。如有虚假,将依法承担相应责任。</w:t>
      </w:r>
    </w:p>
    <w:p w14:paraId="6B2D6C05">
      <w:pPr>
        <w:pStyle w:val="14"/>
        <w:keepNext w:val="0"/>
        <w:keepLines w:val="0"/>
        <w:pageBreakBefore w:val="0"/>
        <w:kinsoku/>
        <w:wordWrap/>
        <w:overflowPunct/>
        <w:topLinePunct w:val="0"/>
        <w:bidi w:val="0"/>
        <w:snapToGrid/>
        <w:spacing w:line="600" w:lineRule="exact"/>
        <w:rPr>
          <w:rFonts w:hint="default" w:ascii="Times New Roman" w:hAnsi="Times New Roman" w:cs="Times New Roman"/>
          <w:color w:val="auto"/>
        </w:rPr>
      </w:pPr>
    </w:p>
    <w:p w14:paraId="2101A82E">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p>
    <w:p w14:paraId="1EC30109">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企业名称(盖公章):</w:t>
      </w:r>
    </w:p>
    <w:p w14:paraId="7C61FCD6">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法定代表人(负责人)或其授权代表(签字):</w:t>
      </w:r>
    </w:p>
    <w:p w14:paraId="16243EF9">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日期:</w:t>
      </w:r>
    </w:p>
    <w:p w14:paraId="024C1CD6">
      <w:pPr>
        <w:pStyle w:val="14"/>
        <w:rPr>
          <w:rFonts w:hint="default" w:ascii="Times New Roman" w:hAnsi="Times New Roman" w:eastAsia="仿宋" w:cs="Times New Roman"/>
          <w:color w:val="auto"/>
          <w:sz w:val="24"/>
          <w:szCs w:val="22"/>
        </w:rPr>
      </w:pPr>
    </w:p>
    <w:p w14:paraId="6AF5D72D">
      <w:pPr>
        <w:pStyle w:val="14"/>
        <w:rPr>
          <w:rFonts w:hint="default" w:ascii="Times New Roman" w:hAnsi="Times New Roman" w:eastAsia="仿宋" w:cs="Times New Roman"/>
          <w:color w:val="auto"/>
          <w:sz w:val="24"/>
          <w:szCs w:val="22"/>
        </w:rPr>
      </w:pPr>
    </w:p>
    <w:p w14:paraId="6676AC27">
      <w:pPr>
        <w:pStyle w:val="14"/>
        <w:rPr>
          <w:rFonts w:hint="default" w:ascii="Times New Roman" w:hAnsi="Times New Roman" w:eastAsia="仿宋" w:cs="Times New Roman"/>
          <w:color w:val="auto"/>
          <w:sz w:val="24"/>
          <w:szCs w:val="22"/>
        </w:rPr>
      </w:pPr>
    </w:p>
    <w:p w14:paraId="0FD7FF56">
      <w:pPr>
        <w:pStyle w:val="14"/>
        <w:rPr>
          <w:rFonts w:hint="default" w:ascii="Times New Roman" w:hAnsi="Times New Roman" w:eastAsia="仿宋" w:cs="Times New Roman"/>
          <w:color w:val="auto"/>
          <w:sz w:val="24"/>
          <w:szCs w:val="22"/>
        </w:rPr>
      </w:pPr>
    </w:p>
    <w:p w14:paraId="651AF6EA">
      <w:pPr>
        <w:pStyle w:val="14"/>
        <w:rPr>
          <w:rFonts w:hint="default" w:ascii="Times New Roman" w:hAnsi="Times New Roman" w:eastAsia="仿宋" w:cs="Times New Roman"/>
          <w:color w:val="auto"/>
          <w:sz w:val="24"/>
          <w:szCs w:val="22"/>
        </w:rPr>
      </w:pPr>
    </w:p>
    <w:p w14:paraId="43EDE0BC">
      <w:pPr>
        <w:pStyle w:val="14"/>
        <w:rPr>
          <w:rFonts w:hint="default" w:ascii="Times New Roman" w:hAnsi="Times New Roman" w:eastAsia="仿宋" w:cs="Times New Roman"/>
          <w:color w:val="auto"/>
          <w:sz w:val="24"/>
          <w:szCs w:val="22"/>
        </w:rPr>
      </w:pPr>
    </w:p>
    <w:p w14:paraId="3C8E8295">
      <w:pPr>
        <w:pStyle w:val="14"/>
        <w:rPr>
          <w:rFonts w:hint="default" w:ascii="Times New Roman" w:hAnsi="Times New Roman" w:eastAsia="仿宋" w:cs="Times New Roman"/>
          <w:color w:val="auto"/>
          <w:sz w:val="24"/>
          <w:szCs w:val="22"/>
        </w:rPr>
      </w:pPr>
    </w:p>
    <w:p w14:paraId="16C74B56">
      <w:pPr>
        <w:pStyle w:val="14"/>
        <w:rPr>
          <w:rFonts w:hint="default" w:ascii="Times New Roman" w:hAnsi="Times New Roman" w:eastAsia="仿宋" w:cs="Times New Roman"/>
          <w:color w:val="auto"/>
          <w:sz w:val="24"/>
          <w:szCs w:val="22"/>
        </w:rPr>
      </w:pPr>
    </w:p>
    <w:p w14:paraId="42F0B856">
      <w:pPr>
        <w:pStyle w:val="14"/>
        <w:rPr>
          <w:rFonts w:hint="default" w:ascii="Times New Roman" w:hAnsi="Times New Roman" w:eastAsia="仿宋" w:cs="Times New Roman"/>
          <w:color w:val="auto"/>
          <w:sz w:val="24"/>
          <w:szCs w:val="22"/>
        </w:rPr>
      </w:pPr>
    </w:p>
    <w:p w14:paraId="767874F0">
      <w:pPr>
        <w:pStyle w:val="14"/>
        <w:rPr>
          <w:rFonts w:hint="default" w:ascii="Times New Roman" w:hAnsi="Times New Roman" w:eastAsia="仿宋" w:cs="Times New Roman"/>
          <w:color w:val="auto"/>
          <w:sz w:val="24"/>
          <w:szCs w:val="22"/>
        </w:rPr>
      </w:pPr>
    </w:p>
    <w:p w14:paraId="7B860BBF">
      <w:pPr>
        <w:pStyle w:val="14"/>
        <w:rPr>
          <w:rFonts w:hint="default" w:ascii="Times New Roman" w:hAnsi="Times New Roman" w:eastAsia="仿宋" w:cs="Times New Roman"/>
          <w:color w:val="auto"/>
          <w:sz w:val="24"/>
          <w:szCs w:val="22"/>
        </w:rPr>
      </w:pPr>
    </w:p>
    <w:p w14:paraId="0DC4496F">
      <w:pPr>
        <w:pStyle w:val="14"/>
        <w:rPr>
          <w:rFonts w:hint="default" w:ascii="Times New Roman" w:hAnsi="Times New Roman" w:eastAsia="仿宋" w:cs="Times New Roman"/>
          <w:color w:val="auto"/>
          <w:sz w:val="24"/>
          <w:szCs w:val="22"/>
        </w:rPr>
      </w:pPr>
    </w:p>
    <w:p w14:paraId="0D507D76">
      <w:pPr>
        <w:pStyle w:val="14"/>
        <w:rPr>
          <w:rFonts w:hint="default" w:ascii="Times New Roman" w:hAnsi="Times New Roman" w:eastAsia="仿宋" w:cs="Times New Roman"/>
          <w:color w:val="auto"/>
          <w:sz w:val="24"/>
          <w:szCs w:val="22"/>
        </w:rPr>
      </w:pPr>
    </w:p>
    <w:p w14:paraId="110AE93B">
      <w:pPr>
        <w:widowControl/>
        <w:spacing w:line="360" w:lineRule="auto"/>
        <w:jc w:val="center"/>
        <w:rPr>
          <w:rFonts w:hint="default" w:ascii="Times New Roman" w:hAnsi="Times New Roman" w:eastAsia="仿宋" w:cs="Times New Roman"/>
          <w:b/>
          <w:bCs/>
          <w:color w:val="auto"/>
          <w:sz w:val="36"/>
          <w:szCs w:val="32"/>
        </w:rPr>
      </w:pPr>
      <w:r>
        <w:rPr>
          <w:rFonts w:hint="default" w:ascii="Times New Roman" w:hAnsi="Times New Roman" w:eastAsia="仿宋" w:cs="Times New Roman"/>
          <w:b/>
          <w:bCs/>
          <w:color w:val="auto"/>
          <w:sz w:val="36"/>
          <w:szCs w:val="32"/>
          <w:lang w:eastAsia="zh-CN"/>
        </w:rPr>
        <w:t>（</w:t>
      </w:r>
      <w:r>
        <w:rPr>
          <w:rFonts w:hint="default" w:ascii="Times New Roman" w:hAnsi="Times New Roman" w:eastAsia="仿宋" w:cs="Times New Roman"/>
          <w:b/>
          <w:bCs/>
          <w:color w:val="auto"/>
          <w:sz w:val="36"/>
          <w:szCs w:val="32"/>
          <w:lang w:val="en-US" w:eastAsia="zh-CN"/>
        </w:rPr>
        <w:t>3</w:t>
      </w:r>
      <w:r>
        <w:rPr>
          <w:rFonts w:hint="default" w:ascii="Times New Roman" w:hAnsi="Times New Roman" w:eastAsia="仿宋" w:cs="Times New Roman"/>
          <w:b/>
          <w:bCs/>
          <w:color w:val="auto"/>
          <w:sz w:val="36"/>
          <w:szCs w:val="32"/>
          <w:lang w:eastAsia="zh-CN"/>
        </w:rPr>
        <w:t>）</w:t>
      </w:r>
      <w:r>
        <w:rPr>
          <w:rFonts w:hint="default" w:ascii="Times New Roman" w:hAnsi="Times New Roman" w:eastAsia="仿宋" w:cs="Times New Roman"/>
          <w:b/>
          <w:bCs/>
          <w:color w:val="auto"/>
          <w:sz w:val="36"/>
          <w:szCs w:val="32"/>
        </w:rPr>
        <w:t>残疾人福利性单位声明函</w:t>
      </w:r>
    </w:p>
    <w:p w14:paraId="7A6A2937">
      <w:pPr>
        <w:widowControl/>
        <w:spacing w:line="360" w:lineRule="auto"/>
        <w:ind w:firstLine="480" w:firstLineChars="200"/>
        <w:rPr>
          <w:rFonts w:hint="default" w:ascii="Times New Roman" w:hAnsi="Times New Roman" w:eastAsia="仿宋" w:cs="Times New Roman"/>
          <w:color w:val="auto"/>
          <w:sz w:val="24"/>
          <w:szCs w:val="22"/>
        </w:rPr>
      </w:pPr>
    </w:p>
    <w:p w14:paraId="43B581CD">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本单位郑重声明,根据《财政部民政部中国残疾人联合会关于促进残疾人就业政府采购政策的通知》 (财库(2017)141号)的规定,本单位为符合条件的残疾人福利性单位,且本单位参加</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单位的</w:t>
      </w:r>
      <w:r>
        <w:rPr>
          <w:rFonts w:hint="default" w:ascii="Times New Roman" w:hAnsi="Times New Roman" w:eastAsia="仿宋" w:cs="Times New Roman"/>
          <w:color w:val="auto"/>
          <w:sz w:val="24"/>
          <w:szCs w:val="22"/>
          <w:u w:val="single"/>
        </w:rPr>
        <w:t xml:space="preserve">     </w:t>
      </w:r>
      <w:r>
        <w:rPr>
          <w:rFonts w:hint="default" w:ascii="Times New Roman" w:hAnsi="Times New Roman" w:eastAsia="仿宋" w:cs="Times New Roman"/>
          <w:color w:val="auto"/>
          <w:sz w:val="24"/>
          <w:szCs w:val="22"/>
        </w:rPr>
        <w:t>项目采购活动提供本单位制造的货物《由本单位承担工程/提供服务),或者提供其他残疾人福利性单位制造的货物(不包括使用非残疾人福利性单位注册商标的货物)。</w:t>
      </w:r>
    </w:p>
    <w:p w14:paraId="714139AF">
      <w:pPr>
        <w:keepNext w:val="0"/>
        <w:keepLines w:val="0"/>
        <w:pageBreakBefore w:val="0"/>
        <w:widowControl/>
        <w:kinsoku/>
        <w:wordWrap/>
        <w:overflowPunct/>
        <w:topLinePunct w:val="0"/>
        <w:bidi w:val="0"/>
        <w:snapToGrid/>
        <w:spacing w:line="600" w:lineRule="exact"/>
        <w:ind w:firstLine="480" w:firstLineChars="2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本单位对上述声明的真实性负责,如有虚假,将依法承担相应责任。</w:t>
      </w:r>
    </w:p>
    <w:p w14:paraId="02BBAA91">
      <w:pPr>
        <w:pStyle w:val="14"/>
        <w:keepNext w:val="0"/>
        <w:keepLines w:val="0"/>
        <w:pageBreakBefore w:val="0"/>
        <w:kinsoku/>
        <w:wordWrap/>
        <w:overflowPunct/>
        <w:topLinePunct w:val="0"/>
        <w:bidi w:val="0"/>
        <w:snapToGrid/>
        <w:spacing w:line="600" w:lineRule="exact"/>
        <w:rPr>
          <w:rFonts w:hint="default" w:ascii="Times New Roman" w:hAnsi="Times New Roman" w:cs="Times New Roman"/>
          <w:color w:val="auto"/>
        </w:rPr>
      </w:pPr>
    </w:p>
    <w:p w14:paraId="6C0A9623">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企业名称(盖公章):</w:t>
      </w:r>
    </w:p>
    <w:p w14:paraId="31DF5A7E">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法定代表人(负责人)或其授权代表(签字):</w:t>
      </w:r>
    </w:p>
    <w:p w14:paraId="5BF41955">
      <w:pPr>
        <w:keepNext w:val="0"/>
        <w:keepLines w:val="0"/>
        <w:pageBreakBefore w:val="0"/>
        <w:widowControl/>
        <w:kinsoku/>
        <w:wordWrap/>
        <w:overflowPunct/>
        <w:topLinePunct w:val="0"/>
        <w:bidi w:val="0"/>
        <w:snapToGrid/>
        <w:spacing w:line="600" w:lineRule="exact"/>
        <w:ind w:firstLine="3600" w:firstLineChars="1500"/>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日期:</w:t>
      </w:r>
    </w:p>
    <w:p w14:paraId="5D7BEA11">
      <w:pPr>
        <w:pStyle w:val="14"/>
        <w:rPr>
          <w:rFonts w:hint="default" w:ascii="Times New Roman" w:hAnsi="Times New Roman" w:eastAsia="仿宋" w:cs="Times New Roman"/>
          <w:color w:val="auto"/>
          <w:sz w:val="24"/>
          <w:szCs w:val="22"/>
        </w:rPr>
      </w:pPr>
    </w:p>
    <w:p w14:paraId="2ECC00FB">
      <w:pPr>
        <w:pStyle w:val="14"/>
        <w:rPr>
          <w:rFonts w:hint="default" w:ascii="Times New Roman" w:hAnsi="Times New Roman" w:eastAsia="仿宋" w:cs="Times New Roman"/>
          <w:color w:val="auto"/>
          <w:sz w:val="24"/>
          <w:szCs w:val="22"/>
        </w:rPr>
      </w:pPr>
    </w:p>
    <w:p w14:paraId="4AC2CB9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3CE29F0C">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75AB0C29">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0C1ABAB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360AE76E">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25B9E907">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48EA6390">
      <w:pPr>
        <w:keepNext w:val="0"/>
        <w:keepLines w:val="0"/>
        <w:pageBreakBefore w:val="0"/>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lang w:eastAsia="zh-CN"/>
        </w:rPr>
      </w:pPr>
    </w:p>
    <w:p w14:paraId="6BC5DCC4">
      <w:pPr>
        <w:keepNext w:val="0"/>
        <w:keepLines w:val="0"/>
        <w:pageBreakBefore w:val="0"/>
        <w:kinsoku/>
        <w:wordWrap/>
        <w:overflowPunct/>
        <w:topLinePunct w:val="0"/>
        <w:bidi w:val="0"/>
        <w:snapToGrid/>
        <w:spacing w:line="600" w:lineRule="exact"/>
        <w:jc w:val="both"/>
        <w:rPr>
          <w:rFonts w:hint="default" w:ascii="Times New Roman" w:hAnsi="Times New Roman" w:eastAsia="仿宋" w:cs="Times New Roman"/>
          <w:b/>
          <w:bCs/>
          <w:color w:val="auto"/>
          <w:sz w:val="36"/>
          <w:szCs w:val="24"/>
          <w:lang w:eastAsia="zh-CN"/>
        </w:rPr>
      </w:pPr>
    </w:p>
    <w:p w14:paraId="56095FF9">
      <w:pPr>
        <w:keepNext w:val="0"/>
        <w:keepLines w:val="0"/>
        <w:pageBreakBefore w:val="0"/>
        <w:numPr>
          <w:ilvl w:val="0"/>
          <w:numId w:val="0"/>
        </w:numPr>
        <w:kinsoku/>
        <w:wordWrap/>
        <w:overflowPunct/>
        <w:topLinePunct w:val="0"/>
        <w:bidi w:val="0"/>
        <w:snapToGrid/>
        <w:spacing w:line="600" w:lineRule="exact"/>
        <w:jc w:val="both"/>
        <w:rPr>
          <w:rFonts w:hint="default" w:ascii="Times New Roman" w:hAnsi="Times New Roman" w:eastAsia="仿宋" w:cs="Times New Roman"/>
          <w:b/>
          <w:bCs/>
          <w:color w:val="auto"/>
          <w:sz w:val="36"/>
          <w:szCs w:val="24"/>
        </w:rPr>
      </w:pPr>
    </w:p>
    <w:p w14:paraId="4EDFF47D">
      <w:pPr>
        <w:keepNext w:val="0"/>
        <w:keepLines w:val="0"/>
        <w:pageBreakBefore w:val="0"/>
        <w:numPr>
          <w:ilvl w:val="0"/>
          <w:numId w:val="0"/>
        </w:numPr>
        <w:kinsoku/>
        <w:wordWrap/>
        <w:overflowPunct/>
        <w:topLinePunct w:val="0"/>
        <w:bidi w:val="0"/>
        <w:snapToGrid/>
        <w:spacing w:line="600" w:lineRule="exact"/>
        <w:jc w:val="center"/>
        <w:rPr>
          <w:rFonts w:hint="default" w:ascii="Times New Roman" w:hAnsi="Times New Roman" w:eastAsia="仿宋" w:cs="Times New Roman"/>
          <w:b/>
          <w:bCs/>
          <w:color w:val="auto"/>
          <w:sz w:val="36"/>
          <w:szCs w:val="24"/>
        </w:rPr>
      </w:pPr>
      <w:r>
        <w:rPr>
          <w:rFonts w:hint="eastAsia" w:eastAsia="仿宋" w:cs="Times New Roman"/>
          <w:b/>
          <w:bCs/>
          <w:color w:val="auto"/>
          <w:sz w:val="36"/>
          <w:szCs w:val="24"/>
          <w:lang w:eastAsia="zh-CN"/>
        </w:rPr>
        <w:t>十八、</w:t>
      </w:r>
      <w:r>
        <w:rPr>
          <w:rFonts w:hint="default" w:ascii="Times New Roman" w:hAnsi="Times New Roman" w:eastAsia="仿宋" w:cs="Times New Roman"/>
          <w:b/>
          <w:bCs/>
          <w:color w:val="auto"/>
          <w:sz w:val="36"/>
          <w:szCs w:val="24"/>
        </w:rPr>
        <w:t>投标人认为需提供的其它证明文件</w:t>
      </w:r>
    </w:p>
    <w:p w14:paraId="5B644F14">
      <w:pPr>
        <w:pStyle w:val="73"/>
        <w:spacing w:before="0" w:after="0" w:line="360" w:lineRule="auto"/>
        <w:ind w:firstLine="0"/>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t>（参照</w:t>
      </w:r>
      <w:r>
        <w:rPr>
          <w:rFonts w:hint="default" w:ascii="Times New Roman" w:hAnsi="Times New Roman" w:eastAsia="仿宋" w:cs="Times New Roman"/>
          <w:kern w:val="2"/>
          <w:sz w:val="24"/>
          <w:lang w:val="en-US" w:eastAsia="zh-CN" w:bidi="ar-SA"/>
        </w:rPr>
        <w:t>技术商务部分评分记录明细表）</w:t>
      </w:r>
    </w:p>
    <w:p w14:paraId="3C2BC382">
      <w:pPr>
        <w:pStyle w:val="12"/>
        <w:numPr>
          <w:ilvl w:val="0"/>
          <w:numId w:val="0"/>
        </w:numPr>
        <w:ind w:left="3584" w:leftChars="0"/>
        <w:rPr>
          <w:rFonts w:hint="default" w:ascii="Times New Roman" w:hAnsi="Times New Roman" w:cs="Times New Roman"/>
        </w:rPr>
      </w:pPr>
    </w:p>
    <w:p w14:paraId="2CD8AC80">
      <w:pPr>
        <w:rPr>
          <w:rFonts w:hint="default" w:ascii="Times New Roman" w:hAnsi="Times New Roman" w:cs="Times New Roman"/>
        </w:rPr>
      </w:pPr>
    </w:p>
    <w:p w14:paraId="5D19342F">
      <w:pPr>
        <w:pStyle w:val="44"/>
        <w:rPr>
          <w:rFonts w:hint="default" w:ascii="Times New Roman" w:hAnsi="Times New Roman" w:cs="Times New Roman"/>
        </w:rPr>
      </w:pPr>
    </w:p>
    <w:p w14:paraId="36F20088">
      <w:pPr>
        <w:pStyle w:val="11"/>
        <w:rPr>
          <w:rFonts w:hint="default" w:ascii="Times New Roman" w:hAnsi="Times New Roman" w:cs="Times New Roman"/>
        </w:rPr>
      </w:pPr>
    </w:p>
    <w:p w14:paraId="55A5E75F">
      <w:pPr>
        <w:rPr>
          <w:rFonts w:hint="default" w:ascii="Times New Roman" w:hAnsi="Times New Roman" w:cs="Times New Roman"/>
        </w:rPr>
      </w:pPr>
    </w:p>
    <w:p w14:paraId="1D289798">
      <w:pPr>
        <w:pStyle w:val="44"/>
        <w:rPr>
          <w:rFonts w:hint="default" w:ascii="Times New Roman" w:hAnsi="Times New Roman" w:cs="Times New Roman"/>
        </w:rPr>
      </w:pPr>
    </w:p>
    <w:p w14:paraId="22EE2C3D">
      <w:pPr>
        <w:pStyle w:val="11"/>
        <w:rPr>
          <w:rFonts w:hint="default" w:ascii="Times New Roman" w:hAnsi="Times New Roman" w:cs="Times New Roman"/>
        </w:rPr>
      </w:pPr>
    </w:p>
    <w:p w14:paraId="20735DFB">
      <w:pPr>
        <w:rPr>
          <w:rFonts w:hint="default" w:ascii="Times New Roman" w:hAnsi="Times New Roman" w:cs="Times New Roman"/>
        </w:rPr>
      </w:pPr>
    </w:p>
    <w:p w14:paraId="1DB0D22B">
      <w:pPr>
        <w:pStyle w:val="44"/>
        <w:rPr>
          <w:rFonts w:hint="default" w:ascii="Times New Roman" w:hAnsi="Times New Roman" w:cs="Times New Roman"/>
        </w:rPr>
      </w:pPr>
    </w:p>
    <w:p w14:paraId="76D75C3E">
      <w:pPr>
        <w:pStyle w:val="11"/>
        <w:rPr>
          <w:rFonts w:hint="default" w:ascii="Times New Roman" w:hAnsi="Times New Roman" w:cs="Times New Roman"/>
        </w:rPr>
      </w:pPr>
    </w:p>
    <w:p w14:paraId="2FC108ED">
      <w:pPr>
        <w:rPr>
          <w:rFonts w:hint="default" w:ascii="Times New Roman" w:hAnsi="Times New Roman" w:cs="Times New Roman"/>
        </w:rPr>
      </w:pPr>
    </w:p>
    <w:p w14:paraId="23A704A7">
      <w:pPr>
        <w:pStyle w:val="44"/>
        <w:rPr>
          <w:rFonts w:hint="default" w:ascii="Times New Roman" w:hAnsi="Times New Roman" w:cs="Times New Roman"/>
        </w:rPr>
      </w:pPr>
    </w:p>
    <w:p w14:paraId="416B39B0">
      <w:pPr>
        <w:pStyle w:val="11"/>
        <w:rPr>
          <w:rFonts w:hint="default" w:ascii="Times New Roman" w:hAnsi="Times New Roman" w:cs="Times New Roman"/>
        </w:rPr>
      </w:pPr>
    </w:p>
    <w:p w14:paraId="77CD06D0">
      <w:pPr>
        <w:rPr>
          <w:rFonts w:hint="default" w:ascii="Times New Roman" w:hAnsi="Times New Roman" w:cs="Times New Roman"/>
        </w:rPr>
      </w:pPr>
    </w:p>
    <w:p w14:paraId="43C3FEFF">
      <w:pPr>
        <w:pStyle w:val="44"/>
        <w:rPr>
          <w:rFonts w:hint="default" w:ascii="Times New Roman" w:hAnsi="Times New Roman" w:cs="Times New Roman"/>
        </w:rPr>
      </w:pPr>
    </w:p>
    <w:p w14:paraId="2C64A9A5">
      <w:pPr>
        <w:pStyle w:val="11"/>
        <w:rPr>
          <w:rFonts w:hint="default" w:ascii="Times New Roman" w:hAnsi="Times New Roman" w:cs="Times New Roman"/>
        </w:rPr>
      </w:pPr>
    </w:p>
    <w:p w14:paraId="45C710D7">
      <w:pPr>
        <w:rPr>
          <w:rFonts w:hint="default" w:ascii="Times New Roman" w:hAnsi="Times New Roman" w:cs="Times New Roman"/>
        </w:rPr>
      </w:pPr>
    </w:p>
    <w:p w14:paraId="5A5B338E">
      <w:pPr>
        <w:pStyle w:val="44"/>
        <w:rPr>
          <w:rFonts w:hint="default" w:ascii="Times New Roman" w:hAnsi="Times New Roman" w:cs="Times New Roman"/>
        </w:rPr>
      </w:pPr>
    </w:p>
    <w:p w14:paraId="13C466E3">
      <w:pPr>
        <w:pStyle w:val="11"/>
        <w:rPr>
          <w:rFonts w:hint="default" w:ascii="Times New Roman" w:hAnsi="Times New Roman" w:cs="Times New Roman"/>
        </w:rPr>
      </w:pPr>
    </w:p>
    <w:p w14:paraId="4F73BE58">
      <w:pPr>
        <w:rPr>
          <w:rFonts w:hint="default" w:ascii="Times New Roman" w:hAnsi="Times New Roman" w:cs="Times New Roman"/>
        </w:rPr>
      </w:pPr>
    </w:p>
    <w:p w14:paraId="4D46089D">
      <w:pPr>
        <w:pStyle w:val="44"/>
        <w:rPr>
          <w:rFonts w:hint="default" w:ascii="Times New Roman" w:hAnsi="Times New Roman" w:cs="Times New Roman"/>
        </w:rPr>
      </w:pPr>
    </w:p>
    <w:p w14:paraId="62D95BD1">
      <w:pPr>
        <w:pStyle w:val="11"/>
        <w:rPr>
          <w:rFonts w:hint="default" w:ascii="Times New Roman" w:hAnsi="Times New Roman" w:cs="Times New Roman"/>
        </w:rPr>
      </w:pPr>
    </w:p>
    <w:p w14:paraId="43782FD8">
      <w:pPr>
        <w:rPr>
          <w:rFonts w:hint="default" w:ascii="Times New Roman" w:hAnsi="Times New Roman" w:cs="Times New Roman"/>
        </w:rPr>
      </w:pPr>
    </w:p>
    <w:p w14:paraId="7F18BE17">
      <w:pPr>
        <w:pStyle w:val="44"/>
        <w:rPr>
          <w:rFonts w:hint="default" w:ascii="Times New Roman" w:hAnsi="Times New Roman" w:cs="Times New Roman"/>
        </w:rPr>
      </w:pPr>
    </w:p>
    <w:p w14:paraId="27590C2E">
      <w:pPr>
        <w:pStyle w:val="11"/>
        <w:rPr>
          <w:rFonts w:hint="default" w:ascii="Times New Roman" w:hAnsi="Times New Roman" w:cs="Times New Roman"/>
        </w:rPr>
      </w:pPr>
    </w:p>
    <w:p w14:paraId="391A3801">
      <w:pPr>
        <w:rPr>
          <w:rFonts w:hint="default" w:ascii="Times New Roman" w:hAnsi="Times New Roman" w:cs="Times New Roman"/>
        </w:rPr>
      </w:pPr>
    </w:p>
    <w:p w14:paraId="60BBE047">
      <w:pPr>
        <w:pStyle w:val="44"/>
        <w:rPr>
          <w:rFonts w:hint="default" w:ascii="Times New Roman" w:hAnsi="Times New Roman" w:cs="Times New Roman"/>
        </w:rPr>
      </w:pPr>
    </w:p>
    <w:p w14:paraId="2E554424">
      <w:pPr>
        <w:pStyle w:val="11"/>
        <w:rPr>
          <w:rFonts w:hint="default" w:ascii="Times New Roman" w:hAnsi="Times New Roman" w:cs="Times New Roman"/>
        </w:rPr>
      </w:pPr>
    </w:p>
    <w:p w14:paraId="7B02B5A1">
      <w:pPr>
        <w:rPr>
          <w:rFonts w:hint="default" w:ascii="Times New Roman" w:hAnsi="Times New Roman" w:cs="Times New Roman"/>
        </w:rPr>
      </w:pPr>
    </w:p>
    <w:p w14:paraId="39BAE508">
      <w:pPr>
        <w:pStyle w:val="44"/>
        <w:rPr>
          <w:rFonts w:hint="default" w:ascii="Times New Roman" w:hAnsi="Times New Roman" w:cs="Times New Roman"/>
        </w:rPr>
      </w:pPr>
    </w:p>
    <w:p w14:paraId="1B63BFD0">
      <w:pPr>
        <w:pStyle w:val="11"/>
        <w:rPr>
          <w:rFonts w:hint="default" w:ascii="Times New Roman" w:hAnsi="Times New Roman" w:cs="Times New Roman"/>
        </w:rPr>
      </w:pPr>
    </w:p>
    <w:p w14:paraId="0A4C22DC">
      <w:pPr>
        <w:rPr>
          <w:rFonts w:hint="default" w:ascii="Times New Roman" w:hAnsi="Times New Roman" w:cs="Times New Roman"/>
        </w:rPr>
      </w:pPr>
    </w:p>
    <w:p w14:paraId="7683F8ED">
      <w:pPr>
        <w:pStyle w:val="44"/>
        <w:rPr>
          <w:rFonts w:hint="default" w:ascii="Times New Roman" w:hAnsi="Times New Roman" w:cs="Times New Roman"/>
        </w:rPr>
      </w:pPr>
    </w:p>
    <w:p w14:paraId="311D6220">
      <w:pPr>
        <w:pStyle w:val="11"/>
        <w:rPr>
          <w:rFonts w:hint="default" w:ascii="Times New Roman" w:hAnsi="Times New Roman" w:cs="Times New Roman"/>
        </w:rPr>
      </w:pPr>
    </w:p>
    <w:p w14:paraId="49E2DA83">
      <w:pPr>
        <w:rPr>
          <w:rFonts w:hint="default" w:ascii="Times New Roman" w:hAnsi="Times New Roman" w:cs="Times New Roman"/>
        </w:rPr>
      </w:pPr>
    </w:p>
    <w:p w14:paraId="7574EB33">
      <w:pPr>
        <w:pStyle w:val="44"/>
        <w:rPr>
          <w:rFonts w:hint="default" w:ascii="Times New Roman" w:hAnsi="Times New Roman" w:cs="Times New Roman"/>
        </w:rPr>
      </w:pPr>
    </w:p>
    <w:p w14:paraId="41967E96">
      <w:pPr>
        <w:pStyle w:val="11"/>
        <w:rPr>
          <w:rFonts w:hint="default" w:ascii="Times New Roman" w:hAnsi="Times New Roman" w:cs="Times New Roman"/>
        </w:rPr>
      </w:pPr>
    </w:p>
    <w:p w14:paraId="24845F2E">
      <w:pPr>
        <w:rPr>
          <w:rFonts w:hint="default" w:ascii="Times New Roman" w:hAnsi="Times New Roman" w:cs="Times New Roman"/>
        </w:rPr>
      </w:pPr>
    </w:p>
    <w:p w14:paraId="426B00AA">
      <w:pPr>
        <w:pStyle w:val="44"/>
        <w:rPr>
          <w:rFonts w:hint="default" w:ascii="Times New Roman" w:hAnsi="Times New Roman" w:cs="Times New Roman"/>
        </w:rPr>
      </w:pPr>
    </w:p>
    <w:p w14:paraId="5FBCAC5F">
      <w:pPr>
        <w:pStyle w:val="11"/>
        <w:rPr>
          <w:rFonts w:hint="default" w:ascii="Times New Roman" w:hAnsi="Times New Roman" w:cs="Times New Roman"/>
        </w:rPr>
      </w:pPr>
    </w:p>
    <w:p w14:paraId="78D599B6">
      <w:pPr>
        <w:rPr>
          <w:rFonts w:hint="default" w:ascii="Times New Roman" w:hAnsi="Times New Roman" w:cs="Times New Roman"/>
        </w:rPr>
      </w:pPr>
    </w:p>
    <w:p w14:paraId="56CF62BA">
      <w:pPr>
        <w:pStyle w:val="44"/>
        <w:rPr>
          <w:rFonts w:hint="default" w:ascii="Times New Roman" w:hAnsi="Times New Roman" w:cs="Times New Roman"/>
        </w:rPr>
      </w:pPr>
    </w:p>
    <w:p w14:paraId="69706C6B">
      <w:pPr>
        <w:pStyle w:val="11"/>
        <w:rPr>
          <w:rFonts w:hint="default" w:ascii="Times New Roman" w:hAnsi="Times New Roman" w:cs="Times New Roman"/>
        </w:rPr>
      </w:pPr>
    </w:p>
    <w:p w14:paraId="22014EAF">
      <w:pPr>
        <w:rPr>
          <w:rFonts w:hint="default" w:ascii="Times New Roman" w:hAnsi="Times New Roman" w:cs="Times New Roman"/>
        </w:rPr>
      </w:pPr>
    </w:p>
    <w:p w14:paraId="6AE7FFF2">
      <w:pPr>
        <w:pStyle w:val="44"/>
        <w:rPr>
          <w:rFonts w:hint="default" w:ascii="Times New Roman" w:hAnsi="Times New Roman" w:cs="Times New Roman"/>
        </w:rPr>
      </w:pPr>
    </w:p>
    <w:p w14:paraId="1EAA4E20">
      <w:pPr>
        <w:pStyle w:val="11"/>
        <w:rPr>
          <w:rFonts w:hint="default" w:ascii="Times New Roman" w:hAnsi="Times New Roman" w:cs="Times New Roman"/>
        </w:rPr>
      </w:pPr>
    </w:p>
    <w:p w14:paraId="7E6B5295">
      <w:pPr>
        <w:rPr>
          <w:rFonts w:hint="default" w:ascii="Times New Roman" w:hAnsi="Times New Roman" w:cs="Times New Roman"/>
        </w:rPr>
      </w:pPr>
    </w:p>
    <w:p w14:paraId="40C9CBB4">
      <w:pPr>
        <w:pStyle w:val="44"/>
        <w:rPr>
          <w:rFonts w:hint="default" w:ascii="Times New Roman" w:hAnsi="Times New Roman" w:cs="Times New Roman"/>
        </w:rPr>
      </w:pPr>
    </w:p>
    <w:p w14:paraId="42DF6D22">
      <w:pPr>
        <w:pStyle w:val="11"/>
        <w:rPr>
          <w:rFonts w:hint="default" w:ascii="Times New Roman" w:hAnsi="Times New Roman" w:cs="Times New Roman"/>
        </w:rPr>
      </w:pPr>
    </w:p>
    <w:p w14:paraId="5E408930">
      <w:pPr>
        <w:pStyle w:val="17"/>
        <w:tabs>
          <w:tab w:val="left" w:pos="720"/>
          <w:tab w:val="left" w:pos="900"/>
          <w:tab w:val="left" w:pos="1260"/>
          <w:tab w:val="left" w:pos="2160"/>
          <w:tab w:val="left" w:pos="2880"/>
          <w:tab w:val="left" w:pos="3600"/>
          <w:tab w:val="left" w:pos="4320"/>
          <w:tab w:val="left" w:pos="5040"/>
          <w:tab w:val="left" w:pos="5760"/>
        </w:tabs>
        <w:ind w:left="0" w:leftChars="0" w:firstLine="0" w:firstLineChars="0"/>
        <w:rPr>
          <w:rFonts w:hint="eastAsia" w:eastAsia="宋体"/>
          <w:lang w:val="en-US" w:eastAsia="zh-CN"/>
        </w:rPr>
      </w:pPr>
      <w:r>
        <w:rPr>
          <w:rFonts w:hint="eastAsia" w:eastAsia="宋体"/>
          <w:lang w:val="en-US" w:eastAsia="zh-CN"/>
        </w:rPr>
        <w:t>附件：</w:t>
      </w:r>
    </w:p>
    <w:p w14:paraId="349015A4">
      <w:pPr>
        <w:pStyle w:val="4"/>
        <w:pageBreakBefore w:val="0"/>
        <w:kinsoku/>
        <w:wordWrap/>
        <w:overflowPunct/>
        <w:topLinePunct w:val="0"/>
        <w:autoSpaceDE/>
        <w:autoSpaceDN/>
        <w:bidi w:val="0"/>
        <w:adjustRightInd/>
        <w:snapToGrid/>
        <w:spacing w:before="0" w:beforeAutospacing="0" w:after="0" w:afterAutospacing="0" w:line="240" w:lineRule="auto"/>
        <w:ind w:left="0" w:leftChars="0" w:firstLine="320" w:firstLineChars="10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val="en-US" w:eastAsia="zh-CN"/>
        </w:rPr>
        <w:t>一、</w:t>
      </w:r>
      <w:r>
        <w:rPr>
          <w:rFonts w:hint="eastAsia" w:ascii="方正小标宋_GBK" w:hAnsi="方正小标宋_GBK" w:eastAsia="方正小标宋_GBK" w:cs="方正小标宋_GBK"/>
        </w:rPr>
        <w:t>财政部工业和信息化部关于印发《政府采购促进中小企业发展管理办法》的通知</w:t>
      </w:r>
    </w:p>
    <w:p w14:paraId="165ED57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p>
    <w:p w14:paraId="050BF2A7">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center"/>
        <w:textAlignment w:val="auto"/>
        <w:rPr>
          <w:rFonts w:ascii="宋体" w:hAnsi="宋体"/>
          <w:color w:val="000000"/>
          <w:sz w:val="21"/>
          <w:szCs w:val="21"/>
        </w:rPr>
      </w:pPr>
      <w:r>
        <w:rPr>
          <w:rFonts w:hint="eastAsia" w:ascii="宋体" w:hAnsi="宋体"/>
          <w:color w:val="000000"/>
          <w:sz w:val="21"/>
          <w:szCs w:val="21"/>
        </w:rPr>
        <w:t>财库〔2020〕46号</w:t>
      </w:r>
    </w:p>
    <w:p w14:paraId="43DBEB5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333333"/>
          <w:sz w:val="21"/>
          <w:szCs w:val="21"/>
        </w:rPr>
      </w:pPr>
      <w:r>
        <w:rPr>
          <w:rFonts w:hint="eastAsia" w:ascii="宋体" w:hAnsi="宋体"/>
          <w:color w:val="333333"/>
          <w:sz w:val="21"/>
          <w:szCs w:val="21"/>
        </w:rPr>
        <w:t>各中央预算单位办公厅（室），各省、自治区、直辖市、计划单列市财政厅（局）、工业和信息化主管部门，新疆生产建设兵团财政局、工业和信息化主管部门：</w:t>
      </w:r>
    </w:p>
    <w:p w14:paraId="480BCCE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FE5515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left"/>
        <w:textAlignment w:val="auto"/>
        <w:rPr>
          <w:rFonts w:ascii="宋体" w:hAnsi="宋体"/>
          <w:color w:val="333333"/>
          <w:sz w:val="21"/>
          <w:szCs w:val="21"/>
        </w:rPr>
      </w:pPr>
      <w:r>
        <w:rPr>
          <w:rFonts w:hint="eastAsia" w:ascii="宋体" w:hAnsi="宋体"/>
          <w:color w:val="333333"/>
          <w:sz w:val="21"/>
          <w:szCs w:val="21"/>
        </w:rPr>
        <w:t>附件：政府采购促进中小企业发展管理办法</w:t>
      </w:r>
    </w:p>
    <w:p w14:paraId="5D5D8C31">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olor w:val="333333"/>
          <w:sz w:val="21"/>
          <w:szCs w:val="21"/>
        </w:rPr>
      </w:pPr>
      <w:r>
        <w:rPr>
          <w:rFonts w:hint="eastAsia" w:ascii="宋体" w:hAnsi="宋体"/>
          <w:color w:val="333333"/>
          <w:sz w:val="21"/>
          <w:szCs w:val="21"/>
        </w:rPr>
        <w:t>财　　政　　部</w:t>
      </w:r>
    </w:p>
    <w:p w14:paraId="5E853A37">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olor w:val="333333"/>
          <w:sz w:val="21"/>
          <w:szCs w:val="21"/>
        </w:rPr>
      </w:pPr>
      <w:r>
        <w:rPr>
          <w:rFonts w:hint="eastAsia" w:ascii="宋体" w:hAnsi="宋体"/>
          <w:color w:val="333333"/>
          <w:sz w:val="21"/>
          <w:szCs w:val="21"/>
        </w:rPr>
        <w:t>工业和信息化部</w:t>
      </w:r>
    </w:p>
    <w:p w14:paraId="1520E2A5">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olor w:val="333333"/>
          <w:sz w:val="21"/>
          <w:szCs w:val="21"/>
        </w:rPr>
      </w:pPr>
      <w:r>
        <w:rPr>
          <w:rFonts w:hint="eastAsia" w:ascii="宋体" w:hAnsi="宋体"/>
          <w:color w:val="333333"/>
          <w:sz w:val="21"/>
          <w:szCs w:val="21"/>
        </w:rPr>
        <w:t>2020年12月18日</w:t>
      </w:r>
    </w:p>
    <w:p w14:paraId="5669EA3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06F9E01C">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333333"/>
          <w:sz w:val="21"/>
          <w:szCs w:val="21"/>
        </w:rPr>
      </w:pPr>
    </w:p>
    <w:p w14:paraId="7B13EF9F">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03AE7CD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b/>
          <w:bCs/>
          <w:color w:val="333333"/>
          <w:sz w:val="32"/>
          <w:szCs w:val="32"/>
        </w:rPr>
        <w:t>政府采购促进中小企业发展管理办法</w:t>
      </w:r>
    </w:p>
    <w:p w14:paraId="15123E2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2371E30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第一条</w:t>
      </w:r>
      <w:r>
        <w:rPr>
          <w:rFonts w:hint="eastAsia" w:ascii="宋体" w:hAnsi="宋体"/>
          <w:color w:val="333333"/>
          <w:sz w:val="21"/>
          <w:szCs w:val="21"/>
        </w:rPr>
        <w:t>　为了发挥政府采购的政策功能，促进中小企业健康发展，根据《中华人民共和国政府采购法》、《中华人民共和国中小企业促进法》等有关法律法规，制定本办法。</w:t>
      </w:r>
    </w:p>
    <w:p w14:paraId="6304D9C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第二条</w:t>
      </w:r>
      <w:r>
        <w:rPr>
          <w:rFonts w:hint="eastAsia" w:ascii="宋体" w:hAnsi="宋体"/>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0151D4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符合中小企业划分标准的个体工商户，在政府采购活动中视同中小企业。</w:t>
      </w:r>
    </w:p>
    <w:p w14:paraId="3B43C35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第三条</w:t>
      </w:r>
      <w:r>
        <w:rPr>
          <w:rFonts w:hint="eastAsia" w:ascii="宋体" w:hAnsi="宋体"/>
          <w:color w:val="333333"/>
          <w:sz w:val="21"/>
          <w:szCs w:val="21"/>
        </w:rPr>
        <w:t>　采购人在政府采购活动中应当通过加强采购需求管理，落实预留采购份额、价格评审优惠、优先采购等措施，提高中小企业在政府采购中的份额，支持中小企业发展。</w:t>
      </w:r>
    </w:p>
    <w:p w14:paraId="292EFAA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第四条</w:t>
      </w:r>
      <w:r>
        <w:rPr>
          <w:rFonts w:hint="eastAsia" w:ascii="宋体" w:hAnsi="宋体"/>
          <w:color w:val="333333"/>
          <w:sz w:val="21"/>
          <w:szCs w:val="21"/>
        </w:rPr>
        <w:t>　在政府采购活动中，供应商提供的货物、工程或者服务符合下列情形的，享受本办法规定的中小企业扶持政策：</w:t>
      </w:r>
    </w:p>
    <w:p w14:paraId="61A41594">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（一）在货物采购项目中，货物由中小企业制造，即货物由中小企业生产且使用该中小企业商号或者注册商标；</w:t>
      </w:r>
    </w:p>
    <w:p w14:paraId="7021270F">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（二）在工程采购项目中，工程由中小企业承建，即工程施工单位为中小企业；</w:t>
      </w:r>
    </w:p>
    <w:p w14:paraId="57ED8F6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（三）在服务采购项目中，服务由中小企业承接，即提供服务的人员为中小企业依照《中华人民共和国劳动合同法》订立劳动合同的从业人员。</w:t>
      </w:r>
    </w:p>
    <w:p w14:paraId="71D13B65">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在货物采购项目中，供应商提供的货物既有中小企业制造货物，也有大型企业制造货物的，不享受本办法规定的中小企业扶持政策。</w:t>
      </w:r>
    </w:p>
    <w:p w14:paraId="25CAAD2F">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以联合体形式参加政府采购活动，联合体各方均为中小企业的，联合体视同中小企业。其中，联合体各方均为小微企业的，联合体视同小微企业。</w:t>
      </w:r>
    </w:p>
    <w:p w14:paraId="57F5B1C7">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第五条</w:t>
      </w:r>
      <w:r>
        <w:rPr>
          <w:rFonts w:hint="eastAsia" w:ascii="宋体" w:hAnsi="宋体"/>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B62C006">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第六条</w:t>
      </w:r>
      <w:r>
        <w:rPr>
          <w:rFonts w:hint="eastAsia" w:ascii="宋体" w:hAnsi="宋体"/>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D8C48F4">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符合下列情形之一的，可不专门面向中小企业预留采购份额：</w:t>
      </w:r>
    </w:p>
    <w:p w14:paraId="622A416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（一）法律法规和国家有关政策明确规定优先或者应当面向事业单位、社会组织等非企业主体采购的；</w:t>
      </w:r>
    </w:p>
    <w:p w14:paraId="1FBC2C8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（二）因确需使用不可替代的专利、专有技术，基础设施限制，或者提供特定公共服务等原因，只能从中小企业之外的供应商处采购的；</w:t>
      </w:r>
    </w:p>
    <w:p w14:paraId="198D8015">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（三）按照本办法规定预留采购份额无法确保充分供应、充分竞争，或者存在可能影响政府采购目标实现的情形；</w:t>
      </w:r>
    </w:p>
    <w:p w14:paraId="164C71C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（四）框架协议采购项目；</w:t>
      </w:r>
    </w:p>
    <w:p w14:paraId="3A3CE1D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（五）省级以上人民政府财政部门规定的其他情形。</w:t>
      </w:r>
    </w:p>
    <w:p w14:paraId="177AF47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除上述情形外，其他均为适宜由中小企业提供的情形。</w:t>
      </w:r>
    </w:p>
    <w:p w14:paraId="4E863510">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第七条</w:t>
      </w:r>
      <w:r>
        <w:rPr>
          <w:rFonts w:hint="eastAsia" w:ascii="宋体" w:hAnsi="宋体"/>
          <w:color w:val="333333"/>
          <w:sz w:val="21"/>
          <w:szCs w:val="21"/>
        </w:rPr>
        <w:t>　采购限额标准以上，200万元以下的货物和服务采购项目、400万元以下的工程采购项目，适宜由中小企业提供的，采购人应当专门面向中小企业采购。</w:t>
      </w:r>
    </w:p>
    <w:p w14:paraId="56803D2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第八条</w:t>
      </w:r>
      <w:r>
        <w:rPr>
          <w:rFonts w:hint="eastAsia" w:ascii="宋体" w:hAnsi="宋体"/>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47EE2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（一）将采购项目整体或者设置采购包专门面向中小企业采购；</w:t>
      </w:r>
    </w:p>
    <w:p w14:paraId="50CD229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（二）要求供应商以联合体形式参加采购活动，且联合体中中小企业承担的部分达到一定比例；</w:t>
      </w:r>
    </w:p>
    <w:p w14:paraId="34541CAC">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（三）要求获得采购合同的供应商将采购项目中的一定比例分包给一家或者多家中小企业。</w:t>
      </w:r>
    </w:p>
    <w:p w14:paraId="3B7875B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组成联合体或者接受分包合同的中小企业与联合体内其他企业、分包企业之间不得存在直接控股、管理关系。</w:t>
      </w:r>
    </w:p>
    <w:p w14:paraId="15659E6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第九条</w:t>
      </w:r>
      <w:r>
        <w:rPr>
          <w:rFonts w:hint="eastAsia" w:ascii="宋体" w:hAnsi="宋体"/>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35E89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64B4BC1">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7F4F6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第十条</w:t>
      </w:r>
      <w:r>
        <w:rPr>
          <w:rFonts w:hint="eastAsia" w:ascii="宋体" w:hAnsi="宋体"/>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772C3F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第十一条</w:t>
      </w:r>
      <w:r>
        <w:rPr>
          <w:rFonts w:hint="eastAsia" w:ascii="宋体" w:hAnsi="宋体"/>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1A4FA895">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第十二条</w:t>
      </w:r>
      <w:r>
        <w:rPr>
          <w:rFonts w:hint="eastAsia" w:ascii="宋体" w:hAnsi="宋体"/>
          <w:color w:val="333333"/>
          <w:sz w:val="21"/>
          <w:szCs w:val="21"/>
        </w:rPr>
        <w:t>　采购项目涉及中小企业采购的，采购文件应当明确以下内容：</w:t>
      </w:r>
    </w:p>
    <w:p w14:paraId="212BBA0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（一）预留份额的采购项目或者采购包，明确该项目或相关采购包专门面向中小企业采购，以及相关标的及预算金额；</w:t>
      </w:r>
    </w:p>
    <w:p w14:paraId="5ECF11A2">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（二）要求以联合体形式参加或者合同分包的，明确联合协议或者分包意向协议中中小企业合同金额应当达到的比例，并作为供应商资格条件；</w:t>
      </w:r>
    </w:p>
    <w:p w14:paraId="471B354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（三）非预留份额的采购项目或者采购包，明确有关价格扣除比例或者价格分加分比例；</w:t>
      </w:r>
    </w:p>
    <w:p w14:paraId="10D3A99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（四）规定依据本办法规定享受扶持政策获得政府采购合同的，小微企业不得将合同分包给大中型企业，中型企业不得将合同分包给大型企业；</w:t>
      </w:r>
    </w:p>
    <w:p w14:paraId="0D42D2E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（五）采购人认为具备相关条件的，明确对中小企业在资金支付期限、预付款比例等方面的优惠措施；</w:t>
      </w:r>
    </w:p>
    <w:p w14:paraId="4664576C">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（六）明确采购标的对应的中小企业划分标准所属行业；</w:t>
      </w:r>
    </w:p>
    <w:p w14:paraId="20B34FF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（七）法律法规和省级以上人民政府财政部门规定的其他事项。</w:t>
      </w:r>
    </w:p>
    <w:p w14:paraId="4BF32714">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第十三条</w:t>
      </w:r>
      <w:r>
        <w:rPr>
          <w:rFonts w:hint="eastAsia" w:ascii="宋体" w:hAnsi="宋体"/>
          <w:color w:val="333333"/>
          <w:sz w:val="21"/>
          <w:szCs w:val="21"/>
        </w:rPr>
        <w:t>　中标、成交供应商享受本办法规定的中小企业扶持政策的，采购人、采购代理机构应当随中标、成交结果公开中标、成交供应商的《中小企业声明函》。</w:t>
      </w:r>
    </w:p>
    <w:p w14:paraId="42D88EC4">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适用招标投标法的政府采购工程建设项目，应当在公示中标候选人时公开中标候选人的《中小企业声明函》。</w:t>
      </w:r>
    </w:p>
    <w:p w14:paraId="6287015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第十四条</w:t>
      </w:r>
      <w:r>
        <w:rPr>
          <w:rFonts w:hint="eastAsia" w:ascii="宋体" w:hAnsi="宋体"/>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E742611">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第十五条</w:t>
      </w:r>
      <w:r>
        <w:rPr>
          <w:rFonts w:hint="eastAsia" w:ascii="宋体" w:hAnsi="宋体"/>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62D09D3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第十六条</w:t>
      </w:r>
      <w:r>
        <w:rPr>
          <w:rFonts w:hint="eastAsia" w:ascii="宋体" w:hAnsi="宋体"/>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2BCE6A56">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中小企业主管部门应当在收到财政部门或者有关招标投标行政监督部门关于协助开展中小企业认定函后10个工作日内做出书面答复。</w:t>
      </w:r>
    </w:p>
    <w:p w14:paraId="1944E12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第十七条</w:t>
      </w:r>
      <w:r>
        <w:rPr>
          <w:rFonts w:hint="eastAsia" w:ascii="宋体" w:hAnsi="宋体"/>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40C543E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第十八条</w:t>
      </w:r>
      <w:r>
        <w:rPr>
          <w:rFonts w:hint="eastAsia" w:ascii="宋体" w:hAnsi="宋体"/>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8761E1">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第十九条</w:t>
      </w:r>
      <w:r>
        <w:rPr>
          <w:rFonts w:hint="eastAsia" w:ascii="宋体" w:hAnsi="宋体"/>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72ED007">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第二十条</w:t>
      </w:r>
      <w:r>
        <w:rPr>
          <w:rFonts w:hint="eastAsia" w:ascii="宋体" w:hAnsi="宋体"/>
          <w:color w:val="333333"/>
          <w:sz w:val="21"/>
          <w:szCs w:val="21"/>
        </w:rPr>
        <w:t>　供应商按照本办法规定提供声明函内容不实的，属于提供虚假材料谋取中标、成交，依照《中华人民共和国政府采购法》等国家有关规定追究相应责任。</w:t>
      </w:r>
    </w:p>
    <w:p w14:paraId="1A7FB7B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0581C9C">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第二十一条</w:t>
      </w:r>
      <w:r>
        <w:rPr>
          <w:rFonts w:hint="eastAsia" w:ascii="宋体" w:hAnsi="宋体"/>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3B3731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第二十二条</w:t>
      </w:r>
      <w:r>
        <w:rPr>
          <w:rFonts w:hint="eastAsia" w:ascii="宋体" w:hAnsi="宋体"/>
          <w:color w:val="333333"/>
          <w:sz w:val="21"/>
          <w:szCs w:val="21"/>
        </w:rPr>
        <w:t>　对外援助项目、国家相关资格或者资质管理制度另有规定的项目，不适用本办法。</w:t>
      </w:r>
    </w:p>
    <w:p w14:paraId="4A2526DC">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第二十三条</w:t>
      </w:r>
      <w:r>
        <w:rPr>
          <w:rFonts w:hint="eastAsia" w:ascii="宋体" w:hAnsi="宋体"/>
          <w:color w:val="333333"/>
          <w:sz w:val="21"/>
          <w:szCs w:val="21"/>
        </w:rPr>
        <w:t>　关于视同中小企业的其他主体的政府采购扶持政策，由财政部会同有关部门另行规定。</w:t>
      </w:r>
    </w:p>
    <w:p w14:paraId="1D0462E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第二十四条</w:t>
      </w:r>
      <w:r>
        <w:rPr>
          <w:rFonts w:hint="eastAsia" w:ascii="宋体" w:hAnsi="宋体"/>
          <w:color w:val="333333"/>
          <w:sz w:val="21"/>
          <w:szCs w:val="21"/>
        </w:rPr>
        <w:t>　省级财政部门可以会同中小企业主管部门根据本办法的规定制定具体实施办法。</w:t>
      </w:r>
    </w:p>
    <w:p w14:paraId="6F30973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r>
        <w:rPr>
          <w:rFonts w:hint="eastAsia" w:ascii="宋体" w:hAnsi="宋体"/>
          <w:b/>
          <w:bCs/>
          <w:color w:val="333333"/>
          <w:sz w:val="21"/>
          <w:szCs w:val="21"/>
        </w:rPr>
        <w:t>第二十五条</w:t>
      </w:r>
      <w:r>
        <w:rPr>
          <w:rFonts w:hint="eastAsia" w:ascii="宋体" w:hAnsi="宋体"/>
          <w:color w:val="333333"/>
          <w:sz w:val="21"/>
          <w:szCs w:val="21"/>
        </w:rPr>
        <w:t>　本办法自2021年1月1日起施行。《财政部 工业和信息化部关于印发〈政府采购促进中小企业发展暂行办法〉的通知》（财库〔2011〕181号）同时废止。</w:t>
      </w:r>
    </w:p>
    <w:p w14:paraId="664756A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firstLine="480"/>
        <w:jc w:val="both"/>
        <w:textAlignment w:val="auto"/>
        <w:rPr>
          <w:rFonts w:ascii="宋体" w:hAnsi="宋体"/>
          <w:color w:val="333333"/>
          <w:sz w:val="21"/>
          <w:szCs w:val="21"/>
        </w:rPr>
      </w:pPr>
    </w:p>
    <w:p w14:paraId="46A12579">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szCs w:val="21"/>
        </w:rPr>
      </w:pPr>
    </w:p>
    <w:p w14:paraId="59C20136">
      <w:pPr>
        <w:pStyle w:val="4"/>
        <w:pageBreakBefore w:val="0"/>
        <w:kinsoku/>
        <w:wordWrap/>
        <w:overflowPunct/>
        <w:topLinePunct w:val="0"/>
        <w:autoSpaceDE/>
        <w:autoSpaceDN/>
        <w:bidi w:val="0"/>
        <w:adjustRightInd/>
        <w:snapToGrid/>
        <w:spacing w:before="0" w:beforeAutospacing="0" w:after="0" w:afterAutospacing="0" w:line="240" w:lineRule="auto"/>
        <w:ind w:left="0" w:firstLine="1121" w:firstLineChars="350"/>
        <w:jc w:val="both"/>
        <w:textAlignment w:val="auto"/>
        <w:rPr>
          <w:rFonts w:hint="eastAsia" w:ascii="方正小标宋_GBK" w:hAnsi="方正小标宋_GBK" w:eastAsia="方正小标宋_GBK" w:cs="方正小标宋_GBK"/>
          <w:b/>
          <w:bCs w:val="0"/>
        </w:rPr>
      </w:pPr>
      <w:bookmarkStart w:id="50" w:name="_Toc73613645"/>
      <w:bookmarkStart w:id="51" w:name="_Toc73610163"/>
      <w:r>
        <w:rPr>
          <w:rFonts w:hint="eastAsia" w:ascii="方正小标宋_GBK" w:hAnsi="方正小标宋_GBK" w:eastAsia="方正小标宋_GBK" w:cs="方正小标宋_GBK"/>
          <w:b/>
          <w:bCs w:val="0"/>
        </w:rPr>
        <w:t>二、关于印发中小企业划型标准规定的通知</w:t>
      </w:r>
      <w:bookmarkEnd w:id="50"/>
      <w:bookmarkEnd w:id="51"/>
    </w:p>
    <w:p w14:paraId="35A976E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r>
        <w:rPr>
          <w:rFonts w:hint="eastAsia" w:ascii="宋体" w:hAnsi="宋体"/>
          <w:color w:val="000000"/>
          <w:sz w:val="21"/>
          <w:szCs w:val="21"/>
        </w:rPr>
        <w:t>工信部联企业〔2011〕300号</w:t>
      </w:r>
    </w:p>
    <w:p w14:paraId="3A7A082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各省、自治区、直辖市人民政府，国务院各部委、各直属机构及有关单位：</w:t>
      </w:r>
    </w:p>
    <w:p w14:paraId="0201446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469107">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工业和信息化部　国家统计局</w:t>
      </w:r>
    </w:p>
    <w:p w14:paraId="0DB8816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国家发展和改革委员会　财政部</w:t>
      </w:r>
    </w:p>
    <w:p w14:paraId="6907BAC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r>
        <w:rPr>
          <w:rFonts w:hint="eastAsia" w:ascii="宋体" w:hAnsi="宋体"/>
          <w:color w:val="000000"/>
          <w:sz w:val="21"/>
          <w:szCs w:val="21"/>
        </w:rPr>
        <w:t>　　　　　　　　　　　　　　　　　　　　　　　　二○一一年六月十八日</w:t>
      </w:r>
    </w:p>
    <w:p w14:paraId="32E21232">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color w:val="000000"/>
          <w:sz w:val="24"/>
          <w:szCs w:val="24"/>
        </w:rPr>
      </w:pPr>
      <w:r>
        <w:rPr>
          <w:rStyle w:val="38"/>
          <w:rFonts w:hint="eastAsia" w:ascii="方正小标宋_GBK" w:hAnsi="方正小标宋_GBK" w:eastAsia="方正小标宋_GBK" w:cs="方正小标宋_GBK"/>
          <w:color w:val="000000"/>
          <w:sz w:val="24"/>
          <w:szCs w:val="24"/>
        </w:rPr>
        <w:t>中小企业划型标准规定</w:t>
      </w:r>
    </w:p>
    <w:p w14:paraId="51DD574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一、根据《中华人民共和国中小企业促进法》和《国务院关于进一步促进中小企业发展的若干意见》(国发〔2009〕36号)，制定本规定。</w:t>
      </w:r>
    </w:p>
    <w:p w14:paraId="39BC00A6">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二、中小企业划分为中型、小型、微型三种类型，具体标准根据企业从业人员、营业收入、资产总额等指标，结合行业特点制定。</w:t>
      </w:r>
    </w:p>
    <w:p w14:paraId="384DFF12">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3AB32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四、各行业划型标准为：</w:t>
      </w:r>
    </w:p>
    <w:p w14:paraId="0B068FC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（一）农、林、牧、渔业。营业收入20000万元以下的为中小微型企业。其中，营业收入500万元及以上的为中型企业，营业收入50万元及以上的为小型企业，营业收入50万元以下的为微型企业。</w:t>
      </w:r>
    </w:p>
    <w:p w14:paraId="0564128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221B8D">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1BA36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CFA20E">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9438C6">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C91B90F">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121D6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622F84">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A031CC">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A0057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A36A88">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9A009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64B52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B95B43">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7B8B96">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（十六）其他未列明行业。从业人员300人以下的为中小微型企业。其中，从业人员100人及以上的为中型企业；从业人员10人及以上的为小型企业；从业人员10人以下的为微型企业。</w:t>
      </w:r>
    </w:p>
    <w:p w14:paraId="4C5887AB">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五、企业类型的划分以统计部门的统计数据为依据。</w:t>
      </w:r>
    </w:p>
    <w:p w14:paraId="79EA74F6">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六、本规定适用于在中华人民共和国境内依法设立的各类所有制和各种组织形式的企业。个体工商户和本规定以外的行业，参照本规定进行划型。</w:t>
      </w:r>
    </w:p>
    <w:p w14:paraId="7123C614">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7453FEE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八、本规定由工业和信息化部、国家统计局会同有关部门根据《国民经济行业分类》修订情况和企业发展变化情况适时修订。</w:t>
      </w:r>
    </w:p>
    <w:p w14:paraId="734CB755">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　　九、本规定由工业和信息化部、国家统计局会同有关部门负责解释。</w:t>
      </w:r>
    </w:p>
    <w:p w14:paraId="7B96CBEA">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r>
        <w:rPr>
          <w:rFonts w:hint="eastAsia" w:ascii="宋体" w:hAnsi="宋体"/>
          <w:color w:val="000000"/>
          <w:sz w:val="21"/>
          <w:szCs w:val="21"/>
        </w:rPr>
        <w:t>　　十、本规定自发布之日起执行，原国家经贸委、原国家计委、财政部和国家统计局2003年颁布的《中小企业标准暂行规定》同时废止。</w:t>
      </w:r>
    </w:p>
    <w:p w14:paraId="26A7DD79">
      <w:pPr>
        <w:pStyle w:val="18"/>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olor w:val="000000"/>
          <w:sz w:val="21"/>
          <w:szCs w:val="21"/>
        </w:rPr>
      </w:pPr>
    </w:p>
    <w:p w14:paraId="2D9E6495">
      <w:pPr>
        <w:pStyle w:val="4"/>
        <w:pageBreakBefore w:val="0"/>
        <w:kinsoku/>
        <w:wordWrap/>
        <w:overflowPunct/>
        <w:topLinePunct w:val="0"/>
        <w:autoSpaceDE/>
        <w:autoSpaceDN/>
        <w:bidi w:val="0"/>
        <w:adjustRightInd/>
        <w:snapToGrid/>
        <w:spacing w:before="0" w:beforeAutospacing="0" w:after="0" w:afterAutospacing="0" w:line="240" w:lineRule="auto"/>
        <w:ind w:left="0"/>
        <w:jc w:val="center"/>
        <w:textAlignment w:val="auto"/>
        <w:rPr>
          <w:rFonts w:hint="eastAsia" w:ascii="方正小标宋_GBK" w:hAnsi="方正小标宋_GBK" w:eastAsia="方正小标宋_GBK" w:cs="方正小标宋_GBK"/>
          <w:b/>
          <w:bCs/>
        </w:rPr>
      </w:pPr>
      <w:bookmarkStart w:id="52" w:name="_Toc73610164"/>
      <w:bookmarkStart w:id="53" w:name="_Toc73613646"/>
      <w:r>
        <w:rPr>
          <w:rFonts w:hint="eastAsia" w:ascii="方正小标宋_GBK" w:hAnsi="方正小标宋_GBK" w:eastAsia="方正小标宋_GBK" w:cs="方正小标宋_GBK"/>
          <w:b/>
          <w:bCs/>
        </w:rPr>
        <w:t>三、国家统计局关于印发《统计上大中小微型企业划分办法 （2017）》的通知</w:t>
      </w:r>
      <w:bookmarkEnd w:id="52"/>
      <w:bookmarkEnd w:id="53"/>
    </w:p>
    <w:p w14:paraId="64183A14">
      <w:pPr>
        <w:pageBreakBefore w:val="0"/>
        <w:shd w:val="clear" w:color="auto" w:fill="FFFFFF"/>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Arial"/>
          <w:color w:val="999999"/>
          <w:szCs w:val="21"/>
        </w:rPr>
      </w:pPr>
    </w:p>
    <w:p w14:paraId="2A00353C">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各省、自治区、直辖市统计局，新疆生产建设兵团统计局，国务院各有关部门，国家统计局各调查总队：</w:t>
      </w:r>
    </w:p>
    <w:p w14:paraId="57E4C480">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BFE5459">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附件：《统计上大中小微型企业划分办法（2017）》修订说明</w:t>
      </w:r>
    </w:p>
    <w:p w14:paraId="09AC07C0">
      <w:pPr>
        <w:pageBreakBefore w:val="0"/>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s="宋体"/>
          <w:szCs w:val="21"/>
        </w:rPr>
      </w:pPr>
      <w:r>
        <w:rPr>
          <w:rFonts w:ascii="宋体" w:hAnsi="宋体" w:cs="宋体"/>
          <w:szCs w:val="21"/>
        </w:rPr>
        <w:t>国家统计局</w:t>
      </w:r>
    </w:p>
    <w:p w14:paraId="142ABB96">
      <w:pPr>
        <w:pageBreakBefore w:val="0"/>
        <w:kinsoku/>
        <w:wordWrap/>
        <w:overflowPunct/>
        <w:topLinePunct w:val="0"/>
        <w:autoSpaceDE/>
        <w:autoSpaceDN/>
        <w:bidi w:val="0"/>
        <w:adjustRightInd/>
        <w:snapToGrid/>
        <w:spacing w:beforeAutospacing="0" w:afterAutospacing="0" w:line="240" w:lineRule="auto"/>
        <w:ind w:left="0"/>
        <w:jc w:val="right"/>
        <w:textAlignment w:val="auto"/>
        <w:rPr>
          <w:rFonts w:ascii="宋体" w:hAnsi="宋体" w:cs="宋体"/>
          <w:szCs w:val="21"/>
        </w:rPr>
      </w:pPr>
      <w:r>
        <w:rPr>
          <w:rFonts w:ascii="宋体" w:hAnsi="宋体" w:cs="宋体"/>
          <w:szCs w:val="21"/>
        </w:rPr>
        <w:t>2017年12月28日</w:t>
      </w:r>
    </w:p>
    <w:p w14:paraId="6411B1FB">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b/>
          <w:bCs/>
          <w:szCs w:val="21"/>
        </w:rPr>
      </w:pPr>
    </w:p>
    <w:p w14:paraId="310E19ED">
      <w:pPr>
        <w:pageBreakBefore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b/>
          <w:bCs/>
          <w:sz w:val="24"/>
          <w:szCs w:val="24"/>
        </w:rPr>
      </w:pPr>
      <w:r>
        <w:rPr>
          <w:rFonts w:hint="eastAsia" w:ascii="方正小标宋_GBK" w:hAnsi="方正小标宋_GBK" w:eastAsia="方正小标宋_GBK" w:cs="方正小标宋_GBK"/>
          <w:b/>
          <w:bCs/>
          <w:sz w:val="24"/>
          <w:szCs w:val="24"/>
        </w:rPr>
        <w:t>统计上大中小微型企业划分办法（2017）</w:t>
      </w:r>
    </w:p>
    <w:p w14:paraId="0ED021B5">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01FF8460">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AB8677F">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二、本办法适用对象为在中华人民共和国境内依法设立的各种组织形式的法人企业或单位。个体工商户参照本办法进行划分。</w:t>
      </w:r>
    </w:p>
    <w:p w14:paraId="48B2D300">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F7FB61A">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四、本办法按照行业门类、大类、中类和组合类别，依据从业人员、营业收入、资产总额等指标或替代指标，将我国的企业划分为大型、中型、小型、微型等四种类型。具体划分标准见附表。</w:t>
      </w:r>
    </w:p>
    <w:p w14:paraId="10CC5CE5">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五、企业划分由政府综合统计部门根据统计年报每年确定一次，定报统计原则上不进行调整。</w:t>
      </w:r>
    </w:p>
    <w:p w14:paraId="5CAC146E">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六、本办法自印发之日起执行，国家统计局2011年印发的《统计上大中小微型企业划分办法》（国统字〔2011〕75号）同时废止。</w:t>
      </w:r>
    </w:p>
    <w:p w14:paraId="0DF1A40E">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04A15BC9">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附件</w:t>
      </w:r>
    </w:p>
    <w:p w14:paraId="4E36213C">
      <w:pPr>
        <w:pageBreakBefore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b/>
          <w:bCs/>
          <w:sz w:val="24"/>
          <w:szCs w:val="24"/>
        </w:rPr>
        <w:t>《统计上大中小微型企业划分办法（2017）》修订说明</w:t>
      </w:r>
    </w:p>
    <w:p w14:paraId="1ACAE4E7">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6D430A0B">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一、修订背景</w:t>
      </w:r>
    </w:p>
    <w:p w14:paraId="1FA484E4">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CEAA518">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E834A01">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二、修订主要内容</w:t>
      </w:r>
    </w:p>
    <w:p w14:paraId="40EFC454">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7DAE5A5">
      <w:pPr>
        <w:pageBreakBefore w:val="0"/>
        <w:kinsoku/>
        <w:wordWrap/>
        <w:overflowPunct/>
        <w:topLinePunct w:val="0"/>
        <w:autoSpaceDE/>
        <w:autoSpaceDN/>
        <w:bidi w:val="0"/>
        <w:adjustRightInd/>
        <w:snapToGrid/>
        <w:spacing w:beforeAutospacing="0" w:afterAutospacing="0" w:line="240" w:lineRule="auto"/>
        <w:ind w:left="0" w:firstLine="371" w:firstLineChars="177"/>
        <w:jc w:val="both"/>
        <w:textAlignment w:val="auto"/>
        <w:rPr>
          <w:rFonts w:ascii="宋体" w:hAnsi="宋体" w:cs="宋体"/>
          <w:szCs w:val="21"/>
        </w:rPr>
      </w:pPr>
      <w:r>
        <w:rPr>
          <w:rFonts w:ascii="宋体" w:hAnsi="宋体" w:cs="宋体"/>
          <w:szCs w:val="21"/>
        </w:rPr>
        <w:t>将交通运输业中包括的“装卸搬运和运输代理业”修改为“多式联运和运输代理业、装卸搬运”。</w:t>
      </w:r>
    </w:p>
    <w:p w14:paraId="6EBD7DE7">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r>
        <w:rPr>
          <w:rFonts w:ascii="宋体" w:hAnsi="宋体" w:cs="宋体"/>
          <w:szCs w:val="21"/>
        </w:rPr>
        <w:t>仓储业所包括的行业中类，根据《国民经济行业分类》（GB/T 4754—2017）调整为“通用仓储，低温仓储，危险品仓储，谷物、棉花等农产品仓储，中药材仓储和其他仓储业”。</w:t>
      </w:r>
    </w:p>
    <w:p w14:paraId="43E58B7B">
      <w:pPr>
        <w:pageBreakBefore w:val="0"/>
        <w:kinsoku/>
        <w:wordWrap/>
        <w:overflowPunct/>
        <w:topLinePunct w:val="0"/>
        <w:autoSpaceDE/>
        <w:autoSpaceDN/>
        <w:bidi w:val="0"/>
        <w:adjustRightInd/>
        <w:snapToGrid/>
        <w:spacing w:beforeAutospacing="0" w:afterAutospacing="0" w:line="240" w:lineRule="auto"/>
        <w:ind w:left="0"/>
        <w:jc w:val="both"/>
        <w:textAlignment w:val="auto"/>
        <w:rPr>
          <w:rFonts w:ascii="宋体" w:hAnsi="宋体" w:cs="宋体"/>
          <w:szCs w:val="21"/>
        </w:rPr>
      </w:pPr>
    </w:p>
    <w:p w14:paraId="502FCFE5">
      <w:pPr>
        <w:spacing w:line="360" w:lineRule="auto"/>
        <w:rPr>
          <w:rFonts w:ascii="宋体" w:hAnsi="宋体" w:cs="宋体"/>
          <w:szCs w:val="21"/>
        </w:rPr>
      </w:pPr>
      <w:r>
        <w:rPr>
          <w:rFonts w:ascii="宋体" w:hAnsi="宋体" w:cs="宋体"/>
          <w:szCs w:val="21"/>
        </w:rPr>
        <w:t>附表</w:t>
      </w:r>
    </w:p>
    <w:p w14:paraId="1CEC9561">
      <w:pPr>
        <w:spacing w:line="360" w:lineRule="auto"/>
        <w:jc w:val="center"/>
        <w:rPr>
          <w:rFonts w:ascii="宋体" w:hAnsi="宋体" w:cs="宋体"/>
          <w:szCs w:val="21"/>
        </w:rPr>
      </w:pPr>
      <w:r>
        <w:rPr>
          <w:rFonts w:ascii="宋体" w:hAnsi="宋体" w:cs="宋体"/>
          <w:b/>
          <w:bCs/>
          <w:szCs w:val="21"/>
        </w:rPr>
        <w:t>统计上大中小微型企业划分标准</w:t>
      </w:r>
    </w:p>
    <w:tbl>
      <w:tblPr>
        <w:tblStyle w:val="3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46AD2D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736F7E0D">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sz w:val="18"/>
                <w:szCs w:val="21"/>
              </w:rPr>
            </w:pPr>
            <w:r>
              <w:rPr>
                <w:rFonts w:hint="eastAsia" w:ascii="宋体" w:hAnsi="宋体" w:cs="宋体"/>
                <w:b/>
                <w:bCs/>
                <w:color w:val="00000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5DCEF23B">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7EC1436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sz w:val="18"/>
                <w:szCs w:val="18"/>
                <w:lang w:eastAsia="zh-CN"/>
              </w:rPr>
            </w:pPr>
            <w:r>
              <w:rPr>
                <w:rFonts w:hint="eastAsia" w:ascii="宋体" w:hAnsi="宋体" w:cs="宋体"/>
                <w:b/>
                <w:bCs/>
                <w:color w:val="000000"/>
                <w:sz w:val="18"/>
                <w:szCs w:val="18"/>
              </w:rPr>
              <w:t>计量</w:t>
            </w:r>
          </w:p>
          <w:p w14:paraId="0BF19950">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69000B1F">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507C2113">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282723CF">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小型</w:t>
            </w:r>
          </w:p>
        </w:tc>
        <w:tc>
          <w:tcPr>
            <w:tcW w:w="992" w:type="dxa"/>
            <w:tcBorders>
              <w:top w:val="single" w:color="auto" w:sz="4" w:space="0"/>
              <w:left w:val="nil"/>
              <w:bottom w:val="single" w:color="auto" w:sz="4" w:space="0"/>
              <w:right w:val="nil"/>
            </w:tcBorders>
            <w:noWrap w:val="0"/>
            <w:vAlign w:val="center"/>
          </w:tcPr>
          <w:p w14:paraId="21AB5486">
            <w:pPr>
              <w:keepNext w:val="0"/>
              <w:keepLines w:val="0"/>
              <w:widowControl/>
              <w:suppressLineNumbers w:val="0"/>
              <w:spacing w:before="0" w:beforeAutospacing="0" w:after="0" w:afterAutospacing="0"/>
              <w:ind w:left="0" w:right="0"/>
              <w:jc w:val="center"/>
              <w:rPr>
                <w:rFonts w:hint="default" w:ascii="宋体" w:hAnsi="宋体" w:cs="宋体"/>
                <w:b/>
                <w:bCs/>
                <w:color w:val="000000"/>
                <w:sz w:val="18"/>
                <w:szCs w:val="18"/>
              </w:rPr>
            </w:pPr>
            <w:r>
              <w:rPr>
                <w:rFonts w:hint="eastAsia" w:ascii="宋体" w:hAnsi="宋体" w:cs="宋体"/>
                <w:b/>
                <w:bCs/>
                <w:color w:val="000000"/>
                <w:sz w:val="18"/>
                <w:szCs w:val="18"/>
              </w:rPr>
              <w:t>微型</w:t>
            </w:r>
          </w:p>
        </w:tc>
      </w:tr>
      <w:tr w14:paraId="37068E7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70919822">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农、林、牧、渔业</w:t>
            </w:r>
          </w:p>
        </w:tc>
        <w:tc>
          <w:tcPr>
            <w:tcW w:w="1369" w:type="dxa"/>
            <w:tcBorders>
              <w:top w:val="nil"/>
              <w:left w:val="nil"/>
              <w:bottom w:val="single" w:color="auto" w:sz="4" w:space="0"/>
              <w:right w:val="single" w:color="auto" w:sz="4" w:space="0"/>
            </w:tcBorders>
            <w:noWrap w:val="0"/>
            <w:vAlign w:val="center"/>
          </w:tcPr>
          <w:p w14:paraId="5BC7F96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6E31B5F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764407E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Y≥20000</w:t>
            </w:r>
          </w:p>
        </w:tc>
        <w:tc>
          <w:tcPr>
            <w:tcW w:w="1701" w:type="dxa"/>
            <w:tcBorders>
              <w:top w:val="nil"/>
              <w:left w:val="nil"/>
              <w:bottom w:val="single" w:color="auto" w:sz="4" w:space="0"/>
              <w:right w:val="single" w:color="auto" w:sz="4" w:space="0"/>
            </w:tcBorders>
            <w:noWrap w:val="0"/>
            <w:vAlign w:val="center"/>
          </w:tcPr>
          <w:p w14:paraId="4DD4A27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44764DB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50≤Y＜500</w:t>
            </w:r>
          </w:p>
        </w:tc>
        <w:tc>
          <w:tcPr>
            <w:tcW w:w="992" w:type="dxa"/>
            <w:tcBorders>
              <w:top w:val="nil"/>
              <w:left w:val="nil"/>
              <w:bottom w:val="single" w:color="auto" w:sz="4" w:space="0"/>
              <w:right w:val="nil"/>
            </w:tcBorders>
            <w:noWrap w:val="0"/>
            <w:vAlign w:val="center"/>
          </w:tcPr>
          <w:p w14:paraId="739150E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w:t>
            </w:r>
          </w:p>
        </w:tc>
      </w:tr>
      <w:tr w14:paraId="4756575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62B709A">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工业 *</w:t>
            </w:r>
          </w:p>
        </w:tc>
        <w:tc>
          <w:tcPr>
            <w:tcW w:w="1369" w:type="dxa"/>
            <w:tcBorders>
              <w:top w:val="nil"/>
              <w:left w:val="nil"/>
              <w:bottom w:val="nil"/>
              <w:right w:val="single" w:color="auto" w:sz="4" w:space="0"/>
            </w:tcBorders>
            <w:noWrap w:val="0"/>
            <w:vAlign w:val="center"/>
          </w:tcPr>
          <w:p w14:paraId="4445494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2ADE1C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50DB626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45CFA88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4F6D80B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noWrap w:val="0"/>
            <w:vAlign w:val="center"/>
          </w:tcPr>
          <w:p w14:paraId="65E7429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492D7FF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70CE39C">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C9895B5">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56CC631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253140E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Y≥40000</w:t>
            </w:r>
          </w:p>
        </w:tc>
        <w:tc>
          <w:tcPr>
            <w:tcW w:w="1701" w:type="dxa"/>
            <w:tcBorders>
              <w:top w:val="nil"/>
              <w:left w:val="nil"/>
              <w:bottom w:val="single" w:color="auto" w:sz="4" w:space="0"/>
              <w:right w:val="single" w:color="auto" w:sz="4" w:space="0"/>
            </w:tcBorders>
            <w:noWrap w:val="0"/>
            <w:vAlign w:val="center"/>
          </w:tcPr>
          <w:p w14:paraId="12831C7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2000≤Y＜40000</w:t>
            </w:r>
          </w:p>
        </w:tc>
        <w:tc>
          <w:tcPr>
            <w:tcW w:w="1426" w:type="dxa"/>
            <w:tcBorders>
              <w:top w:val="nil"/>
              <w:left w:val="nil"/>
              <w:bottom w:val="single" w:color="auto" w:sz="4" w:space="0"/>
              <w:right w:val="single" w:color="auto" w:sz="4" w:space="0"/>
            </w:tcBorders>
            <w:noWrap w:val="0"/>
            <w:vAlign w:val="center"/>
          </w:tcPr>
          <w:p w14:paraId="1D554C3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300≤Y＜2000</w:t>
            </w:r>
          </w:p>
        </w:tc>
        <w:tc>
          <w:tcPr>
            <w:tcW w:w="992" w:type="dxa"/>
            <w:tcBorders>
              <w:top w:val="nil"/>
              <w:left w:val="nil"/>
              <w:bottom w:val="single" w:color="auto" w:sz="4" w:space="0"/>
              <w:right w:val="nil"/>
            </w:tcBorders>
            <w:noWrap w:val="0"/>
            <w:vAlign w:val="center"/>
          </w:tcPr>
          <w:p w14:paraId="4207C7D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w:t>
            </w:r>
          </w:p>
        </w:tc>
      </w:tr>
      <w:tr w14:paraId="17D8853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EDAEC99">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建筑业</w:t>
            </w:r>
          </w:p>
        </w:tc>
        <w:tc>
          <w:tcPr>
            <w:tcW w:w="1369" w:type="dxa"/>
            <w:tcBorders>
              <w:top w:val="nil"/>
              <w:left w:val="nil"/>
              <w:bottom w:val="nil"/>
              <w:right w:val="single" w:color="auto" w:sz="4" w:space="0"/>
            </w:tcBorders>
            <w:noWrap w:val="0"/>
            <w:vAlign w:val="center"/>
          </w:tcPr>
          <w:p w14:paraId="0A9E893F">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nil"/>
              <w:right w:val="single" w:color="auto" w:sz="4" w:space="0"/>
            </w:tcBorders>
            <w:noWrap w:val="0"/>
            <w:vAlign w:val="center"/>
          </w:tcPr>
          <w:p w14:paraId="655FD69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nil"/>
              <w:right w:val="single" w:color="auto" w:sz="4" w:space="0"/>
            </w:tcBorders>
            <w:noWrap w:val="0"/>
            <w:vAlign w:val="center"/>
          </w:tcPr>
          <w:p w14:paraId="65277C6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Y≥80000</w:t>
            </w:r>
          </w:p>
        </w:tc>
        <w:tc>
          <w:tcPr>
            <w:tcW w:w="1701" w:type="dxa"/>
            <w:tcBorders>
              <w:top w:val="nil"/>
              <w:left w:val="nil"/>
              <w:bottom w:val="nil"/>
              <w:right w:val="single" w:color="auto" w:sz="4" w:space="0"/>
            </w:tcBorders>
            <w:noWrap w:val="0"/>
            <w:vAlign w:val="center"/>
          </w:tcPr>
          <w:p w14:paraId="203EA7B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6000≤Y＜80000</w:t>
            </w:r>
          </w:p>
        </w:tc>
        <w:tc>
          <w:tcPr>
            <w:tcW w:w="1426" w:type="dxa"/>
            <w:tcBorders>
              <w:top w:val="nil"/>
              <w:left w:val="nil"/>
              <w:bottom w:val="nil"/>
              <w:right w:val="single" w:color="auto" w:sz="4" w:space="0"/>
            </w:tcBorders>
            <w:noWrap w:val="0"/>
            <w:vAlign w:val="center"/>
          </w:tcPr>
          <w:p w14:paraId="2478564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300≤Y＜6000</w:t>
            </w:r>
          </w:p>
        </w:tc>
        <w:tc>
          <w:tcPr>
            <w:tcW w:w="992" w:type="dxa"/>
            <w:tcBorders>
              <w:top w:val="nil"/>
              <w:left w:val="nil"/>
              <w:bottom w:val="nil"/>
              <w:right w:val="nil"/>
            </w:tcBorders>
            <w:noWrap w:val="0"/>
            <w:vAlign w:val="center"/>
          </w:tcPr>
          <w:p w14:paraId="187B610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w:t>
            </w:r>
          </w:p>
        </w:tc>
      </w:tr>
      <w:tr w14:paraId="655AB80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F7E2B68">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518F24BA">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noWrap w:val="0"/>
            <w:vAlign w:val="center"/>
          </w:tcPr>
          <w:p w14:paraId="60028D5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4716D55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Z≥80000</w:t>
            </w:r>
          </w:p>
        </w:tc>
        <w:tc>
          <w:tcPr>
            <w:tcW w:w="1701" w:type="dxa"/>
            <w:tcBorders>
              <w:top w:val="nil"/>
              <w:left w:val="nil"/>
              <w:bottom w:val="single" w:color="auto" w:sz="4" w:space="0"/>
              <w:right w:val="single" w:color="auto" w:sz="4" w:space="0"/>
            </w:tcBorders>
            <w:noWrap w:val="0"/>
            <w:vAlign w:val="center"/>
          </w:tcPr>
          <w:p w14:paraId="32213A8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5000≤Z＜80000</w:t>
            </w:r>
          </w:p>
        </w:tc>
        <w:tc>
          <w:tcPr>
            <w:tcW w:w="1426" w:type="dxa"/>
            <w:tcBorders>
              <w:top w:val="nil"/>
              <w:left w:val="nil"/>
              <w:bottom w:val="single" w:color="auto" w:sz="4" w:space="0"/>
              <w:right w:val="single" w:color="auto" w:sz="4" w:space="0"/>
            </w:tcBorders>
            <w:noWrap w:val="0"/>
            <w:vAlign w:val="center"/>
          </w:tcPr>
          <w:p w14:paraId="4DF0310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300≤Z＜5000</w:t>
            </w:r>
          </w:p>
        </w:tc>
        <w:tc>
          <w:tcPr>
            <w:tcW w:w="992" w:type="dxa"/>
            <w:tcBorders>
              <w:top w:val="nil"/>
              <w:left w:val="nil"/>
              <w:bottom w:val="single" w:color="auto" w:sz="4" w:space="0"/>
              <w:right w:val="nil"/>
            </w:tcBorders>
            <w:noWrap w:val="0"/>
            <w:vAlign w:val="center"/>
          </w:tcPr>
          <w:p w14:paraId="6969462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Z＜300</w:t>
            </w:r>
          </w:p>
        </w:tc>
      </w:tr>
      <w:tr w14:paraId="4CE0596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729C697">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批发业</w:t>
            </w:r>
          </w:p>
        </w:tc>
        <w:tc>
          <w:tcPr>
            <w:tcW w:w="1369" w:type="dxa"/>
            <w:tcBorders>
              <w:top w:val="nil"/>
              <w:left w:val="nil"/>
              <w:bottom w:val="nil"/>
              <w:right w:val="single" w:color="auto" w:sz="4" w:space="0"/>
            </w:tcBorders>
            <w:noWrap w:val="0"/>
            <w:vAlign w:val="center"/>
          </w:tcPr>
          <w:p w14:paraId="26FC247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681F87D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1AC87A5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X≥200</w:t>
            </w:r>
          </w:p>
        </w:tc>
        <w:tc>
          <w:tcPr>
            <w:tcW w:w="1701" w:type="dxa"/>
            <w:tcBorders>
              <w:top w:val="nil"/>
              <w:left w:val="nil"/>
              <w:bottom w:val="nil"/>
              <w:right w:val="single" w:color="auto" w:sz="4" w:space="0"/>
            </w:tcBorders>
            <w:noWrap w:val="0"/>
            <w:vAlign w:val="center"/>
          </w:tcPr>
          <w:p w14:paraId="5AA2D72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20≤X＜200</w:t>
            </w:r>
          </w:p>
        </w:tc>
        <w:tc>
          <w:tcPr>
            <w:tcW w:w="1426" w:type="dxa"/>
            <w:tcBorders>
              <w:top w:val="nil"/>
              <w:left w:val="nil"/>
              <w:bottom w:val="nil"/>
              <w:right w:val="single" w:color="auto" w:sz="4" w:space="0"/>
            </w:tcBorders>
            <w:noWrap w:val="0"/>
            <w:vAlign w:val="center"/>
          </w:tcPr>
          <w:p w14:paraId="30CDC5D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5≤X＜20</w:t>
            </w:r>
          </w:p>
        </w:tc>
        <w:tc>
          <w:tcPr>
            <w:tcW w:w="992" w:type="dxa"/>
            <w:tcBorders>
              <w:top w:val="nil"/>
              <w:left w:val="nil"/>
              <w:bottom w:val="nil"/>
              <w:right w:val="nil"/>
            </w:tcBorders>
            <w:noWrap w:val="0"/>
            <w:vAlign w:val="center"/>
          </w:tcPr>
          <w:p w14:paraId="6412BB8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X＜5</w:t>
            </w:r>
          </w:p>
        </w:tc>
      </w:tr>
      <w:tr w14:paraId="24D6A3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571F2A1">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6D86FE5A">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5310273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6069E5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Y≥40000</w:t>
            </w:r>
          </w:p>
        </w:tc>
        <w:tc>
          <w:tcPr>
            <w:tcW w:w="1701" w:type="dxa"/>
            <w:tcBorders>
              <w:top w:val="nil"/>
              <w:left w:val="nil"/>
              <w:bottom w:val="single" w:color="auto" w:sz="4" w:space="0"/>
              <w:right w:val="single" w:color="auto" w:sz="4" w:space="0"/>
            </w:tcBorders>
            <w:noWrap w:val="0"/>
            <w:vAlign w:val="center"/>
          </w:tcPr>
          <w:p w14:paraId="7B36B4B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5000≤Y＜40000</w:t>
            </w:r>
          </w:p>
        </w:tc>
        <w:tc>
          <w:tcPr>
            <w:tcW w:w="1426" w:type="dxa"/>
            <w:tcBorders>
              <w:top w:val="nil"/>
              <w:left w:val="nil"/>
              <w:bottom w:val="single" w:color="auto" w:sz="4" w:space="0"/>
              <w:right w:val="single" w:color="auto" w:sz="4" w:space="0"/>
            </w:tcBorders>
            <w:noWrap w:val="0"/>
            <w:vAlign w:val="center"/>
          </w:tcPr>
          <w:p w14:paraId="083A9EC0">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sz w:val="18"/>
                <w:szCs w:val="18"/>
              </w:rPr>
            </w:pPr>
            <w:r>
              <w:rPr>
                <w:rFonts w:hint="eastAsia" w:ascii="宋体" w:hAnsi="宋体" w:cs="宋体"/>
                <w:color w:val="000000"/>
                <w:sz w:val="18"/>
                <w:szCs w:val="18"/>
              </w:rPr>
              <w:t>1000≤Y＜5000</w:t>
            </w:r>
          </w:p>
        </w:tc>
        <w:tc>
          <w:tcPr>
            <w:tcW w:w="992" w:type="dxa"/>
            <w:tcBorders>
              <w:top w:val="nil"/>
              <w:left w:val="nil"/>
              <w:bottom w:val="single" w:color="auto" w:sz="4" w:space="0"/>
              <w:right w:val="nil"/>
            </w:tcBorders>
            <w:noWrap w:val="0"/>
            <w:vAlign w:val="center"/>
          </w:tcPr>
          <w:p w14:paraId="6F0018E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w:t>
            </w:r>
          </w:p>
        </w:tc>
      </w:tr>
      <w:tr w14:paraId="012EED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BE67F31">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零售业</w:t>
            </w:r>
          </w:p>
        </w:tc>
        <w:tc>
          <w:tcPr>
            <w:tcW w:w="1369" w:type="dxa"/>
            <w:tcBorders>
              <w:top w:val="nil"/>
              <w:left w:val="nil"/>
              <w:bottom w:val="nil"/>
              <w:right w:val="single" w:color="auto" w:sz="4" w:space="0"/>
            </w:tcBorders>
            <w:noWrap w:val="0"/>
            <w:vAlign w:val="center"/>
          </w:tcPr>
          <w:p w14:paraId="716BEF4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1CD38B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6EEC544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287146B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50≤X＜300</w:t>
            </w:r>
          </w:p>
        </w:tc>
        <w:tc>
          <w:tcPr>
            <w:tcW w:w="1426" w:type="dxa"/>
            <w:tcBorders>
              <w:top w:val="nil"/>
              <w:left w:val="nil"/>
              <w:bottom w:val="nil"/>
              <w:right w:val="single" w:color="auto" w:sz="4" w:space="0"/>
            </w:tcBorders>
            <w:noWrap w:val="0"/>
            <w:vAlign w:val="center"/>
          </w:tcPr>
          <w:p w14:paraId="09AA08DD">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sz w:val="18"/>
                <w:szCs w:val="18"/>
              </w:rPr>
            </w:pPr>
            <w:r>
              <w:rPr>
                <w:rFonts w:hint="eastAsia" w:ascii="宋体" w:hAnsi="宋体" w:cs="宋体"/>
                <w:color w:val="000000"/>
                <w:sz w:val="18"/>
                <w:szCs w:val="18"/>
              </w:rPr>
              <w:t xml:space="preserve">10≤X＜50 </w:t>
            </w:r>
          </w:p>
        </w:tc>
        <w:tc>
          <w:tcPr>
            <w:tcW w:w="992" w:type="dxa"/>
            <w:tcBorders>
              <w:top w:val="nil"/>
              <w:left w:val="nil"/>
              <w:bottom w:val="nil"/>
              <w:right w:val="nil"/>
            </w:tcBorders>
            <w:noWrap w:val="0"/>
            <w:vAlign w:val="center"/>
          </w:tcPr>
          <w:p w14:paraId="19C65EA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4937DE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AF28BF7">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7592D04E">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5FFC5AE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55D95AB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Y≥20000</w:t>
            </w:r>
          </w:p>
        </w:tc>
        <w:tc>
          <w:tcPr>
            <w:tcW w:w="1701" w:type="dxa"/>
            <w:tcBorders>
              <w:top w:val="nil"/>
              <w:left w:val="nil"/>
              <w:bottom w:val="single" w:color="auto" w:sz="4" w:space="0"/>
              <w:right w:val="single" w:color="auto" w:sz="4" w:space="0"/>
            </w:tcBorders>
            <w:noWrap w:val="0"/>
            <w:vAlign w:val="center"/>
          </w:tcPr>
          <w:p w14:paraId="5D52D7B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14:paraId="088020D5">
            <w:pPr>
              <w:keepNext w:val="0"/>
              <w:keepLines w:val="0"/>
              <w:widowControl/>
              <w:suppressLineNumbers w:val="0"/>
              <w:spacing w:before="0" w:beforeAutospacing="0" w:after="0" w:afterAutospacing="0"/>
              <w:ind w:left="-1" w:leftChars="-1" w:right="0" w:hanging="1"/>
              <w:jc w:val="center"/>
              <w:rPr>
                <w:rFonts w:hint="default" w:ascii="宋体" w:hAnsi="宋体" w:cs="宋体"/>
                <w:color w:val="000000"/>
                <w:sz w:val="18"/>
                <w:szCs w:val="18"/>
              </w:rPr>
            </w:pPr>
            <w:r>
              <w:rPr>
                <w:rFonts w:hint="eastAsia" w:ascii="宋体" w:hAnsi="宋体" w:cs="宋体"/>
                <w:color w:val="000000"/>
                <w:sz w:val="18"/>
                <w:szCs w:val="18"/>
              </w:rPr>
              <w:t xml:space="preserve">100≤Y＜500 </w:t>
            </w:r>
          </w:p>
        </w:tc>
        <w:tc>
          <w:tcPr>
            <w:tcW w:w="992" w:type="dxa"/>
            <w:tcBorders>
              <w:top w:val="nil"/>
              <w:left w:val="nil"/>
              <w:bottom w:val="single" w:color="auto" w:sz="4" w:space="0"/>
              <w:right w:val="nil"/>
            </w:tcBorders>
            <w:noWrap w:val="0"/>
            <w:vAlign w:val="center"/>
          </w:tcPr>
          <w:p w14:paraId="7E29EE5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1F668E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76A4CDDD">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交通运输业 *</w:t>
            </w:r>
          </w:p>
        </w:tc>
        <w:tc>
          <w:tcPr>
            <w:tcW w:w="1369" w:type="dxa"/>
            <w:tcBorders>
              <w:top w:val="nil"/>
              <w:left w:val="nil"/>
              <w:bottom w:val="nil"/>
              <w:right w:val="single" w:color="auto" w:sz="4" w:space="0"/>
            </w:tcBorders>
            <w:noWrap w:val="0"/>
            <w:vAlign w:val="center"/>
          </w:tcPr>
          <w:p w14:paraId="23296FFF">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18BF7C4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160629C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25357FF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2157407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noWrap w:val="0"/>
            <w:vAlign w:val="center"/>
          </w:tcPr>
          <w:p w14:paraId="05BCD2F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732C85F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4D1ED83">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62127EA">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4835F5F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21189EE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noWrap w:val="0"/>
            <w:vAlign w:val="center"/>
          </w:tcPr>
          <w:p w14:paraId="007853EF">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3000≤Y＜30000</w:t>
            </w:r>
          </w:p>
        </w:tc>
        <w:tc>
          <w:tcPr>
            <w:tcW w:w="1426" w:type="dxa"/>
            <w:tcBorders>
              <w:top w:val="nil"/>
              <w:left w:val="nil"/>
              <w:bottom w:val="single" w:color="auto" w:sz="4" w:space="0"/>
              <w:right w:val="single" w:color="auto" w:sz="4" w:space="0"/>
            </w:tcBorders>
            <w:noWrap w:val="0"/>
            <w:vAlign w:val="center"/>
          </w:tcPr>
          <w:p w14:paraId="2AB4225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200≤Y＜3000</w:t>
            </w:r>
          </w:p>
        </w:tc>
        <w:tc>
          <w:tcPr>
            <w:tcW w:w="992" w:type="dxa"/>
            <w:tcBorders>
              <w:top w:val="nil"/>
              <w:left w:val="nil"/>
              <w:bottom w:val="single" w:color="auto" w:sz="4" w:space="0"/>
              <w:right w:val="nil"/>
            </w:tcBorders>
            <w:noWrap w:val="0"/>
            <w:vAlign w:val="center"/>
          </w:tcPr>
          <w:p w14:paraId="270AC43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w:t>
            </w:r>
          </w:p>
        </w:tc>
      </w:tr>
      <w:tr w14:paraId="2D47702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F7B349C">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仓储业*</w:t>
            </w:r>
          </w:p>
        </w:tc>
        <w:tc>
          <w:tcPr>
            <w:tcW w:w="1369" w:type="dxa"/>
            <w:tcBorders>
              <w:top w:val="nil"/>
              <w:left w:val="nil"/>
              <w:bottom w:val="nil"/>
              <w:right w:val="single" w:color="auto" w:sz="4" w:space="0"/>
            </w:tcBorders>
            <w:noWrap w:val="0"/>
            <w:vAlign w:val="center"/>
          </w:tcPr>
          <w:p w14:paraId="0495E30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5872F83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5E4E9DE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X≥200</w:t>
            </w:r>
          </w:p>
        </w:tc>
        <w:tc>
          <w:tcPr>
            <w:tcW w:w="1701" w:type="dxa"/>
            <w:tcBorders>
              <w:top w:val="nil"/>
              <w:left w:val="nil"/>
              <w:bottom w:val="nil"/>
              <w:right w:val="single" w:color="auto" w:sz="4" w:space="0"/>
            </w:tcBorders>
            <w:noWrap w:val="0"/>
            <w:vAlign w:val="center"/>
          </w:tcPr>
          <w:p w14:paraId="1CE073D6">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100≤X＜200</w:t>
            </w:r>
          </w:p>
        </w:tc>
        <w:tc>
          <w:tcPr>
            <w:tcW w:w="1426" w:type="dxa"/>
            <w:tcBorders>
              <w:top w:val="nil"/>
              <w:left w:val="nil"/>
              <w:bottom w:val="nil"/>
              <w:right w:val="single" w:color="auto" w:sz="4" w:space="0"/>
            </w:tcBorders>
            <w:noWrap w:val="0"/>
            <w:vAlign w:val="center"/>
          </w:tcPr>
          <w:p w14:paraId="7BBE579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20≤X＜100</w:t>
            </w:r>
          </w:p>
        </w:tc>
        <w:tc>
          <w:tcPr>
            <w:tcW w:w="992" w:type="dxa"/>
            <w:tcBorders>
              <w:top w:val="nil"/>
              <w:left w:val="nil"/>
              <w:bottom w:val="nil"/>
              <w:right w:val="nil"/>
            </w:tcBorders>
            <w:noWrap w:val="0"/>
            <w:vAlign w:val="center"/>
          </w:tcPr>
          <w:p w14:paraId="30FCBAE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6366526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53468DB1">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22B84091">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3C51AFB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B78A1F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noWrap w:val="0"/>
            <w:vAlign w:val="center"/>
          </w:tcPr>
          <w:p w14:paraId="3745BAB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1000≤Y＜30000</w:t>
            </w:r>
          </w:p>
        </w:tc>
        <w:tc>
          <w:tcPr>
            <w:tcW w:w="1426" w:type="dxa"/>
            <w:tcBorders>
              <w:top w:val="nil"/>
              <w:left w:val="nil"/>
              <w:bottom w:val="single" w:color="auto" w:sz="4" w:space="0"/>
              <w:right w:val="single" w:color="auto" w:sz="4" w:space="0"/>
            </w:tcBorders>
            <w:noWrap w:val="0"/>
            <w:vAlign w:val="center"/>
          </w:tcPr>
          <w:p w14:paraId="3DB95DF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single" w:color="auto" w:sz="4" w:space="0"/>
              <w:right w:val="nil"/>
            </w:tcBorders>
            <w:noWrap w:val="0"/>
            <w:vAlign w:val="center"/>
          </w:tcPr>
          <w:p w14:paraId="39BCE6C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56FA820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25D8F8A">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邮政业</w:t>
            </w:r>
          </w:p>
        </w:tc>
        <w:tc>
          <w:tcPr>
            <w:tcW w:w="1369" w:type="dxa"/>
            <w:tcBorders>
              <w:top w:val="nil"/>
              <w:left w:val="nil"/>
              <w:bottom w:val="nil"/>
              <w:right w:val="single" w:color="auto" w:sz="4" w:space="0"/>
            </w:tcBorders>
            <w:noWrap w:val="0"/>
            <w:vAlign w:val="center"/>
          </w:tcPr>
          <w:p w14:paraId="7774BF0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74C1D86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7B10194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15640A1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16ED7C7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20≤X＜300</w:t>
            </w:r>
          </w:p>
        </w:tc>
        <w:tc>
          <w:tcPr>
            <w:tcW w:w="992" w:type="dxa"/>
            <w:tcBorders>
              <w:top w:val="nil"/>
              <w:left w:val="nil"/>
              <w:bottom w:val="nil"/>
              <w:right w:val="nil"/>
            </w:tcBorders>
            <w:noWrap w:val="0"/>
            <w:vAlign w:val="center"/>
          </w:tcPr>
          <w:p w14:paraId="171236B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w:t>
            </w:r>
          </w:p>
        </w:tc>
      </w:tr>
      <w:tr w14:paraId="4604B63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C6FB8F6">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405E9E9">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299A8D7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20AD5B4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Y≥30000</w:t>
            </w:r>
          </w:p>
        </w:tc>
        <w:tc>
          <w:tcPr>
            <w:tcW w:w="1701" w:type="dxa"/>
            <w:tcBorders>
              <w:top w:val="nil"/>
              <w:left w:val="nil"/>
              <w:bottom w:val="single" w:color="auto" w:sz="4" w:space="0"/>
              <w:right w:val="single" w:color="auto" w:sz="4" w:space="0"/>
            </w:tcBorders>
            <w:noWrap w:val="0"/>
            <w:vAlign w:val="center"/>
          </w:tcPr>
          <w:p w14:paraId="61CE99F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2000≤Y＜30000</w:t>
            </w:r>
          </w:p>
        </w:tc>
        <w:tc>
          <w:tcPr>
            <w:tcW w:w="1426" w:type="dxa"/>
            <w:tcBorders>
              <w:top w:val="nil"/>
              <w:left w:val="nil"/>
              <w:bottom w:val="single" w:color="auto" w:sz="4" w:space="0"/>
              <w:right w:val="single" w:color="auto" w:sz="4" w:space="0"/>
            </w:tcBorders>
            <w:noWrap w:val="0"/>
            <w:vAlign w:val="center"/>
          </w:tcPr>
          <w:p w14:paraId="5FDD81E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noWrap w:val="0"/>
            <w:vAlign w:val="center"/>
          </w:tcPr>
          <w:p w14:paraId="6C7DA2F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104D499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DC06DD3">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住宿业</w:t>
            </w:r>
          </w:p>
        </w:tc>
        <w:tc>
          <w:tcPr>
            <w:tcW w:w="1369" w:type="dxa"/>
            <w:tcBorders>
              <w:top w:val="nil"/>
              <w:left w:val="nil"/>
              <w:bottom w:val="nil"/>
              <w:right w:val="single" w:color="auto" w:sz="4" w:space="0"/>
            </w:tcBorders>
            <w:noWrap w:val="0"/>
            <w:vAlign w:val="center"/>
          </w:tcPr>
          <w:p w14:paraId="343BE0E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7C2756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713E0DA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137DAE0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08693E4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0199B62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45A1A0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1E5835D">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35E9FB7F">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62CD86C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7061E9B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noWrap w:val="0"/>
            <w:vAlign w:val="center"/>
          </w:tcPr>
          <w:p w14:paraId="7C8C8CE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2000≤Y＜10000</w:t>
            </w:r>
          </w:p>
        </w:tc>
        <w:tc>
          <w:tcPr>
            <w:tcW w:w="1426" w:type="dxa"/>
            <w:tcBorders>
              <w:top w:val="nil"/>
              <w:left w:val="nil"/>
              <w:bottom w:val="single" w:color="auto" w:sz="4" w:space="0"/>
              <w:right w:val="single" w:color="auto" w:sz="4" w:space="0"/>
            </w:tcBorders>
            <w:noWrap w:val="0"/>
            <w:vAlign w:val="center"/>
          </w:tcPr>
          <w:p w14:paraId="0E8C91C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noWrap w:val="0"/>
            <w:vAlign w:val="center"/>
          </w:tcPr>
          <w:p w14:paraId="11C6C66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2290B0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9A6926A">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餐饮业</w:t>
            </w:r>
          </w:p>
        </w:tc>
        <w:tc>
          <w:tcPr>
            <w:tcW w:w="1369" w:type="dxa"/>
            <w:tcBorders>
              <w:top w:val="nil"/>
              <w:left w:val="nil"/>
              <w:bottom w:val="nil"/>
              <w:right w:val="single" w:color="auto" w:sz="4" w:space="0"/>
            </w:tcBorders>
            <w:noWrap w:val="0"/>
            <w:vAlign w:val="center"/>
          </w:tcPr>
          <w:p w14:paraId="60A9A65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7485ADC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70F12B9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61899523">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3AFFDB1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767B311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3FFB70E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CA6D39E">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7809A01D">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7B702C9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4428CFA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noWrap w:val="0"/>
            <w:vAlign w:val="center"/>
          </w:tcPr>
          <w:p w14:paraId="1508082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2000≤Y＜10000</w:t>
            </w:r>
          </w:p>
        </w:tc>
        <w:tc>
          <w:tcPr>
            <w:tcW w:w="1426" w:type="dxa"/>
            <w:tcBorders>
              <w:top w:val="nil"/>
              <w:left w:val="nil"/>
              <w:bottom w:val="single" w:color="auto" w:sz="4" w:space="0"/>
              <w:right w:val="single" w:color="auto" w:sz="4" w:space="0"/>
            </w:tcBorders>
            <w:noWrap w:val="0"/>
            <w:vAlign w:val="center"/>
          </w:tcPr>
          <w:p w14:paraId="2CDE9F9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100≤Y＜2000</w:t>
            </w:r>
          </w:p>
        </w:tc>
        <w:tc>
          <w:tcPr>
            <w:tcW w:w="992" w:type="dxa"/>
            <w:tcBorders>
              <w:top w:val="nil"/>
              <w:left w:val="nil"/>
              <w:bottom w:val="single" w:color="auto" w:sz="4" w:space="0"/>
              <w:right w:val="nil"/>
            </w:tcBorders>
            <w:noWrap w:val="0"/>
            <w:vAlign w:val="center"/>
          </w:tcPr>
          <w:p w14:paraId="5CB4100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3C5719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28749980">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信息传输业 *</w:t>
            </w:r>
          </w:p>
        </w:tc>
        <w:tc>
          <w:tcPr>
            <w:tcW w:w="1369" w:type="dxa"/>
            <w:tcBorders>
              <w:top w:val="nil"/>
              <w:left w:val="nil"/>
              <w:bottom w:val="nil"/>
              <w:right w:val="single" w:color="auto" w:sz="4" w:space="0"/>
            </w:tcBorders>
            <w:noWrap w:val="0"/>
            <w:vAlign w:val="center"/>
          </w:tcPr>
          <w:p w14:paraId="49D7070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1EE3669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0EBA4CF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X≥2000</w:t>
            </w:r>
          </w:p>
        </w:tc>
        <w:tc>
          <w:tcPr>
            <w:tcW w:w="1701" w:type="dxa"/>
            <w:tcBorders>
              <w:top w:val="nil"/>
              <w:left w:val="nil"/>
              <w:bottom w:val="nil"/>
              <w:right w:val="single" w:color="auto" w:sz="4" w:space="0"/>
            </w:tcBorders>
            <w:noWrap w:val="0"/>
            <w:vAlign w:val="center"/>
          </w:tcPr>
          <w:p w14:paraId="6091772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100≤X＜2000</w:t>
            </w:r>
          </w:p>
        </w:tc>
        <w:tc>
          <w:tcPr>
            <w:tcW w:w="1426" w:type="dxa"/>
            <w:tcBorders>
              <w:top w:val="nil"/>
              <w:left w:val="nil"/>
              <w:bottom w:val="nil"/>
              <w:right w:val="single" w:color="auto" w:sz="4" w:space="0"/>
            </w:tcBorders>
            <w:noWrap w:val="0"/>
            <w:vAlign w:val="center"/>
          </w:tcPr>
          <w:p w14:paraId="08F45E2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2B1EF9B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6439AD4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03B49E9">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5AA0F44D">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03EE16C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482833D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Y≥100000</w:t>
            </w:r>
          </w:p>
        </w:tc>
        <w:tc>
          <w:tcPr>
            <w:tcW w:w="1701" w:type="dxa"/>
            <w:tcBorders>
              <w:top w:val="nil"/>
              <w:left w:val="nil"/>
              <w:bottom w:val="single" w:color="auto" w:sz="4" w:space="0"/>
              <w:right w:val="single" w:color="auto" w:sz="4" w:space="0"/>
            </w:tcBorders>
            <w:noWrap w:val="0"/>
            <w:vAlign w:val="center"/>
          </w:tcPr>
          <w:p w14:paraId="38C62A2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14:paraId="7724808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single" w:color="auto" w:sz="4" w:space="0"/>
              <w:right w:val="nil"/>
            </w:tcBorders>
            <w:noWrap w:val="0"/>
            <w:vAlign w:val="center"/>
          </w:tcPr>
          <w:p w14:paraId="7D1C9C1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1163F24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58C8674F">
            <w:pPr>
              <w:keepNext w:val="0"/>
              <w:keepLines w:val="0"/>
              <w:widowControl/>
              <w:suppressLineNumbers w:val="0"/>
              <w:spacing w:before="0" w:beforeAutospacing="0" w:after="0" w:afterAutospacing="0" w:line="240" w:lineRule="exact"/>
              <w:ind w:left="0" w:right="0"/>
              <w:rPr>
                <w:rFonts w:hint="default" w:ascii="宋体" w:hAnsi="宋体" w:cs="宋体"/>
                <w:color w:val="000000"/>
                <w:spacing w:val="-12"/>
                <w:sz w:val="18"/>
                <w:szCs w:val="18"/>
              </w:rPr>
            </w:pPr>
            <w:r>
              <w:rPr>
                <w:rFonts w:hint="eastAsia" w:ascii="宋体" w:hAnsi="宋体" w:cs="宋体"/>
                <w:color w:val="000000"/>
                <w:spacing w:val="-12"/>
                <w:sz w:val="18"/>
                <w:szCs w:val="18"/>
              </w:rPr>
              <w:t>软件和信息技术服</w:t>
            </w:r>
            <w:r>
              <w:rPr>
                <w:rFonts w:hint="eastAsia" w:ascii="宋体" w:hAnsi="宋体" w:cs="宋体"/>
                <w:color w:val="000000"/>
                <w:sz w:val="18"/>
                <w:szCs w:val="18"/>
              </w:rPr>
              <w:t>务业</w:t>
            </w:r>
          </w:p>
        </w:tc>
        <w:tc>
          <w:tcPr>
            <w:tcW w:w="1369" w:type="dxa"/>
            <w:tcBorders>
              <w:top w:val="nil"/>
              <w:left w:val="nil"/>
              <w:bottom w:val="nil"/>
              <w:right w:val="single" w:color="auto" w:sz="4" w:space="0"/>
            </w:tcBorders>
            <w:noWrap w:val="0"/>
            <w:vAlign w:val="center"/>
          </w:tcPr>
          <w:p w14:paraId="4CE526B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301B035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57A4F44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47635E7A">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520CAAA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34B03C5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42297420">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0CD6111F">
            <w:pPr>
              <w:keepNext w:val="0"/>
              <w:keepLines w:val="0"/>
              <w:widowControl/>
              <w:suppressLineNumbers w:val="0"/>
              <w:spacing w:before="0" w:beforeAutospacing="0" w:after="0" w:afterAutospacing="0"/>
              <w:ind w:left="0" w:right="0"/>
              <w:rPr>
                <w:rFonts w:hint="default" w:ascii="宋体" w:hAnsi="宋体" w:cs="宋体"/>
                <w:color w:val="000000"/>
                <w:spacing w:val="-12"/>
                <w:sz w:val="18"/>
                <w:szCs w:val="18"/>
              </w:rPr>
            </w:pPr>
          </w:p>
        </w:tc>
        <w:tc>
          <w:tcPr>
            <w:tcW w:w="1369" w:type="dxa"/>
            <w:tcBorders>
              <w:top w:val="nil"/>
              <w:left w:val="nil"/>
              <w:bottom w:val="single" w:color="auto" w:sz="4" w:space="0"/>
              <w:right w:val="single" w:color="auto" w:sz="4" w:space="0"/>
            </w:tcBorders>
            <w:noWrap w:val="0"/>
            <w:vAlign w:val="center"/>
          </w:tcPr>
          <w:p w14:paraId="6714AF9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7CE2142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5510E7B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Y≥10000</w:t>
            </w:r>
          </w:p>
        </w:tc>
        <w:tc>
          <w:tcPr>
            <w:tcW w:w="1701" w:type="dxa"/>
            <w:tcBorders>
              <w:top w:val="nil"/>
              <w:left w:val="nil"/>
              <w:bottom w:val="single" w:color="auto" w:sz="4" w:space="0"/>
              <w:right w:val="single" w:color="auto" w:sz="4" w:space="0"/>
            </w:tcBorders>
            <w:noWrap w:val="0"/>
            <w:vAlign w:val="center"/>
          </w:tcPr>
          <w:p w14:paraId="5CB6EBF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1000≤Y＜10000</w:t>
            </w:r>
          </w:p>
        </w:tc>
        <w:tc>
          <w:tcPr>
            <w:tcW w:w="1426" w:type="dxa"/>
            <w:tcBorders>
              <w:top w:val="nil"/>
              <w:left w:val="nil"/>
              <w:bottom w:val="single" w:color="auto" w:sz="4" w:space="0"/>
              <w:right w:val="single" w:color="auto" w:sz="4" w:space="0"/>
            </w:tcBorders>
            <w:noWrap w:val="0"/>
            <w:vAlign w:val="center"/>
          </w:tcPr>
          <w:p w14:paraId="246A611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50≤Y＜1000</w:t>
            </w:r>
          </w:p>
        </w:tc>
        <w:tc>
          <w:tcPr>
            <w:tcW w:w="992" w:type="dxa"/>
            <w:tcBorders>
              <w:top w:val="nil"/>
              <w:left w:val="nil"/>
              <w:bottom w:val="single" w:color="auto" w:sz="4" w:space="0"/>
              <w:right w:val="nil"/>
            </w:tcBorders>
            <w:noWrap w:val="0"/>
            <w:vAlign w:val="center"/>
          </w:tcPr>
          <w:p w14:paraId="3E50E28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w:t>
            </w:r>
          </w:p>
        </w:tc>
      </w:tr>
      <w:tr w14:paraId="3995EA0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27B0D3F">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房地产开发经营</w:t>
            </w:r>
          </w:p>
        </w:tc>
        <w:tc>
          <w:tcPr>
            <w:tcW w:w="1369" w:type="dxa"/>
            <w:tcBorders>
              <w:top w:val="nil"/>
              <w:left w:val="nil"/>
              <w:bottom w:val="nil"/>
              <w:right w:val="single" w:color="auto" w:sz="4" w:space="0"/>
            </w:tcBorders>
            <w:noWrap w:val="0"/>
            <w:vAlign w:val="center"/>
          </w:tcPr>
          <w:p w14:paraId="0A8145E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nil"/>
              <w:right w:val="single" w:color="auto" w:sz="4" w:space="0"/>
            </w:tcBorders>
            <w:noWrap w:val="0"/>
            <w:vAlign w:val="center"/>
          </w:tcPr>
          <w:p w14:paraId="532A978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nil"/>
              <w:right w:val="single" w:color="auto" w:sz="4" w:space="0"/>
            </w:tcBorders>
            <w:noWrap w:val="0"/>
            <w:vAlign w:val="center"/>
          </w:tcPr>
          <w:p w14:paraId="3EB0D43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Y≥200000</w:t>
            </w:r>
          </w:p>
        </w:tc>
        <w:tc>
          <w:tcPr>
            <w:tcW w:w="1701" w:type="dxa"/>
            <w:tcBorders>
              <w:top w:val="nil"/>
              <w:left w:val="nil"/>
              <w:bottom w:val="nil"/>
              <w:right w:val="single" w:color="auto" w:sz="4" w:space="0"/>
            </w:tcBorders>
            <w:noWrap w:val="0"/>
            <w:vAlign w:val="center"/>
          </w:tcPr>
          <w:p w14:paraId="61DF494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1000≤Y＜200000</w:t>
            </w:r>
          </w:p>
        </w:tc>
        <w:tc>
          <w:tcPr>
            <w:tcW w:w="1426" w:type="dxa"/>
            <w:tcBorders>
              <w:top w:val="nil"/>
              <w:left w:val="nil"/>
              <w:bottom w:val="nil"/>
              <w:right w:val="single" w:color="auto" w:sz="4" w:space="0"/>
            </w:tcBorders>
            <w:noWrap w:val="0"/>
            <w:vAlign w:val="center"/>
          </w:tcPr>
          <w:p w14:paraId="17C461D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100≤Y＜1000</w:t>
            </w:r>
          </w:p>
        </w:tc>
        <w:tc>
          <w:tcPr>
            <w:tcW w:w="992" w:type="dxa"/>
            <w:tcBorders>
              <w:top w:val="nil"/>
              <w:left w:val="nil"/>
              <w:bottom w:val="nil"/>
              <w:right w:val="nil"/>
            </w:tcBorders>
            <w:noWrap w:val="0"/>
            <w:vAlign w:val="center"/>
          </w:tcPr>
          <w:p w14:paraId="4F921DEA">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Y＜100</w:t>
            </w:r>
          </w:p>
        </w:tc>
      </w:tr>
      <w:tr w14:paraId="2132632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4464FB77">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22397E10">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noWrap w:val="0"/>
            <w:vAlign w:val="center"/>
          </w:tcPr>
          <w:p w14:paraId="0368F97C">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6BE2DC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Z≥10000</w:t>
            </w:r>
          </w:p>
        </w:tc>
        <w:tc>
          <w:tcPr>
            <w:tcW w:w="1701" w:type="dxa"/>
            <w:tcBorders>
              <w:top w:val="nil"/>
              <w:left w:val="nil"/>
              <w:bottom w:val="single" w:color="auto" w:sz="4" w:space="0"/>
              <w:right w:val="single" w:color="auto" w:sz="4" w:space="0"/>
            </w:tcBorders>
            <w:noWrap w:val="0"/>
            <w:vAlign w:val="center"/>
          </w:tcPr>
          <w:p w14:paraId="6A04CF2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5000≤Z＜10000</w:t>
            </w:r>
          </w:p>
        </w:tc>
        <w:tc>
          <w:tcPr>
            <w:tcW w:w="1426" w:type="dxa"/>
            <w:tcBorders>
              <w:top w:val="nil"/>
              <w:left w:val="nil"/>
              <w:bottom w:val="single" w:color="auto" w:sz="4" w:space="0"/>
              <w:right w:val="single" w:color="auto" w:sz="4" w:space="0"/>
            </w:tcBorders>
            <w:noWrap w:val="0"/>
            <w:vAlign w:val="center"/>
          </w:tcPr>
          <w:p w14:paraId="79C6EAD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2000≤Z＜5000   </w:t>
            </w:r>
          </w:p>
        </w:tc>
        <w:tc>
          <w:tcPr>
            <w:tcW w:w="992" w:type="dxa"/>
            <w:tcBorders>
              <w:top w:val="nil"/>
              <w:left w:val="nil"/>
              <w:bottom w:val="single" w:color="auto" w:sz="4" w:space="0"/>
              <w:right w:val="nil"/>
            </w:tcBorders>
            <w:noWrap w:val="0"/>
            <w:vAlign w:val="center"/>
          </w:tcPr>
          <w:p w14:paraId="62E14C7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Z＜2000</w:t>
            </w:r>
          </w:p>
        </w:tc>
      </w:tr>
      <w:tr w14:paraId="42F424D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47A4527B">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物业管理</w:t>
            </w:r>
          </w:p>
        </w:tc>
        <w:tc>
          <w:tcPr>
            <w:tcW w:w="1369" w:type="dxa"/>
            <w:tcBorders>
              <w:top w:val="nil"/>
              <w:left w:val="nil"/>
              <w:bottom w:val="nil"/>
              <w:right w:val="single" w:color="auto" w:sz="4" w:space="0"/>
            </w:tcBorders>
            <w:noWrap w:val="0"/>
            <w:vAlign w:val="center"/>
          </w:tcPr>
          <w:p w14:paraId="7157AE5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0EDFCEA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2DF4405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X≥1000</w:t>
            </w:r>
          </w:p>
        </w:tc>
        <w:tc>
          <w:tcPr>
            <w:tcW w:w="1701" w:type="dxa"/>
            <w:tcBorders>
              <w:top w:val="nil"/>
              <w:left w:val="nil"/>
              <w:bottom w:val="nil"/>
              <w:right w:val="single" w:color="auto" w:sz="4" w:space="0"/>
            </w:tcBorders>
            <w:noWrap w:val="0"/>
            <w:vAlign w:val="center"/>
          </w:tcPr>
          <w:p w14:paraId="7E96353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300≤X＜1000</w:t>
            </w:r>
          </w:p>
        </w:tc>
        <w:tc>
          <w:tcPr>
            <w:tcW w:w="1426" w:type="dxa"/>
            <w:tcBorders>
              <w:top w:val="nil"/>
              <w:left w:val="nil"/>
              <w:bottom w:val="nil"/>
              <w:right w:val="single" w:color="auto" w:sz="4" w:space="0"/>
            </w:tcBorders>
            <w:noWrap w:val="0"/>
            <w:vAlign w:val="center"/>
          </w:tcPr>
          <w:p w14:paraId="20317B3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992" w:type="dxa"/>
            <w:tcBorders>
              <w:top w:val="nil"/>
              <w:left w:val="nil"/>
              <w:bottom w:val="nil"/>
              <w:right w:val="nil"/>
            </w:tcBorders>
            <w:noWrap w:val="0"/>
            <w:vAlign w:val="center"/>
          </w:tcPr>
          <w:p w14:paraId="0F04A2A5">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X＜100</w:t>
            </w:r>
          </w:p>
        </w:tc>
      </w:tr>
      <w:tr w14:paraId="78D1ACB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391230A6">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7F4F2B3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营业收入(Y)</w:t>
            </w:r>
          </w:p>
        </w:tc>
        <w:tc>
          <w:tcPr>
            <w:tcW w:w="709" w:type="dxa"/>
            <w:tcBorders>
              <w:top w:val="nil"/>
              <w:left w:val="nil"/>
              <w:bottom w:val="single" w:color="auto" w:sz="4" w:space="0"/>
              <w:right w:val="single" w:color="auto" w:sz="4" w:space="0"/>
            </w:tcBorders>
            <w:noWrap w:val="0"/>
            <w:vAlign w:val="center"/>
          </w:tcPr>
          <w:p w14:paraId="7FBCDEB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752C389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Y≥5000</w:t>
            </w:r>
          </w:p>
        </w:tc>
        <w:tc>
          <w:tcPr>
            <w:tcW w:w="1701" w:type="dxa"/>
            <w:tcBorders>
              <w:top w:val="nil"/>
              <w:left w:val="nil"/>
              <w:bottom w:val="single" w:color="auto" w:sz="4" w:space="0"/>
              <w:right w:val="single" w:color="auto" w:sz="4" w:space="0"/>
            </w:tcBorders>
            <w:noWrap w:val="0"/>
            <w:vAlign w:val="center"/>
          </w:tcPr>
          <w:p w14:paraId="57CC135C">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14:paraId="775D01D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500≤Y＜1000</w:t>
            </w:r>
          </w:p>
        </w:tc>
        <w:tc>
          <w:tcPr>
            <w:tcW w:w="992" w:type="dxa"/>
            <w:tcBorders>
              <w:top w:val="nil"/>
              <w:left w:val="nil"/>
              <w:bottom w:val="single" w:color="auto" w:sz="4" w:space="0"/>
              <w:right w:val="nil"/>
            </w:tcBorders>
            <w:noWrap w:val="0"/>
            <w:vAlign w:val="center"/>
          </w:tcPr>
          <w:p w14:paraId="603BBD1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Y＜500</w:t>
            </w:r>
          </w:p>
        </w:tc>
      </w:tr>
      <w:tr w14:paraId="30C27B0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5ABEAEB7">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租赁和商务服务业</w:t>
            </w:r>
          </w:p>
        </w:tc>
        <w:tc>
          <w:tcPr>
            <w:tcW w:w="1369" w:type="dxa"/>
            <w:tcBorders>
              <w:top w:val="nil"/>
              <w:left w:val="nil"/>
              <w:bottom w:val="nil"/>
              <w:right w:val="single" w:color="auto" w:sz="4" w:space="0"/>
            </w:tcBorders>
            <w:noWrap w:val="0"/>
            <w:vAlign w:val="center"/>
          </w:tcPr>
          <w:p w14:paraId="715C42C3">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nil"/>
              <w:right w:val="single" w:color="auto" w:sz="4" w:space="0"/>
            </w:tcBorders>
            <w:noWrap w:val="0"/>
            <w:vAlign w:val="center"/>
          </w:tcPr>
          <w:p w14:paraId="4E8CD066">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nil"/>
              <w:right w:val="single" w:color="auto" w:sz="4" w:space="0"/>
            </w:tcBorders>
            <w:noWrap w:val="0"/>
            <w:vAlign w:val="center"/>
          </w:tcPr>
          <w:p w14:paraId="3C4ACC62">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nil"/>
              <w:right w:val="single" w:color="auto" w:sz="4" w:space="0"/>
            </w:tcBorders>
            <w:noWrap w:val="0"/>
            <w:vAlign w:val="center"/>
          </w:tcPr>
          <w:p w14:paraId="0CEDA630">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nil"/>
              <w:right w:val="single" w:color="auto" w:sz="4" w:space="0"/>
            </w:tcBorders>
            <w:noWrap w:val="0"/>
            <w:vAlign w:val="center"/>
          </w:tcPr>
          <w:p w14:paraId="5E8E1E8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nil"/>
              <w:right w:val="nil"/>
            </w:tcBorders>
            <w:noWrap w:val="0"/>
            <w:vAlign w:val="center"/>
          </w:tcPr>
          <w:p w14:paraId="4FF67B41">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r w14:paraId="16DBCA59">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43EDD24A">
            <w:pPr>
              <w:keepNext w:val="0"/>
              <w:keepLines w:val="0"/>
              <w:widowControl/>
              <w:suppressLineNumbers w:val="0"/>
              <w:spacing w:before="0" w:beforeAutospacing="0" w:after="0" w:afterAutospacing="0"/>
              <w:ind w:left="0" w:right="0"/>
              <w:rPr>
                <w:rFonts w:hint="default" w:ascii="宋体" w:hAnsi="宋体" w:cs="宋体"/>
                <w:color w:val="000000"/>
                <w:sz w:val="18"/>
                <w:szCs w:val="18"/>
              </w:rPr>
            </w:pPr>
          </w:p>
        </w:tc>
        <w:tc>
          <w:tcPr>
            <w:tcW w:w="1369" w:type="dxa"/>
            <w:tcBorders>
              <w:top w:val="nil"/>
              <w:left w:val="nil"/>
              <w:bottom w:val="single" w:color="auto" w:sz="4" w:space="0"/>
              <w:right w:val="single" w:color="auto" w:sz="4" w:space="0"/>
            </w:tcBorders>
            <w:noWrap w:val="0"/>
            <w:vAlign w:val="center"/>
          </w:tcPr>
          <w:p w14:paraId="6E3A13CC">
            <w:pPr>
              <w:keepNext w:val="0"/>
              <w:keepLines w:val="0"/>
              <w:widowControl/>
              <w:suppressLineNumbers w:val="0"/>
              <w:spacing w:before="0" w:beforeAutospacing="0" w:after="0" w:afterAutospacing="0" w:line="240" w:lineRule="exact"/>
              <w:ind w:left="0" w:right="0"/>
              <w:jc w:val="center"/>
              <w:rPr>
                <w:rFonts w:hint="default" w:ascii="宋体" w:hAnsi="宋体" w:cs="宋体"/>
                <w:color w:val="000000"/>
                <w:sz w:val="18"/>
                <w:szCs w:val="18"/>
              </w:rPr>
            </w:pPr>
            <w:r>
              <w:rPr>
                <w:rFonts w:hint="eastAsia" w:ascii="宋体" w:hAnsi="宋体" w:cs="宋体"/>
                <w:color w:val="000000"/>
                <w:sz w:val="18"/>
                <w:szCs w:val="18"/>
              </w:rPr>
              <w:t>资产总额(Z)</w:t>
            </w:r>
          </w:p>
        </w:tc>
        <w:tc>
          <w:tcPr>
            <w:tcW w:w="709" w:type="dxa"/>
            <w:tcBorders>
              <w:top w:val="nil"/>
              <w:left w:val="nil"/>
              <w:bottom w:val="single" w:color="auto" w:sz="4" w:space="0"/>
              <w:right w:val="single" w:color="auto" w:sz="4" w:space="0"/>
            </w:tcBorders>
            <w:noWrap w:val="0"/>
            <w:vAlign w:val="center"/>
          </w:tcPr>
          <w:p w14:paraId="123231CE">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万元</w:t>
            </w:r>
          </w:p>
        </w:tc>
        <w:tc>
          <w:tcPr>
            <w:tcW w:w="1125" w:type="dxa"/>
            <w:tcBorders>
              <w:top w:val="nil"/>
              <w:left w:val="nil"/>
              <w:bottom w:val="single" w:color="auto" w:sz="4" w:space="0"/>
              <w:right w:val="single" w:color="auto" w:sz="4" w:space="0"/>
            </w:tcBorders>
            <w:noWrap w:val="0"/>
            <w:vAlign w:val="center"/>
          </w:tcPr>
          <w:p w14:paraId="17BC49B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Z≥120000</w:t>
            </w:r>
          </w:p>
        </w:tc>
        <w:tc>
          <w:tcPr>
            <w:tcW w:w="1701" w:type="dxa"/>
            <w:tcBorders>
              <w:top w:val="nil"/>
              <w:left w:val="nil"/>
              <w:bottom w:val="single" w:color="auto" w:sz="4" w:space="0"/>
              <w:right w:val="single" w:color="auto" w:sz="4" w:space="0"/>
            </w:tcBorders>
            <w:noWrap w:val="0"/>
            <w:vAlign w:val="center"/>
          </w:tcPr>
          <w:p w14:paraId="303D3A14">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14:paraId="19A5E5BB">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100≤Z＜8000</w:t>
            </w:r>
          </w:p>
        </w:tc>
        <w:tc>
          <w:tcPr>
            <w:tcW w:w="992" w:type="dxa"/>
            <w:tcBorders>
              <w:top w:val="nil"/>
              <w:left w:val="nil"/>
              <w:bottom w:val="single" w:color="auto" w:sz="4" w:space="0"/>
              <w:right w:val="nil"/>
            </w:tcBorders>
            <w:noWrap w:val="0"/>
            <w:vAlign w:val="center"/>
          </w:tcPr>
          <w:p w14:paraId="57EF91B7">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Z＜100</w:t>
            </w:r>
          </w:p>
        </w:tc>
      </w:tr>
      <w:tr w14:paraId="2FD13E9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2BDD59CE">
            <w:pPr>
              <w:keepNext w:val="0"/>
              <w:keepLines w:val="0"/>
              <w:widowControl/>
              <w:suppressLineNumbers w:val="0"/>
              <w:spacing w:before="0" w:beforeAutospacing="0" w:after="0" w:afterAutospacing="0" w:line="240" w:lineRule="exact"/>
              <w:ind w:left="0" w:right="0"/>
              <w:rPr>
                <w:rFonts w:hint="default" w:ascii="宋体" w:hAnsi="宋体" w:cs="宋体"/>
                <w:color w:val="000000"/>
                <w:sz w:val="18"/>
                <w:szCs w:val="18"/>
              </w:rPr>
            </w:pPr>
            <w:r>
              <w:rPr>
                <w:rFonts w:hint="eastAsia" w:ascii="宋体" w:hAnsi="宋体" w:cs="宋体"/>
                <w:color w:val="000000"/>
                <w:sz w:val="18"/>
                <w:szCs w:val="18"/>
              </w:rPr>
              <w:t>其他未列明行业 *</w:t>
            </w:r>
          </w:p>
        </w:tc>
        <w:tc>
          <w:tcPr>
            <w:tcW w:w="1369" w:type="dxa"/>
            <w:tcBorders>
              <w:top w:val="nil"/>
              <w:left w:val="nil"/>
              <w:bottom w:val="single" w:color="auto" w:sz="4" w:space="0"/>
              <w:right w:val="single" w:color="auto" w:sz="4" w:space="0"/>
            </w:tcBorders>
            <w:noWrap w:val="0"/>
            <w:vAlign w:val="center"/>
          </w:tcPr>
          <w:p w14:paraId="606BACF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从业人员(X)</w:t>
            </w:r>
          </w:p>
        </w:tc>
        <w:tc>
          <w:tcPr>
            <w:tcW w:w="709" w:type="dxa"/>
            <w:tcBorders>
              <w:top w:val="nil"/>
              <w:left w:val="nil"/>
              <w:bottom w:val="single" w:color="auto" w:sz="4" w:space="0"/>
              <w:right w:val="single" w:color="auto" w:sz="4" w:space="0"/>
            </w:tcBorders>
            <w:noWrap w:val="0"/>
            <w:vAlign w:val="center"/>
          </w:tcPr>
          <w:p w14:paraId="61200C58">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人</w:t>
            </w:r>
          </w:p>
        </w:tc>
        <w:tc>
          <w:tcPr>
            <w:tcW w:w="1125" w:type="dxa"/>
            <w:tcBorders>
              <w:top w:val="nil"/>
              <w:left w:val="nil"/>
              <w:bottom w:val="single" w:color="auto" w:sz="4" w:space="0"/>
              <w:right w:val="single" w:color="auto" w:sz="4" w:space="0"/>
            </w:tcBorders>
            <w:noWrap w:val="0"/>
            <w:vAlign w:val="center"/>
          </w:tcPr>
          <w:p w14:paraId="33B02299">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X≥300</w:t>
            </w:r>
          </w:p>
        </w:tc>
        <w:tc>
          <w:tcPr>
            <w:tcW w:w="1701" w:type="dxa"/>
            <w:tcBorders>
              <w:top w:val="nil"/>
              <w:left w:val="nil"/>
              <w:bottom w:val="single" w:color="auto" w:sz="4" w:space="0"/>
              <w:right w:val="single" w:color="auto" w:sz="4" w:space="0"/>
            </w:tcBorders>
            <w:noWrap w:val="0"/>
            <w:vAlign w:val="center"/>
          </w:tcPr>
          <w:p w14:paraId="1B293976">
            <w:pPr>
              <w:keepNext w:val="0"/>
              <w:keepLines w:val="0"/>
              <w:widowControl/>
              <w:suppressLineNumbers w:val="0"/>
              <w:spacing w:before="0" w:beforeAutospacing="0" w:after="0" w:afterAutospacing="0"/>
              <w:ind w:left="1" w:leftChars="-51" w:right="0" w:hanging="108" w:hangingChars="60"/>
              <w:jc w:val="center"/>
              <w:rPr>
                <w:rFonts w:hint="default" w:ascii="宋体" w:hAnsi="宋体" w:cs="宋体"/>
                <w:color w:val="000000"/>
                <w:sz w:val="18"/>
                <w:szCs w:val="18"/>
              </w:rPr>
            </w:pPr>
            <w:r>
              <w:rPr>
                <w:rFonts w:hint="eastAsia" w:ascii="宋体" w:hAnsi="宋体" w:cs="宋体"/>
                <w:color w:val="000000"/>
                <w:sz w:val="18"/>
                <w:szCs w:val="18"/>
              </w:rPr>
              <w:t xml:space="preserve">100≤X＜300 </w:t>
            </w:r>
          </w:p>
        </w:tc>
        <w:tc>
          <w:tcPr>
            <w:tcW w:w="1426" w:type="dxa"/>
            <w:tcBorders>
              <w:top w:val="nil"/>
              <w:left w:val="nil"/>
              <w:bottom w:val="single" w:color="auto" w:sz="4" w:space="0"/>
              <w:right w:val="single" w:color="auto" w:sz="4" w:space="0"/>
            </w:tcBorders>
            <w:noWrap w:val="0"/>
            <w:vAlign w:val="center"/>
          </w:tcPr>
          <w:p w14:paraId="4C21C08D">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 xml:space="preserve"> 10≤X＜100</w:t>
            </w:r>
          </w:p>
        </w:tc>
        <w:tc>
          <w:tcPr>
            <w:tcW w:w="992" w:type="dxa"/>
            <w:tcBorders>
              <w:top w:val="nil"/>
              <w:left w:val="nil"/>
              <w:bottom w:val="single" w:color="auto" w:sz="4" w:space="0"/>
              <w:right w:val="nil"/>
            </w:tcBorders>
            <w:noWrap w:val="0"/>
            <w:vAlign w:val="center"/>
          </w:tcPr>
          <w:p w14:paraId="00D8C180">
            <w:pPr>
              <w:keepNext w:val="0"/>
              <w:keepLines w:val="0"/>
              <w:widowControl/>
              <w:suppressLineNumbers w:val="0"/>
              <w:spacing w:before="0" w:beforeAutospacing="0" w:after="0" w:afterAutospacing="0"/>
              <w:ind w:left="0" w:right="0"/>
              <w:jc w:val="center"/>
              <w:rPr>
                <w:rFonts w:hint="default" w:ascii="宋体" w:hAnsi="宋体" w:cs="宋体"/>
                <w:color w:val="000000"/>
                <w:sz w:val="18"/>
                <w:szCs w:val="18"/>
              </w:rPr>
            </w:pPr>
            <w:r>
              <w:rPr>
                <w:rFonts w:hint="eastAsia" w:ascii="宋体" w:hAnsi="宋体" w:cs="宋体"/>
                <w:color w:val="000000"/>
                <w:sz w:val="18"/>
                <w:szCs w:val="18"/>
              </w:rPr>
              <w:t>X＜10</w:t>
            </w:r>
          </w:p>
        </w:tc>
      </w:tr>
    </w:tbl>
    <w:p w14:paraId="0DB06108">
      <w:pPr>
        <w:spacing w:line="360" w:lineRule="auto"/>
        <w:rPr>
          <w:rFonts w:ascii="宋体" w:hAnsi="宋体" w:cs="宋体"/>
          <w:szCs w:val="21"/>
        </w:rPr>
      </w:pPr>
      <w:r>
        <w:rPr>
          <w:rFonts w:ascii="宋体" w:hAnsi="宋体" w:cs="宋体"/>
          <w:szCs w:val="21"/>
        </w:rPr>
        <w:t>说明：</w:t>
      </w:r>
    </w:p>
    <w:p w14:paraId="44150AC7">
      <w:pPr>
        <w:spacing w:line="360" w:lineRule="auto"/>
        <w:ind w:firstLine="371" w:firstLineChars="177"/>
        <w:rPr>
          <w:rFonts w:ascii="宋体" w:hAnsi="宋体" w:cs="宋体"/>
          <w:szCs w:val="21"/>
        </w:rPr>
      </w:pPr>
      <w:r>
        <w:rPr>
          <w:rFonts w:ascii="宋体" w:hAnsi="宋体" w:cs="宋体"/>
          <w:szCs w:val="21"/>
        </w:rPr>
        <w:t>1.大型、中型和小型企业须同时满足所列指标的下限，否则下划一档；微型企业只须满足所列指标中的一项即可。</w:t>
      </w:r>
    </w:p>
    <w:p w14:paraId="6132FFA0">
      <w:pPr>
        <w:spacing w:line="360" w:lineRule="auto"/>
        <w:ind w:firstLine="371" w:firstLineChars="177"/>
        <w:rPr>
          <w:rFonts w:ascii="宋体" w:hAnsi="宋体" w:cs="宋体"/>
          <w:szCs w:val="21"/>
        </w:rPr>
      </w:pPr>
      <w:r>
        <w:rPr>
          <w:rFonts w:ascii="宋体" w:hAnsi="宋体" w:cs="宋体"/>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A57730">
      <w:pPr>
        <w:spacing w:line="360" w:lineRule="auto"/>
        <w:ind w:firstLine="371" w:firstLineChars="177"/>
        <w:rPr>
          <w:rFonts w:ascii="宋体" w:hAnsi="宋体" w:cs="宋体"/>
          <w:szCs w:val="21"/>
        </w:rPr>
      </w:pPr>
      <w:r>
        <w:rPr>
          <w:rFonts w:ascii="宋体" w:hAnsi="宋体" w:cs="宋体"/>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E7DFCFB">
      <w:pPr>
        <w:spacing w:line="360" w:lineRule="auto"/>
        <w:rPr>
          <w:rFonts w:ascii="宋体" w:hAnsi="宋体"/>
          <w:szCs w:val="21"/>
        </w:rPr>
      </w:pPr>
    </w:p>
    <w:p w14:paraId="29567208">
      <w:pPr>
        <w:pStyle w:val="4"/>
        <w:spacing w:before="0" w:after="0"/>
        <w:jc w:val="center"/>
        <w:rPr>
          <w:rFonts w:ascii="宋体" w:hAnsi="宋体"/>
          <w:color w:val="000000"/>
          <w:sz w:val="21"/>
          <w:szCs w:val="21"/>
        </w:rPr>
      </w:pPr>
      <w:bookmarkStart w:id="54" w:name="_Toc73610165"/>
      <w:bookmarkStart w:id="55" w:name="_Toc73613647"/>
      <w:r>
        <w:rPr>
          <w:rFonts w:hint="eastAsia" w:ascii="方正小标宋_GBK" w:hAnsi="方正小标宋_GBK" w:eastAsia="方正小标宋_GBK" w:cs="方正小标宋_GBK"/>
          <w:b/>
          <w:bCs w:val="0"/>
        </w:rPr>
        <w:t>四、财政部 民政部 中国残疾人联合会关于促进残疾人就业 政府采购政策的通知</w:t>
      </w:r>
      <w:bookmarkEnd w:id="54"/>
      <w:bookmarkEnd w:id="55"/>
      <w:r>
        <w:t xml:space="preserve"> </w:t>
      </w:r>
    </w:p>
    <w:p w14:paraId="3AD900CC">
      <w:pPr>
        <w:pStyle w:val="18"/>
        <w:shd w:val="clear" w:color="auto" w:fill="FFFFFF"/>
        <w:spacing w:line="360" w:lineRule="auto"/>
        <w:jc w:val="center"/>
        <w:rPr>
          <w:rFonts w:ascii="宋体" w:hAnsi="宋体"/>
          <w:color w:val="000000"/>
          <w:sz w:val="21"/>
          <w:szCs w:val="21"/>
        </w:rPr>
      </w:pPr>
      <w:r>
        <w:rPr>
          <w:rFonts w:ascii="宋体" w:hAnsi="宋体"/>
          <w:color w:val="000000"/>
          <w:sz w:val="21"/>
          <w:szCs w:val="21"/>
        </w:rPr>
        <w:t>财库〔2017〕141号</w:t>
      </w:r>
    </w:p>
    <w:p w14:paraId="09029535">
      <w:pPr>
        <w:spacing w:line="360" w:lineRule="auto"/>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A4530D0">
      <w:pPr>
        <w:spacing w:line="360" w:lineRule="auto"/>
        <w:rPr>
          <w:rFonts w:ascii="宋体" w:hAnsi="宋体" w:cs="宋体"/>
          <w:szCs w:val="21"/>
        </w:rPr>
      </w:pPr>
      <w:r>
        <w:rPr>
          <w:rFonts w:hint="eastAsia" w:ascii="宋体" w:hAnsi="宋体" w:cs="宋体"/>
          <w:szCs w:val="21"/>
        </w:rPr>
        <w:t>　　为了发挥政府采购促进残疾人就业的作用，进一步保障残疾人权益，依照《政府采购法》、《残疾人保障法》等法律法规及相关规定，现就促进残疾人就业政府采购政策通知如下：</w:t>
      </w:r>
    </w:p>
    <w:p w14:paraId="023D0C64">
      <w:pPr>
        <w:spacing w:line="360" w:lineRule="auto"/>
        <w:rPr>
          <w:rFonts w:ascii="宋体" w:hAnsi="宋体" w:cs="宋体"/>
          <w:szCs w:val="21"/>
        </w:rPr>
      </w:pPr>
      <w:r>
        <w:rPr>
          <w:rFonts w:hint="eastAsia" w:ascii="宋体" w:hAnsi="宋体" w:cs="宋体"/>
          <w:szCs w:val="21"/>
        </w:rPr>
        <w:t>　　一、享受政府采购支持政策的残疾人福利性单位应当同时满足以下条件：</w:t>
      </w:r>
    </w:p>
    <w:p w14:paraId="24D8C93C">
      <w:pPr>
        <w:spacing w:line="360" w:lineRule="auto"/>
        <w:rPr>
          <w:rFonts w:ascii="宋体" w:hAnsi="宋体" w:cs="宋体"/>
          <w:szCs w:val="21"/>
        </w:rPr>
      </w:pPr>
      <w:r>
        <w:rPr>
          <w:rFonts w:hint="eastAsia" w:ascii="宋体" w:hAnsi="宋体" w:cs="宋体"/>
          <w:szCs w:val="21"/>
        </w:rPr>
        <w:t>　　（一）安置的残疾人占本单位在职职工人数的比例不低于25%（含25%），并且安置的残疾人人数不少于10人（含10人）；</w:t>
      </w:r>
    </w:p>
    <w:p w14:paraId="3758119A">
      <w:pPr>
        <w:spacing w:line="360" w:lineRule="auto"/>
        <w:rPr>
          <w:rFonts w:ascii="宋体" w:hAnsi="宋体" w:cs="宋体"/>
          <w:szCs w:val="21"/>
        </w:rPr>
      </w:pPr>
      <w:r>
        <w:rPr>
          <w:rFonts w:hint="eastAsia" w:ascii="宋体" w:hAnsi="宋体" w:cs="宋体"/>
          <w:szCs w:val="21"/>
        </w:rPr>
        <w:t>　　（二）依法与安置的每位残疾人签订了一年以上（含一年）的劳动合同或服务协议；</w:t>
      </w:r>
    </w:p>
    <w:p w14:paraId="5E69A44D">
      <w:pPr>
        <w:spacing w:line="360" w:lineRule="auto"/>
        <w:rPr>
          <w:rFonts w:ascii="宋体" w:hAnsi="宋体" w:cs="宋体"/>
          <w:szCs w:val="21"/>
        </w:rPr>
      </w:pPr>
      <w:r>
        <w:rPr>
          <w:rFonts w:hint="eastAsia" w:ascii="宋体" w:hAnsi="宋体" w:cs="宋体"/>
          <w:szCs w:val="21"/>
        </w:rPr>
        <w:t>　　（三）为安置的每位残疾人按月足额缴纳了基本养老保险、基本医疗保险、失业保险、工伤保险和生育保险等社会保险费；</w:t>
      </w:r>
    </w:p>
    <w:p w14:paraId="04279DB0">
      <w:pPr>
        <w:spacing w:line="360" w:lineRule="auto"/>
        <w:rPr>
          <w:rFonts w:ascii="宋体" w:hAnsi="宋体" w:cs="宋体"/>
          <w:szCs w:val="21"/>
        </w:rPr>
      </w:pPr>
      <w:r>
        <w:rPr>
          <w:rFonts w:hint="eastAsia" w:ascii="宋体" w:hAnsi="宋体" w:cs="宋体"/>
          <w:szCs w:val="21"/>
        </w:rPr>
        <w:t>　　（四）通过银行等金融机构向安置的每位残疾人，按月支付了不低于单位所在区县适用的经省级人民政府批准的月最低工资标准的工资；</w:t>
      </w:r>
    </w:p>
    <w:p w14:paraId="6C33C6EB">
      <w:pPr>
        <w:spacing w:line="360" w:lineRule="auto"/>
        <w:rPr>
          <w:rFonts w:ascii="宋体" w:hAnsi="宋体" w:cs="宋体"/>
          <w:szCs w:val="21"/>
        </w:rPr>
      </w:pPr>
      <w:r>
        <w:rPr>
          <w:rFonts w:hint="eastAsia" w:ascii="宋体" w:hAnsi="宋体" w:cs="宋体"/>
          <w:szCs w:val="21"/>
        </w:rPr>
        <w:t>　　（五）提供本单位制造的货物、承担的工程或者服务（以下简称产品），或者提供其他残疾人福利性单位制造的货物（不包括使用非残疾人福利性单位注册商标的货物）。</w:t>
      </w:r>
    </w:p>
    <w:p w14:paraId="7E37FDE4">
      <w:pPr>
        <w:spacing w:line="360" w:lineRule="auto"/>
        <w:rPr>
          <w:rFonts w:ascii="宋体" w:hAnsi="宋体" w:cs="宋体"/>
          <w:szCs w:val="21"/>
        </w:rPr>
      </w:pPr>
      <w:r>
        <w:rPr>
          <w:rFonts w:hint="eastAsia" w:ascii="宋体" w:hAnsi="宋体" w:cs="宋体"/>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F28D58">
      <w:pPr>
        <w:spacing w:line="360" w:lineRule="auto"/>
        <w:rPr>
          <w:rFonts w:ascii="宋体" w:hAnsi="宋体" w:cs="宋体"/>
          <w:szCs w:val="21"/>
        </w:rPr>
      </w:pPr>
      <w:r>
        <w:rPr>
          <w:rFonts w:hint="eastAsia" w:ascii="宋体" w:hAnsi="宋体" w:cs="宋体"/>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563D692">
      <w:pPr>
        <w:spacing w:line="360" w:lineRule="auto"/>
        <w:rPr>
          <w:rFonts w:ascii="宋体" w:hAnsi="宋体" w:cs="宋体"/>
          <w:szCs w:val="21"/>
        </w:rPr>
      </w:pPr>
      <w:r>
        <w:rPr>
          <w:rFonts w:hint="eastAsia" w:ascii="宋体" w:hAnsi="宋体" w:cs="宋体"/>
          <w:szCs w:val="21"/>
        </w:rPr>
        <w:t>　　中标、成交供应商为残疾人福利性单位的，采购人或者其委托的采购代理机构应当随中标、成交结果同时公告其《残疾人福利性单位声明函》，接受社会监督。</w:t>
      </w:r>
    </w:p>
    <w:p w14:paraId="3C5E0BDA">
      <w:pPr>
        <w:spacing w:line="360" w:lineRule="auto"/>
        <w:rPr>
          <w:rFonts w:ascii="宋体" w:hAnsi="宋体" w:cs="宋体"/>
          <w:szCs w:val="21"/>
        </w:rPr>
      </w:pPr>
      <w:r>
        <w:rPr>
          <w:rFonts w:hint="eastAsia" w:ascii="宋体" w:hAnsi="宋体" w:cs="宋体"/>
          <w:szCs w:val="21"/>
        </w:rPr>
        <w:t>　　供应商提供的《残疾人福利性单位声明函》与事实不符的，依照《政府采购法》第七十七条第一款的规定追究法律责任。</w:t>
      </w:r>
    </w:p>
    <w:p w14:paraId="14E50144">
      <w:pPr>
        <w:spacing w:line="360" w:lineRule="auto"/>
        <w:rPr>
          <w:rFonts w:ascii="宋体" w:hAnsi="宋体" w:cs="宋体"/>
          <w:szCs w:val="21"/>
        </w:rPr>
      </w:pPr>
      <w:r>
        <w:rPr>
          <w:rFonts w:hint="eastAsia" w:ascii="宋体" w:hAnsi="宋体" w:cs="宋体"/>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F2BE01C">
      <w:pPr>
        <w:spacing w:line="360" w:lineRule="auto"/>
        <w:rPr>
          <w:rFonts w:ascii="宋体" w:hAnsi="宋体" w:cs="宋体"/>
          <w:szCs w:val="21"/>
        </w:rPr>
      </w:pPr>
      <w:r>
        <w:rPr>
          <w:rFonts w:hint="eastAsia" w:ascii="宋体" w:hAnsi="宋体" w:cs="宋体"/>
          <w:szCs w:val="21"/>
        </w:rPr>
        <w:t>　　四、采购人采购公开招标数额标准以上的货物或者服务，因落实促进残疾人就业政策的需要，依法履行有关报批程序后，可采用公开招标以外的采购方式。</w:t>
      </w:r>
    </w:p>
    <w:p w14:paraId="3D969C37">
      <w:pPr>
        <w:spacing w:line="360" w:lineRule="auto"/>
        <w:rPr>
          <w:rFonts w:ascii="宋体" w:hAnsi="宋体" w:cs="宋体"/>
          <w:szCs w:val="21"/>
        </w:rPr>
      </w:pPr>
      <w:r>
        <w:rPr>
          <w:rFonts w:hint="eastAsia" w:ascii="宋体" w:hAnsi="宋体" w:cs="宋体"/>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E6DF111">
      <w:pPr>
        <w:spacing w:line="360" w:lineRule="auto"/>
        <w:rPr>
          <w:rFonts w:ascii="宋体" w:hAnsi="宋体" w:cs="宋体"/>
          <w:szCs w:val="21"/>
        </w:rPr>
      </w:pPr>
      <w:r>
        <w:rPr>
          <w:rFonts w:hint="eastAsia" w:ascii="宋体" w:hAnsi="宋体" w:cs="宋体"/>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0FEDF71">
      <w:pPr>
        <w:spacing w:line="360" w:lineRule="auto"/>
        <w:rPr>
          <w:rFonts w:ascii="宋体" w:hAnsi="宋体" w:cs="宋体"/>
          <w:szCs w:val="21"/>
        </w:rPr>
      </w:pPr>
      <w:r>
        <w:rPr>
          <w:rFonts w:hint="eastAsia" w:ascii="宋体" w:hAnsi="宋体" w:cs="宋体"/>
          <w:szCs w:val="21"/>
        </w:rPr>
        <w:t>　　七、本通知自2017年10月1日起执行。</w:t>
      </w:r>
    </w:p>
    <w:p w14:paraId="1E44BC30">
      <w:pPr>
        <w:spacing w:line="360" w:lineRule="auto"/>
        <w:rPr>
          <w:rFonts w:ascii="宋体" w:hAnsi="宋体" w:cs="宋体"/>
          <w:szCs w:val="21"/>
        </w:rPr>
      </w:pPr>
      <w:r>
        <w:rPr>
          <w:rFonts w:ascii="宋体" w:hAnsi="宋体" w:cs="宋体"/>
          <w:szCs w:val="21"/>
        </w:rPr>
        <w:t>　　</w:t>
      </w:r>
    </w:p>
    <w:p w14:paraId="2C53C5A5">
      <w:pPr>
        <w:spacing w:line="360" w:lineRule="auto"/>
        <w:jc w:val="right"/>
        <w:rPr>
          <w:rFonts w:ascii="宋体" w:hAnsi="宋体" w:cs="宋体"/>
          <w:szCs w:val="21"/>
        </w:rPr>
      </w:pPr>
      <w:r>
        <w:rPr>
          <w:rFonts w:hint="eastAsia" w:ascii="宋体" w:hAnsi="宋体" w:cs="宋体"/>
          <w:szCs w:val="21"/>
        </w:rPr>
        <w:t>财政部 民政部 中国残疾人联合会</w:t>
      </w:r>
    </w:p>
    <w:p w14:paraId="08A0F8F9">
      <w:pPr>
        <w:rPr>
          <w:rFonts w:hint="default"/>
        </w:rPr>
      </w:pPr>
    </w:p>
    <w:sectPr>
      <w:headerReference r:id="rId7" w:type="default"/>
      <w:footerReference r:id="rId8" w:type="default"/>
      <w:footerReference r:id="rId9" w:type="even"/>
      <w:pgSz w:w="11906" w:h="16838"/>
      <w:pgMar w:top="1701"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166A">
    <w:pPr>
      <w:pStyle w:val="2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E41DA9">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dHTO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OecOWHpxi/fv11+/Lr8/MqW&#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qdHTOIBAADNAwAADgAA&#10;AAAAAAABACAAAAAeAQAAZHJzL2Uyb0RvYy54bWxQSwUGAAAAAAYABgBZAQAAcgUAAAAA&#10;">
              <v:fill on="f" focussize="0,0"/>
              <v:stroke on="f"/>
              <v:imagedata o:title=""/>
              <o:lock v:ext="edit" aspectratio="f"/>
              <v:textbox inset="0mm,0mm,0mm,0mm" style="mso-fit-shape-to-text:t;">
                <w:txbxContent>
                  <w:p w14:paraId="38E41DA9">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630C">
    <w:pPr>
      <w:pStyle w:val="25"/>
      <w:ind w:firstLine="3960" w:firstLineChars="2200"/>
      <w:rPr>
        <w:rFonts w:hint="default" w:eastAsia="宋体"/>
        <w:lang w:val="en-US" w:eastAsia="zh-CN"/>
      </w:rPr>
    </w:pPr>
    <w:r>
      <w:rPr>
        <w:rFonts w:hint="eastAsia"/>
        <w:lang w:val="en-US" w:eastAsia="zh-CN"/>
      </w:rPr>
      <w:t>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DD9D">
    <w:pPr>
      <w:pStyle w:val="25"/>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4412A15">
                          <w:pPr>
                            <w:pStyle w:val="25"/>
                            <w:rPr>
                              <w:rStyle w:val="39"/>
                            </w:rPr>
                          </w:pPr>
                          <w:r>
                            <w:fldChar w:fldCharType="begin"/>
                          </w:r>
                          <w:r>
                            <w:rPr>
                              <w:rStyle w:val="39"/>
                            </w:rPr>
                            <w:instrText xml:space="preserve">PAGE  </w:instrText>
                          </w:r>
                          <w:r>
                            <w:fldChar w:fldCharType="separate"/>
                          </w:r>
                          <w:r>
                            <w:rPr>
                              <w:rStyle w:val="39"/>
                            </w:rPr>
                            <w:t>22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KV62uucB&#10;AADJAwAADgAAAAAAAAABACAAAAAiAQAAZHJzL2Uyb0RvYy54bWxQSwUGAAAAAAYABgBZAQAAewUA&#10;AAAA&#10;">
              <v:fill on="f" focussize="0,0"/>
              <v:stroke on="f" weight="1.25pt"/>
              <v:imagedata o:title=""/>
              <o:lock v:ext="edit" aspectratio="f"/>
              <v:textbox inset="0mm,0mm,0mm,0mm" style="mso-fit-shape-to-text:t;">
                <w:txbxContent>
                  <w:p w14:paraId="44412A15">
                    <w:pPr>
                      <w:pStyle w:val="25"/>
                      <w:rPr>
                        <w:rStyle w:val="39"/>
                      </w:rPr>
                    </w:pPr>
                    <w:r>
                      <w:fldChar w:fldCharType="begin"/>
                    </w:r>
                    <w:r>
                      <w:rPr>
                        <w:rStyle w:val="39"/>
                      </w:rPr>
                      <w:instrText xml:space="preserve">PAGE  </w:instrText>
                    </w:r>
                    <w:r>
                      <w:fldChar w:fldCharType="separate"/>
                    </w:r>
                    <w:r>
                      <w:rPr>
                        <w:rStyle w:val="39"/>
                      </w:rP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6C94">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22</w:t>
    </w:r>
    <w:r>
      <w:fldChar w:fldCharType="end"/>
    </w:r>
  </w:p>
  <w:p w14:paraId="213DFA0B">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3EB4">
    <w:pPr>
      <w:pStyle w:val="26"/>
      <w:pBdr>
        <w:bottom w:val="none" w:color="auto" w:sz="0" w:space="0"/>
      </w:pBdr>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DE77">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87BC">
    <w:pPr>
      <w:pStyle w:val="26"/>
      <w:jc w:val="center"/>
      <w:rPr>
        <w:rFonts w:hint="eastAsia"/>
      </w:rPr>
    </w:pPr>
    <w:r>
      <w:rPr>
        <w:sz w:val="18"/>
      </w:rPr>
      <w:pict>
        <v:shape id="_x0000_s2070" o:spid="_x0000_s2070" o:spt="136" type="#_x0000_t136" style="position:absolute;left:0pt;margin-left:-113.4pt;margin-top:311.85pt;height:48.3pt;width:652.85pt;mso-position-horizontal-relative:margin;mso-position-vertical-relative:margin;rotation:-2949120f;z-index:-251652096;mso-width-relative:page;mso-height-relative:page;" fillcolor="#C0C0C0" filled="t" stroked="f" coordsize="21600,21600" adj="10800">
          <v:path/>
          <v:fill on="t" focussize="0,0"/>
          <v:stroke on="f"/>
          <v:imagedata o:title=""/>
          <o:lock v:ext="edit" aspectratio="t"/>
          <v:textpath on="t" fitshape="t" fitpath="t" trim="t" xscale="f" string="新疆元通利合工程咨询有限公司" style="font-family:华文新魏;font-size:48pt;v-same-letter-heights:f;v-text-align:center;"/>
        </v:shape>
      </w:pict>
    </w:r>
    <w:r>
      <w:rPr>
        <w:rFonts w:hint="eastAsia"/>
        <w:lang w:eastAsia="zh-CN"/>
      </w:rPr>
      <w:t>巴州聚诚项目管理有限责任公司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4FE3E"/>
    <w:multiLevelType w:val="singleLevel"/>
    <w:tmpl w:val="A8A4FE3E"/>
    <w:lvl w:ilvl="0" w:tentative="0">
      <w:start w:val="1"/>
      <w:numFmt w:val="chineseCounting"/>
      <w:suff w:val="nothing"/>
      <w:lvlText w:val="（%1）"/>
      <w:lvlJc w:val="left"/>
      <w:rPr>
        <w:rFonts w:hint="eastAsia"/>
      </w:rPr>
    </w:lvl>
  </w:abstractNum>
  <w:abstractNum w:abstractNumId="1">
    <w:nsid w:val="DFDD244C"/>
    <w:multiLevelType w:val="singleLevel"/>
    <w:tmpl w:val="DFDD244C"/>
    <w:lvl w:ilvl="0" w:tentative="0">
      <w:start w:val="1"/>
      <w:numFmt w:val="decimal"/>
      <w:suff w:val="space"/>
      <w:lvlText w:val="%1."/>
      <w:lvlJc w:val="left"/>
    </w:lvl>
  </w:abstractNum>
  <w:abstractNum w:abstractNumId="2">
    <w:nsid w:val="00000009"/>
    <w:multiLevelType w:val="multilevel"/>
    <w:tmpl w:val="00000009"/>
    <w:lvl w:ilvl="0" w:tentative="0">
      <w:start w:val="2"/>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3">
    <w:nsid w:val="00000024"/>
    <w:multiLevelType w:val="multilevel"/>
    <w:tmpl w:val="00000024"/>
    <w:lvl w:ilvl="0" w:tentative="0">
      <w:start w:val="1"/>
      <w:numFmt w:val="decimal"/>
      <w:pStyle w:val="8"/>
      <w:lvlText w:val="%1."/>
      <w:lvlJc w:val="left"/>
      <w:pPr>
        <w:tabs>
          <w:tab w:val="left" w:pos="360"/>
        </w:tabs>
        <w:ind w:left="360" w:hanging="360"/>
      </w:pPr>
      <w:rPr>
        <w:rFonts w:hint="default" w:ascii="宋体" w:hAnsi="宋体" w:eastAsia="宋体"/>
        <w:b w:val="0"/>
      </w:rPr>
    </w:lvl>
    <w:lvl w:ilvl="1" w:tentative="0">
      <w:start w:val="1"/>
      <w:numFmt w:val="decimal"/>
      <w:lvlText w:val="6.%2"/>
      <w:lvlJc w:val="left"/>
      <w:pPr>
        <w:tabs>
          <w:tab w:val="left" w:pos="992"/>
        </w:tabs>
        <w:ind w:left="992" w:hanging="567"/>
      </w:pPr>
      <w:rPr>
        <w:rFonts w:hint="eastAsia" w:ascii="宋体" w:hAnsi="宋体" w:eastAsia="宋体"/>
        <w:color w:val="auto"/>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4">
    <w:nsid w:val="046E2D7F"/>
    <w:multiLevelType w:val="multilevel"/>
    <w:tmpl w:val="046E2D7F"/>
    <w:lvl w:ilvl="0" w:tentative="0">
      <w:start w:val="3"/>
      <w:numFmt w:val="decimal"/>
      <w:pStyle w:val="74"/>
      <w:lvlText w:val="%1、"/>
      <w:lvlJc w:val="left"/>
      <w:pPr>
        <w:tabs>
          <w:tab w:val="left" w:pos="1170"/>
        </w:tabs>
        <w:ind w:left="1170" w:hanging="720"/>
      </w:pPr>
      <w:rPr>
        <w:rFonts w:hint="default"/>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5">
    <w:nsid w:val="0CBC5FDB"/>
    <w:multiLevelType w:val="singleLevel"/>
    <w:tmpl w:val="0CBC5FDB"/>
    <w:lvl w:ilvl="0" w:tentative="0">
      <w:start w:val="4"/>
      <w:numFmt w:val="chineseCounting"/>
      <w:suff w:val="space"/>
      <w:lvlText w:val="第%1部分"/>
      <w:lvlJc w:val="left"/>
      <w:rPr>
        <w:rFonts w:hint="eastAsia"/>
      </w:rPr>
    </w:lvl>
  </w:abstractNum>
  <w:abstractNum w:abstractNumId="6">
    <w:nsid w:val="33F80200"/>
    <w:multiLevelType w:val="multilevel"/>
    <w:tmpl w:val="33F80200"/>
    <w:lvl w:ilvl="0" w:tentative="0">
      <w:start w:val="1"/>
      <w:numFmt w:val="chineseCountingThousand"/>
      <w:lvlText w:val="%1、"/>
      <w:lvlJc w:val="left"/>
      <w:pPr>
        <w:ind w:left="425" w:hanging="425"/>
      </w:pPr>
      <w:rPr>
        <w:rFonts w:hint="eastAsia"/>
      </w:rPr>
    </w:lvl>
    <w:lvl w:ilvl="1" w:tentative="0">
      <w:start w:val="1"/>
      <w:numFmt w:val="decimal"/>
      <w:pStyle w:val="77"/>
      <w:lvlText w:val="%2、"/>
      <w:lvlJc w:val="left"/>
      <w:pPr>
        <w:ind w:left="709" w:hanging="567"/>
      </w:pPr>
      <w:rPr>
        <w:rFonts w:hint="eastAsia"/>
      </w:rPr>
    </w:lvl>
    <w:lvl w:ilvl="2" w:tentative="0">
      <w:start w:val="1"/>
      <w:numFmt w:val="decimal"/>
      <w:lvlText w:val="3.%3"/>
      <w:lvlJc w:val="left"/>
      <w:pPr>
        <w:ind w:left="709" w:hanging="709"/>
      </w:pPr>
      <w:rPr>
        <w:rFonts w:hint="eastAsia"/>
      </w:rPr>
    </w:lvl>
    <w:lvl w:ilvl="3" w:tentative="0">
      <w:start w:val="1"/>
      <w:numFmt w:val="decimal"/>
      <w:lvlText w:val="%4、"/>
      <w:lvlJc w:val="left"/>
      <w:pPr>
        <w:ind w:left="851" w:hanging="851"/>
      </w:pPr>
      <w:rPr>
        <w:rFonts w:ascii="宋体" w:hAnsi="宋体" w:eastAsia="宋体" w:cs="新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420C153B"/>
    <w:multiLevelType w:val="multilevel"/>
    <w:tmpl w:val="420C153B"/>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1A0FFC3"/>
    <w:multiLevelType w:val="singleLevel"/>
    <w:tmpl w:val="51A0FFC3"/>
    <w:lvl w:ilvl="0" w:tentative="0">
      <w:start w:val="1"/>
      <w:numFmt w:val="decimal"/>
      <w:suff w:val="nothing"/>
      <w:lvlText w:val="%1、"/>
      <w:lvlJc w:val="left"/>
    </w:lvl>
  </w:abstractNum>
  <w:num w:numId="1">
    <w:abstractNumId w:val="3"/>
  </w:num>
  <w:num w:numId="2">
    <w:abstractNumId w:val="7"/>
  </w:num>
  <w:num w:numId="3">
    <w:abstractNumId w:val="4"/>
  </w:num>
  <w:num w:numId="4">
    <w:abstractNumId w:val="6"/>
  </w:num>
  <w:num w:numId="5">
    <w:abstractNumId w:val="0"/>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NDRiYzdhYmVkOGJhYmIzNzA3YmUzNTAxZWUyMDUifQ=="/>
  </w:docVars>
  <w:rsids>
    <w:rsidRoot w:val="00000000"/>
    <w:rsid w:val="01B14C06"/>
    <w:rsid w:val="01F23506"/>
    <w:rsid w:val="02987B74"/>
    <w:rsid w:val="03685798"/>
    <w:rsid w:val="03FE7EAB"/>
    <w:rsid w:val="04075394"/>
    <w:rsid w:val="048C3D16"/>
    <w:rsid w:val="056A57F8"/>
    <w:rsid w:val="05C84C14"/>
    <w:rsid w:val="06E93094"/>
    <w:rsid w:val="07041C7C"/>
    <w:rsid w:val="07623937"/>
    <w:rsid w:val="07F97307"/>
    <w:rsid w:val="0A657D5A"/>
    <w:rsid w:val="0B1A226D"/>
    <w:rsid w:val="0BA63302"/>
    <w:rsid w:val="0BD87233"/>
    <w:rsid w:val="0D6D62C2"/>
    <w:rsid w:val="0E511C4A"/>
    <w:rsid w:val="0EA855E3"/>
    <w:rsid w:val="0F0D4D4A"/>
    <w:rsid w:val="0FFF3916"/>
    <w:rsid w:val="10141182"/>
    <w:rsid w:val="10FD1C16"/>
    <w:rsid w:val="111D5E14"/>
    <w:rsid w:val="120F6395"/>
    <w:rsid w:val="13084385"/>
    <w:rsid w:val="13DC23CF"/>
    <w:rsid w:val="140E7208"/>
    <w:rsid w:val="146E6986"/>
    <w:rsid w:val="14B24AC5"/>
    <w:rsid w:val="15595889"/>
    <w:rsid w:val="15783F61"/>
    <w:rsid w:val="15EB1263"/>
    <w:rsid w:val="16257519"/>
    <w:rsid w:val="168B1A72"/>
    <w:rsid w:val="16F75359"/>
    <w:rsid w:val="17271AD2"/>
    <w:rsid w:val="18F7519C"/>
    <w:rsid w:val="19355CC5"/>
    <w:rsid w:val="195D5E32"/>
    <w:rsid w:val="196D36B1"/>
    <w:rsid w:val="19962C07"/>
    <w:rsid w:val="1AD03EF7"/>
    <w:rsid w:val="1C826B84"/>
    <w:rsid w:val="1D3C1D18"/>
    <w:rsid w:val="1D8965DF"/>
    <w:rsid w:val="1DFC5003"/>
    <w:rsid w:val="1E057FCD"/>
    <w:rsid w:val="1E2702D2"/>
    <w:rsid w:val="20880DD0"/>
    <w:rsid w:val="211441B8"/>
    <w:rsid w:val="213B5E42"/>
    <w:rsid w:val="22370D00"/>
    <w:rsid w:val="225D61BE"/>
    <w:rsid w:val="22A939AB"/>
    <w:rsid w:val="22FD5AA5"/>
    <w:rsid w:val="230628A0"/>
    <w:rsid w:val="238B1303"/>
    <w:rsid w:val="23BF0FAD"/>
    <w:rsid w:val="24212CFE"/>
    <w:rsid w:val="2558727E"/>
    <w:rsid w:val="25B34B41"/>
    <w:rsid w:val="25EB42DB"/>
    <w:rsid w:val="27082C6B"/>
    <w:rsid w:val="270F3FF9"/>
    <w:rsid w:val="28A6098D"/>
    <w:rsid w:val="2912392D"/>
    <w:rsid w:val="29193E66"/>
    <w:rsid w:val="2A181417"/>
    <w:rsid w:val="2A1E1278"/>
    <w:rsid w:val="2B6F5066"/>
    <w:rsid w:val="2BE9306B"/>
    <w:rsid w:val="2C02412C"/>
    <w:rsid w:val="2C4C35F9"/>
    <w:rsid w:val="2C866B0B"/>
    <w:rsid w:val="2C8E3C12"/>
    <w:rsid w:val="2CC94C4A"/>
    <w:rsid w:val="2D5F60B5"/>
    <w:rsid w:val="2DAA682A"/>
    <w:rsid w:val="2E627104"/>
    <w:rsid w:val="2E9D638E"/>
    <w:rsid w:val="2FBE3786"/>
    <w:rsid w:val="306C426A"/>
    <w:rsid w:val="30F54260"/>
    <w:rsid w:val="319E66A5"/>
    <w:rsid w:val="32075DCF"/>
    <w:rsid w:val="324A7953"/>
    <w:rsid w:val="32AC2C8C"/>
    <w:rsid w:val="32AE4E31"/>
    <w:rsid w:val="3305261B"/>
    <w:rsid w:val="33B57CD6"/>
    <w:rsid w:val="33E67E90"/>
    <w:rsid w:val="35B26460"/>
    <w:rsid w:val="364F4E10"/>
    <w:rsid w:val="36545584"/>
    <w:rsid w:val="36965B9D"/>
    <w:rsid w:val="37B7226F"/>
    <w:rsid w:val="39363667"/>
    <w:rsid w:val="39461AFC"/>
    <w:rsid w:val="39754190"/>
    <w:rsid w:val="3A345DF9"/>
    <w:rsid w:val="3B455DE4"/>
    <w:rsid w:val="3B893FFA"/>
    <w:rsid w:val="3D454CDA"/>
    <w:rsid w:val="3F010273"/>
    <w:rsid w:val="417B7AD0"/>
    <w:rsid w:val="41C9151C"/>
    <w:rsid w:val="41DB3089"/>
    <w:rsid w:val="427A6373"/>
    <w:rsid w:val="42983773"/>
    <w:rsid w:val="43955FE1"/>
    <w:rsid w:val="43CF0D85"/>
    <w:rsid w:val="448B0D0B"/>
    <w:rsid w:val="45682C06"/>
    <w:rsid w:val="45AD2F03"/>
    <w:rsid w:val="46794B93"/>
    <w:rsid w:val="46E71FA2"/>
    <w:rsid w:val="47264D1B"/>
    <w:rsid w:val="48D82045"/>
    <w:rsid w:val="48E21116"/>
    <w:rsid w:val="4A034823"/>
    <w:rsid w:val="4AA85A47"/>
    <w:rsid w:val="4C7D362F"/>
    <w:rsid w:val="4CCA7EF7"/>
    <w:rsid w:val="4DB34E2F"/>
    <w:rsid w:val="4DF3347D"/>
    <w:rsid w:val="4E092CA1"/>
    <w:rsid w:val="4F0A6CD0"/>
    <w:rsid w:val="4F974A08"/>
    <w:rsid w:val="4FDE3C45"/>
    <w:rsid w:val="50681F00"/>
    <w:rsid w:val="51390D18"/>
    <w:rsid w:val="526F57C8"/>
    <w:rsid w:val="53283BC9"/>
    <w:rsid w:val="54AB2D04"/>
    <w:rsid w:val="558C043F"/>
    <w:rsid w:val="55DE1E6B"/>
    <w:rsid w:val="572F707B"/>
    <w:rsid w:val="58507E4A"/>
    <w:rsid w:val="585D60C3"/>
    <w:rsid w:val="58D752B3"/>
    <w:rsid w:val="591F15CA"/>
    <w:rsid w:val="592B4413"/>
    <w:rsid w:val="5980650D"/>
    <w:rsid w:val="59A55F73"/>
    <w:rsid w:val="59BC506B"/>
    <w:rsid w:val="59C52172"/>
    <w:rsid w:val="5C25339C"/>
    <w:rsid w:val="5D601F43"/>
    <w:rsid w:val="5E2D777F"/>
    <w:rsid w:val="5E3D2C1E"/>
    <w:rsid w:val="5E457D25"/>
    <w:rsid w:val="5FDC1FC3"/>
    <w:rsid w:val="60B246BF"/>
    <w:rsid w:val="60C5514D"/>
    <w:rsid w:val="610C0686"/>
    <w:rsid w:val="61595F0E"/>
    <w:rsid w:val="618E5564"/>
    <w:rsid w:val="62573EE0"/>
    <w:rsid w:val="62984D49"/>
    <w:rsid w:val="631303F2"/>
    <w:rsid w:val="63FC0D1A"/>
    <w:rsid w:val="650D2C1F"/>
    <w:rsid w:val="65711400"/>
    <w:rsid w:val="664B511D"/>
    <w:rsid w:val="667F18FA"/>
    <w:rsid w:val="66AA4BC9"/>
    <w:rsid w:val="66E225B5"/>
    <w:rsid w:val="675B5EC3"/>
    <w:rsid w:val="678A0830"/>
    <w:rsid w:val="67FF090D"/>
    <w:rsid w:val="688558EE"/>
    <w:rsid w:val="68A35D74"/>
    <w:rsid w:val="68A84C16"/>
    <w:rsid w:val="68FC1326"/>
    <w:rsid w:val="69006504"/>
    <w:rsid w:val="69313380"/>
    <w:rsid w:val="69320656"/>
    <w:rsid w:val="69D0479B"/>
    <w:rsid w:val="69E71C90"/>
    <w:rsid w:val="6A2831FF"/>
    <w:rsid w:val="6AB86FD4"/>
    <w:rsid w:val="6B3E7FD6"/>
    <w:rsid w:val="6CEC61B9"/>
    <w:rsid w:val="6E2A65EF"/>
    <w:rsid w:val="6F0F5F11"/>
    <w:rsid w:val="6F125A01"/>
    <w:rsid w:val="6F28249F"/>
    <w:rsid w:val="6F5C6C7D"/>
    <w:rsid w:val="6F9644DE"/>
    <w:rsid w:val="6FCC3E02"/>
    <w:rsid w:val="734608FB"/>
    <w:rsid w:val="73974727"/>
    <w:rsid w:val="743C0E2B"/>
    <w:rsid w:val="74717464"/>
    <w:rsid w:val="74883E48"/>
    <w:rsid w:val="74EA0887"/>
    <w:rsid w:val="752B5127"/>
    <w:rsid w:val="75C335B1"/>
    <w:rsid w:val="75F61BD9"/>
    <w:rsid w:val="76697EA2"/>
    <w:rsid w:val="76C05D43"/>
    <w:rsid w:val="779F004E"/>
    <w:rsid w:val="77AD0463"/>
    <w:rsid w:val="78C7785D"/>
    <w:rsid w:val="795D1F6F"/>
    <w:rsid w:val="79C63670"/>
    <w:rsid w:val="7A146AD1"/>
    <w:rsid w:val="7AD04F03"/>
    <w:rsid w:val="7B914659"/>
    <w:rsid w:val="7BAE4705"/>
    <w:rsid w:val="7BFC781D"/>
    <w:rsid w:val="7D762483"/>
    <w:rsid w:val="7E092BA1"/>
    <w:rsid w:val="7E590F57"/>
    <w:rsid w:val="7FB42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outlineLvl w:val="0"/>
    </w:pPr>
    <w:rPr>
      <w:rFonts w:ascii="宋体" w:hAnsi="宋体" w:cs="宋体"/>
      <w:b/>
      <w:sz w:val="52"/>
      <w:szCs w:val="24"/>
    </w:rPr>
  </w:style>
  <w:style w:type="paragraph" w:styleId="3">
    <w:name w:val="heading 2"/>
    <w:basedOn w:val="1"/>
    <w:next w:val="1"/>
    <w:link w:val="4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7"/>
    <w:basedOn w:val="1"/>
    <w:next w:val="1"/>
    <w:link w:val="49"/>
    <w:qFormat/>
    <w:uiPriority w:val="0"/>
    <w:pPr>
      <w:keepNext/>
      <w:keepLines/>
      <w:spacing w:before="240" w:beforeLines="0" w:after="64" w:afterLines="0" w:line="320" w:lineRule="auto"/>
      <w:outlineLvl w:val="6"/>
    </w:pPr>
    <w:rPr>
      <w:b/>
      <w:bCs/>
      <w:sz w:val="24"/>
      <w:szCs w:val="24"/>
    </w:rPr>
  </w:style>
  <w:style w:type="character" w:default="1" w:styleId="37">
    <w:name w:val="Default Paragraph Font"/>
    <w:semiHidden/>
    <w:qFormat/>
    <w:uiPriority w:val="0"/>
  </w:style>
  <w:style w:type="table" w:default="1" w:styleId="35">
    <w:name w:val="Normal Table"/>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List Number"/>
    <w:basedOn w:val="1"/>
    <w:qFormat/>
    <w:uiPriority w:val="0"/>
    <w:pPr>
      <w:widowControl/>
      <w:numPr>
        <w:ilvl w:val="0"/>
        <w:numId w:val="1"/>
      </w:numPr>
      <w:tabs>
        <w:tab w:val="left" w:pos="454"/>
        <w:tab w:val="left" w:pos="720"/>
        <w:tab w:val="clear" w:pos="360"/>
      </w:tabs>
      <w:spacing w:after="156" w:afterLines="50"/>
      <w:ind w:left="454" w:hanging="284"/>
      <w:jc w:val="left"/>
    </w:pPr>
    <w:rPr>
      <w:kern w:val="0"/>
      <w:sz w:val="24"/>
    </w:rPr>
  </w:style>
  <w:style w:type="paragraph" w:styleId="9">
    <w:name w:val="Normal Indent"/>
    <w:basedOn w:val="1"/>
    <w:link w:val="46"/>
    <w:qFormat/>
    <w:uiPriority w:val="0"/>
    <w:pPr>
      <w:ind w:firstLine="420" w:firstLineChars="200"/>
    </w:pPr>
  </w:style>
  <w:style w:type="paragraph" w:styleId="10">
    <w:name w:val="caption"/>
    <w:basedOn w:val="1"/>
    <w:next w:val="1"/>
    <w:qFormat/>
    <w:uiPriority w:val="0"/>
    <w:rPr>
      <w:rFonts w:ascii="Arial" w:hAnsi="Arial" w:eastAsia="黑体" w:cs="Arial"/>
      <w:sz w:val="20"/>
    </w:rPr>
  </w:style>
  <w:style w:type="paragraph" w:styleId="11">
    <w:name w:val="index 5"/>
    <w:basedOn w:val="1"/>
    <w:next w:val="1"/>
    <w:qFormat/>
    <w:uiPriority w:val="0"/>
    <w:pPr>
      <w:ind w:left="1680"/>
    </w:pPr>
  </w:style>
  <w:style w:type="paragraph" w:styleId="12">
    <w:name w:val="toa heading"/>
    <w:basedOn w:val="1"/>
    <w:next w:val="1"/>
    <w:qFormat/>
    <w:uiPriority w:val="0"/>
    <w:pPr>
      <w:widowControl/>
      <w:spacing w:before="120" w:after="0" w:line="240" w:lineRule="auto"/>
      <w:ind w:left="0" w:firstLine="3584"/>
    </w:pPr>
  </w:style>
  <w:style w:type="paragraph" w:styleId="13">
    <w:name w:val="annotation text"/>
    <w:basedOn w:val="1"/>
    <w:semiHidden/>
    <w:qFormat/>
    <w:uiPriority w:val="0"/>
    <w:pPr>
      <w:jc w:val="left"/>
    </w:pPr>
  </w:style>
  <w:style w:type="paragraph" w:styleId="14">
    <w:name w:val="Body Text"/>
    <w:basedOn w:val="1"/>
    <w:next w:val="15"/>
    <w:link w:val="50"/>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5">
    <w:name w:val="toc 8"/>
    <w:basedOn w:val="1"/>
    <w:next w:val="1"/>
    <w:qFormat/>
    <w:uiPriority w:val="0"/>
    <w:pPr>
      <w:ind w:left="1470"/>
      <w:jc w:val="left"/>
    </w:pPr>
    <w:rPr>
      <w:rFonts w:ascii="Times New Roman" w:hAnsi="Times New Roman" w:eastAsia="宋体" w:cs="Times New Roman"/>
      <w:sz w:val="18"/>
    </w:rPr>
  </w:style>
  <w:style w:type="paragraph" w:styleId="16">
    <w:name w:val="Body Text Indent"/>
    <w:basedOn w:val="1"/>
    <w:next w:val="17"/>
    <w:qFormat/>
    <w:uiPriority w:val="0"/>
    <w:pPr>
      <w:spacing w:after="120" w:afterLines="0"/>
      <w:ind w:left="420" w:leftChars="200"/>
    </w:pPr>
  </w:style>
  <w:style w:type="paragraph" w:styleId="17">
    <w:name w:val="Body Text First Indent 2"/>
    <w:basedOn w:val="16"/>
    <w:next w:val="18"/>
    <w:qFormat/>
    <w:uiPriority w:val="0"/>
    <w:pPr>
      <w:ind w:firstLine="420" w:firstLineChars="200"/>
    </w:pPr>
    <w:rPr>
      <w:rFonts w:ascii="Times New Roman" w:eastAsia="宋?"/>
      <w:sz w:val="32"/>
      <w:szCs w:val="32"/>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9">
    <w:name w:val="Block Text"/>
    <w:basedOn w:val="1"/>
    <w:qFormat/>
    <w:uiPriority w:val="0"/>
    <w:pPr>
      <w:ind w:left="2" w:right="25" w:rightChars="12" w:hanging="2"/>
    </w:pPr>
    <w:rPr>
      <w:rFonts w:ascii="楷体_GB2312" w:hAnsi="宋体" w:eastAsia="楷体_GB2312"/>
      <w:szCs w:val="24"/>
    </w:rPr>
  </w:style>
  <w:style w:type="paragraph" w:styleId="20">
    <w:name w:val="toc 3"/>
    <w:basedOn w:val="1"/>
    <w:next w:val="1"/>
    <w:unhideWhenUsed/>
    <w:qFormat/>
    <w:uiPriority w:val="0"/>
    <w:pPr>
      <w:autoSpaceDE w:val="0"/>
      <w:autoSpaceDN w:val="0"/>
      <w:adjustRightInd w:val="0"/>
      <w:spacing w:line="312" w:lineRule="atLeast"/>
      <w:ind w:left="840" w:leftChars="400"/>
      <w:textAlignment w:val="baseline"/>
    </w:pPr>
    <w:rPr>
      <w:kern w:val="0"/>
    </w:rPr>
  </w:style>
  <w:style w:type="paragraph" w:styleId="21">
    <w:name w:val="Plain Text"/>
    <w:basedOn w:val="1"/>
    <w:link w:val="51"/>
    <w:qFormat/>
    <w:uiPriority w:val="0"/>
    <w:rPr>
      <w:rFonts w:ascii="宋体" w:hAnsi="Courier New"/>
    </w:rPr>
  </w:style>
  <w:style w:type="paragraph" w:styleId="22">
    <w:name w:val="Date"/>
    <w:basedOn w:val="1"/>
    <w:next w:val="1"/>
    <w:qFormat/>
    <w:uiPriority w:val="0"/>
    <w:pPr>
      <w:ind w:left="100"/>
    </w:pPr>
    <w:rPr>
      <w:sz w:val="28"/>
    </w:rPr>
  </w:style>
  <w:style w:type="paragraph" w:styleId="23">
    <w:name w:val="Body Text Indent 2"/>
    <w:basedOn w:val="1"/>
    <w:qFormat/>
    <w:uiPriority w:val="0"/>
    <w:pPr>
      <w:ind w:firstLine="480"/>
    </w:pPr>
    <w:rPr>
      <w:rFonts w:ascii="宋体" w:hAnsi="宋体" w:eastAsia="宋体" w:cs="Times New Roman"/>
      <w:sz w:val="30"/>
      <w:szCs w:val="24"/>
    </w:rPr>
  </w:style>
  <w:style w:type="paragraph" w:styleId="24">
    <w:name w:val="Balloon Text"/>
    <w:basedOn w:val="1"/>
    <w:semiHidden/>
    <w:qFormat/>
    <w:uiPriority w:val="0"/>
    <w:rPr>
      <w:sz w:val="18"/>
      <w:szCs w:val="18"/>
    </w:rPr>
  </w:style>
  <w:style w:type="paragraph" w:styleId="25">
    <w:name w:val="footer"/>
    <w:basedOn w:val="1"/>
    <w:link w:val="52"/>
    <w:qFormat/>
    <w:uiPriority w:val="0"/>
    <w:pPr>
      <w:tabs>
        <w:tab w:val="center" w:pos="4153"/>
        <w:tab w:val="right" w:pos="8306"/>
      </w:tabs>
      <w:snapToGrid w:val="0"/>
      <w:jc w:val="left"/>
    </w:pPr>
    <w:rPr>
      <w:sz w:val="18"/>
    </w:rPr>
  </w:style>
  <w:style w:type="paragraph" w:styleId="26">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0"/>
    <w:pPr>
      <w:autoSpaceDE w:val="0"/>
      <w:autoSpaceDN w:val="0"/>
      <w:adjustRightInd w:val="0"/>
      <w:spacing w:line="312" w:lineRule="atLeast"/>
      <w:textAlignment w:val="baseline"/>
    </w:pPr>
    <w:rPr>
      <w:kern w:val="0"/>
    </w:rPr>
  </w:style>
  <w:style w:type="paragraph" w:styleId="28">
    <w:name w:val="List"/>
    <w:basedOn w:val="1"/>
    <w:semiHidden/>
    <w:qFormat/>
    <w:uiPriority w:val="0"/>
    <w:pPr>
      <w:autoSpaceDE w:val="0"/>
      <w:autoSpaceDN w:val="0"/>
      <w:adjustRightInd w:val="0"/>
      <w:ind w:left="420" w:hanging="420"/>
      <w:textAlignment w:val="baseline"/>
    </w:pPr>
  </w:style>
  <w:style w:type="paragraph" w:styleId="29">
    <w:name w:val="footnote text"/>
    <w:basedOn w:val="1"/>
    <w:unhideWhenUsed/>
    <w:qFormat/>
    <w:uiPriority w:val="99"/>
    <w:pPr>
      <w:snapToGrid w:val="0"/>
      <w:jc w:val="left"/>
    </w:pPr>
    <w:rPr>
      <w:sz w:val="18"/>
    </w:rPr>
  </w:style>
  <w:style w:type="paragraph" w:styleId="30">
    <w:name w:val="index 7"/>
    <w:basedOn w:val="1"/>
    <w:next w:val="1"/>
    <w:qFormat/>
    <w:uiPriority w:val="0"/>
    <w:pPr>
      <w:autoSpaceDE/>
      <w:autoSpaceDN/>
      <w:adjustRightInd/>
      <w:ind w:left="1200" w:leftChars="1200"/>
    </w:pPr>
    <w:rPr>
      <w:color w:val="auto"/>
      <w:kern w:val="2"/>
      <w:szCs w:val="24"/>
    </w:rPr>
  </w:style>
  <w:style w:type="paragraph" w:styleId="31">
    <w:name w:val="toc 2"/>
    <w:basedOn w:val="1"/>
    <w:next w:val="1"/>
    <w:unhideWhenUsed/>
    <w:qFormat/>
    <w:uiPriority w:val="0"/>
    <w:pPr>
      <w:autoSpaceDE w:val="0"/>
      <w:autoSpaceDN w:val="0"/>
      <w:adjustRightInd w:val="0"/>
      <w:spacing w:line="312" w:lineRule="atLeast"/>
      <w:ind w:left="420" w:leftChars="200"/>
      <w:textAlignment w:val="baseline"/>
    </w:pPr>
    <w:rPr>
      <w:kern w:val="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3">
    <w:name w:val="annotation subject"/>
    <w:basedOn w:val="13"/>
    <w:next w:val="13"/>
    <w:semiHidden/>
    <w:qFormat/>
    <w:uiPriority w:val="0"/>
    <w:rPr>
      <w:b/>
      <w:bCs/>
    </w:rPr>
  </w:style>
  <w:style w:type="paragraph" w:styleId="34">
    <w:name w:val="Body Text First Indent"/>
    <w:basedOn w:val="14"/>
    <w:next w:val="1"/>
    <w:link w:val="54"/>
    <w:unhideWhenUsed/>
    <w:qFormat/>
    <w:uiPriority w:val="0"/>
    <w:pPr>
      <w:spacing w:before="0" w:beforeLines="0" w:after="120" w:afterLines="0" w:line="312" w:lineRule="atLeast"/>
      <w:ind w:firstLine="420" w:firstLineChars="100"/>
    </w:pPr>
    <w:rPr>
      <w:sz w:val="21"/>
    </w:rPr>
  </w:style>
  <w:style w:type="table" w:styleId="36">
    <w:name w:val="Table Grid"/>
    <w:basedOn w:val="3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basedOn w:val="37"/>
    <w:qFormat/>
    <w:uiPriority w:val="0"/>
  </w:style>
  <w:style w:type="character" w:styleId="40">
    <w:name w:val="Emphasis"/>
    <w:basedOn w:val="37"/>
    <w:qFormat/>
    <w:uiPriority w:val="20"/>
    <w:rPr>
      <w:i/>
      <w:iCs/>
    </w:rPr>
  </w:style>
  <w:style w:type="character" w:styleId="41">
    <w:name w:val="Hyperlink"/>
    <w:basedOn w:val="37"/>
    <w:qFormat/>
    <w:uiPriority w:val="0"/>
    <w:rPr>
      <w:color w:val="0000FF"/>
      <w:u w:val="single"/>
    </w:rPr>
  </w:style>
  <w:style w:type="character" w:styleId="42">
    <w:name w:val="annotation reference"/>
    <w:basedOn w:val="37"/>
    <w:semiHidden/>
    <w:qFormat/>
    <w:uiPriority w:val="0"/>
    <w:rPr>
      <w:sz w:val="21"/>
      <w:szCs w:val="21"/>
    </w:rPr>
  </w:style>
  <w:style w:type="character" w:styleId="43">
    <w:name w:val="HTML Sample"/>
    <w:basedOn w:val="37"/>
    <w:qFormat/>
    <w:uiPriority w:val="0"/>
    <w:rPr>
      <w:rFonts w:ascii="Courier New" w:hAnsi="Courier New"/>
    </w:rPr>
  </w:style>
  <w:style w:type="paragraph" w:customStyle="1" w:styleId="44">
    <w:name w:val="Default"/>
    <w:next w:val="1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5">
    <w:name w:val="样式 正文缩进 + 首行缩进:  2 字符"/>
    <w:basedOn w:val="9"/>
    <w:qFormat/>
    <w:uiPriority w:val="0"/>
    <w:pPr>
      <w:spacing w:line="360" w:lineRule="auto"/>
      <w:ind w:firstLine="200"/>
    </w:pPr>
    <w:rPr>
      <w:rFonts w:cs="宋体"/>
      <w:sz w:val="24"/>
      <w:szCs w:val="20"/>
    </w:rPr>
  </w:style>
  <w:style w:type="character" w:customStyle="1" w:styleId="46">
    <w:name w:val="表正文 Char"/>
    <w:link w:val="9"/>
    <w:qFormat/>
    <w:uiPriority w:val="0"/>
    <w:rPr>
      <w:rFonts w:eastAsia="宋体"/>
      <w:kern w:val="2"/>
      <w:sz w:val="21"/>
      <w:lang w:val="en-US" w:eastAsia="zh-CN" w:bidi="ar-SA"/>
    </w:rPr>
  </w:style>
  <w:style w:type="character" w:customStyle="1" w:styleId="47">
    <w:name w:val="Heading 1 Char"/>
    <w:basedOn w:val="37"/>
    <w:link w:val="2"/>
    <w:qFormat/>
    <w:locked/>
    <w:uiPriority w:val="0"/>
    <w:rPr>
      <w:rFonts w:ascii="宋体" w:hAnsi="宋体" w:eastAsia="宋体" w:cs="宋体"/>
      <w:b/>
      <w:kern w:val="2"/>
      <w:sz w:val="52"/>
      <w:szCs w:val="24"/>
      <w:lang w:val="en-US" w:eastAsia="zh-CN" w:bidi="ar-SA"/>
    </w:rPr>
  </w:style>
  <w:style w:type="character" w:customStyle="1" w:styleId="48">
    <w:name w:val="Heading 2 Hidden Char"/>
    <w:link w:val="3"/>
    <w:semiHidden/>
    <w:qFormat/>
    <w:uiPriority w:val="0"/>
    <w:rPr>
      <w:rFonts w:ascii="Arial" w:hAnsi="Arial" w:eastAsia="黑体"/>
      <w:b/>
      <w:bCs/>
      <w:kern w:val="2"/>
      <w:sz w:val="32"/>
      <w:szCs w:val="32"/>
      <w:lang w:val="en-US" w:eastAsia="zh-CN" w:bidi="ar-SA"/>
    </w:rPr>
  </w:style>
  <w:style w:type="character" w:customStyle="1" w:styleId="49">
    <w:name w:val="h7 Char"/>
    <w:link w:val="6"/>
    <w:qFormat/>
    <w:uiPriority w:val="0"/>
    <w:rPr>
      <w:rFonts w:eastAsia="宋体"/>
      <w:b/>
      <w:bCs/>
      <w:kern w:val="2"/>
      <w:sz w:val="24"/>
      <w:szCs w:val="24"/>
      <w:lang w:val="en-US" w:eastAsia="zh-CN" w:bidi="ar-SA"/>
    </w:rPr>
  </w:style>
  <w:style w:type="character" w:customStyle="1" w:styleId="50">
    <w:name w:val=" Char Char1"/>
    <w:basedOn w:val="37"/>
    <w:link w:val="14"/>
    <w:qFormat/>
    <w:uiPriority w:val="0"/>
    <w:rPr>
      <w:rFonts w:eastAsia="宋体"/>
      <w:kern w:val="2"/>
      <w:sz w:val="18"/>
      <w:lang w:val="en-US" w:eastAsia="zh-CN" w:bidi="ar-SA"/>
    </w:rPr>
  </w:style>
  <w:style w:type="character" w:customStyle="1" w:styleId="51">
    <w:name w:val="普通文字 Char1"/>
    <w:basedOn w:val="37"/>
    <w:link w:val="21"/>
    <w:qFormat/>
    <w:uiPriority w:val="0"/>
    <w:rPr>
      <w:rFonts w:ascii="宋体" w:hAnsi="Courier New" w:eastAsia="宋体"/>
      <w:kern w:val="2"/>
      <w:sz w:val="21"/>
      <w:lang w:val="en-US" w:eastAsia="zh-CN" w:bidi="ar-SA"/>
    </w:rPr>
  </w:style>
  <w:style w:type="character" w:customStyle="1" w:styleId="52">
    <w:name w:val="Footer Char"/>
    <w:link w:val="25"/>
    <w:qFormat/>
    <w:locked/>
    <w:uiPriority w:val="0"/>
    <w:rPr>
      <w:rFonts w:eastAsia="宋体"/>
      <w:kern w:val="2"/>
      <w:sz w:val="18"/>
      <w:lang w:val="en-US" w:eastAsia="zh-CN" w:bidi="ar-SA"/>
    </w:rPr>
  </w:style>
  <w:style w:type="character" w:customStyle="1" w:styleId="53">
    <w:name w:val=" Char Char5"/>
    <w:link w:val="26"/>
    <w:qFormat/>
    <w:uiPriority w:val="0"/>
    <w:rPr>
      <w:rFonts w:eastAsia="宋体"/>
      <w:kern w:val="2"/>
      <w:sz w:val="18"/>
      <w:szCs w:val="18"/>
      <w:lang w:val="en-US" w:eastAsia="zh-CN" w:bidi="ar-SA"/>
    </w:rPr>
  </w:style>
  <w:style w:type="character" w:customStyle="1" w:styleId="54">
    <w:name w:val=" Char Char"/>
    <w:link w:val="34"/>
    <w:semiHidden/>
    <w:qFormat/>
    <w:uiPriority w:val="0"/>
    <w:rPr>
      <w:rFonts w:eastAsia="宋体"/>
      <w:kern w:val="2"/>
      <w:sz w:val="21"/>
      <w:lang w:val="en-US" w:eastAsia="zh-CN" w:bidi="ar-SA"/>
    </w:rPr>
  </w:style>
  <w:style w:type="paragraph" w:customStyle="1" w:styleId="5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56">
    <w:name w:val="1page sec3 Char"/>
    <w:basedOn w:val="37"/>
    <w:semiHidden/>
    <w:qFormat/>
    <w:uiPriority w:val="0"/>
    <w:rPr>
      <w:rFonts w:eastAsia="宋体"/>
      <w:kern w:val="2"/>
      <w:sz w:val="18"/>
      <w:szCs w:val="18"/>
      <w:lang w:val="en-US" w:eastAsia="zh-CN" w:bidi="ar-SA"/>
    </w:rPr>
  </w:style>
  <w:style w:type="character" w:customStyle="1" w:styleId="57">
    <w:name w:val="正文（首行缩进2字符） Char"/>
    <w:link w:val="58"/>
    <w:qFormat/>
    <w:uiPriority w:val="0"/>
    <w:rPr>
      <w:rFonts w:eastAsia="宋体"/>
      <w:kern w:val="2"/>
      <w:sz w:val="24"/>
      <w:lang w:bidi="ar-SA"/>
    </w:rPr>
  </w:style>
  <w:style w:type="paragraph" w:customStyle="1" w:styleId="58">
    <w:name w:val="正文（首行缩进2字符）"/>
    <w:basedOn w:val="1"/>
    <w:link w:val="57"/>
    <w:qFormat/>
    <w:uiPriority w:val="0"/>
    <w:pPr>
      <w:spacing w:line="360" w:lineRule="auto"/>
      <w:ind w:firstLine="480" w:firstLineChars="200"/>
    </w:pPr>
    <w:rPr>
      <w:sz w:val="24"/>
    </w:rPr>
  </w:style>
  <w:style w:type="character" w:customStyle="1" w:styleId="59">
    <w:name w:val="Hyperlink"/>
    <w:qFormat/>
    <w:uiPriority w:val="0"/>
    <w:rPr>
      <w:color w:val="0000FF"/>
      <w:sz w:val="20"/>
      <w:u w:val="single"/>
    </w:rPr>
  </w:style>
  <w:style w:type="character" w:customStyle="1" w:styleId="60">
    <w:name w:val=" Char Char4"/>
    <w:basedOn w:val="37"/>
    <w:qFormat/>
    <w:uiPriority w:val="0"/>
    <w:rPr>
      <w:rFonts w:eastAsia="宋体"/>
      <w:kern w:val="2"/>
      <w:sz w:val="18"/>
      <w:lang w:val="en-US" w:eastAsia="zh-CN" w:bidi="ar-SA"/>
    </w:rPr>
  </w:style>
  <w:style w:type="character" w:customStyle="1" w:styleId="61">
    <w:name w:val="NormalCharacter"/>
    <w:link w:val="62"/>
    <w:semiHidden/>
    <w:qFormat/>
    <w:uiPriority w:val="0"/>
  </w:style>
  <w:style w:type="paragraph" w:customStyle="1" w:styleId="62">
    <w:name w:val="UserStyle_5"/>
    <w:basedOn w:val="1"/>
    <w:link w:val="61"/>
    <w:qFormat/>
    <w:uiPriority w:val="0"/>
    <w:pPr>
      <w:widowControl/>
      <w:spacing w:after="160" w:line="240" w:lineRule="exact"/>
      <w:jc w:val="left"/>
      <w:textAlignment w:val="baseline"/>
    </w:pPr>
  </w:style>
  <w:style w:type="paragraph" w:customStyle="1" w:styleId="63">
    <w:name w:val="样式 样式 样式 首行缩进 + 首行缩进:  2 字符 + 首行缩进:  2 字符 + 首行缩进:  2 字符"/>
    <w:basedOn w:val="1"/>
    <w:qFormat/>
    <w:uiPriority w:val="0"/>
    <w:pPr>
      <w:snapToGrid w:val="0"/>
      <w:spacing w:line="360" w:lineRule="auto"/>
      <w:ind w:left="-180" w:leftChars="-75" w:firstLine="536" w:firstLineChars="182"/>
    </w:pPr>
    <w:rPr>
      <w:rFonts w:ascii="宋体" w:hAnsi="宋体" w:cs="宋体"/>
      <w:spacing w:val="-6"/>
      <w:sz w:val="24"/>
      <w:szCs w:val="24"/>
    </w:rPr>
  </w:style>
  <w:style w:type="paragraph" w:customStyle="1" w:styleId="6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Table Paragraph"/>
    <w:basedOn w:val="1"/>
    <w:unhideWhenUsed/>
    <w:qFormat/>
    <w:uiPriority w:val="0"/>
    <w:pPr>
      <w:spacing w:line="360" w:lineRule="auto"/>
    </w:pPr>
    <w:rPr>
      <w:rFonts w:ascii="Calibri" w:hAnsi="Calibri"/>
      <w:sz w:val="24"/>
    </w:rPr>
  </w:style>
  <w:style w:type="paragraph" w:customStyle="1" w:styleId="66">
    <w:name w:val="图1"/>
    <w:basedOn w:val="1"/>
    <w:next w:val="1"/>
    <w:qFormat/>
    <w:uiPriority w:val="0"/>
    <w:pPr>
      <w:numPr>
        <w:ilvl w:val="0"/>
        <w:numId w:val="2"/>
      </w:numPr>
      <w:tabs>
        <w:tab w:val="left" w:pos="777"/>
        <w:tab w:val="clear" w:pos="709"/>
      </w:tabs>
      <w:spacing w:before="156" w:beforeLines="50" w:after="312" w:afterLines="100" w:line="360" w:lineRule="auto"/>
      <w:ind w:left="2210" w:hanging="748"/>
      <w:jc w:val="center"/>
    </w:pPr>
    <w:rPr>
      <w:kern w:val="0"/>
      <w:sz w:val="24"/>
      <w:szCs w:val="24"/>
    </w:rPr>
  </w:style>
  <w:style w:type="paragraph" w:customStyle="1" w:styleId="67">
    <w:name w:val="List Paragraph"/>
    <w:basedOn w:val="1"/>
    <w:qFormat/>
    <w:uiPriority w:val="34"/>
    <w:pPr>
      <w:ind w:firstLine="420" w:firstLineChars="200"/>
    </w:pPr>
  </w:style>
  <w:style w:type="paragraph" w:customStyle="1" w:styleId="68">
    <w:name w:val="TOC 标题"/>
    <w:basedOn w:val="2"/>
    <w:next w:val="1"/>
    <w:qFormat/>
    <w:uiPriority w:val="0"/>
    <w:pPr>
      <w:keepLines/>
      <w:widowControl/>
      <w:spacing w:before="480" w:beforeLines="0" w:line="276" w:lineRule="auto"/>
      <w:jc w:val="left"/>
      <w:outlineLvl w:val="9"/>
    </w:pPr>
    <w:rPr>
      <w:rFonts w:ascii="Cambria" w:hAnsi="Cambria" w:cs="Times New Roman"/>
      <w:bCs/>
      <w:color w:val="365F91"/>
      <w:kern w:val="0"/>
      <w:sz w:val="28"/>
      <w:szCs w:val="28"/>
    </w:rPr>
  </w:style>
  <w:style w:type="paragraph" w:customStyle="1" w:styleId="6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
    <w:name w:val="UserStyle_146"/>
    <w:basedOn w:val="1"/>
    <w:qFormat/>
    <w:uiPriority w:val="0"/>
    <w:pPr>
      <w:ind w:right="0" w:rightChars="0"/>
      <w:jc w:val="left"/>
    </w:pPr>
    <w:rPr>
      <w:rFonts w:ascii="宋体" w:hAnsi="宋体"/>
      <w:kern w:val="0"/>
      <w:sz w:val="22"/>
      <w:lang w:eastAsia="en-US"/>
    </w:rPr>
  </w:style>
  <w:style w:type="paragraph" w:customStyle="1" w:styleId="72">
    <w:name w:val="标准中文版式_正文"/>
    <w:basedOn w:val="1"/>
    <w:qFormat/>
    <w:uiPriority w:val="0"/>
    <w:pPr>
      <w:spacing w:before="30" w:beforeLines="0" w:line="360" w:lineRule="auto"/>
      <w:ind w:firstLineChars="200"/>
    </w:pPr>
    <w:rPr>
      <w:rFonts w:ascii="Arial" w:hAnsi="Arial"/>
      <w:sz w:val="24"/>
    </w:rPr>
  </w:style>
  <w:style w:type="paragraph" w:customStyle="1" w:styleId="73">
    <w:name w:val="样式 样式 样式 左侧:  2 字符1 + 首行缩进:  2 字符1 + 首行缩进:  2 字符"/>
    <w:basedOn w:val="1"/>
    <w:qFormat/>
    <w:uiPriority w:val="0"/>
    <w:pPr>
      <w:widowControl/>
      <w:spacing w:before="60" w:beforeLines="0" w:after="120" w:afterLines="0" w:line="440" w:lineRule="atLeast"/>
      <w:ind w:firstLine="480"/>
    </w:pPr>
    <w:rPr>
      <w:rFonts w:hint="eastAsia"/>
      <w:sz w:val="24"/>
    </w:rPr>
  </w:style>
  <w:style w:type="paragraph" w:customStyle="1" w:styleId="74">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
    <w:name w:val="H02"/>
    <w:basedOn w:val="67"/>
    <w:qFormat/>
    <w:uiPriority w:val="0"/>
    <w:pPr>
      <w:widowControl/>
      <w:numPr>
        <w:ilvl w:val="1"/>
        <w:numId w:val="4"/>
      </w:numPr>
      <w:ind w:firstLine="0" w:firstLineChars="0"/>
      <w:jc w:val="left"/>
    </w:pPr>
    <w:rPr>
      <w:rFonts w:ascii="宋体" w:hAnsi="宋体"/>
      <w:b/>
      <w:kern w:val="0"/>
      <w:sz w:val="24"/>
    </w:rPr>
  </w:style>
  <w:style w:type="paragraph" w:customStyle="1" w:styleId="78">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Unicode MS" w:hAnsi="Arial Unicode MS"/>
      <w:kern w:val="0"/>
      <w:sz w:val="20"/>
    </w:rPr>
  </w:style>
  <w:style w:type="paragraph" w:customStyle="1" w:styleId="79">
    <w:name w:val="列出段落"/>
    <w:basedOn w:val="1"/>
    <w:qFormat/>
    <w:uiPriority w:val="0"/>
    <w:pPr>
      <w:ind w:firstLine="420" w:firstLineChars="200"/>
    </w:pPr>
    <w:rPr>
      <w:rFonts w:ascii="Calibri" w:hAnsi="Calibri"/>
      <w:szCs w:val="22"/>
    </w:rPr>
  </w:style>
  <w:style w:type="paragraph" w:customStyle="1" w:styleId="8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1">
    <w:name w:val="样式 样式 左侧:  2 字符 + 左侧:  0.85 厘米 首行缩进:  2 字符1"/>
    <w:basedOn w:val="1"/>
    <w:qFormat/>
    <w:uiPriority w:val="0"/>
    <w:pPr>
      <w:ind w:left="482" w:firstLine="200" w:firstLineChars="200"/>
    </w:pPr>
    <w:rPr>
      <w:rFonts w:cs="宋体"/>
      <w:szCs w:val="20"/>
    </w:rPr>
  </w:style>
  <w:style w:type="table" w:customStyle="1" w:styleId="82">
    <w:name w:val="Table Normal"/>
    <w:unhideWhenUsed/>
    <w:qFormat/>
    <w:uiPriority w:val="0"/>
    <w:tblPr>
      <w:tblCellMar>
        <w:top w:w="0" w:type="dxa"/>
        <w:left w:w="0" w:type="dxa"/>
        <w:bottom w:w="0" w:type="dxa"/>
        <w:right w:w="0" w:type="dxa"/>
      </w:tblCellMar>
    </w:tblPr>
  </w:style>
  <w:style w:type="paragraph" w:customStyle="1" w:styleId="83">
    <w:name w:val="列出段落1"/>
    <w:basedOn w:val="1"/>
    <w:qFormat/>
    <w:uiPriority w:val="34"/>
    <w:pPr>
      <w:widowControl/>
      <w:ind w:left="720"/>
      <w:contextualSpacing/>
      <w:jc w:val="left"/>
    </w:pPr>
    <w:rPr>
      <w:rFonts w:ascii="Calibri" w:hAnsi="Calibri" w:eastAsia="宋体" w:cs="Times New Roman"/>
      <w:kern w:val="0"/>
      <w:sz w:val="22"/>
    </w:rPr>
  </w:style>
  <w:style w:type="paragraph" w:customStyle="1" w:styleId="84">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22747</Words>
  <Characters>23983</Characters>
  <Lines>139</Lines>
  <Paragraphs>39</Paragraphs>
  <TotalTime>43</TotalTime>
  <ScaleCrop>false</ScaleCrop>
  <LinksUpToDate>false</LinksUpToDate>
  <CharactersWithSpaces>24210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2016-12-23T01:46:00Z</dcterms:created>
  <dc:creator>User</dc:creator>
  <cp:lastModifiedBy>蓝色泡沫</cp:lastModifiedBy>
  <cp:lastPrinted>2023-07-27T08:14:00Z</cp:lastPrinted>
  <dcterms:modified xsi:type="dcterms:W3CDTF">2025-07-10T01:51:49Z</dcterms:modified>
  <dc:title>阿克苏市某单位平安城市附属技防设施项目(竞争性谈判)</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BF849369A6B14F4093A09606610E78FC_13</vt:lpwstr>
  </property>
  <property fmtid="{D5CDD505-2E9C-101B-9397-08002B2CF9AE}" pid="4" name="KSOTemplateDocerSaveRecord">
    <vt:lpwstr>eyJoZGlkIjoiMDc4NDRiYzdhYmVkOGJhYmIzNzA3YmUzNTAxZWUyMDUiLCJ1c2VySWQiOiIzNzQyOTExODcifQ==</vt:lpwstr>
  </property>
</Properties>
</file>