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8AC686">
      <w:pPr>
        <w:jc w:val="center"/>
        <w:rPr>
          <w:rFonts w:hint="eastAsia" w:asciiTheme="minorEastAsia" w:hAnsiTheme="minorEastAsia" w:eastAsiaTheme="minorEastAsia" w:cstheme="minorEastAsia"/>
          <w:b/>
          <w:bCs/>
          <w:color w:val="auto"/>
          <w:sz w:val="52"/>
          <w:szCs w:val="52"/>
          <w:highlight w:val="none"/>
          <w:lang w:val="zh-CN"/>
        </w:rPr>
      </w:pPr>
      <w:r>
        <w:rPr>
          <w:rFonts w:hint="eastAsia" w:asciiTheme="minorEastAsia" w:hAnsiTheme="minorEastAsia" w:eastAsiaTheme="minorEastAsia" w:cstheme="minorEastAsia"/>
          <w:b/>
          <w:bCs/>
          <w:color w:val="auto"/>
          <w:sz w:val="52"/>
          <w:szCs w:val="52"/>
          <w:highlight w:val="none"/>
          <w:lang w:val="zh-CN"/>
        </w:rPr>
        <w:t>乃仁克尔乡艾勒斯特村农田机耕道建设项目</w:t>
      </w:r>
    </w:p>
    <w:p w14:paraId="416710DC">
      <w:pPr>
        <w:jc w:val="center"/>
        <w:rPr>
          <w:rFonts w:hint="eastAsia" w:asciiTheme="minorEastAsia" w:hAnsiTheme="minorEastAsia" w:eastAsiaTheme="minorEastAsia" w:cstheme="minorEastAsia"/>
          <w:b/>
          <w:bCs/>
          <w:color w:val="auto"/>
          <w:sz w:val="52"/>
          <w:szCs w:val="52"/>
          <w:highlight w:val="none"/>
          <w:lang w:val="zh-CN"/>
        </w:rPr>
      </w:pPr>
    </w:p>
    <w:p w14:paraId="59AD16A1">
      <w:pPr>
        <w:jc w:val="center"/>
        <w:rPr>
          <w:rFonts w:hint="eastAsia" w:asciiTheme="minorEastAsia" w:hAnsiTheme="minorEastAsia" w:eastAsiaTheme="minorEastAsia" w:cstheme="minorEastAsia"/>
          <w:b/>
          <w:color w:val="auto"/>
          <w:sz w:val="36"/>
          <w:highlight w:val="none"/>
        </w:rPr>
      </w:pPr>
    </w:p>
    <w:p w14:paraId="474A18B3">
      <w:pPr>
        <w:rPr>
          <w:rFonts w:hint="eastAsia" w:asciiTheme="minorEastAsia" w:hAnsiTheme="minorEastAsia" w:eastAsiaTheme="minorEastAsia" w:cstheme="minorEastAsia"/>
          <w:b/>
          <w:color w:val="auto"/>
          <w:sz w:val="28"/>
          <w:szCs w:val="24"/>
          <w:highlight w:val="none"/>
        </w:rPr>
      </w:pPr>
    </w:p>
    <w:p w14:paraId="25F52A1F">
      <w:pPr>
        <w:pStyle w:val="12"/>
        <w:rPr>
          <w:rFonts w:hint="eastAsia" w:asciiTheme="minorEastAsia" w:hAnsiTheme="minorEastAsia" w:eastAsiaTheme="minorEastAsia" w:cstheme="minorEastAsia"/>
          <w:b/>
          <w:color w:val="auto"/>
          <w:sz w:val="28"/>
          <w:szCs w:val="24"/>
          <w:highlight w:val="none"/>
        </w:rPr>
      </w:pPr>
    </w:p>
    <w:p w14:paraId="7175A6B5">
      <w:pPr>
        <w:pStyle w:val="13"/>
        <w:rPr>
          <w:rFonts w:hint="eastAsia"/>
          <w:color w:val="auto"/>
        </w:rPr>
      </w:pPr>
    </w:p>
    <w:p w14:paraId="179509C4">
      <w:pPr>
        <w:rPr>
          <w:rFonts w:hint="eastAsia" w:asciiTheme="minorEastAsia" w:hAnsiTheme="minorEastAsia" w:eastAsiaTheme="minorEastAsia" w:cstheme="minorEastAsia"/>
          <w:b/>
          <w:color w:val="auto"/>
          <w:sz w:val="28"/>
          <w:szCs w:val="24"/>
          <w:highlight w:val="none"/>
        </w:rPr>
      </w:pPr>
    </w:p>
    <w:p w14:paraId="174A82BE">
      <w:pPr>
        <w:pStyle w:val="20"/>
        <w:spacing w:line="300" w:lineRule="auto"/>
        <w:jc w:val="both"/>
        <w:rPr>
          <w:rFonts w:hint="eastAsia" w:asciiTheme="minorEastAsia" w:hAnsiTheme="minorEastAsia" w:eastAsiaTheme="minorEastAsia" w:cstheme="minorEastAsia"/>
          <w:color w:val="auto"/>
          <w:sz w:val="48"/>
          <w:szCs w:val="48"/>
          <w:highlight w:val="none"/>
        </w:rPr>
      </w:pPr>
    </w:p>
    <w:p w14:paraId="6D9CB527">
      <w:pPr>
        <w:jc w:val="center"/>
        <w:rPr>
          <w:rFonts w:hint="eastAsia" w:asciiTheme="minorEastAsia" w:hAnsiTheme="minorEastAsia" w:eastAsiaTheme="minorEastAsia" w:cstheme="minorEastAsia"/>
          <w:b/>
          <w:color w:val="auto"/>
          <w:sz w:val="96"/>
          <w:szCs w:val="21"/>
          <w:highlight w:val="none"/>
        </w:rPr>
      </w:pPr>
      <w:r>
        <w:rPr>
          <w:rFonts w:hint="eastAsia" w:asciiTheme="minorEastAsia" w:hAnsiTheme="minorEastAsia" w:eastAsiaTheme="minorEastAsia" w:cstheme="minorEastAsia"/>
          <w:b/>
          <w:color w:val="auto"/>
          <w:sz w:val="96"/>
          <w:szCs w:val="21"/>
          <w:highlight w:val="none"/>
        </w:rPr>
        <w:t>竞争性磋商文件</w:t>
      </w:r>
    </w:p>
    <w:p w14:paraId="3927E1EB">
      <w:pPr>
        <w:tabs>
          <w:tab w:val="left" w:pos="1620"/>
          <w:tab w:val="left" w:pos="1800"/>
          <w:tab w:val="left" w:pos="1980"/>
        </w:tabs>
        <w:spacing w:line="720" w:lineRule="auto"/>
        <w:jc w:val="center"/>
        <w:rPr>
          <w:rFonts w:hint="eastAsia" w:asciiTheme="minorEastAsia" w:hAnsiTheme="minorEastAsia" w:eastAsiaTheme="minorEastAsia" w:cstheme="minorEastAsia"/>
          <w:color w:val="auto"/>
          <w:sz w:val="33"/>
          <w:highlight w:val="none"/>
          <w:lang w:eastAsia="zh-CN"/>
        </w:rPr>
      </w:pPr>
      <w:r>
        <w:rPr>
          <w:rFonts w:hint="eastAsia" w:asciiTheme="minorEastAsia" w:hAnsiTheme="minorEastAsia" w:eastAsiaTheme="minorEastAsia" w:cstheme="minorEastAsia"/>
          <w:color w:val="auto"/>
          <w:sz w:val="33"/>
          <w:highlight w:val="none"/>
        </w:rPr>
        <w:t>项目编号：</w:t>
      </w:r>
      <w:r>
        <w:rPr>
          <w:rFonts w:hint="eastAsia" w:asciiTheme="minorEastAsia" w:hAnsiTheme="minorEastAsia" w:eastAsiaTheme="minorEastAsia" w:cstheme="minorEastAsia"/>
          <w:color w:val="auto"/>
          <w:sz w:val="33"/>
          <w:highlight w:val="none"/>
          <w:lang w:eastAsia="zh-CN"/>
        </w:rPr>
        <w:t>XJTGXM-2025014</w:t>
      </w:r>
    </w:p>
    <w:p w14:paraId="6D0B60E4">
      <w:pPr>
        <w:jc w:val="center"/>
        <w:rPr>
          <w:rFonts w:hint="eastAsia" w:asciiTheme="minorEastAsia" w:hAnsiTheme="minorEastAsia" w:eastAsiaTheme="minorEastAsia" w:cstheme="minorEastAsia"/>
          <w:color w:val="auto"/>
          <w:sz w:val="33"/>
          <w:highlight w:val="none"/>
        </w:rPr>
      </w:pPr>
    </w:p>
    <w:p w14:paraId="0461859F">
      <w:pPr>
        <w:pStyle w:val="8"/>
        <w:ind w:firstLine="660"/>
        <w:rPr>
          <w:rFonts w:hint="eastAsia" w:asciiTheme="minorEastAsia" w:hAnsiTheme="minorEastAsia" w:eastAsiaTheme="minorEastAsia" w:cstheme="minorEastAsia"/>
          <w:color w:val="auto"/>
          <w:sz w:val="33"/>
          <w:highlight w:val="none"/>
        </w:rPr>
      </w:pPr>
    </w:p>
    <w:p w14:paraId="4DD36F22">
      <w:pPr>
        <w:rPr>
          <w:rFonts w:hint="eastAsia" w:asciiTheme="minorEastAsia" w:hAnsiTheme="minorEastAsia" w:eastAsiaTheme="minorEastAsia" w:cstheme="minorEastAsia"/>
          <w:color w:val="auto"/>
          <w:sz w:val="33"/>
          <w:highlight w:val="none"/>
        </w:rPr>
      </w:pPr>
    </w:p>
    <w:p w14:paraId="248092F5">
      <w:pPr>
        <w:pStyle w:val="3"/>
        <w:rPr>
          <w:rFonts w:hint="eastAsia" w:asciiTheme="minorEastAsia" w:hAnsiTheme="minorEastAsia" w:eastAsiaTheme="minorEastAsia" w:cstheme="minorEastAsia"/>
          <w:color w:val="auto"/>
          <w:sz w:val="33"/>
          <w:highlight w:val="none"/>
        </w:rPr>
      </w:pPr>
    </w:p>
    <w:p w14:paraId="2D3E5E72">
      <w:pPr>
        <w:rPr>
          <w:rFonts w:hint="eastAsia"/>
          <w:color w:val="auto"/>
          <w:highlight w:val="none"/>
        </w:rPr>
      </w:pPr>
    </w:p>
    <w:p w14:paraId="5EB2CB4B">
      <w:pPr>
        <w:pStyle w:val="45"/>
        <w:spacing w:line="360" w:lineRule="auto"/>
        <w:ind w:firstLine="948" w:firstLineChars="295"/>
        <w:rPr>
          <w:rFonts w:hint="eastAsia" w:asciiTheme="minorEastAsia" w:hAnsiTheme="minorEastAsia" w:eastAsiaTheme="minorEastAsia" w:cstheme="minorEastAsia"/>
          <w:b/>
          <w:color w:val="auto"/>
          <w:sz w:val="32"/>
          <w:szCs w:val="32"/>
          <w:highlight w:val="none"/>
        </w:rPr>
      </w:pPr>
    </w:p>
    <w:p w14:paraId="2B9FEA6B">
      <w:pPr>
        <w:pStyle w:val="45"/>
        <w:spacing w:line="360" w:lineRule="auto"/>
        <w:ind w:firstLine="1269" w:firstLineChars="395"/>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采购单位：</w:t>
      </w:r>
      <w:r>
        <w:rPr>
          <w:rFonts w:hint="eastAsia" w:asciiTheme="minorEastAsia" w:hAnsiTheme="minorEastAsia" w:eastAsiaTheme="minorEastAsia" w:cstheme="minorEastAsia"/>
          <w:b/>
          <w:color w:val="auto"/>
          <w:sz w:val="32"/>
          <w:szCs w:val="32"/>
          <w:highlight w:val="none"/>
          <w:lang w:val="en-US" w:eastAsia="zh-CN"/>
        </w:rPr>
        <w:t>和硕县乃仁克尔乡人民政府</w:t>
      </w:r>
    </w:p>
    <w:p w14:paraId="31A2AA95">
      <w:pPr>
        <w:pStyle w:val="45"/>
        <w:spacing w:line="360" w:lineRule="auto"/>
        <w:ind w:firstLine="948" w:firstLineChars="295"/>
        <w:rPr>
          <w:rFonts w:hint="eastAsia" w:asciiTheme="minorEastAsia" w:hAnsiTheme="minorEastAsia" w:eastAsiaTheme="minorEastAsia" w:cstheme="minorEastAsia"/>
          <w:b/>
          <w:color w:val="auto"/>
          <w:sz w:val="32"/>
          <w:szCs w:val="32"/>
          <w:highlight w:val="none"/>
        </w:rPr>
      </w:pPr>
    </w:p>
    <w:p w14:paraId="0D47D7F3">
      <w:pPr>
        <w:pStyle w:val="2"/>
        <w:keepNext w:val="0"/>
        <w:widowControl/>
        <w:spacing w:line="450" w:lineRule="atLeast"/>
        <w:ind w:firstLine="1285" w:firstLineChars="400"/>
        <w:jc w:val="both"/>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rPr>
        <w:t>采购代理机构：</w:t>
      </w:r>
      <w:r>
        <w:rPr>
          <w:rFonts w:hint="eastAsia" w:asciiTheme="minorEastAsia" w:hAnsiTheme="minorEastAsia" w:eastAsiaTheme="minorEastAsia" w:cstheme="minorEastAsia"/>
          <w:b/>
          <w:color w:val="auto"/>
          <w:kern w:val="0"/>
          <w:sz w:val="32"/>
          <w:szCs w:val="32"/>
          <w:highlight w:val="none"/>
          <w:lang w:val="zh-CN"/>
        </w:rPr>
        <w:t>新疆唐谷项目管理有限公司</w:t>
      </w:r>
    </w:p>
    <w:p w14:paraId="2BC587D8">
      <w:pPr>
        <w:rPr>
          <w:rFonts w:hint="eastAsia"/>
          <w:color w:val="auto"/>
        </w:rPr>
      </w:pPr>
    </w:p>
    <w:p w14:paraId="457F59E9">
      <w:pPr>
        <w:pStyle w:val="2"/>
        <w:keepNext w:val="0"/>
        <w:widowControl/>
        <w:spacing w:line="450" w:lineRule="atLeast"/>
        <w:jc w:val="both"/>
        <w:rPr>
          <w:rFonts w:hint="eastAsia" w:asciiTheme="minorEastAsia" w:hAnsiTheme="minorEastAsia" w:eastAsiaTheme="minorEastAsia" w:cstheme="minorEastAsia"/>
          <w:color w:val="auto"/>
          <w:sz w:val="36"/>
          <w:szCs w:val="36"/>
          <w:highlight w:val="none"/>
        </w:rPr>
      </w:pPr>
    </w:p>
    <w:p w14:paraId="2B760C2D">
      <w:pPr>
        <w:pStyle w:val="2"/>
        <w:keepNext w:val="0"/>
        <w:widowControl/>
        <w:spacing w:line="450" w:lineRule="atLeast"/>
        <w:jc w:val="center"/>
        <w:rPr>
          <w:rFonts w:hint="default" w:asciiTheme="minorEastAsia" w:hAnsiTheme="minorEastAsia" w:eastAsiaTheme="minorEastAsia" w:cstheme="minorEastAsia"/>
          <w:color w:val="auto"/>
          <w:sz w:val="36"/>
          <w:szCs w:val="36"/>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日期：2025年7月</w:t>
      </w:r>
    </w:p>
    <w:p w14:paraId="191DAE45">
      <w:pPr>
        <w:pStyle w:val="3"/>
        <w:rPr>
          <w:rFonts w:hint="eastAsia" w:asciiTheme="minorEastAsia" w:hAnsiTheme="minorEastAsia" w:eastAsiaTheme="minorEastAsia" w:cstheme="minorEastAsia"/>
          <w:color w:val="auto"/>
          <w:sz w:val="36"/>
          <w:szCs w:val="36"/>
          <w:highlight w:val="none"/>
        </w:rPr>
      </w:pPr>
    </w:p>
    <w:p w14:paraId="61A6571C">
      <w:pPr>
        <w:rPr>
          <w:rFonts w:hint="eastAsia"/>
          <w:color w:val="auto"/>
          <w:highlight w:val="none"/>
        </w:rPr>
      </w:pPr>
    </w:p>
    <w:p w14:paraId="38485110">
      <w:pPr>
        <w:jc w:val="center"/>
        <w:rPr>
          <w:rFonts w:hint="eastAsia"/>
          <w:b/>
          <w:bCs/>
          <w:color w:val="auto"/>
          <w:sz w:val="52"/>
          <w:szCs w:val="52"/>
          <w:highlight w:val="none"/>
          <w:lang w:eastAsia="zh-CN"/>
        </w:rPr>
      </w:pPr>
      <w:r>
        <w:rPr>
          <w:rFonts w:hint="eastAsia"/>
          <w:b/>
          <w:bCs/>
          <w:color w:val="auto"/>
          <w:sz w:val="52"/>
          <w:szCs w:val="52"/>
          <w:highlight w:val="none"/>
        </w:rPr>
        <w:t>目录</w:t>
      </w:r>
    </w:p>
    <w:p w14:paraId="17B84839">
      <w:pPr>
        <w:jc w:val="center"/>
        <w:rPr>
          <w:rFonts w:hint="eastAsia"/>
          <w:b/>
          <w:bCs/>
          <w:color w:val="auto"/>
          <w:sz w:val="52"/>
          <w:szCs w:val="52"/>
          <w:highlight w:val="none"/>
          <w:lang w:eastAsia="zh-CN"/>
        </w:rPr>
      </w:pPr>
    </w:p>
    <w:p w14:paraId="2D2E9DCF">
      <w:pPr>
        <w:pStyle w:val="73"/>
        <w:tabs>
          <w:tab w:val="right" w:leader="dot" w:pos="9070"/>
        </w:tabs>
        <w:spacing w:line="480" w:lineRule="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HYPERLINK\l"_Toc13129_WPSOffice_Level1"</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第一章竞争性磋商公告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4</w:t>
      </w:r>
    </w:p>
    <w:p w14:paraId="4FE2DBA0">
      <w:pPr>
        <w:pStyle w:val="73"/>
        <w:tabs>
          <w:tab w:val="right" w:leader="dot" w:pos="9070"/>
        </w:tabs>
        <w:spacing w:line="480" w:lineRule="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HYPERLINK\l"_Toc32258_WPSOffice_Level1"</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第二章磋商供应商须知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7</w:t>
      </w:r>
    </w:p>
    <w:p w14:paraId="47B356BA">
      <w:pPr>
        <w:pStyle w:val="73"/>
        <w:tabs>
          <w:tab w:val="right" w:leader="dot" w:pos="9070"/>
        </w:tabs>
        <w:spacing w:line="480" w:lineRule="auto"/>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HYPERLINK\l"_Toc3717_WPSOffice_Level1"</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第三章磋商响应文件的编制、递交</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21</w:t>
      </w:r>
    </w:p>
    <w:p w14:paraId="68AB45A7">
      <w:pPr>
        <w:pStyle w:val="73"/>
        <w:tabs>
          <w:tab w:val="right" w:leader="dot" w:pos="9070"/>
        </w:tabs>
        <w:spacing w:line="480" w:lineRule="auto"/>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HYPERLINK\l"_Toc12453_WPSOffice_Level1"</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第四章磋商、评审、确定成交供应商</w:t>
      </w:r>
      <w:r>
        <w:rPr>
          <w:rFonts w:hint="eastAsia" w:ascii="宋体" w:hAnsi="宋体" w:cs="宋体"/>
          <w:color w:val="auto"/>
          <w:sz w:val="28"/>
          <w:szCs w:val="28"/>
          <w:highlight w:val="none"/>
        </w:rPr>
        <w:tab/>
      </w:r>
      <w:r>
        <w:rPr>
          <w:rFonts w:hint="eastAsia" w:ascii="宋体" w:hAnsi="宋体" w:cs="宋体"/>
          <w:color w:val="auto"/>
          <w:sz w:val="28"/>
          <w:szCs w:val="28"/>
          <w:highlight w:val="none"/>
          <w:lang w:val="en-US" w:eastAsia="zh-CN"/>
        </w:rPr>
        <w:t>26</w:t>
      </w:r>
    </w:p>
    <w:p w14:paraId="42ED326B">
      <w:pPr>
        <w:pStyle w:val="73"/>
        <w:tabs>
          <w:tab w:val="right" w:leader="dot" w:pos="9070"/>
        </w:tabs>
        <w:spacing w:line="480" w:lineRule="auto"/>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第五章评定成交方式和标准</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35</w:t>
      </w:r>
    </w:p>
    <w:p w14:paraId="6D855771">
      <w:pPr>
        <w:pStyle w:val="73"/>
        <w:tabs>
          <w:tab w:val="right" w:leader="dot" w:pos="9070"/>
        </w:tabs>
        <w:spacing w:line="480" w:lineRule="auto"/>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HYPERLINK\l"_Toc7744_WPSOffice_Level1"</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第六章</w:t>
      </w:r>
      <w:r>
        <w:rPr>
          <w:rFonts w:hint="eastAsia" w:ascii="宋体" w:hAnsi="宋体" w:cs="宋体"/>
          <w:color w:val="auto"/>
          <w:sz w:val="28"/>
          <w:szCs w:val="28"/>
          <w:highlight w:val="none"/>
          <w:lang w:val="en-US" w:eastAsia="zh-CN"/>
        </w:rPr>
        <w:t>工程量清单（另附）</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41</w:t>
      </w:r>
    </w:p>
    <w:p w14:paraId="3C893ADE">
      <w:pPr>
        <w:pStyle w:val="73"/>
        <w:tabs>
          <w:tab w:val="right" w:leader="dot" w:pos="9070"/>
        </w:tabs>
        <w:spacing w:line="480" w:lineRule="auto"/>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HYPERLINK\l"_Toc11436_WPSOffice_Level1"</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第七章合同格式及合同条款</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43</w:t>
      </w:r>
    </w:p>
    <w:p w14:paraId="72186F92">
      <w:pPr>
        <w:pStyle w:val="73"/>
        <w:tabs>
          <w:tab w:val="right" w:leader="dot" w:pos="9070"/>
        </w:tabs>
        <w:spacing w:line="480" w:lineRule="auto"/>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HYPERLINK\l"_Toc11362_WPSOffice_Level1"</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第八章磋商响应文件格式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78</w:t>
      </w:r>
    </w:p>
    <w:p w14:paraId="42761A26">
      <w:pPr>
        <w:spacing w:line="360" w:lineRule="auto"/>
        <w:rPr>
          <w:color w:val="auto"/>
          <w:highlight w:val="none"/>
        </w:rPr>
      </w:pPr>
      <w:r>
        <w:rPr>
          <w:rFonts w:hint="eastAsia" w:ascii="宋体" w:hAnsi="宋体" w:cs="宋体"/>
          <w:color w:val="auto"/>
          <w:sz w:val="28"/>
          <w:szCs w:val="28"/>
          <w:highlight w:val="none"/>
        </w:rPr>
        <w:tab/>
      </w:r>
      <w:r>
        <w:rPr>
          <w:rFonts w:hint="eastAsia" w:ascii="宋体" w:hAnsi="宋体" w:cs="宋体"/>
          <w:color w:val="auto"/>
          <w:sz w:val="28"/>
          <w:szCs w:val="28"/>
          <w:highlight w:val="none"/>
        </w:rPr>
        <w:tab/>
      </w:r>
    </w:p>
    <w:p w14:paraId="404920AB">
      <w:pPr>
        <w:rPr>
          <w:rFonts w:hint="eastAsia" w:asciiTheme="minorEastAsia" w:hAnsiTheme="minorEastAsia" w:eastAsiaTheme="minorEastAsia" w:cstheme="minorEastAsia"/>
          <w:color w:val="auto"/>
          <w:sz w:val="36"/>
          <w:szCs w:val="36"/>
          <w:highlight w:val="none"/>
        </w:rPr>
      </w:pPr>
    </w:p>
    <w:p w14:paraId="42D538D1">
      <w:pPr>
        <w:pStyle w:val="3"/>
        <w:rPr>
          <w:rFonts w:hint="eastAsia" w:asciiTheme="minorEastAsia" w:hAnsiTheme="minorEastAsia" w:eastAsiaTheme="minorEastAsia" w:cstheme="minorEastAsia"/>
          <w:color w:val="auto"/>
          <w:sz w:val="36"/>
          <w:szCs w:val="36"/>
          <w:highlight w:val="none"/>
        </w:rPr>
      </w:pPr>
    </w:p>
    <w:p w14:paraId="159D2B45">
      <w:pPr>
        <w:rPr>
          <w:rFonts w:hint="eastAsia" w:asciiTheme="minorEastAsia" w:hAnsiTheme="minorEastAsia" w:eastAsiaTheme="minorEastAsia" w:cstheme="minorEastAsia"/>
          <w:color w:val="auto"/>
          <w:sz w:val="36"/>
          <w:szCs w:val="36"/>
          <w:highlight w:val="none"/>
        </w:rPr>
      </w:pPr>
    </w:p>
    <w:p w14:paraId="1AC3FA66">
      <w:pPr>
        <w:pStyle w:val="3"/>
        <w:rPr>
          <w:rFonts w:hint="eastAsia" w:asciiTheme="minorEastAsia" w:hAnsiTheme="minorEastAsia" w:eastAsiaTheme="minorEastAsia" w:cstheme="minorEastAsia"/>
          <w:color w:val="auto"/>
          <w:sz w:val="36"/>
          <w:szCs w:val="36"/>
          <w:highlight w:val="none"/>
        </w:rPr>
      </w:pPr>
    </w:p>
    <w:p w14:paraId="469CE22C">
      <w:pPr>
        <w:rPr>
          <w:rFonts w:hint="eastAsia" w:asciiTheme="minorEastAsia" w:hAnsiTheme="minorEastAsia" w:eastAsiaTheme="minorEastAsia" w:cstheme="minorEastAsia"/>
          <w:color w:val="auto"/>
          <w:sz w:val="36"/>
          <w:szCs w:val="36"/>
          <w:highlight w:val="none"/>
        </w:rPr>
      </w:pPr>
    </w:p>
    <w:p w14:paraId="4CBD3950">
      <w:pPr>
        <w:pStyle w:val="3"/>
        <w:rPr>
          <w:rFonts w:hint="eastAsia"/>
          <w:color w:val="auto"/>
          <w:highlight w:val="none"/>
        </w:rPr>
      </w:pPr>
    </w:p>
    <w:p w14:paraId="12A733C1">
      <w:pPr>
        <w:pStyle w:val="3"/>
        <w:rPr>
          <w:rFonts w:hint="eastAsia"/>
          <w:color w:val="auto"/>
          <w:highlight w:val="none"/>
        </w:rPr>
      </w:pPr>
    </w:p>
    <w:p w14:paraId="6657E6E5">
      <w:pPr>
        <w:rPr>
          <w:rFonts w:hint="eastAsia"/>
          <w:color w:val="auto"/>
          <w:highlight w:val="none"/>
        </w:rPr>
      </w:pPr>
    </w:p>
    <w:p w14:paraId="4ACA9F44">
      <w:pPr>
        <w:pStyle w:val="2"/>
        <w:keepNext w:val="0"/>
        <w:widowControl/>
        <w:spacing w:line="450" w:lineRule="atLeast"/>
        <w:jc w:val="center"/>
        <w:rPr>
          <w:rFonts w:hint="eastAsia" w:asciiTheme="minorEastAsia" w:hAnsiTheme="minorEastAsia" w:eastAsiaTheme="minorEastAsia" w:cstheme="minorEastAsia"/>
          <w:color w:val="auto"/>
          <w:sz w:val="36"/>
          <w:szCs w:val="36"/>
          <w:highlight w:val="none"/>
          <w:lang w:val="en-US" w:eastAsia="zh-CN"/>
        </w:rPr>
      </w:pPr>
    </w:p>
    <w:p w14:paraId="7FB2B787">
      <w:pPr>
        <w:pStyle w:val="2"/>
        <w:keepNext w:val="0"/>
        <w:widowControl/>
        <w:spacing w:line="450" w:lineRule="atLeast"/>
        <w:jc w:val="center"/>
        <w:rPr>
          <w:rFonts w:hint="default" w:asciiTheme="minorEastAsia" w:hAnsiTheme="minorEastAsia" w:eastAsiaTheme="minorEastAsia" w:cstheme="minorEastAsia"/>
          <w:color w:val="auto"/>
          <w:sz w:val="36"/>
          <w:szCs w:val="36"/>
          <w:highlight w:val="none"/>
          <w:lang w:val="en-US" w:eastAsia="zh-CN"/>
        </w:rPr>
      </w:pPr>
      <w:r>
        <w:rPr>
          <w:rFonts w:hint="eastAsia" w:asciiTheme="minorEastAsia" w:hAnsiTheme="minorEastAsia" w:eastAsiaTheme="minorEastAsia" w:cstheme="minorEastAsia"/>
          <w:color w:val="auto"/>
          <w:sz w:val="36"/>
          <w:szCs w:val="36"/>
          <w:highlight w:val="none"/>
          <w:lang w:val="en-US" w:eastAsia="zh-CN"/>
        </w:rPr>
        <w:t>第一章竞争性磋商公告</w:t>
      </w:r>
    </w:p>
    <w:p w14:paraId="51D85BFE">
      <w:pPr>
        <w:pStyle w:val="2"/>
        <w:keepNext w:val="0"/>
        <w:widowControl/>
        <w:spacing w:line="450" w:lineRule="atLeast"/>
        <w:jc w:val="center"/>
        <w:rPr>
          <w:rFonts w:hint="eastAsia" w:asciiTheme="minorEastAsia" w:hAnsiTheme="minorEastAsia" w:eastAsiaTheme="minorEastAsia" w:cstheme="minorEastAsia"/>
          <w:color w:val="auto"/>
          <w:sz w:val="26"/>
          <w:szCs w:val="26"/>
          <w:highlight w:val="none"/>
          <w:lang w:val="zh-CN"/>
        </w:rPr>
      </w:pPr>
    </w:p>
    <w:p w14:paraId="02826C4B">
      <w:pPr>
        <w:pStyle w:val="2"/>
        <w:keepNext w:val="0"/>
        <w:widowControl/>
        <w:spacing w:line="450" w:lineRule="atLeast"/>
        <w:jc w:val="center"/>
        <w:rPr>
          <w:rFonts w:hint="eastAsia" w:asciiTheme="minorEastAsia" w:hAnsiTheme="minorEastAsia" w:eastAsiaTheme="minorEastAsia" w:cstheme="minorEastAsia"/>
          <w:color w:val="auto"/>
          <w:sz w:val="26"/>
          <w:szCs w:val="26"/>
          <w:highlight w:val="none"/>
          <w:lang w:val="en-US" w:eastAsia="zh-CN"/>
        </w:rPr>
      </w:pPr>
      <w:r>
        <w:rPr>
          <w:rFonts w:hint="eastAsia" w:asciiTheme="minorEastAsia" w:hAnsiTheme="minorEastAsia" w:eastAsiaTheme="minorEastAsia" w:cstheme="minorEastAsia"/>
          <w:color w:val="auto"/>
          <w:sz w:val="26"/>
          <w:szCs w:val="26"/>
          <w:highlight w:val="none"/>
          <w:lang w:val="zh-CN"/>
        </w:rPr>
        <w:t>新疆唐谷项目管理有限公司</w:t>
      </w:r>
      <w:r>
        <w:rPr>
          <w:rFonts w:hint="eastAsia" w:asciiTheme="minorEastAsia" w:hAnsiTheme="minorEastAsia" w:eastAsiaTheme="minorEastAsia" w:cstheme="minorEastAsia"/>
          <w:color w:val="auto"/>
          <w:sz w:val="26"/>
          <w:szCs w:val="26"/>
          <w:highlight w:val="none"/>
        </w:rPr>
        <w:t>关于</w:t>
      </w:r>
      <w:r>
        <w:rPr>
          <w:rFonts w:hint="eastAsia" w:asciiTheme="minorEastAsia" w:hAnsiTheme="minorEastAsia" w:eastAsiaTheme="minorEastAsia" w:cstheme="minorEastAsia"/>
          <w:color w:val="auto"/>
          <w:sz w:val="26"/>
          <w:szCs w:val="26"/>
          <w:highlight w:val="none"/>
          <w:lang w:val="en-US" w:eastAsia="zh-CN"/>
        </w:rPr>
        <w:t>乃仁克尔乡艾勒斯特村农田机耕道建设项目</w:t>
      </w:r>
    </w:p>
    <w:p w14:paraId="6478748E">
      <w:pPr>
        <w:pStyle w:val="2"/>
        <w:keepNext w:val="0"/>
        <w:widowControl/>
        <w:spacing w:line="450" w:lineRule="atLeast"/>
        <w:jc w:val="center"/>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26"/>
          <w:szCs w:val="26"/>
          <w:highlight w:val="none"/>
        </w:rPr>
        <w:t>竞争性磋商公告</w:t>
      </w:r>
    </w:p>
    <w:p w14:paraId="1288BE46">
      <w:pPr>
        <w:pStyle w:val="2"/>
        <w:keepNext w:val="0"/>
        <w:widowControl/>
        <w:spacing w:line="450" w:lineRule="atLeast"/>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highlight w:val="none"/>
        </w:rPr>
        <mc:AlternateContent>
          <mc:Choice Requires="wps">
            <w:drawing>
              <wp:anchor distT="0" distB="0" distL="114300" distR="114300" simplePos="0" relativeHeight="251660288" behindDoc="0" locked="0" layoutInCell="1" allowOverlap="1">
                <wp:simplePos x="0" y="0"/>
                <wp:positionH relativeFrom="column">
                  <wp:posOffset>339725</wp:posOffset>
                </wp:positionH>
                <wp:positionV relativeFrom="paragraph">
                  <wp:posOffset>158115</wp:posOffset>
                </wp:positionV>
                <wp:extent cx="5629275" cy="1268730"/>
                <wp:effectExtent l="7620" t="7620" r="20955" b="19050"/>
                <wp:wrapNone/>
                <wp:docPr id="20" name="矩形 20"/>
                <wp:cNvGraphicFramePr/>
                <a:graphic xmlns:a="http://schemas.openxmlformats.org/drawingml/2006/main">
                  <a:graphicData uri="http://schemas.microsoft.com/office/word/2010/wordprocessingShape">
                    <wps:wsp>
                      <wps:cNvSpPr/>
                      <wps:spPr>
                        <a:xfrm>
                          <a:off x="0" y="0"/>
                          <a:ext cx="5629275" cy="126873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14:paraId="374853CF">
                            <w:pPr>
                              <w:pStyle w:val="2"/>
                              <w:keepNext w:val="0"/>
                              <w:widowControl/>
                              <w:spacing w:line="450" w:lineRule="atLeast"/>
                            </w:pPr>
                            <w:r>
                              <w:rPr>
                                <w:rFonts w:hint="eastAsia"/>
                                <w:sz w:val="27"/>
                                <w:szCs w:val="27"/>
                              </w:rPr>
                              <w:t>项目概况</w:t>
                            </w:r>
                          </w:p>
                          <w:p w14:paraId="7DA50156">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7"/>
                                <w:szCs w:val="27"/>
                                <w:highlight w:val="none"/>
                                <w:lang w:val="en-US" w:eastAsia="zh-CN"/>
                              </w:rPr>
                              <w:t>乃仁克尔乡艾勒斯特村农田机耕道建设项目</w:t>
                            </w:r>
                            <w:r>
                              <w:rPr>
                                <w:rFonts w:hint="eastAsia" w:asciiTheme="minorEastAsia" w:hAnsiTheme="minorEastAsia" w:eastAsiaTheme="minorEastAsia" w:cstheme="minorEastAsia"/>
                                <w:color w:val="000000"/>
                                <w:sz w:val="27"/>
                                <w:szCs w:val="27"/>
                                <w:highlight w:val="none"/>
                              </w:rPr>
                              <w:t>的潜在供应商应登陆政采云平台在线申请获取采购文件（进入“项目采购”应用，在获取采购文件菜单中选择项目，申请获取采购文件），并</w:t>
                            </w:r>
                            <w:r>
                              <w:rPr>
                                <w:rFonts w:hint="eastAsia" w:asciiTheme="minorEastAsia" w:hAnsiTheme="minorEastAsia" w:eastAsiaTheme="minorEastAsia" w:cstheme="minorEastAsia"/>
                                <w:color w:val="auto"/>
                                <w:sz w:val="27"/>
                                <w:szCs w:val="27"/>
                                <w:highlight w:val="none"/>
                              </w:rPr>
                              <w:t>于</w:t>
                            </w:r>
                            <w:r>
                              <w:rPr>
                                <w:rFonts w:hint="eastAsia" w:asciiTheme="minorEastAsia" w:hAnsiTheme="minorEastAsia" w:eastAsiaTheme="minorEastAsia" w:cstheme="minorEastAsia"/>
                                <w:color w:val="0000FF"/>
                                <w:sz w:val="27"/>
                                <w:szCs w:val="27"/>
                                <w:highlight w:val="none"/>
                                <w:lang w:eastAsia="zh-CN"/>
                              </w:rPr>
                              <w:t>2025年</w:t>
                            </w:r>
                            <w:r>
                              <w:rPr>
                                <w:rFonts w:hint="eastAsia" w:asciiTheme="minorEastAsia" w:hAnsiTheme="minorEastAsia" w:eastAsiaTheme="minorEastAsia" w:cstheme="minorEastAsia"/>
                                <w:color w:val="0000FF"/>
                                <w:sz w:val="27"/>
                                <w:szCs w:val="27"/>
                                <w:highlight w:val="none"/>
                                <w:lang w:val="en-US" w:eastAsia="zh-CN"/>
                              </w:rPr>
                              <w:t>7</w:t>
                            </w:r>
                            <w:r>
                              <w:rPr>
                                <w:rFonts w:hint="eastAsia" w:asciiTheme="minorEastAsia" w:hAnsiTheme="minorEastAsia" w:eastAsiaTheme="minorEastAsia" w:cstheme="minorEastAsia"/>
                                <w:color w:val="0000FF"/>
                                <w:sz w:val="27"/>
                                <w:szCs w:val="27"/>
                                <w:highlight w:val="none"/>
                                <w:lang w:eastAsia="zh-CN"/>
                              </w:rPr>
                              <w:t>月</w:t>
                            </w:r>
                            <w:r>
                              <w:rPr>
                                <w:rFonts w:hint="eastAsia" w:asciiTheme="minorEastAsia" w:hAnsiTheme="minorEastAsia" w:eastAsiaTheme="minorEastAsia" w:cstheme="minorEastAsia"/>
                                <w:color w:val="0000FF"/>
                                <w:sz w:val="27"/>
                                <w:szCs w:val="27"/>
                                <w:highlight w:val="none"/>
                                <w:lang w:val="en-US" w:eastAsia="zh-CN"/>
                              </w:rPr>
                              <w:t>25</w:t>
                            </w:r>
                            <w:r>
                              <w:rPr>
                                <w:rFonts w:hint="eastAsia" w:asciiTheme="minorEastAsia" w:hAnsiTheme="minorEastAsia" w:eastAsiaTheme="minorEastAsia" w:cstheme="minorEastAsia"/>
                                <w:color w:val="0000FF"/>
                                <w:sz w:val="27"/>
                                <w:szCs w:val="27"/>
                                <w:highlight w:val="none"/>
                                <w:lang w:eastAsia="zh-CN"/>
                              </w:rPr>
                              <w:t>日</w:t>
                            </w:r>
                            <w:r>
                              <w:rPr>
                                <w:rFonts w:hint="eastAsia" w:asciiTheme="minorEastAsia" w:hAnsiTheme="minorEastAsia" w:eastAsiaTheme="minorEastAsia" w:cstheme="minorEastAsia"/>
                                <w:color w:val="auto"/>
                                <w:sz w:val="27"/>
                                <w:szCs w:val="27"/>
                                <w:highlight w:val="none"/>
                              </w:rPr>
                              <w:t>1</w:t>
                            </w:r>
                            <w:r>
                              <w:rPr>
                                <w:rFonts w:hint="eastAsia" w:asciiTheme="minorEastAsia" w:hAnsiTheme="minorEastAsia" w:eastAsiaTheme="minorEastAsia" w:cstheme="minorEastAsia"/>
                                <w:color w:val="auto"/>
                                <w:sz w:val="27"/>
                                <w:szCs w:val="27"/>
                                <w:highlight w:val="none"/>
                                <w:lang w:val="en-US" w:eastAsia="zh-CN"/>
                              </w:rPr>
                              <w:t>1：00</w:t>
                            </w:r>
                            <w:r>
                              <w:rPr>
                                <w:rFonts w:hint="eastAsia" w:asciiTheme="minorEastAsia" w:hAnsiTheme="minorEastAsia" w:eastAsiaTheme="minorEastAsia" w:cstheme="minorEastAsia"/>
                                <w:color w:val="auto"/>
                                <w:sz w:val="27"/>
                                <w:szCs w:val="27"/>
                                <w:highlight w:val="none"/>
                              </w:rPr>
                              <w:t>（</w:t>
                            </w:r>
                            <w:r>
                              <w:rPr>
                                <w:rFonts w:hint="eastAsia" w:asciiTheme="minorEastAsia" w:hAnsiTheme="minorEastAsia" w:eastAsiaTheme="minorEastAsia" w:cstheme="minorEastAsia"/>
                                <w:color w:val="000000"/>
                                <w:sz w:val="27"/>
                                <w:szCs w:val="27"/>
                                <w:highlight w:val="none"/>
                              </w:rPr>
                              <w:t>北京时间）前提交响应文件。</w:t>
                            </w:r>
                          </w:p>
                        </w:txbxContent>
                      </wps:txbx>
                      <wps:bodyPr upright="1"/>
                    </wps:wsp>
                  </a:graphicData>
                </a:graphic>
              </wp:anchor>
            </w:drawing>
          </mc:Choice>
          <mc:Fallback>
            <w:pict>
              <v:rect id="_x0000_s1026" o:spid="_x0000_s1026" o:spt="1" style="position:absolute;left:0pt;margin-left:26.75pt;margin-top:12.45pt;height:99.9pt;width:443.25pt;z-index:251660288;mso-width-relative:page;mso-height-relative:page;" fillcolor="#FFFFFF" filled="t" stroked="t" coordsize="21600,21600" o:gfxdata="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esgOfNgAAAAJAQAADwAAAAAAAAABACAAAAAi&#10;AAAAZHJzL2Rvd25yZXYueG1sUEsBAhQAFAAAAAgAh07iQGN4qJRDAgAAwgQAAA4AAAAAAAAAAQAg&#10;AAAAJwEAAGRycy9lMm9Eb2MueG1sUEsFBgAAAAAGAAYAWQEAANwFAAAAAA==&#10;">
                <v:fill type="gradient" on="t" color2="#FFFFFF" angle="90" focus="100%" focussize="0,0">
                  <o:fill type="gradientUnscaled" v:ext="backwardCompatible"/>
                </v:fill>
                <v:stroke weight="1.25pt" color="#000000" joinstyle="miter"/>
                <v:imagedata o:title=""/>
                <o:lock v:ext="edit" aspectratio="f"/>
                <v:textbox>
                  <w:txbxContent>
                    <w:p w14:paraId="374853CF">
                      <w:pPr>
                        <w:pStyle w:val="2"/>
                        <w:keepNext w:val="0"/>
                        <w:widowControl/>
                        <w:spacing w:line="450" w:lineRule="atLeast"/>
                      </w:pPr>
                      <w:r>
                        <w:rPr>
                          <w:rFonts w:hint="eastAsia"/>
                          <w:sz w:val="27"/>
                          <w:szCs w:val="27"/>
                        </w:rPr>
                        <w:t>项目概况</w:t>
                      </w:r>
                    </w:p>
                    <w:p w14:paraId="7DA50156">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7"/>
                          <w:szCs w:val="27"/>
                          <w:highlight w:val="none"/>
                          <w:lang w:val="en-US" w:eastAsia="zh-CN"/>
                        </w:rPr>
                        <w:t>乃仁克尔乡艾勒斯特村农田机耕道建设项目</w:t>
                      </w:r>
                      <w:r>
                        <w:rPr>
                          <w:rFonts w:hint="eastAsia" w:asciiTheme="minorEastAsia" w:hAnsiTheme="minorEastAsia" w:eastAsiaTheme="minorEastAsia" w:cstheme="minorEastAsia"/>
                          <w:color w:val="000000"/>
                          <w:sz w:val="27"/>
                          <w:szCs w:val="27"/>
                          <w:highlight w:val="none"/>
                        </w:rPr>
                        <w:t>的潜在供应商应登陆政采云平台在线申请获取采购文件（进入“项目采购”应用，在获取采购文件菜单中选择项目，申请获取采购文件），并</w:t>
                      </w:r>
                      <w:r>
                        <w:rPr>
                          <w:rFonts w:hint="eastAsia" w:asciiTheme="minorEastAsia" w:hAnsiTheme="minorEastAsia" w:eastAsiaTheme="minorEastAsia" w:cstheme="minorEastAsia"/>
                          <w:color w:val="auto"/>
                          <w:sz w:val="27"/>
                          <w:szCs w:val="27"/>
                          <w:highlight w:val="none"/>
                        </w:rPr>
                        <w:t>于</w:t>
                      </w:r>
                      <w:r>
                        <w:rPr>
                          <w:rFonts w:hint="eastAsia" w:asciiTheme="minorEastAsia" w:hAnsiTheme="minorEastAsia" w:eastAsiaTheme="minorEastAsia" w:cstheme="minorEastAsia"/>
                          <w:color w:val="0000FF"/>
                          <w:sz w:val="27"/>
                          <w:szCs w:val="27"/>
                          <w:highlight w:val="none"/>
                          <w:lang w:eastAsia="zh-CN"/>
                        </w:rPr>
                        <w:t>2025年</w:t>
                      </w:r>
                      <w:r>
                        <w:rPr>
                          <w:rFonts w:hint="eastAsia" w:asciiTheme="minorEastAsia" w:hAnsiTheme="minorEastAsia" w:eastAsiaTheme="minorEastAsia" w:cstheme="minorEastAsia"/>
                          <w:color w:val="0000FF"/>
                          <w:sz w:val="27"/>
                          <w:szCs w:val="27"/>
                          <w:highlight w:val="none"/>
                          <w:lang w:val="en-US" w:eastAsia="zh-CN"/>
                        </w:rPr>
                        <w:t>7</w:t>
                      </w:r>
                      <w:r>
                        <w:rPr>
                          <w:rFonts w:hint="eastAsia" w:asciiTheme="minorEastAsia" w:hAnsiTheme="minorEastAsia" w:eastAsiaTheme="minorEastAsia" w:cstheme="minorEastAsia"/>
                          <w:color w:val="0000FF"/>
                          <w:sz w:val="27"/>
                          <w:szCs w:val="27"/>
                          <w:highlight w:val="none"/>
                          <w:lang w:eastAsia="zh-CN"/>
                        </w:rPr>
                        <w:t>月</w:t>
                      </w:r>
                      <w:r>
                        <w:rPr>
                          <w:rFonts w:hint="eastAsia" w:asciiTheme="minorEastAsia" w:hAnsiTheme="minorEastAsia" w:eastAsiaTheme="minorEastAsia" w:cstheme="minorEastAsia"/>
                          <w:color w:val="0000FF"/>
                          <w:sz w:val="27"/>
                          <w:szCs w:val="27"/>
                          <w:highlight w:val="none"/>
                          <w:lang w:val="en-US" w:eastAsia="zh-CN"/>
                        </w:rPr>
                        <w:t>25</w:t>
                      </w:r>
                      <w:r>
                        <w:rPr>
                          <w:rFonts w:hint="eastAsia" w:asciiTheme="minorEastAsia" w:hAnsiTheme="minorEastAsia" w:eastAsiaTheme="minorEastAsia" w:cstheme="minorEastAsia"/>
                          <w:color w:val="0000FF"/>
                          <w:sz w:val="27"/>
                          <w:szCs w:val="27"/>
                          <w:highlight w:val="none"/>
                          <w:lang w:eastAsia="zh-CN"/>
                        </w:rPr>
                        <w:t>日</w:t>
                      </w:r>
                      <w:r>
                        <w:rPr>
                          <w:rFonts w:hint="eastAsia" w:asciiTheme="minorEastAsia" w:hAnsiTheme="minorEastAsia" w:eastAsiaTheme="minorEastAsia" w:cstheme="minorEastAsia"/>
                          <w:color w:val="auto"/>
                          <w:sz w:val="27"/>
                          <w:szCs w:val="27"/>
                          <w:highlight w:val="none"/>
                        </w:rPr>
                        <w:t>1</w:t>
                      </w:r>
                      <w:r>
                        <w:rPr>
                          <w:rFonts w:hint="eastAsia" w:asciiTheme="minorEastAsia" w:hAnsiTheme="minorEastAsia" w:eastAsiaTheme="minorEastAsia" w:cstheme="minorEastAsia"/>
                          <w:color w:val="auto"/>
                          <w:sz w:val="27"/>
                          <w:szCs w:val="27"/>
                          <w:highlight w:val="none"/>
                          <w:lang w:val="en-US" w:eastAsia="zh-CN"/>
                        </w:rPr>
                        <w:t>1：00</w:t>
                      </w:r>
                      <w:r>
                        <w:rPr>
                          <w:rFonts w:hint="eastAsia" w:asciiTheme="minorEastAsia" w:hAnsiTheme="minorEastAsia" w:eastAsiaTheme="minorEastAsia" w:cstheme="minorEastAsia"/>
                          <w:color w:val="auto"/>
                          <w:sz w:val="27"/>
                          <w:szCs w:val="27"/>
                          <w:highlight w:val="none"/>
                        </w:rPr>
                        <w:t>（</w:t>
                      </w:r>
                      <w:r>
                        <w:rPr>
                          <w:rFonts w:hint="eastAsia" w:asciiTheme="minorEastAsia" w:hAnsiTheme="minorEastAsia" w:eastAsiaTheme="minorEastAsia" w:cstheme="minorEastAsia"/>
                          <w:color w:val="000000"/>
                          <w:sz w:val="27"/>
                          <w:szCs w:val="27"/>
                          <w:highlight w:val="none"/>
                        </w:rPr>
                        <w:t>北京时间）前提交响应文件。</w:t>
                      </w:r>
                    </w:p>
                  </w:txbxContent>
                </v:textbox>
              </v:rect>
            </w:pict>
          </mc:Fallback>
        </mc:AlternateContent>
      </w:r>
    </w:p>
    <w:p w14:paraId="5995923B">
      <w:pPr>
        <w:pStyle w:val="2"/>
        <w:keepNext w:val="0"/>
        <w:widowControl/>
        <w:spacing w:line="450" w:lineRule="atLeast"/>
        <w:rPr>
          <w:rFonts w:hint="eastAsia" w:asciiTheme="minorEastAsia" w:hAnsiTheme="minorEastAsia" w:eastAsiaTheme="minorEastAsia" w:cstheme="minorEastAsia"/>
          <w:color w:val="auto"/>
          <w:sz w:val="27"/>
          <w:szCs w:val="27"/>
          <w:highlight w:val="none"/>
        </w:rPr>
      </w:pPr>
    </w:p>
    <w:p w14:paraId="362730E6">
      <w:pPr>
        <w:pStyle w:val="2"/>
        <w:keepNext w:val="0"/>
        <w:widowControl/>
        <w:spacing w:line="450" w:lineRule="atLeast"/>
        <w:rPr>
          <w:rFonts w:hint="eastAsia" w:asciiTheme="minorEastAsia" w:hAnsiTheme="minorEastAsia" w:eastAsiaTheme="minorEastAsia" w:cstheme="minorEastAsia"/>
          <w:color w:val="auto"/>
          <w:sz w:val="27"/>
          <w:szCs w:val="27"/>
          <w:highlight w:val="none"/>
        </w:rPr>
      </w:pPr>
    </w:p>
    <w:p w14:paraId="1D48CA10">
      <w:pPr>
        <w:pStyle w:val="2"/>
        <w:keepNext w:val="0"/>
        <w:widowControl/>
        <w:spacing w:line="450" w:lineRule="atLeast"/>
        <w:rPr>
          <w:rFonts w:hint="eastAsia" w:asciiTheme="minorEastAsia" w:hAnsiTheme="minorEastAsia" w:eastAsiaTheme="minorEastAsia" w:cstheme="minorEastAsia"/>
          <w:color w:val="auto"/>
          <w:sz w:val="27"/>
          <w:szCs w:val="27"/>
          <w:highlight w:val="none"/>
        </w:rPr>
      </w:pPr>
    </w:p>
    <w:p w14:paraId="213CD2B9">
      <w:pPr>
        <w:pStyle w:val="2"/>
        <w:keepNext w:val="0"/>
        <w:widowControl/>
        <w:spacing w:line="450" w:lineRule="atLeast"/>
        <w:rPr>
          <w:rFonts w:hint="eastAsia" w:asciiTheme="minorEastAsia" w:hAnsiTheme="minorEastAsia" w:eastAsiaTheme="minorEastAsia" w:cstheme="minorEastAsia"/>
          <w:color w:val="auto"/>
          <w:sz w:val="27"/>
          <w:szCs w:val="27"/>
          <w:highlight w:val="none"/>
        </w:rPr>
      </w:pPr>
    </w:p>
    <w:p w14:paraId="39D0F607">
      <w:pPr>
        <w:spacing w:line="360" w:lineRule="auto"/>
        <w:rPr>
          <w:rStyle w:val="34"/>
          <w:rFonts w:hint="eastAsia" w:asciiTheme="minorEastAsia" w:hAnsiTheme="minorEastAsia" w:eastAsiaTheme="minorEastAsia" w:cstheme="minorEastAsia"/>
          <w:color w:val="auto"/>
          <w:kern w:val="0"/>
          <w:sz w:val="27"/>
          <w:szCs w:val="27"/>
          <w:highlight w:val="none"/>
          <w:lang w:val="en-US" w:eastAsia="zh-CN" w:bidi="ar-SA"/>
        </w:rPr>
      </w:pPr>
    </w:p>
    <w:p w14:paraId="51E6008A">
      <w:pPr>
        <w:spacing w:line="360" w:lineRule="auto"/>
        <w:ind w:firstLine="813" w:firstLineChars="300"/>
        <w:rPr>
          <w:rStyle w:val="34"/>
          <w:rFonts w:hint="eastAsia" w:asciiTheme="minorEastAsia" w:hAnsiTheme="minorEastAsia" w:eastAsiaTheme="minorEastAsia" w:cstheme="minorEastAsia"/>
          <w:color w:val="auto"/>
          <w:kern w:val="0"/>
          <w:sz w:val="27"/>
          <w:szCs w:val="27"/>
          <w:highlight w:val="none"/>
          <w:lang w:val="en-US" w:eastAsia="zh-CN" w:bidi="ar-SA"/>
        </w:rPr>
      </w:pPr>
      <w:r>
        <w:rPr>
          <w:rStyle w:val="34"/>
          <w:rFonts w:hint="eastAsia" w:asciiTheme="minorEastAsia" w:hAnsiTheme="minorEastAsia" w:eastAsiaTheme="minorEastAsia" w:cstheme="minorEastAsia"/>
          <w:color w:val="auto"/>
          <w:kern w:val="0"/>
          <w:sz w:val="27"/>
          <w:szCs w:val="27"/>
          <w:highlight w:val="none"/>
          <w:lang w:val="en-US" w:eastAsia="zh-CN" w:bidi="ar-SA"/>
        </w:rPr>
        <w:t>一、项目基本情况</w:t>
      </w:r>
      <w:bookmarkStart w:id="157" w:name="_GoBack"/>
      <w:bookmarkEnd w:id="157"/>
    </w:p>
    <w:p w14:paraId="238F4C7F">
      <w:pPr>
        <w:spacing w:line="360" w:lineRule="auto"/>
        <w:ind w:firstLine="720" w:firstLineChars="3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项目名称：乃仁克尔乡艾勒斯特村农田机耕道建设项目</w:t>
      </w:r>
    </w:p>
    <w:p w14:paraId="1B5174C2">
      <w:pPr>
        <w:spacing w:line="360" w:lineRule="auto"/>
        <w:ind w:firstLine="720" w:firstLineChars="3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项目编号：XJTGXM-2025014</w:t>
      </w:r>
    </w:p>
    <w:p w14:paraId="7C25CED2">
      <w:pPr>
        <w:spacing w:line="360" w:lineRule="auto"/>
        <w:ind w:firstLine="720" w:firstLineChars="3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采购方式：竞争性磋商</w:t>
      </w:r>
    </w:p>
    <w:p w14:paraId="70901EED">
      <w:pPr>
        <w:spacing w:line="360" w:lineRule="auto"/>
        <w:ind w:firstLine="720" w:firstLineChars="3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预算金额（元）：900000.00元</w:t>
      </w:r>
    </w:p>
    <w:p w14:paraId="4D37E959">
      <w:pPr>
        <w:spacing w:line="360" w:lineRule="auto"/>
        <w:ind w:firstLine="720" w:firstLineChars="3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最高限价（元）：815088.08元</w:t>
      </w:r>
    </w:p>
    <w:p w14:paraId="3964211C">
      <w:pPr>
        <w:spacing w:line="360" w:lineRule="auto"/>
        <w:ind w:firstLine="720" w:firstLineChars="3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项目简要描述：新建乃仁克尔乡艾勒斯特村农田机耕道长9325.72米，其中4米宽路，长8898.4米；6米宽路，长427.32米，以及相关配套设施。</w:t>
      </w:r>
    </w:p>
    <w:p w14:paraId="2F4D952D">
      <w:pPr>
        <w:spacing w:line="360" w:lineRule="auto"/>
        <w:ind w:firstLine="720" w:firstLineChars="3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工期：</w:t>
      </w:r>
      <w:r>
        <w:rPr>
          <w:rFonts w:hint="eastAsia" w:asciiTheme="minorEastAsia" w:hAnsiTheme="minorEastAsia" w:eastAsiaTheme="minorEastAsia" w:cstheme="minorEastAsia"/>
          <w:color w:val="auto"/>
          <w:sz w:val="24"/>
          <w:szCs w:val="24"/>
          <w:highlight w:val="none"/>
          <w:lang w:val="en-US" w:eastAsia="zh-CN"/>
        </w:rPr>
        <w:t>60日历天，计划开工日期2025年7月29日，计划竣工日期2025年9月26日</w:t>
      </w:r>
      <w:r>
        <w:rPr>
          <w:rFonts w:hint="eastAsia" w:asciiTheme="minorEastAsia" w:hAnsiTheme="minorEastAsia" w:eastAsiaTheme="minorEastAsia" w:cstheme="minorEastAsia"/>
          <w:color w:val="auto"/>
          <w:sz w:val="24"/>
          <w:szCs w:val="24"/>
          <w:highlight w:val="none"/>
          <w:lang w:val="en-US" w:eastAsia="zh-CN"/>
        </w:rPr>
        <w:t>；</w:t>
      </w:r>
    </w:p>
    <w:p w14:paraId="5CD0D8F6">
      <w:pPr>
        <w:spacing w:line="360" w:lineRule="auto"/>
        <w:ind w:firstLine="720" w:firstLineChars="3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建设地点：和硕县</w:t>
      </w:r>
    </w:p>
    <w:p w14:paraId="2710199A">
      <w:pPr>
        <w:spacing w:line="360" w:lineRule="auto"/>
        <w:ind w:firstLine="720" w:firstLineChars="3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本项目（否）接受联合体投标。</w:t>
      </w:r>
    </w:p>
    <w:p w14:paraId="4B9F84BB">
      <w:pPr>
        <w:spacing w:line="360" w:lineRule="auto"/>
        <w:ind w:firstLine="813" w:firstLineChars="300"/>
        <w:rPr>
          <w:rStyle w:val="34"/>
          <w:rFonts w:hint="eastAsia" w:asciiTheme="minorEastAsia" w:hAnsiTheme="minorEastAsia" w:eastAsiaTheme="minorEastAsia" w:cstheme="minorEastAsia"/>
          <w:color w:val="auto"/>
          <w:kern w:val="0"/>
          <w:sz w:val="27"/>
          <w:szCs w:val="27"/>
          <w:highlight w:val="none"/>
          <w:lang w:val="en-US" w:eastAsia="zh-CN" w:bidi="ar-SA"/>
        </w:rPr>
      </w:pPr>
      <w:r>
        <w:rPr>
          <w:rStyle w:val="34"/>
          <w:rFonts w:hint="eastAsia" w:asciiTheme="minorEastAsia" w:hAnsiTheme="minorEastAsia" w:eastAsiaTheme="minorEastAsia" w:cstheme="minorEastAsia"/>
          <w:color w:val="auto"/>
          <w:kern w:val="0"/>
          <w:sz w:val="27"/>
          <w:szCs w:val="27"/>
          <w:highlight w:val="none"/>
          <w:lang w:val="en-US" w:eastAsia="zh-CN" w:bidi="ar-SA"/>
        </w:rPr>
        <w:t>二、申请人的资格要求：</w:t>
      </w:r>
    </w:p>
    <w:p w14:paraId="1BA9CC57">
      <w:pPr>
        <w:spacing w:line="360" w:lineRule="auto"/>
        <w:ind w:firstLine="723" w:firstLineChars="3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1、本项目基本资格要求：</w:t>
      </w:r>
    </w:p>
    <w:p w14:paraId="0C5D1DFF">
      <w:pPr>
        <w:spacing w:line="360" w:lineRule="auto"/>
        <w:ind w:firstLine="720" w:firstLineChars="3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（1）满足《中华人民共和国政府采购法》第二十二条规定；</w:t>
      </w:r>
    </w:p>
    <w:p w14:paraId="2069BCCB">
      <w:pPr>
        <w:spacing w:line="360" w:lineRule="auto"/>
        <w:ind w:left="479" w:leftChars="228" w:firstLine="240" w:firstLineChars="1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r>
        <w:rPr>
          <w:rFonts w:hint="default" w:ascii="宋体" w:hAnsi="宋体" w:eastAsia="宋体" w:cs="宋体"/>
          <w:color w:val="auto"/>
          <w:kern w:val="0"/>
          <w:sz w:val="24"/>
          <w:szCs w:val="24"/>
          <w:highlight w:val="none"/>
          <w:lang w:val="en-US" w:eastAsia="zh-CN"/>
        </w:rPr>
        <w:t>单位负责人为同一人或者存在直接控股、管理关系的不同供应商，不得参加同一合同项下的政府采购活动。除单一来源采购项目外，</w:t>
      </w:r>
      <w:r>
        <w:rPr>
          <w:rFonts w:hint="eastAsia" w:ascii="宋体" w:hAnsi="宋体" w:eastAsia="宋体" w:cs="宋体"/>
          <w:color w:val="auto"/>
          <w:kern w:val="0"/>
          <w:sz w:val="24"/>
          <w:szCs w:val="24"/>
          <w:highlight w:val="none"/>
          <w:lang w:val="en-US" w:eastAsia="zh-CN"/>
        </w:rPr>
        <w:t>为采购项目提供整体设计、规范编制或者项目管理、监理、检测等服务的供应商，不得再参加该采购项目的其他采购活动。</w:t>
      </w:r>
    </w:p>
    <w:p w14:paraId="62CA4D5F">
      <w:pPr>
        <w:numPr>
          <w:ilvl w:val="0"/>
          <w:numId w:val="0"/>
        </w:numPr>
        <w:spacing w:line="360" w:lineRule="auto"/>
        <w:ind w:left="479" w:leftChars="228" w:firstLine="240" w:firstLineChars="10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zh-CN" w:eastAsia="zh-CN"/>
        </w:rPr>
        <w:t>经信用中国（www.creditchina.gov.cn）、中国政府采购网（www.ccgp.gov.cn）等渠道查询后，列入失信被执行人、重大税收违法案件当事人名单、政府采购严重违法失信行为记录名单的，取消投标资格（提供网站无任何不良记录的查询截图并加盖公章，时间为自招标公告发布日期起至开标日期止；</w:t>
      </w:r>
      <w:r>
        <w:rPr>
          <w:rFonts w:hint="eastAsia" w:ascii="宋体" w:hAnsi="宋体" w:eastAsia="宋体" w:cs="宋体"/>
          <w:color w:val="auto"/>
          <w:kern w:val="0"/>
          <w:sz w:val="24"/>
          <w:szCs w:val="24"/>
          <w:highlight w:val="none"/>
          <w:lang w:val="en-US" w:eastAsia="zh-CN"/>
        </w:rPr>
        <w:t>开标时，以网上查询记录为准</w:t>
      </w:r>
      <w:r>
        <w:rPr>
          <w:rFonts w:hint="eastAsia" w:ascii="宋体" w:hAnsi="宋体" w:eastAsia="宋体" w:cs="宋体"/>
          <w:color w:val="auto"/>
          <w:kern w:val="0"/>
          <w:sz w:val="24"/>
          <w:szCs w:val="24"/>
          <w:highlight w:val="none"/>
          <w:lang w:val="zh-CN" w:eastAsia="zh-CN"/>
        </w:rPr>
        <w:t>）；</w:t>
      </w:r>
    </w:p>
    <w:p w14:paraId="69EFA235">
      <w:pPr>
        <w:spacing w:line="360" w:lineRule="auto"/>
        <w:ind w:firstLine="720" w:firstLineChars="300"/>
        <w:rPr>
          <w:rFonts w:hint="default" w:eastAsiaTheme="minorEastAsia"/>
          <w:color w:val="auto"/>
          <w:highlight w:val="none"/>
          <w:lang w:val="en-US" w:eastAsia="zh-CN"/>
        </w:rPr>
      </w:pPr>
      <w:r>
        <w:rPr>
          <w:rFonts w:hint="eastAsia" w:ascii="宋体" w:hAnsi="宋体" w:eastAsia="宋体" w:cs="宋体"/>
          <w:color w:val="auto"/>
          <w:kern w:val="0"/>
          <w:sz w:val="24"/>
          <w:szCs w:val="24"/>
          <w:highlight w:val="none"/>
          <w:lang w:val="zh-CN" w:eastAsia="zh-CN"/>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zh-CN" w:eastAsia="zh-CN"/>
        </w:rPr>
        <w:t>）</w:t>
      </w:r>
      <w:r>
        <w:rPr>
          <w:rFonts w:hint="eastAsia" w:asciiTheme="minorEastAsia" w:hAnsiTheme="minorEastAsia" w:eastAsiaTheme="minorEastAsia" w:cstheme="minorEastAsia"/>
          <w:color w:val="auto"/>
          <w:sz w:val="24"/>
          <w:szCs w:val="24"/>
          <w:highlight w:val="none"/>
          <w:lang w:val="en-US" w:eastAsia="zh-CN"/>
        </w:rPr>
        <w:t>本项目不接受联合体投标。</w:t>
      </w:r>
    </w:p>
    <w:p w14:paraId="70F51393">
      <w:pPr>
        <w:spacing w:line="360" w:lineRule="auto"/>
        <w:rPr>
          <w:rFonts w:hint="eastAsia" w:ascii="宋体" w:hAnsi="宋体" w:eastAsia="宋体" w:cs="宋体"/>
          <w:color w:val="auto"/>
          <w:kern w:val="0"/>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2、落实政府采购政策需满足的资格要求：</w:t>
      </w:r>
      <w:r>
        <w:rPr>
          <w:rFonts w:hint="eastAsia" w:ascii="宋体" w:hAnsi="宋体" w:eastAsia="宋体" w:cs="宋体"/>
          <w:color w:val="auto"/>
          <w:kern w:val="0"/>
          <w:sz w:val="24"/>
          <w:szCs w:val="24"/>
          <w:highlight w:val="none"/>
          <w:lang w:val="zh-CN" w:eastAsia="zh-CN"/>
        </w:rPr>
        <w:t>本项目专门面</w:t>
      </w:r>
      <w:r>
        <w:rPr>
          <w:rFonts w:hint="eastAsia" w:ascii="宋体" w:hAnsi="宋体" w:eastAsia="宋体" w:cs="宋体"/>
          <w:color w:val="auto"/>
          <w:kern w:val="0"/>
          <w:sz w:val="24"/>
          <w:szCs w:val="24"/>
          <w:highlight w:val="none"/>
          <w:lang w:val="en-US" w:eastAsia="zh-CN"/>
        </w:rPr>
        <w:t>向</w:t>
      </w:r>
      <w:r>
        <w:rPr>
          <w:rFonts w:hint="eastAsia" w:ascii="宋体" w:hAnsi="宋体" w:cs="宋体"/>
          <w:color w:val="auto"/>
          <w:kern w:val="0"/>
          <w:sz w:val="24"/>
          <w:szCs w:val="24"/>
          <w:highlight w:val="none"/>
          <w:lang w:val="en-US" w:eastAsia="zh-CN"/>
        </w:rPr>
        <w:t>小微</w:t>
      </w:r>
      <w:r>
        <w:rPr>
          <w:rFonts w:hint="eastAsia" w:ascii="宋体" w:hAnsi="宋体" w:eastAsia="宋体" w:cs="宋体"/>
          <w:color w:val="auto"/>
          <w:kern w:val="0"/>
          <w:sz w:val="24"/>
          <w:szCs w:val="24"/>
          <w:highlight w:val="none"/>
          <w:lang w:val="zh-CN" w:eastAsia="zh-CN"/>
        </w:rPr>
        <w:t>企业采购（</w:t>
      </w:r>
      <w:r>
        <w:rPr>
          <w:rFonts w:hint="eastAsia" w:ascii="宋体" w:hAnsi="宋体" w:cs="宋体"/>
          <w:color w:val="auto"/>
          <w:kern w:val="0"/>
          <w:sz w:val="24"/>
          <w:szCs w:val="24"/>
          <w:highlight w:val="none"/>
          <w:lang w:val="en-US" w:eastAsia="zh-CN"/>
        </w:rPr>
        <w:t>小微</w:t>
      </w:r>
      <w:r>
        <w:rPr>
          <w:rFonts w:hint="eastAsia" w:ascii="宋体" w:hAnsi="宋体" w:eastAsia="宋体" w:cs="宋体"/>
          <w:color w:val="auto"/>
          <w:kern w:val="0"/>
          <w:sz w:val="24"/>
          <w:szCs w:val="24"/>
          <w:highlight w:val="none"/>
          <w:lang w:val="en-US" w:eastAsia="zh-CN"/>
        </w:rPr>
        <w:t>企业预留100%</w:t>
      </w:r>
      <w:r>
        <w:rPr>
          <w:rFonts w:hint="eastAsia" w:ascii="宋体" w:hAnsi="宋体" w:eastAsia="宋体" w:cs="宋体"/>
          <w:color w:val="auto"/>
          <w:kern w:val="0"/>
          <w:sz w:val="24"/>
          <w:szCs w:val="24"/>
          <w:highlight w:val="none"/>
          <w:lang w:val="zh-CN" w:eastAsia="zh-CN"/>
        </w:rPr>
        <w:t>）</w:t>
      </w:r>
      <w:r>
        <w:rPr>
          <w:rFonts w:hint="eastAsia" w:ascii="宋体" w:hAnsi="宋体" w:eastAsia="宋体" w:cs="宋体"/>
          <w:color w:val="auto"/>
          <w:kern w:val="0"/>
          <w:sz w:val="24"/>
          <w:szCs w:val="24"/>
          <w:highlight w:val="none"/>
          <w:lang w:val="zh-CN" w:eastAsia="zh-CN"/>
        </w:rPr>
        <w:t>；</w:t>
      </w:r>
    </w:p>
    <w:p w14:paraId="559C26E2">
      <w:pPr>
        <w:numPr>
          <w:ilvl w:val="0"/>
          <w:numId w:val="0"/>
        </w:numPr>
        <w:spacing w:line="360" w:lineRule="auto"/>
        <w:ind w:leftChars="0" w:firstLine="720" w:firstLine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）《政府采购促进中小企业发展管理办法》（财库[2020]46号文）；</w:t>
      </w:r>
    </w:p>
    <w:p w14:paraId="52295646">
      <w:pPr>
        <w:numPr>
          <w:ilvl w:val="0"/>
          <w:numId w:val="0"/>
        </w:numPr>
        <w:spacing w:line="360" w:lineRule="auto"/>
        <w:ind w:leftChars="0" w:firstLine="720" w:firstLine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zh-CN" w:eastAsia="zh-CN"/>
        </w:rPr>
        <w:t>）</w:t>
      </w:r>
      <w:r>
        <w:rPr>
          <w:rFonts w:hint="eastAsia" w:ascii="宋体" w:hAnsi="宋体" w:eastAsia="宋体" w:cs="宋体"/>
          <w:color w:val="auto"/>
          <w:kern w:val="0"/>
          <w:sz w:val="24"/>
          <w:szCs w:val="24"/>
          <w:highlight w:val="none"/>
          <w:lang w:val="zh-CN" w:eastAsia="zh-CN"/>
        </w:rPr>
        <w:t>《关于落实好政府采购支持中小企业发展的通知》（新财购〔2022〕22号）；</w:t>
      </w:r>
    </w:p>
    <w:p w14:paraId="668D8015">
      <w:pPr>
        <w:numPr>
          <w:ilvl w:val="0"/>
          <w:numId w:val="0"/>
        </w:numPr>
        <w:spacing w:line="360" w:lineRule="auto"/>
        <w:ind w:left="479" w:leftChars="228" w:firstLine="240" w:firstLineChars="100"/>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kern w:val="0"/>
          <w:sz w:val="24"/>
          <w:szCs w:val="24"/>
          <w:highlight w:val="none"/>
          <w:lang w:val="zh-CN" w:eastAsia="zh-CN"/>
        </w:rPr>
        <w:t>（</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zh-CN" w:eastAsia="zh-CN"/>
        </w:rPr>
        <w:t>）财政部关于进一步加大政府采购支持中小企业力度的通知（财库[2022]19号）</w:t>
      </w:r>
      <w:r>
        <w:rPr>
          <w:rFonts w:hint="eastAsia" w:ascii="宋体" w:hAnsi="宋体" w:cs="宋体"/>
          <w:color w:val="auto"/>
          <w:kern w:val="0"/>
          <w:sz w:val="24"/>
          <w:szCs w:val="24"/>
          <w:highlight w:val="none"/>
          <w:lang w:val="zh-CN" w:eastAsia="zh-CN"/>
        </w:rPr>
        <w:t>；</w:t>
      </w:r>
    </w:p>
    <w:p w14:paraId="59706BCB">
      <w:pPr>
        <w:numPr>
          <w:ilvl w:val="0"/>
          <w:numId w:val="0"/>
        </w:numPr>
        <w:spacing w:line="360" w:lineRule="auto"/>
        <w:ind w:left="479" w:leftChars="228" w:firstLine="240" w:firstLineChars="10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zh-CN" w:eastAsia="zh-CN"/>
        </w:rPr>
        <w:t>）</w:t>
      </w:r>
      <w:r>
        <w:rPr>
          <w:rFonts w:hint="eastAsia" w:asciiTheme="minorEastAsia" w:hAnsiTheme="minorEastAsia" w:eastAsiaTheme="minorEastAsia" w:cstheme="minorEastAsia"/>
          <w:color w:val="auto"/>
          <w:sz w:val="24"/>
          <w:szCs w:val="24"/>
          <w:highlight w:val="none"/>
        </w:rPr>
        <w:t>财政部、司法部《关于政府采购支持监狱企业发展有关问题的通知》（财库[2014]68号文）。</w:t>
      </w:r>
    </w:p>
    <w:p w14:paraId="75A3F7FD">
      <w:pPr>
        <w:spacing w:line="360" w:lineRule="auto"/>
        <w:ind w:left="477" w:leftChars="227"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）财政部、民政部、中国残疾人联合会《关于促进残疾人就业政府采购政策的通知》（财库[2017]141号）；</w:t>
      </w:r>
    </w:p>
    <w:p w14:paraId="15A7CE46">
      <w:pPr>
        <w:spacing w:line="360" w:lineRule="auto"/>
        <w:ind w:left="237" w:leftChars="113" w:firstLine="241" w:firstLineChars="1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3、本项目特定资格要求：</w:t>
      </w:r>
    </w:p>
    <w:p w14:paraId="7D3026BE">
      <w:pPr>
        <w:spacing w:line="360" w:lineRule="auto"/>
        <w:ind w:left="239" w:leftChars="114" w:firstLine="240" w:firstLineChars="1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（1）施工企业资格要求：</w:t>
      </w:r>
      <w:r>
        <w:rPr>
          <w:rFonts w:hint="eastAsia" w:asciiTheme="minorEastAsia" w:hAnsiTheme="minorEastAsia" w:eastAsiaTheme="minorEastAsia" w:cstheme="minorEastAsia"/>
          <w:color w:val="auto"/>
          <w:sz w:val="24"/>
          <w:szCs w:val="24"/>
          <w:highlight w:val="none"/>
          <w:lang w:val="en-US" w:eastAsia="zh-CN"/>
        </w:rPr>
        <w:t>具备水利水电工程施工总承包叁级及以上资质，具有有效的安全生产许可证，并在人员、设备、资金等方面具有相应的施工能力</w:t>
      </w:r>
      <w:r>
        <w:rPr>
          <w:rFonts w:hint="eastAsia" w:asciiTheme="minorEastAsia" w:hAnsiTheme="minorEastAsia" w:eastAsiaTheme="minorEastAsia" w:cstheme="minorEastAsia"/>
          <w:color w:val="auto"/>
          <w:sz w:val="24"/>
          <w:szCs w:val="24"/>
          <w:highlight w:val="none"/>
          <w:lang w:val="en-US" w:eastAsia="zh-CN"/>
        </w:rPr>
        <w:t>。</w:t>
      </w:r>
    </w:p>
    <w:p w14:paraId="0573F089">
      <w:pPr>
        <w:spacing w:line="360" w:lineRule="auto"/>
        <w:ind w:left="239" w:leftChars="114" w:firstLine="240" w:firstLineChars="100"/>
        <w:rPr>
          <w:rFonts w:hint="eastAsia" w:ascii="宋体" w:hAnsi="宋体" w:eastAsia="宋体" w:cs="宋体"/>
          <w:i w:val="0"/>
          <w:iCs w:val="0"/>
          <w:caps w:val="0"/>
          <w:color w:val="auto"/>
          <w:spacing w:val="0"/>
          <w:kern w:val="0"/>
          <w:sz w:val="24"/>
          <w:szCs w:val="24"/>
          <w:highlight w:val="none"/>
          <w:lang w:val="en-US" w:eastAsia="zh-CN" w:bidi="ar-SA"/>
        </w:rPr>
      </w:pPr>
      <w:r>
        <w:rPr>
          <w:rFonts w:hint="eastAsia" w:ascii="宋体" w:hAnsi="宋体" w:eastAsia="宋体" w:cs="宋体"/>
          <w:i w:val="0"/>
          <w:iCs w:val="0"/>
          <w:caps w:val="0"/>
          <w:color w:val="auto"/>
          <w:spacing w:val="0"/>
          <w:kern w:val="0"/>
          <w:sz w:val="24"/>
          <w:szCs w:val="24"/>
          <w:highlight w:val="none"/>
          <w:lang w:val="en-US" w:eastAsia="zh-CN" w:bidi="ar-SA"/>
        </w:rPr>
        <w:t>（2）项目负责人资格要求：拟派的项目负责人（项目经理）需具备</w:t>
      </w:r>
      <w:r>
        <w:rPr>
          <w:rFonts w:hint="eastAsia" w:ascii="宋体" w:hAnsi="宋体" w:cs="宋体"/>
          <w:i w:val="0"/>
          <w:iCs w:val="0"/>
          <w:caps w:val="0"/>
          <w:color w:val="auto"/>
          <w:spacing w:val="0"/>
          <w:kern w:val="0"/>
          <w:sz w:val="24"/>
          <w:szCs w:val="24"/>
          <w:highlight w:val="none"/>
          <w:lang w:val="en-US" w:eastAsia="zh-CN" w:bidi="ar-SA"/>
        </w:rPr>
        <w:t>水利水电二级及以上注册建造师执业资格证书</w:t>
      </w:r>
      <w:r>
        <w:rPr>
          <w:rFonts w:hint="eastAsia" w:ascii="宋体" w:hAnsi="宋体" w:eastAsia="宋体" w:cs="宋体"/>
          <w:i w:val="0"/>
          <w:iCs w:val="0"/>
          <w:caps w:val="0"/>
          <w:color w:val="auto"/>
          <w:spacing w:val="0"/>
          <w:kern w:val="0"/>
          <w:sz w:val="24"/>
          <w:szCs w:val="24"/>
          <w:highlight w:val="none"/>
          <w:lang w:val="en-US" w:eastAsia="zh-CN" w:bidi="ar-SA"/>
        </w:rPr>
        <w:t>，具备有效的安全生产考核合格证书（B类），未担任其他在建工程项目的项目经理。</w:t>
      </w:r>
    </w:p>
    <w:p w14:paraId="5F7B8562">
      <w:pPr>
        <w:spacing w:line="360" w:lineRule="auto"/>
        <w:ind w:firstLine="271" w:firstLineChars="100"/>
        <w:rPr>
          <w:rStyle w:val="34"/>
          <w:rFonts w:hint="eastAsia" w:asciiTheme="minorEastAsia" w:hAnsiTheme="minorEastAsia" w:eastAsiaTheme="minorEastAsia" w:cstheme="minorEastAsia"/>
          <w:color w:val="auto"/>
          <w:kern w:val="0"/>
          <w:sz w:val="27"/>
          <w:szCs w:val="27"/>
          <w:highlight w:val="none"/>
          <w:lang w:val="en-US" w:eastAsia="zh-CN" w:bidi="ar-SA"/>
        </w:rPr>
      </w:pPr>
      <w:r>
        <w:rPr>
          <w:rStyle w:val="34"/>
          <w:rFonts w:hint="eastAsia" w:asciiTheme="minorEastAsia" w:hAnsiTheme="minorEastAsia" w:eastAsiaTheme="minorEastAsia" w:cstheme="minorEastAsia"/>
          <w:color w:val="auto"/>
          <w:kern w:val="0"/>
          <w:sz w:val="27"/>
          <w:szCs w:val="27"/>
          <w:highlight w:val="none"/>
          <w:lang w:val="en-US" w:eastAsia="zh-CN" w:bidi="ar-SA"/>
        </w:rPr>
        <w:t>三、获取采购文件</w:t>
      </w:r>
    </w:p>
    <w:p w14:paraId="13CA4F7B">
      <w:pPr>
        <w:spacing w:line="360" w:lineRule="auto"/>
        <w:ind w:left="239" w:leftChars="114" w:firstLine="240" w:firstLineChars="100"/>
        <w:rPr>
          <w:rFonts w:hint="eastAsia" w:ascii="宋体" w:hAnsi="宋体" w:eastAsia="宋体" w:cs="宋体"/>
          <w:i w:val="0"/>
          <w:iCs w:val="0"/>
          <w:caps w:val="0"/>
          <w:color w:val="auto"/>
          <w:spacing w:val="0"/>
          <w:kern w:val="0"/>
          <w:sz w:val="24"/>
          <w:szCs w:val="24"/>
          <w:highlight w:val="none"/>
          <w:lang w:val="en-US" w:eastAsia="zh-CN" w:bidi="ar-SA"/>
        </w:rPr>
      </w:pPr>
      <w:r>
        <w:rPr>
          <w:rFonts w:hint="eastAsia" w:ascii="宋体" w:hAnsi="宋体" w:eastAsia="宋体" w:cs="宋体"/>
          <w:i w:val="0"/>
          <w:iCs w:val="0"/>
          <w:caps w:val="0"/>
          <w:color w:val="auto"/>
          <w:spacing w:val="0"/>
          <w:kern w:val="0"/>
          <w:sz w:val="24"/>
          <w:szCs w:val="24"/>
          <w:highlight w:val="none"/>
          <w:lang w:val="en-US" w:eastAsia="zh-CN" w:bidi="ar-SA"/>
        </w:rPr>
        <w:t>时间：</w:t>
      </w:r>
      <w:r>
        <w:rPr>
          <w:rFonts w:hint="eastAsia" w:ascii="宋体" w:hAnsi="宋体" w:eastAsia="宋体" w:cs="宋体"/>
          <w:i w:val="0"/>
          <w:iCs w:val="0"/>
          <w:caps w:val="0"/>
          <w:color w:val="auto"/>
          <w:spacing w:val="0"/>
          <w:kern w:val="0"/>
          <w:sz w:val="24"/>
          <w:szCs w:val="24"/>
          <w:highlight w:val="none"/>
          <w:lang w:val="en-US" w:eastAsia="zh-CN" w:bidi="ar-SA"/>
        </w:rPr>
        <w:t>2025年</w:t>
      </w:r>
      <w:r>
        <w:rPr>
          <w:rFonts w:hint="eastAsia" w:ascii="宋体" w:hAnsi="宋体" w:cs="宋体"/>
          <w:i w:val="0"/>
          <w:iCs w:val="0"/>
          <w:caps w:val="0"/>
          <w:color w:val="auto"/>
          <w:spacing w:val="0"/>
          <w:kern w:val="0"/>
          <w:sz w:val="24"/>
          <w:szCs w:val="24"/>
          <w:highlight w:val="none"/>
          <w:lang w:val="en-US" w:eastAsia="zh-CN" w:bidi="ar-SA"/>
        </w:rPr>
        <w:t>7</w:t>
      </w:r>
      <w:r>
        <w:rPr>
          <w:rFonts w:hint="eastAsia" w:ascii="宋体" w:hAnsi="宋体" w:eastAsia="宋体" w:cs="宋体"/>
          <w:i w:val="0"/>
          <w:iCs w:val="0"/>
          <w:caps w:val="0"/>
          <w:color w:val="auto"/>
          <w:spacing w:val="0"/>
          <w:kern w:val="0"/>
          <w:sz w:val="24"/>
          <w:szCs w:val="24"/>
          <w:highlight w:val="none"/>
          <w:lang w:val="en-US" w:eastAsia="zh-CN" w:bidi="ar-SA"/>
        </w:rPr>
        <w:t>月</w:t>
      </w:r>
      <w:r>
        <w:rPr>
          <w:rFonts w:hint="eastAsia" w:ascii="宋体" w:hAnsi="宋体" w:cs="宋体"/>
          <w:i w:val="0"/>
          <w:iCs w:val="0"/>
          <w:caps w:val="0"/>
          <w:color w:val="auto"/>
          <w:spacing w:val="0"/>
          <w:kern w:val="0"/>
          <w:sz w:val="24"/>
          <w:szCs w:val="24"/>
          <w:highlight w:val="none"/>
          <w:lang w:val="en-US" w:eastAsia="zh-CN" w:bidi="ar-SA"/>
        </w:rPr>
        <w:t>15</w:t>
      </w:r>
      <w:r>
        <w:rPr>
          <w:rFonts w:hint="eastAsia" w:ascii="宋体" w:hAnsi="宋体" w:eastAsia="宋体" w:cs="宋体"/>
          <w:i w:val="0"/>
          <w:iCs w:val="0"/>
          <w:caps w:val="0"/>
          <w:color w:val="auto"/>
          <w:spacing w:val="0"/>
          <w:kern w:val="0"/>
          <w:sz w:val="24"/>
          <w:szCs w:val="24"/>
          <w:highlight w:val="none"/>
          <w:lang w:val="en-US" w:eastAsia="zh-CN" w:bidi="ar-SA"/>
        </w:rPr>
        <w:t>日至2025年</w:t>
      </w:r>
      <w:r>
        <w:rPr>
          <w:rFonts w:hint="eastAsia" w:ascii="宋体" w:hAnsi="宋体" w:cs="宋体"/>
          <w:i w:val="0"/>
          <w:iCs w:val="0"/>
          <w:caps w:val="0"/>
          <w:color w:val="auto"/>
          <w:spacing w:val="0"/>
          <w:kern w:val="0"/>
          <w:sz w:val="24"/>
          <w:szCs w:val="24"/>
          <w:highlight w:val="none"/>
          <w:lang w:val="en-US" w:eastAsia="zh-CN" w:bidi="ar-SA"/>
        </w:rPr>
        <w:t>7</w:t>
      </w:r>
      <w:r>
        <w:rPr>
          <w:rFonts w:hint="eastAsia" w:ascii="宋体" w:hAnsi="宋体" w:eastAsia="宋体" w:cs="宋体"/>
          <w:i w:val="0"/>
          <w:iCs w:val="0"/>
          <w:caps w:val="0"/>
          <w:color w:val="auto"/>
          <w:spacing w:val="0"/>
          <w:kern w:val="0"/>
          <w:sz w:val="24"/>
          <w:szCs w:val="24"/>
          <w:highlight w:val="none"/>
          <w:lang w:val="en-US" w:eastAsia="zh-CN" w:bidi="ar-SA"/>
        </w:rPr>
        <w:t>月</w:t>
      </w:r>
      <w:r>
        <w:rPr>
          <w:rFonts w:hint="eastAsia" w:ascii="宋体" w:hAnsi="宋体" w:cs="宋体"/>
          <w:i w:val="0"/>
          <w:iCs w:val="0"/>
          <w:caps w:val="0"/>
          <w:color w:val="auto"/>
          <w:spacing w:val="0"/>
          <w:kern w:val="0"/>
          <w:sz w:val="24"/>
          <w:szCs w:val="24"/>
          <w:highlight w:val="none"/>
          <w:lang w:val="en-US" w:eastAsia="zh-CN" w:bidi="ar-SA"/>
        </w:rPr>
        <w:t>22</w:t>
      </w:r>
      <w:r>
        <w:rPr>
          <w:rFonts w:hint="eastAsia" w:ascii="宋体" w:hAnsi="宋体" w:eastAsia="宋体" w:cs="宋体"/>
          <w:i w:val="0"/>
          <w:iCs w:val="0"/>
          <w:caps w:val="0"/>
          <w:color w:val="auto"/>
          <w:spacing w:val="0"/>
          <w:kern w:val="0"/>
          <w:sz w:val="24"/>
          <w:szCs w:val="24"/>
          <w:highlight w:val="none"/>
          <w:lang w:val="en-US" w:eastAsia="zh-CN" w:bidi="ar-SA"/>
        </w:rPr>
        <w:t>日</w:t>
      </w:r>
      <w:r>
        <w:rPr>
          <w:rFonts w:hint="eastAsia" w:ascii="宋体" w:hAnsi="宋体" w:eastAsia="宋体" w:cs="宋体"/>
          <w:i w:val="0"/>
          <w:iCs w:val="0"/>
          <w:caps w:val="0"/>
          <w:color w:val="auto"/>
          <w:spacing w:val="0"/>
          <w:kern w:val="0"/>
          <w:sz w:val="24"/>
          <w:szCs w:val="24"/>
          <w:highlight w:val="none"/>
          <w:lang w:val="en-US" w:eastAsia="zh-CN" w:bidi="ar-SA"/>
        </w:rPr>
        <w:t>，每天上午</w:t>
      </w:r>
      <w:r>
        <w:rPr>
          <w:rFonts w:hint="eastAsia" w:ascii="宋体" w:hAnsi="宋体" w:cs="宋体"/>
          <w:i w:val="0"/>
          <w:iCs w:val="0"/>
          <w:caps w:val="0"/>
          <w:color w:val="auto"/>
          <w:spacing w:val="0"/>
          <w:kern w:val="0"/>
          <w:sz w:val="24"/>
          <w:szCs w:val="24"/>
          <w:highlight w:val="none"/>
          <w:lang w:val="en-US" w:eastAsia="zh-CN" w:bidi="ar-SA"/>
        </w:rPr>
        <w:t>00</w:t>
      </w:r>
      <w:r>
        <w:rPr>
          <w:rFonts w:hint="eastAsia" w:ascii="宋体" w:hAnsi="宋体" w:eastAsia="宋体" w:cs="宋体"/>
          <w:i w:val="0"/>
          <w:iCs w:val="0"/>
          <w:caps w:val="0"/>
          <w:color w:val="auto"/>
          <w:spacing w:val="0"/>
          <w:kern w:val="0"/>
          <w:sz w:val="24"/>
          <w:szCs w:val="24"/>
          <w:highlight w:val="none"/>
          <w:lang w:val="en-US" w:eastAsia="zh-CN" w:bidi="ar-SA"/>
        </w:rPr>
        <w:t>:00至14:00，下午1</w:t>
      </w:r>
      <w:r>
        <w:rPr>
          <w:rFonts w:hint="eastAsia" w:ascii="宋体" w:hAnsi="宋体" w:cs="宋体"/>
          <w:i w:val="0"/>
          <w:iCs w:val="0"/>
          <w:caps w:val="0"/>
          <w:color w:val="auto"/>
          <w:spacing w:val="0"/>
          <w:kern w:val="0"/>
          <w:sz w:val="24"/>
          <w:szCs w:val="24"/>
          <w:highlight w:val="none"/>
          <w:lang w:val="en-US" w:eastAsia="zh-CN" w:bidi="ar-SA"/>
        </w:rPr>
        <w:t>4</w:t>
      </w:r>
      <w:r>
        <w:rPr>
          <w:rFonts w:hint="eastAsia" w:ascii="宋体" w:hAnsi="宋体" w:eastAsia="宋体" w:cs="宋体"/>
          <w:i w:val="0"/>
          <w:iCs w:val="0"/>
          <w:caps w:val="0"/>
          <w:color w:val="auto"/>
          <w:spacing w:val="0"/>
          <w:kern w:val="0"/>
          <w:sz w:val="24"/>
          <w:szCs w:val="24"/>
          <w:highlight w:val="none"/>
          <w:lang w:val="en-US" w:eastAsia="zh-CN" w:bidi="ar-SA"/>
        </w:rPr>
        <w:t>:00至</w:t>
      </w:r>
      <w:r>
        <w:rPr>
          <w:rFonts w:hint="eastAsia" w:ascii="宋体" w:hAnsi="宋体" w:cs="宋体"/>
          <w:i w:val="0"/>
          <w:iCs w:val="0"/>
          <w:caps w:val="0"/>
          <w:color w:val="auto"/>
          <w:spacing w:val="0"/>
          <w:kern w:val="0"/>
          <w:sz w:val="24"/>
          <w:szCs w:val="24"/>
          <w:highlight w:val="none"/>
          <w:lang w:val="en-US" w:eastAsia="zh-CN" w:bidi="ar-SA"/>
        </w:rPr>
        <w:t>23</w:t>
      </w:r>
      <w:r>
        <w:rPr>
          <w:rFonts w:hint="eastAsia" w:ascii="宋体" w:hAnsi="宋体" w:eastAsia="宋体" w:cs="宋体"/>
          <w:i w:val="0"/>
          <w:iCs w:val="0"/>
          <w:caps w:val="0"/>
          <w:color w:val="auto"/>
          <w:spacing w:val="0"/>
          <w:kern w:val="0"/>
          <w:sz w:val="24"/>
          <w:szCs w:val="24"/>
          <w:highlight w:val="none"/>
          <w:lang w:val="en-US" w:eastAsia="zh-CN" w:bidi="ar-SA"/>
        </w:rPr>
        <w:t>:</w:t>
      </w:r>
      <w:r>
        <w:rPr>
          <w:rFonts w:hint="eastAsia" w:ascii="宋体" w:hAnsi="宋体" w:cs="宋体"/>
          <w:i w:val="0"/>
          <w:iCs w:val="0"/>
          <w:caps w:val="0"/>
          <w:color w:val="auto"/>
          <w:spacing w:val="0"/>
          <w:kern w:val="0"/>
          <w:sz w:val="24"/>
          <w:szCs w:val="24"/>
          <w:highlight w:val="none"/>
          <w:lang w:val="en-US" w:eastAsia="zh-CN" w:bidi="ar-SA"/>
        </w:rPr>
        <w:t>59</w:t>
      </w:r>
      <w:r>
        <w:rPr>
          <w:rFonts w:hint="eastAsia" w:ascii="宋体" w:hAnsi="宋体" w:eastAsia="宋体" w:cs="宋体"/>
          <w:i w:val="0"/>
          <w:iCs w:val="0"/>
          <w:caps w:val="0"/>
          <w:color w:val="auto"/>
          <w:spacing w:val="0"/>
          <w:kern w:val="0"/>
          <w:sz w:val="24"/>
          <w:szCs w:val="24"/>
          <w:highlight w:val="none"/>
          <w:lang w:val="en-US" w:eastAsia="zh-CN" w:bidi="ar-SA"/>
        </w:rPr>
        <w:t>（北京时间，法定节假日除外）</w:t>
      </w:r>
    </w:p>
    <w:p w14:paraId="5FD9CB37">
      <w:pPr>
        <w:spacing w:line="360" w:lineRule="auto"/>
        <w:ind w:left="239" w:leftChars="114" w:firstLine="240" w:firstLineChars="100"/>
        <w:rPr>
          <w:rFonts w:hint="eastAsia" w:ascii="宋体" w:hAnsi="宋体" w:eastAsia="宋体" w:cs="宋体"/>
          <w:i w:val="0"/>
          <w:iCs w:val="0"/>
          <w:caps w:val="0"/>
          <w:color w:val="auto"/>
          <w:spacing w:val="0"/>
          <w:kern w:val="0"/>
          <w:sz w:val="24"/>
          <w:szCs w:val="24"/>
          <w:highlight w:val="none"/>
          <w:lang w:val="en-US" w:eastAsia="zh-CN" w:bidi="ar-SA"/>
        </w:rPr>
      </w:pPr>
      <w:r>
        <w:rPr>
          <w:rFonts w:hint="eastAsia" w:ascii="宋体" w:hAnsi="宋体" w:eastAsia="宋体" w:cs="宋体"/>
          <w:i w:val="0"/>
          <w:iCs w:val="0"/>
          <w:caps w:val="0"/>
          <w:color w:val="auto"/>
          <w:spacing w:val="0"/>
          <w:kern w:val="0"/>
          <w:sz w:val="24"/>
          <w:szCs w:val="24"/>
          <w:highlight w:val="none"/>
          <w:lang w:val="en-US" w:eastAsia="zh-CN" w:bidi="ar-SA"/>
        </w:rPr>
        <w:t>地点：政采云平台</w:t>
      </w:r>
    </w:p>
    <w:p w14:paraId="67BD8D07">
      <w:pPr>
        <w:spacing w:line="360" w:lineRule="auto"/>
        <w:ind w:left="239" w:leftChars="114" w:firstLine="240" w:firstLineChars="100"/>
        <w:rPr>
          <w:rFonts w:hint="eastAsia" w:ascii="宋体" w:hAnsi="宋体" w:eastAsia="宋体" w:cs="宋体"/>
          <w:i w:val="0"/>
          <w:iCs w:val="0"/>
          <w:caps w:val="0"/>
          <w:color w:val="auto"/>
          <w:spacing w:val="0"/>
          <w:kern w:val="0"/>
          <w:sz w:val="24"/>
          <w:szCs w:val="24"/>
          <w:highlight w:val="none"/>
          <w:lang w:val="en-US" w:eastAsia="zh-CN" w:bidi="ar-SA"/>
        </w:rPr>
      </w:pPr>
      <w:r>
        <w:rPr>
          <w:rFonts w:hint="eastAsia" w:ascii="宋体" w:hAnsi="宋体" w:eastAsia="宋体" w:cs="宋体"/>
          <w:i w:val="0"/>
          <w:iCs w:val="0"/>
          <w:caps w:val="0"/>
          <w:color w:val="auto"/>
          <w:spacing w:val="0"/>
          <w:kern w:val="0"/>
          <w:sz w:val="24"/>
          <w:szCs w:val="24"/>
          <w:highlight w:val="none"/>
          <w:lang w:val="en-US" w:eastAsia="zh-CN" w:bidi="ar-SA"/>
        </w:rPr>
        <w:t>方式：供应商登陆政采云平台在线申请获取采购文件（进入“项目采购”应用，在获取采购文件菜单中选择项目，申请获取采购文件）</w:t>
      </w:r>
    </w:p>
    <w:p w14:paraId="4392CFAF">
      <w:pPr>
        <w:spacing w:line="360" w:lineRule="auto"/>
        <w:ind w:left="239" w:leftChars="114" w:firstLine="240" w:firstLineChars="100"/>
        <w:rPr>
          <w:rFonts w:hint="default" w:ascii="宋体" w:hAnsi="宋体" w:eastAsia="宋体" w:cs="宋体"/>
          <w:i w:val="0"/>
          <w:iCs w:val="0"/>
          <w:caps w:val="0"/>
          <w:color w:val="auto"/>
          <w:spacing w:val="0"/>
          <w:kern w:val="0"/>
          <w:sz w:val="24"/>
          <w:szCs w:val="24"/>
          <w:highlight w:val="none"/>
          <w:lang w:val="en-US" w:eastAsia="zh-CN" w:bidi="ar-SA"/>
        </w:rPr>
      </w:pPr>
      <w:r>
        <w:rPr>
          <w:rFonts w:hint="eastAsia" w:ascii="宋体" w:hAnsi="宋体" w:eastAsia="宋体" w:cs="宋体"/>
          <w:i w:val="0"/>
          <w:iCs w:val="0"/>
          <w:caps w:val="0"/>
          <w:color w:val="auto"/>
          <w:spacing w:val="0"/>
          <w:kern w:val="0"/>
          <w:sz w:val="24"/>
          <w:szCs w:val="24"/>
          <w:highlight w:val="none"/>
          <w:lang w:val="en-US" w:eastAsia="zh-CN" w:bidi="ar-SA"/>
        </w:rPr>
        <w:t>售价（元）：0元</w:t>
      </w:r>
    </w:p>
    <w:p w14:paraId="2DDBDBB1">
      <w:pPr>
        <w:numPr>
          <w:ilvl w:val="0"/>
          <w:numId w:val="0"/>
        </w:numPr>
        <w:spacing w:line="360" w:lineRule="auto"/>
        <w:ind w:firstLine="542" w:firstLineChars="200"/>
        <w:rPr>
          <w:rStyle w:val="34"/>
          <w:rFonts w:hint="eastAsia" w:asciiTheme="minorEastAsia" w:hAnsiTheme="minorEastAsia" w:eastAsiaTheme="minorEastAsia" w:cstheme="minorEastAsia"/>
          <w:color w:val="auto"/>
          <w:kern w:val="0"/>
          <w:sz w:val="27"/>
          <w:szCs w:val="27"/>
          <w:highlight w:val="none"/>
          <w:lang w:val="en-US" w:eastAsia="zh-CN" w:bidi="ar-SA"/>
        </w:rPr>
      </w:pPr>
      <w:r>
        <w:rPr>
          <w:rStyle w:val="34"/>
          <w:rFonts w:hint="eastAsia" w:asciiTheme="minorEastAsia" w:hAnsiTheme="minorEastAsia" w:eastAsiaTheme="minorEastAsia" w:cstheme="minorEastAsia"/>
          <w:color w:val="auto"/>
          <w:kern w:val="0"/>
          <w:sz w:val="27"/>
          <w:szCs w:val="27"/>
          <w:highlight w:val="none"/>
          <w:lang w:val="en-US" w:eastAsia="zh-CN" w:bidi="ar-SA"/>
        </w:rPr>
        <w:t>四、提交响应文件截止时间、开标时间和地点</w:t>
      </w:r>
    </w:p>
    <w:p w14:paraId="1479688A">
      <w:pPr>
        <w:numPr>
          <w:ilvl w:val="0"/>
          <w:numId w:val="0"/>
        </w:numPr>
        <w:spacing w:line="360" w:lineRule="auto"/>
        <w:ind w:firstLine="480" w:firstLineChars="200"/>
        <w:rPr>
          <w:rFonts w:hint="eastAsia" w:ascii="宋体" w:hAnsi="宋体" w:eastAsia="宋体" w:cs="宋体"/>
          <w:i w:val="0"/>
          <w:iCs w:val="0"/>
          <w:caps w:val="0"/>
          <w:color w:val="auto"/>
          <w:spacing w:val="0"/>
          <w:kern w:val="0"/>
          <w:sz w:val="24"/>
          <w:szCs w:val="24"/>
          <w:highlight w:val="none"/>
          <w:lang w:val="en-US" w:eastAsia="zh-CN" w:bidi="ar-SA"/>
        </w:rPr>
      </w:pPr>
      <w:r>
        <w:rPr>
          <w:rFonts w:hint="eastAsia" w:ascii="宋体" w:hAnsi="宋体" w:eastAsia="宋体" w:cs="宋体"/>
          <w:i w:val="0"/>
          <w:iCs w:val="0"/>
          <w:caps w:val="0"/>
          <w:color w:val="auto"/>
          <w:spacing w:val="0"/>
          <w:kern w:val="0"/>
          <w:sz w:val="24"/>
          <w:szCs w:val="24"/>
          <w:highlight w:val="none"/>
          <w:lang w:val="en-US" w:eastAsia="zh-CN" w:bidi="ar-SA"/>
        </w:rPr>
        <w:t>提交响应文件截止时间：</w:t>
      </w:r>
      <w:r>
        <w:rPr>
          <w:rFonts w:hint="eastAsia" w:ascii="宋体" w:hAnsi="宋体" w:cs="宋体"/>
          <w:i w:val="0"/>
          <w:iCs w:val="0"/>
          <w:caps w:val="0"/>
          <w:color w:val="auto"/>
          <w:spacing w:val="0"/>
          <w:kern w:val="0"/>
          <w:sz w:val="24"/>
          <w:szCs w:val="24"/>
          <w:highlight w:val="none"/>
          <w:lang w:val="en-US" w:eastAsia="zh-CN" w:bidi="ar-SA"/>
        </w:rPr>
        <w:t>2025年7月25日</w:t>
      </w:r>
      <w:r>
        <w:rPr>
          <w:rFonts w:hint="eastAsia" w:ascii="宋体" w:hAnsi="宋体" w:cs="宋体"/>
          <w:i w:val="0"/>
          <w:iCs w:val="0"/>
          <w:caps w:val="0"/>
          <w:color w:val="auto"/>
          <w:spacing w:val="0"/>
          <w:kern w:val="0"/>
          <w:sz w:val="24"/>
          <w:szCs w:val="24"/>
          <w:highlight w:val="none"/>
          <w:lang w:val="en-US" w:eastAsia="zh-CN" w:bidi="ar-SA"/>
        </w:rPr>
        <w:t>11:00</w:t>
      </w:r>
      <w:r>
        <w:rPr>
          <w:rFonts w:hint="eastAsia" w:ascii="宋体" w:hAnsi="宋体" w:eastAsia="宋体" w:cs="宋体"/>
          <w:i w:val="0"/>
          <w:iCs w:val="0"/>
          <w:caps w:val="0"/>
          <w:color w:val="auto"/>
          <w:spacing w:val="0"/>
          <w:kern w:val="0"/>
          <w:sz w:val="24"/>
          <w:szCs w:val="24"/>
          <w:highlight w:val="none"/>
          <w:lang w:val="en-US" w:eastAsia="zh-CN" w:bidi="ar-SA"/>
        </w:rPr>
        <w:t>（北京时间）</w:t>
      </w:r>
    </w:p>
    <w:p w14:paraId="7815B0C1">
      <w:pPr>
        <w:spacing w:line="360" w:lineRule="auto"/>
        <w:ind w:firstLine="480" w:firstLineChars="200"/>
        <w:rPr>
          <w:rFonts w:hint="eastAsia" w:ascii="宋体" w:hAnsi="宋体" w:eastAsia="宋体" w:cs="宋体"/>
          <w:i w:val="0"/>
          <w:iCs w:val="0"/>
          <w:caps w:val="0"/>
          <w:color w:val="auto"/>
          <w:spacing w:val="0"/>
          <w:kern w:val="0"/>
          <w:sz w:val="24"/>
          <w:szCs w:val="24"/>
          <w:highlight w:val="none"/>
          <w:lang w:val="en-US" w:eastAsia="zh-CN" w:bidi="ar-SA"/>
        </w:rPr>
      </w:pPr>
      <w:r>
        <w:rPr>
          <w:rFonts w:hint="eastAsia" w:ascii="宋体" w:hAnsi="宋体" w:eastAsia="宋体" w:cs="宋体"/>
          <w:i w:val="0"/>
          <w:iCs w:val="0"/>
          <w:caps w:val="0"/>
          <w:color w:val="auto"/>
          <w:spacing w:val="0"/>
          <w:kern w:val="0"/>
          <w:sz w:val="24"/>
          <w:szCs w:val="24"/>
          <w:highlight w:val="none"/>
          <w:lang w:val="en-US" w:eastAsia="zh-CN" w:bidi="ar-SA"/>
        </w:rPr>
        <w:t>投标地点：政采云平台（http://www.zcygov.cn/）</w:t>
      </w:r>
    </w:p>
    <w:p w14:paraId="6A89CAF6">
      <w:pPr>
        <w:spacing w:line="360" w:lineRule="auto"/>
        <w:ind w:firstLine="480" w:firstLineChars="200"/>
        <w:rPr>
          <w:rFonts w:hint="eastAsia" w:ascii="宋体" w:hAnsi="宋体" w:eastAsia="宋体" w:cs="宋体"/>
          <w:i w:val="0"/>
          <w:iCs w:val="0"/>
          <w:caps w:val="0"/>
          <w:color w:val="auto"/>
          <w:spacing w:val="0"/>
          <w:kern w:val="0"/>
          <w:sz w:val="24"/>
          <w:szCs w:val="24"/>
          <w:highlight w:val="none"/>
          <w:lang w:val="en-US" w:eastAsia="zh-CN" w:bidi="ar-SA"/>
        </w:rPr>
      </w:pPr>
      <w:r>
        <w:rPr>
          <w:rFonts w:hint="eastAsia" w:ascii="宋体" w:hAnsi="宋体" w:eastAsia="宋体" w:cs="宋体"/>
          <w:i w:val="0"/>
          <w:iCs w:val="0"/>
          <w:caps w:val="0"/>
          <w:color w:val="auto"/>
          <w:spacing w:val="0"/>
          <w:kern w:val="0"/>
          <w:sz w:val="24"/>
          <w:szCs w:val="24"/>
          <w:highlight w:val="none"/>
          <w:lang w:val="en-US" w:eastAsia="zh-CN" w:bidi="ar-SA"/>
        </w:rPr>
        <w:t>开标时间：</w:t>
      </w:r>
      <w:r>
        <w:rPr>
          <w:rFonts w:hint="eastAsia" w:ascii="宋体" w:hAnsi="宋体" w:cs="宋体"/>
          <w:i w:val="0"/>
          <w:iCs w:val="0"/>
          <w:caps w:val="0"/>
          <w:color w:val="auto"/>
          <w:spacing w:val="0"/>
          <w:kern w:val="0"/>
          <w:sz w:val="24"/>
          <w:szCs w:val="24"/>
          <w:highlight w:val="none"/>
          <w:lang w:val="en-US" w:eastAsia="zh-CN" w:bidi="ar-SA"/>
        </w:rPr>
        <w:t>2025年7月25日</w:t>
      </w:r>
      <w:r>
        <w:rPr>
          <w:rFonts w:hint="eastAsia" w:ascii="宋体" w:hAnsi="宋体" w:cs="宋体"/>
          <w:i w:val="0"/>
          <w:iCs w:val="0"/>
          <w:caps w:val="0"/>
          <w:color w:val="auto"/>
          <w:spacing w:val="0"/>
          <w:kern w:val="0"/>
          <w:sz w:val="24"/>
          <w:szCs w:val="24"/>
          <w:highlight w:val="none"/>
          <w:lang w:val="en-US" w:eastAsia="zh-CN" w:bidi="ar-SA"/>
        </w:rPr>
        <w:t>11:00</w:t>
      </w:r>
      <w:r>
        <w:rPr>
          <w:rFonts w:hint="eastAsia" w:ascii="宋体" w:hAnsi="宋体" w:eastAsia="宋体" w:cs="宋体"/>
          <w:i w:val="0"/>
          <w:iCs w:val="0"/>
          <w:caps w:val="0"/>
          <w:color w:val="auto"/>
          <w:spacing w:val="0"/>
          <w:kern w:val="0"/>
          <w:sz w:val="24"/>
          <w:szCs w:val="24"/>
          <w:highlight w:val="none"/>
          <w:lang w:val="en-US" w:eastAsia="zh-CN" w:bidi="ar-SA"/>
        </w:rPr>
        <w:t>（北京时间）</w:t>
      </w:r>
    </w:p>
    <w:p w14:paraId="6A6E640D">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开标地点：政采云平台（http://www.zcygov.cn/）</w:t>
      </w:r>
    </w:p>
    <w:p w14:paraId="6683FD94">
      <w:pPr>
        <w:spacing w:line="360" w:lineRule="auto"/>
        <w:ind w:firstLine="542" w:firstLineChars="200"/>
        <w:rPr>
          <w:rStyle w:val="34"/>
          <w:rFonts w:hint="eastAsia" w:asciiTheme="minorEastAsia" w:hAnsiTheme="minorEastAsia" w:eastAsiaTheme="minorEastAsia" w:cstheme="minorEastAsia"/>
          <w:color w:val="auto"/>
          <w:kern w:val="0"/>
          <w:sz w:val="27"/>
          <w:szCs w:val="27"/>
          <w:highlight w:val="none"/>
          <w:lang w:val="en-US" w:eastAsia="zh-CN" w:bidi="ar-SA"/>
        </w:rPr>
      </w:pPr>
      <w:r>
        <w:rPr>
          <w:rStyle w:val="34"/>
          <w:rFonts w:hint="eastAsia" w:asciiTheme="minorEastAsia" w:hAnsiTheme="minorEastAsia" w:eastAsiaTheme="minorEastAsia" w:cstheme="minorEastAsia"/>
          <w:color w:val="auto"/>
          <w:kern w:val="0"/>
          <w:sz w:val="27"/>
          <w:szCs w:val="27"/>
          <w:highlight w:val="none"/>
          <w:lang w:val="en-US" w:eastAsia="zh-CN" w:bidi="ar-SA"/>
        </w:rPr>
        <w:t>五、公告期限</w:t>
      </w:r>
    </w:p>
    <w:p w14:paraId="2D85D2C8">
      <w:pPr>
        <w:spacing w:line="360" w:lineRule="auto"/>
        <w:ind w:firstLine="480" w:firstLineChars="200"/>
        <w:rPr>
          <w:rFonts w:hint="eastAsia" w:ascii="宋体" w:hAnsi="宋体" w:eastAsia="宋体" w:cs="宋体"/>
          <w:i w:val="0"/>
          <w:iCs w:val="0"/>
          <w:caps w:val="0"/>
          <w:color w:val="auto"/>
          <w:spacing w:val="0"/>
          <w:kern w:val="0"/>
          <w:sz w:val="24"/>
          <w:szCs w:val="24"/>
          <w:highlight w:val="none"/>
          <w:lang w:val="en-US" w:eastAsia="zh-CN" w:bidi="ar-SA"/>
        </w:rPr>
      </w:pPr>
      <w:r>
        <w:rPr>
          <w:rFonts w:hint="eastAsia" w:ascii="宋体" w:hAnsi="宋体" w:eastAsia="宋体" w:cs="宋体"/>
          <w:i w:val="0"/>
          <w:iCs w:val="0"/>
          <w:caps w:val="0"/>
          <w:color w:val="auto"/>
          <w:spacing w:val="0"/>
          <w:kern w:val="0"/>
          <w:sz w:val="24"/>
          <w:szCs w:val="24"/>
          <w:highlight w:val="none"/>
          <w:lang w:val="en-US" w:eastAsia="zh-CN" w:bidi="ar-SA"/>
        </w:rPr>
        <w:t>自本公告发布之日起不少于</w:t>
      </w:r>
      <w:r>
        <w:rPr>
          <w:rFonts w:hint="eastAsia" w:ascii="宋体" w:hAnsi="宋体" w:cs="宋体"/>
          <w:i w:val="0"/>
          <w:iCs w:val="0"/>
          <w:caps w:val="0"/>
          <w:color w:val="auto"/>
          <w:spacing w:val="0"/>
          <w:kern w:val="0"/>
          <w:sz w:val="24"/>
          <w:szCs w:val="24"/>
          <w:highlight w:val="none"/>
          <w:lang w:val="en-US" w:eastAsia="zh-CN" w:bidi="ar-SA"/>
        </w:rPr>
        <w:t>3</w:t>
      </w:r>
      <w:r>
        <w:rPr>
          <w:rFonts w:hint="eastAsia" w:ascii="宋体" w:hAnsi="宋体" w:eastAsia="宋体" w:cs="宋体"/>
          <w:i w:val="0"/>
          <w:iCs w:val="0"/>
          <w:caps w:val="0"/>
          <w:color w:val="auto"/>
          <w:spacing w:val="0"/>
          <w:kern w:val="0"/>
          <w:sz w:val="24"/>
          <w:szCs w:val="24"/>
          <w:highlight w:val="none"/>
          <w:lang w:val="en-US" w:eastAsia="zh-CN" w:bidi="ar-SA"/>
        </w:rPr>
        <w:t>个工作日。</w:t>
      </w:r>
    </w:p>
    <w:p w14:paraId="669628F7">
      <w:pPr>
        <w:spacing w:line="360" w:lineRule="auto"/>
        <w:ind w:firstLine="542" w:firstLineChars="200"/>
        <w:rPr>
          <w:rStyle w:val="34"/>
          <w:rFonts w:hint="eastAsia" w:asciiTheme="minorEastAsia" w:hAnsiTheme="minorEastAsia" w:eastAsiaTheme="minorEastAsia" w:cstheme="minorEastAsia"/>
          <w:color w:val="auto"/>
          <w:kern w:val="0"/>
          <w:sz w:val="27"/>
          <w:szCs w:val="27"/>
          <w:highlight w:val="none"/>
          <w:lang w:val="en-US" w:eastAsia="zh-CN" w:bidi="ar-SA"/>
        </w:rPr>
      </w:pPr>
      <w:r>
        <w:rPr>
          <w:rStyle w:val="34"/>
          <w:rFonts w:hint="eastAsia" w:asciiTheme="minorEastAsia" w:hAnsiTheme="minorEastAsia" w:eastAsiaTheme="minorEastAsia" w:cstheme="minorEastAsia"/>
          <w:color w:val="auto"/>
          <w:kern w:val="0"/>
          <w:sz w:val="27"/>
          <w:szCs w:val="27"/>
          <w:highlight w:val="none"/>
          <w:lang w:val="en-US" w:eastAsia="zh-CN" w:bidi="ar-SA"/>
        </w:rPr>
        <w:t>六、其他补充事宜</w:t>
      </w:r>
    </w:p>
    <w:p w14:paraId="1F318F66">
      <w:pPr>
        <w:spacing w:line="360" w:lineRule="auto"/>
        <w:ind w:left="239" w:leftChars="114" w:firstLine="240" w:firstLineChars="100"/>
        <w:rPr>
          <w:rFonts w:hint="eastAsia" w:ascii="宋体" w:hAnsi="宋体" w:eastAsia="宋体" w:cs="宋体"/>
          <w:i w:val="0"/>
          <w:iCs w:val="0"/>
          <w:caps w:val="0"/>
          <w:color w:val="auto"/>
          <w:spacing w:val="0"/>
          <w:kern w:val="0"/>
          <w:sz w:val="24"/>
          <w:szCs w:val="24"/>
          <w:highlight w:val="none"/>
          <w:lang w:val="en-US" w:eastAsia="zh-CN" w:bidi="ar-SA"/>
        </w:rPr>
      </w:pPr>
      <w:r>
        <w:rPr>
          <w:rFonts w:hint="eastAsia" w:ascii="宋体" w:hAnsi="宋体" w:eastAsia="宋体" w:cs="宋体"/>
          <w:i w:val="0"/>
          <w:iCs w:val="0"/>
          <w:caps w:val="0"/>
          <w:color w:val="auto"/>
          <w:spacing w:val="0"/>
          <w:kern w:val="0"/>
          <w:sz w:val="24"/>
          <w:szCs w:val="24"/>
          <w:highlight w:val="none"/>
          <w:lang w:val="en-US" w:eastAsia="zh-CN" w:bidi="ar-SA"/>
        </w:rPr>
        <w:t>1.本次公告同时在新疆政府采购网发布。</w:t>
      </w:r>
    </w:p>
    <w:p w14:paraId="648B9F8A">
      <w:pPr>
        <w:spacing w:line="360" w:lineRule="auto"/>
        <w:ind w:left="239" w:leftChars="114" w:firstLine="240" w:firstLineChars="100"/>
        <w:rPr>
          <w:rFonts w:hint="eastAsia" w:ascii="宋体" w:hAnsi="宋体" w:eastAsia="宋体" w:cs="宋体"/>
          <w:i w:val="0"/>
          <w:iCs w:val="0"/>
          <w:caps w:val="0"/>
          <w:color w:val="auto"/>
          <w:spacing w:val="0"/>
          <w:kern w:val="0"/>
          <w:sz w:val="24"/>
          <w:szCs w:val="24"/>
          <w:highlight w:val="none"/>
          <w:lang w:val="en-US" w:eastAsia="zh-CN" w:bidi="ar-SA"/>
        </w:rPr>
      </w:pPr>
      <w:r>
        <w:rPr>
          <w:rFonts w:hint="eastAsia" w:ascii="宋体" w:hAnsi="宋体" w:eastAsia="宋体" w:cs="宋体"/>
          <w:i w:val="0"/>
          <w:iCs w:val="0"/>
          <w:caps w:val="0"/>
          <w:color w:val="auto"/>
          <w:spacing w:val="0"/>
          <w:kern w:val="0"/>
          <w:sz w:val="24"/>
          <w:szCs w:val="24"/>
          <w:highlight w:val="none"/>
          <w:lang w:val="en-US" w:eastAsia="zh-CN" w:bidi="ar-SA"/>
        </w:rPr>
        <w:t>2.请供应商随时关注本项目的澄清、答疑、变更事项。</w:t>
      </w:r>
    </w:p>
    <w:p w14:paraId="0EAD4F2F">
      <w:pPr>
        <w:spacing w:line="360" w:lineRule="auto"/>
        <w:ind w:firstLine="542" w:firstLineChars="200"/>
        <w:rPr>
          <w:rFonts w:hint="eastAsia" w:asciiTheme="minorEastAsia" w:hAnsiTheme="minorEastAsia" w:eastAsiaTheme="minorEastAsia" w:cstheme="minorEastAsia"/>
          <w:color w:val="auto"/>
          <w:sz w:val="31"/>
          <w:szCs w:val="31"/>
          <w:highlight w:val="none"/>
        </w:rPr>
      </w:pPr>
      <w:r>
        <w:rPr>
          <w:rStyle w:val="34"/>
          <w:rFonts w:hint="eastAsia" w:asciiTheme="minorEastAsia" w:hAnsiTheme="minorEastAsia" w:eastAsiaTheme="minorEastAsia" w:cstheme="minorEastAsia"/>
          <w:color w:val="auto"/>
          <w:sz w:val="27"/>
          <w:szCs w:val="27"/>
          <w:highlight w:val="none"/>
          <w:lang w:eastAsia="zh-CN"/>
        </w:rPr>
        <w:t>七</w:t>
      </w:r>
      <w:r>
        <w:rPr>
          <w:rStyle w:val="34"/>
          <w:rFonts w:hint="eastAsia" w:asciiTheme="minorEastAsia" w:hAnsiTheme="minorEastAsia" w:eastAsiaTheme="minorEastAsia" w:cstheme="minorEastAsia"/>
          <w:color w:val="auto"/>
          <w:sz w:val="27"/>
          <w:szCs w:val="27"/>
          <w:highlight w:val="none"/>
        </w:rPr>
        <w:t>、凡对本次招标提出询问，请按以下方式联系</w:t>
      </w:r>
    </w:p>
    <w:p w14:paraId="25F865F6">
      <w:pPr>
        <w:spacing w:line="360" w:lineRule="auto"/>
        <w:ind w:left="239" w:leftChars="114" w:firstLine="240" w:firstLineChars="100"/>
        <w:rPr>
          <w:rFonts w:hint="eastAsia" w:ascii="宋体" w:hAnsi="宋体" w:eastAsia="宋体" w:cs="宋体"/>
          <w:i w:val="0"/>
          <w:iCs w:val="0"/>
          <w:caps w:val="0"/>
          <w:color w:val="auto"/>
          <w:spacing w:val="0"/>
          <w:kern w:val="0"/>
          <w:sz w:val="24"/>
          <w:szCs w:val="24"/>
          <w:highlight w:val="none"/>
          <w:lang w:val="en-US" w:eastAsia="zh-CN" w:bidi="ar-SA"/>
        </w:rPr>
      </w:pPr>
      <w:r>
        <w:rPr>
          <w:rFonts w:hint="eastAsia" w:ascii="宋体" w:hAnsi="宋体" w:eastAsia="宋体" w:cs="宋体"/>
          <w:i w:val="0"/>
          <w:iCs w:val="0"/>
          <w:caps w:val="0"/>
          <w:color w:val="auto"/>
          <w:spacing w:val="0"/>
          <w:kern w:val="0"/>
          <w:sz w:val="24"/>
          <w:szCs w:val="24"/>
          <w:highlight w:val="none"/>
          <w:lang w:val="en-US" w:eastAsia="zh-CN" w:bidi="ar-SA"/>
        </w:rPr>
        <w:t>1.采购人信息</w:t>
      </w:r>
    </w:p>
    <w:p w14:paraId="3BFA81B0">
      <w:pPr>
        <w:spacing w:line="360" w:lineRule="auto"/>
        <w:ind w:left="239" w:leftChars="114" w:firstLine="240" w:firstLineChars="100"/>
        <w:rPr>
          <w:rFonts w:hint="eastAsia" w:ascii="宋体" w:hAnsi="宋体" w:eastAsia="宋体" w:cs="宋体"/>
          <w:i w:val="0"/>
          <w:iCs w:val="0"/>
          <w:caps w:val="0"/>
          <w:color w:val="auto"/>
          <w:spacing w:val="0"/>
          <w:kern w:val="0"/>
          <w:sz w:val="24"/>
          <w:szCs w:val="24"/>
          <w:highlight w:val="none"/>
          <w:lang w:val="en-US" w:eastAsia="zh-CN" w:bidi="ar-SA"/>
        </w:rPr>
      </w:pPr>
      <w:r>
        <w:rPr>
          <w:rFonts w:hint="eastAsia" w:ascii="宋体" w:hAnsi="宋体" w:eastAsia="宋体" w:cs="宋体"/>
          <w:i w:val="0"/>
          <w:iCs w:val="0"/>
          <w:caps w:val="0"/>
          <w:color w:val="auto"/>
          <w:spacing w:val="0"/>
          <w:kern w:val="0"/>
          <w:sz w:val="24"/>
          <w:szCs w:val="24"/>
          <w:highlight w:val="none"/>
          <w:lang w:val="en-US" w:eastAsia="zh-CN" w:bidi="ar-SA"/>
        </w:rPr>
        <w:t>名称：</w:t>
      </w:r>
      <w:r>
        <w:rPr>
          <w:rFonts w:hint="eastAsia" w:ascii="宋体" w:hAnsi="宋体" w:cs="宋体"/>
          <w:i w:val="0"/>
          <w:iCs w:val="0"/>
          <w:caps w:val="0"/>
          <w:color w:val="auto"/>
          <w:spacing w:val="0"/>
          <w:kern w:val="0"/>
          <w:sz w:val="24"/>
          <w:szCs w:val="24"/>
          <w:highlight w:val="none"/>
          <w:lang w:val="en-US" w:eastAsia="zh-CN" w:bidi="ar-SA"/>
        </w:rPr>
        <w:t>和硕县乃仁克尔乡人民政府</w:t>
      </w:r>
    </w:p>
    <w:p w14:paraId="619CDC24">
      <w:pPr>
        <w:spacing w:line="360" w:lineRule="auto"/>
        <w:ind w:left="239" w:leftChars="114" w:firstLine="240" w:firstLineChars="100"/>
        <w:rPr>
          <w:rFonts w:hint="eastAsia" w:ascii="宋体" w:hAnsi="宋体" w:eastAsia="宋体" w:cs="宋体"/>
          <w:i w:val="0"/>
          <w:iCs w:val="0"/>
          <w:caps w:val="0"/>
          <w:color w:val="auto"/>
          <w:spacing w:val="0"/>
          <w:kern w:val="0"/>
          <w:sz w:val="24"/>
          <w:szCs w:val="24"/>
          <w:highlight w:val="none"/>
          <w:lang w:val="en-US" w:eastAsia="zh-CN" w:bidi="ar-SA"/>
        </w:rPr>
      </w:pPr>
      <w:r>
        <w:rPr>
          <w:rFonts w:hint="eastAsia" w:ascii="宋体" w:hAnsi="宋体" w:eastAsia="宋体" w:cs="宋体"/>
          <w:i w:val="0"/>
          <w:iCs w:val="0"/>
          <w:caps w:val="0"/>
          <w:color w:val="auto"/>
          <w:spacing w:val="0"/>
          <w:kern w:val="0"/>
          <w:sz w:val="24"/>
          <w:szCs w:val="24"/>
          <w:highlight w:val="none"/>
          <w:lang w:val="en-US" w:eastAsia="zh-CN" w:bidi="ar-SA"/>
        </w:rPr>
        <w:t>联系人：</w:t>
      </w:r>
      <w:r>
        <w:rPr>
          <w:rFonts w:hint="eastAsia" w:ascii="宋体" w:hAnsi="宋体" w:cs="宋体"/>
          <w:i w:val="0"/>
          <w:iCs w:val="0"/>
          <w:caps w:val="0"/>
          <w:color w:val="auto"/>
          <w:spacing w:val="0"/>
          <w:kern w:val="0"/>
          <w:sz w:val="24"/>
          <w:szCs w:val="24"/>
          <w:highlight w:val="none"/>
          <w:lang w:val="en-US" w:eastAsia="zh-CN" w:bidi="ar-SA"/>
        </w:rPr>
        <w:t>巴图查汉</w:t>
      </w:r>
    </w:p>
    <w:p w14:paraId="2FD68569">
      <w:pPr>
        <w:spacing w:line="360" w:lineRule="auto"/>
        <w:ind w:left="239" w:leftChars="114" w:firstLine="240" w:firstLineChars="100"/>
        <w:rPr>
          <w:rFonts w:hint="default" w:ascii="宋体" w:hAnsi="宋体" w:eastAsia="宋体" w:cs="宋体"/>
          <w:i w:val="0"/>
          <w:iCs w:val="0"/>
          <w:caps w:val="0"/>
          <w:color w:val="auto"/>
          <w:spacing w:val="0"/>
          <w:kern w:val="0"/>
          <w:sz w:val="24"/>
          <w:szCs w:val="24"/>
          <w:highlight w:val="none"/>
          <w:lang w:val="en-US" w:eastAsia="zh-CN" w:bidi="ar-SA"/>
        </w:rPr>
      </w:pPr>
      <w:r>
        <w:rPr>
          <w:rFonts w:hint="eastAsia" w:ascii="宋体" w:hAnsi="宋体" w:eastAsia="宋体" w:cs="宋体"/>
          <w:i w:val="0"/>
          <w:iCs w:val="0"/>
          <w:caps w:val="0"/>
          <w:color w:val="auto"/>
          <w:spacing w:val="0"/>
          <w:kern w:val="0"/>
          <w:sz w:val="24"/>
          <w:szCs w:val="24"/>
          <w:highlight w:val="none"/>
          <w:lang w:val="en-US" w:eastAsia="zh-CN" w:bidi="ar-SA"/>
        </w:rPr>
        <w:t>联系方式：</w:t>
      </w:r>
      <w:r>
        <w:rPr>
          <w:rFonts w:hint="eastAsia" w:ascii="宋体" w:hAnsi="宋体" w:cs="宋体"/>
          <w:i w:val="0"/>
          <w:iCs w:val="0"/>
          <w:caps w:val="0"/>
          <w:color w:val="auto"/>
          <w:spacing w:val="0"/>
          <w:kern w:val="0"/>
          <w:sz w:val="24"/>
          <w:szCs w:val="24"/>
          <w:highlight w:val="none"/>
          <w:lang w:val="en-US" w:eastAsia="zh-CN" w:bidi="ar-SA"/>
        </w:rPr>
        <w:t>0996-5971129</w:t>
      </w:r>
    </w:p>
    <w:p w14:paraId="0AAD2B4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2.采购代理机构信息</w:t>
      </w:r>
    </w:p>
    <w:p w14:paraId="30E5230F">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名称：</w:t>
      </w:r>
      <w:r>
        <w:rPr>
          <w:rFonts w:hint="eastAsia" w:asciiTheme="minorEastAsia" w:hAnsiTheme="minorEastAsia" w:eastAsiaTheme="minorEastAsia" w:cstheme="minorEastAsia"/>
          <w:color w:val="auto"/>
          <w:sz w:val="24"/>
          <w:szCs w:val="24"/>
          <w:highlight w:val="none"/>
          <w:lang w:val="en-US" w:eastAsia="zh-CN"/>
        </w:rPr>
        <w:t>新疆唐谷项目管理有限公司</w:t>
      </w:r>
    </w:p>
    <w:p w14:paraId="40E9B85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lang w:val="en-US" w:eastAsia="zh-CN"/>
        </w:rPr>
        <w:t>新疆库尔勒市塔指东路成功商厦15楼</w:t>
      </w:r>
    </w:p>
    <w:p w14:paraId="3C6143A5">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项目联系人：</w:t>
      </w:r>
      <w:r>
        <w:rPr>
          <w:rFonts w:hint="eastAsia" w:asciiTheme="minorEastAsia" w:hAnsiTheme="minorEastAsia" w:eastAsiaTheme="minorEastAsia" w:cstheme="minorEastAsia"/>
          <w:color w:val="auto"/>
          <w:sz w:val="24"/>
          <w:szCs w:val="24"/>
          <w:highlight w:val="none"/>
          <w:lang w:val="en-US" w:eastAsia="zh-CN"/>
        </w:rPr>
        <w:t>李睿卓</w:t>
      </w:r>
    </w:p>
    <w:p w14:paraId="316653B3">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eastAsia="宋体" w:cs="宋体"/>
          <w:i w:val="0"/>
          <w:iCs w:val="0"/>
          <w:caps w:val="0"/>
          <w:color w:val="auto"/>
          <w:spacing w:val="0"/>
          <w:kern w:val="0"/>
          <w:sz w:val="24"/>
          <w:szCs w:val="24"/>
          <w:highlight w:val="none"/>
          <w:lang w:val="en-US" w:eastAsia="zh-CN" w:bidi="ar-SA"/>
        </w:rPr>
        <w:t>联系方式</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18009963742</w:t>
      </w:r>
    </w:p>
    <w:p w14:paraId="58E6CCD8">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br w:type="page"/>
      </w:r>
    </w:p>
    <w:p w14:paraId="400D2546">
      <w:pPr>
        <w:numPr>
          <w:ilvl w:val="0"/>
          <w:numId w:val="4"/>
        </w:numPr>
        <w:spacing w:line="700" w:lineRule="exact"/>
        <w:jc w:val="center"/>
        <w:rPr>
          <w:rFonts w:hint="eastAsia" w:asciiTheme="minorEastAsia" w:hAnsiTheme="minorEastAsia" w:eastAsiaTheme="minorEastAsia" w:cstheme="minorEastAsia"/>
          <w:b/>
          <w:color w:val="auto"/>
          <w:kern w:val="2"/>
          <w:sz w:val="36"/>
          <w:szCs w:val="36"/>
          <w:highlight w:val="none"/>
          <w:lang w:val="en-US" w:eastAsia="zh-CN" w:bidi="ar-SA"/>
        </w:rPr>
      </w:pPr>
      <w:r>
        <w:rPr>
          <w:rFonts w:hint="eastAsia" w:asciiTheme="minorEastAsia" w:hAnsiTheme="minorEastAsia" w:eastAsiaTheme="minorEastAsia" w:cstheme="minorEastAsia"/>
          <w:b/>
          <w:color w:val="auto"/>
          <w:kern w:val="2"/>
          <w:sz w:val="36"/>
          <w:szCs w:val="36"/>
          <w:highlight w:val="none"/>
          <w:lang w:val="en-US" w:eastAsia="zh-CN" w:bidi="ar-SA"/>
        </w:rPr>
        <w:t>磋商供应商须知</w:t>
      </w:r>
    </w:p>
    <w:p w14:paraId="790A9BCB">
      <w:pPr>
        <w:numPr>
          <w:ilvl w:val="0"/>
          <w:numId w:val="0"/>
        </w:numPr>
        <w:spacing w:line="700" w:lineRule="exact"/>
        <w:jc w:val="center"/>
        <w:rPr>
          <w:rFonts w:hint="eastAsia" w:asciiTheme="minorEastAsia" w:hAnsiTheme="minorEastAsia" w:eastAsiaTheme="minorEastAsia" w:cstheme="minorEastAsia"/>
          <w:b/>
          <w:color w:val="auto"/>
          <w:kern w:val="2"/>
          <w:sz w:val="26"/>
          <w:szCs w:val="26"/>
          <w:highlight w:val="none"/>
          <w:lang w:val="en-US" w:eastAsia="zh-CN" w:bidi="ar-SA"/>
        </w:rPr>
      </w:pPr>
      <w:r>
        <w:rPr>
          <w:rFonts w:hint="eastAsia" w:asciiTheme="minorEastAsia" w:hAnsiTheme="minorEastAsia" w:eastAsiaTheme="minorEastAsia" w:cstheme="minorEastAsia"/>
          <w:b/>
          <w:color w:val="auto"/>
          <w:kern w:val="2"/>
          <w:sz w:val="26"/>
          <w:szCs w:val="26"/>
          <w:highlight w:val="none"/>
          <w:lang w:val="en-US" w:eastAsia="zh-CN" w:bidi="ar-SA"/>
        </w:rPr>
        <w:t>供应商须知前附表</w:t>
      </w:r>
    </w:p>
    <w:tbl>
      <w:tblPr>
        <w:tblStyle w:val="31"/>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59"/>
        <w:gridCol w:w="7030"/>
      </w:tblGrid>
      <w:tr w14:paraId="25A9C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tblHeade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0F900C73">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项号</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2934D349">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163B89C1">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内容</w:t>
            </w:r>
          </w:p>
        </w:tc>
      </w:tr>
      <w:tr w14:paraId="6EE08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17" w:type="dxa"/>
            <w:vMerge w:val="restart"/>
            <w:tcBorders>
              <w:top w:val="single" w:color="auto" w:sz="4" w:space="0"/>
              <w:left w:val="single" w:color="auto" w:sz="4" w:space="0"/>
              <w:right w:val="single" w:color="auto" w:sz="4" w:space="0"/>
            </w:tcBorders>
            <w:noWrap w:val="0"/>
            <w:vAlign w:val="center"/>
          </w:tcPr>
          <w:p w14:paraId="7E868C83">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SEQ前附表\*MERGEFORMAT</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rPr>
              <w:fldChar w:fldCharType="end"/>
            </w:r>
          </w:p>
          <w:p w14:paraId="303D7F18">
            <w:pPr>
              <w:jc w:val="center"/>
              <w:rPr>
                <w:rFonts w:hint="eastAsia" w:asciiTheme="minorEastAsia" w:hAnsiTheme="minorEastAsia" w:eastAsiaTheme="minorEastAsia" w:cstheme="minorEastAsia"/>
                <w:color w:val="auto"/>
                <w:sz w:val="24"/>
                <w:szCs w:val="24"/>
                <w:highlight w:val="none"/>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790476F7">
            <w:pPr>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项目名称</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5B59A378">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eastAsia="zh-CN"/>
              </w:rPr>
              <w:t>乃仁克尔乡艾勒斯特村农田机耕道建设项目</w:t>
            </w:r>
          </w:p>
        </w:tc>
      </w:tr>
      <w:tr w14:paraId="722C2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17" w:type="dxa"/>
            <w:vMerge w:val="continue"/>
            <w:tcBorders>
              <w:left w:val="single" w:color="auto" w:sz="4" w:space="0"/>
              <w:right w:val="single" w:color="auto" w:sz="4" w:space="0"/>
            </w:tcBorders>
            <w:noWrap w:val="0"/>
            <w:vAlign w:val="center"/>
          </w:tcPr>
          <w:p w14:paraId="372F6C92">
            <w:pPr>
              <w:jc w:val="center"/>
              <w:rPr>
                <w:rFonts w:hint="eastAsia" w:asciiTheme="minorEastAsia" w:hAnsiTheme="minorEastAsia" w:eastAsiaTheme="minorEastAsia" w:cstheme="minorEastAsia"/>
                <w:color w:val="auto"/>
                <w:sz w:val="24"/>
                <w:szCs w:val="24"/>
                <w:highlight w:val="none"/>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57093ADC">
            <w:pPr>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项目编号</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15E7D20B">
            <w:pPr>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XJTGXM-2025014</w:t>
            </w:r>
          </w:p>
        </w:tc>
      </w:tr>
      <w:tr w14:paraId="017EB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817" w:type="dxa"/>
            <w:vMerge w:val="continue"/>
            <w:tcBorders>
              <w:left w:val="single" w:color="auto" w:sz="4" w:space="0"/>
              <w:right w:val="single" w:color="auto" w:sz="4" w:space="0"/>
            </w:tcBorders>
            <w:noWrap w:val="0"/>
            <w:vAlign w:val="center"/>
          </w:tcPr>
          <w:p w14:paraId="2291E4E2">
            <w:pPr>
              <w:jc w:val="center"/>
              <w:rPr>
                <w:rFonts w:hint="eastAsia" w:asciiTheme="minorEastAsia" w:hAnsiTheme="minorEastAsia" w:eastAsiaTheme="minorEastAsia" w:cstheme="minorEastAsia"/>
                <w:color w:val="auto"/>
                <w:sz w:val="24"/>
                <w:szCs w:val="24"/>
                <w:highlight w:val="none"/>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7604C058">
            <w:pPr>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采购人</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1A4FD03D">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采购人名称：</w:t>
            </w:r>
            <w:r>
              <w:rPr>
                <w:rFonts w:hint="eastAsia" w:ascii="宋体" w:hAnsi="宋体" w:cs="宋体"/>
                <w:color w:val="auto"/>
                <w:sz w:val="24"/>
                <w:szCs w:val="24"/>
                <w:highlight w:val="none"/>
                <w:lang w:val="en-US" w:eastAsia="zh-CN"/>
              </w:rPr>
              <w:t>和硕县乃仁克尔乡人民政府</w:t>
            </w:r>
          </w:p>
          <w:p w14:paraId="3804FEAB">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w:t>
            </w:r>
            <w:r>
              <w:rPr>
                <w:rFonts w:hint="eastAsia" w:ascii="宋体" w:hAnsi="宋体" w:cs="宋体"/>
                <w:color w:val="auto"/>
                <w:sz w:val="24"/>
                <w:szCs w:val="24"/>
                <w:highlight w:val="none"/>
                <w:lang w:val="en-US" w:eastAsia="zh-CN"/>
              </w:rPr>
              <w:t>巴图查汉</w:t>
            </w:r>
          </w:p>
          <w:p w14:paraId="20BB136D">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w:t>
            </w:r>
            <w:r>
              <w:rPr>
                <w:rFonts w:hint="eastAsia" w:ascii="宋体" w:hAnsi="宋体" w:cs="宋体"/>
                <w:color w:val="auto"/>
                <w:sz w:val="24"/>
                <w:szCs w:val="24"/>
                <w:highlight w:val="none"/>
                <w:lang w:val="en-US" w:eastAsia="zh-CN"/>
              </w:rPr>
              <w:t>0996-5971129</w:t>
            </w:r>
          </w:p>
        </w:tc>
      </w:tr>
      <w:tr w14:paraId="7AE5F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817" w:type="dxa"/>
            <w:vMerge w:val="continue"/>
            <w:tcBorders>
              <w:left w:val="single" w:color="auto" w:sz="4" w:space="0"/>
              <w:right w:val="single" w:color="auto" w:sz="4" w:space="0"/>
            </w:tcBorders>
            <w:noWrap w:val="0"/>
            <w:vAlign w:val="center"/>
          </w:tcPr>
          <w:p w14:paraId="263104DB">
            <w:pPr>
              <w:jc w:val="center"/>
              <w:rPr>
                <w:rFonts w:hint="eastAsia" w:asciiTheme="minorEastAsia" w:hAnsiTheme="minorEastAsia" w:eastAsiaTheme="minorEastAsia" w:cstheme="minorEastAsia"/>
                <w:color w:val="auto"/>
                <w:sz w:val="24"/>
                <w:szCs w:val="24"/>
                <w:highlight w:val="none"/>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15585EAC">
            <w:pPr>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采购代理机构</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5B8182A9">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w:t>
            </w:r>
            <w:r>
              <w:rPr>
                <w:rFonts w:hint="eastAsia" w:ascii="宋体" w:hAnsi="宋体" w:cs="宋体"/>
                <w:color w:val="auto"/>
                <w:sz w:val="24"/>
                <w:szCs w:val="24"/>
                <w:highlight w:val="none"/>
                <w:lang w:val="en-US" w:eastAsia="zh-CN"/>
              </w:rPr>
              <w:t>新疆唐谷项目管理有限公司</w:t>
            </w:r>
          </w:p>
          <w:p w14:paraId="404CF9F2">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w:t>
            </w:r>
            <w:r>
              <w:rPr>
                <w:rFonts w:hint="eastAsia" w:ascii="宋体" w:hAnsi="宋体" w:cs="宋体"/>
                <w:color w:val="auto"/>
                <w:sz w:val="24"/>
                <w:szCs w:val="24"/>
                <w:highlight w:val="none"/>
                <w:lang w:val="en-US" w:eastAsia="zh-CN"/>
              </w:rPr>
              <w:t>新疆库尔勒市塔指东路成功商厦15楼</w:t>
            </w:r>
          </w:p>
          <w:p w14:paraId="365E3F4D">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w:t>
            </w:r>
            <w:r>
              <w:rPr>
                <w:rFonts w:hint="eastAsia" w:ascii="宋体" w:hAnsi="宋体" w:cs="宋体"/>
                <w:color w:val="auto"/>
                <w:sz w:val="24"/>
                <w:szCs w:val="24"/>
                <w:highlight w:val="none"/>
                <w:lang w:val="en-US" w:eastAsia="zh-CN"/>
              </w:rPr>
              <w:t>李睿卓</w:t>
            </w:r>
          </w:p>
          <w:p w14:paraId="67D276DF">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w:t>
            </w:r>
            <w:r>
              <w:rPr>
                <w:rFonts w:hint="eastAsia" w:ascii="宋体" w:hAnsi="宋体" w:cs="宋体"/>
                <w:color w:val="auto"/>
                <w:sz w:val="24"/>
                <w:szCs w:val="24"/>
                <w:highlight w:val="none"/>
                <w:lang w:val="en-US" w:eastAsia="zh-CN"/>
              </w:rPr>
              <w:t>18009963742</w:t>
            </w:r>
          </w:p>
        </w:tc>
      </w:tr>
      <w:tr w14:paraId="2EC84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17" w:type="dxa"/>
            <w:vMerge w:val="continue"/>
            <w:tcBorders>
              <w:left w:val="single" w:color="auto" w:sz="4" w:space="0"/>
              <w:right w:val="single" w:color="auto" w:sz="4" w:space="0"/>
            </w:tcBorders>
            <w:noWrap w:val="0"/>
            <w:vAlign w:val="center"/>
          </w:tcPr>
          <w:p w14:paraId="7E8D1C45">
            <w:pPr>
              <w:jc w:val="center"/>
              <w:rPr>
                <w:rFonts w:hint="eastAsia" w:asciiTheme="minorEastAsia" w:hAnsiTheme="minorEastAsia" w:eastAsiaTheme="minorEastAsia" w:cstheme="minorEastAsia"/>
                <w:color w:val="auto"/>
                <w:sz w:val="24"/>
                <w:szCs w:val="24"/>
                <w:highlight w:val="none"/>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7253A740">
            <w:pPr>
              <w:adjustRightInd w:val="0"/>
              <w:snapToGrid w:val="0"/>
              <w:spacing w:before="120" w:beforeLines="50"/>
              <w:jc w:val="center"/>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资金来源</w:t>
            </w:r>
          </w:p>
          <w:p w14:paraId="1FA32029">
            <w:pPr>
              <w:jc w:val="center"/>
              <w:rPr>
                <w:rFonts w:hint="eastAsia" w:asciiTheme="minorEastAsia" w:hAnsiTheme="minorEastAsia" w:eastAsiaTheme="minorEastAsia" w:cstheme="minorEastAsia"/>
                <w:b w:val="0"/>
                <w:bCs w:val="0"/>
                <w:color w:val="auto"/>
                <w:sz w:val="24"/>
                <w:szCs w:val="24"/>
                <w:highlight w:val="none"/>
              </w:rPr>
            </w:pPr>
            <w:r>
              <w:rPr>
                <w:rFonts w:hint="eastAsia" w:ascii="宋体" w:hAnsi="宋体" w:cs="宋体"/>
                <w:b w:val="0"/>
                <w:bCs w:val="0"/>
                <w:color w:val="auto"/>
                <w:sz w:val="24"/>
                <w:szCs w:val="24"/>
                <w:highlight w:val="none"/>
              </w:rPr>
              <w:t>及落实情况</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34AF3866">
            <w:pPr>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大中型水库移民后期扶持资金，已落实</w:t>
            </w:r>
          </w:p>
        </w:tc>
      </w:tr>
      <w:tr w14:paraId="175C1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817" w:type="dxa"/>
            <w:vMerge w:val="continue"/>
            <w:tcBorders>
              <w:left w:val="single" w:color="auto" w:sz="4" w:space="0"/>
              <w:right w:val="single" w:color="auto" w:sz="4" w:space="0"/>
            </w:tcBorders>
            <w:noWrap w:val="0"/>
            <w:vAlign w:val="center"/>
          </w:tcPr>
          <w:p w14:paraId="55466A74">
            <w:pPr>
              <w:jc w:val="center"/>
              <w:rPr>
                <w:rFonts w:hint="eastAsia" w:asciiTheme="minorEastAsia" w:hAnsiTheme="minorEastAsia" w:eastAsiaTheme="minorEastAsia" w:cstheme="minorEastAsia"/>
                <w:color w:val="auto"/>
                <w:sz w:val="24"/>
                <w:szCs w:val="24"/>
                <w:highlight w:val="none"/>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319CBC75">
            <w:pP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项目预算</w:t>
            </w:r>
          </w:p>
          <w:p w14:paraId="46CD8224">
            <w:pP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及</w:t>
            </w:r>
            <w:r>
              <w:rPr>
                <w:rFonts w:hint="eastAsia" w:ascii="宋体" w:hAnsi="宋体" w:eastAsia="宋体" w:cs="宋体"/>
                <w:b w:val="0"/>
                <w:bCs w:val="0"/>
                <w:color w:val="auto"/>
                <w:sz w:val="24"/>
                <w:szCs w:val="24"/>
                <w:highlight w:val="none"/>
              </w:rPr>
              <w:t>最高限价</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6B16AF31">
            <w:pPr>
              <w:adjustRightInd w:val="0"/>
              <w:snapToGrid w:val="0"/>
              <w:spacing w:before="120" w:beforeLines="5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项目预算：</w:t>
            </w:r>
            <w:r>
              <w:rPr>
                <w:rFonts w:hint="eastAsia" w:asciiTheme="minorEastAsia" w:hAnsiTheme="minorEastAsia" w:eastAsiaTheme="minorEastAsia" w:cstheme="minorEastAsia"/>
                <w:color w:val="auto"/>
                <w:sz w:val="24"/>
                <w:szCs w:val="24"/>
                <w:highlight w:val="none"/>
                <w:lang w:val="en-US" w:eastAsia="zh-CN"/>
              </w:rPr>
              <w:t>900000.00元</w:t>
            </w:r>
          </w:p>
          <w:p w14:paraId="167BEA13">
            <w:pPr>
              <w:adjustRightInd w:val="0"/>
              <w:snapToGrid w:val="0"/>
              <w:spacing w:before="120" w:beforeLines="50"/>
              <w:jc w:val="left"/>
              <w:rPr>
                <w:rFonts w:hint="eastAsia" w:asciiTheme="minorEastAsia" w:hAnsiTheme="minorEastAsia" w:eastAsiaTheme="minorEastAsia" w:cstheme="minorEastAsia"/>
                <w:color w:val="auto"/>
                <w:sz w:val="24"/>
                <w:szCs w:val="24"/>
                <w:highlight w:val="none"/>
                <w:lang w:eastAsia="zh-CN"/>
              </w:rPr>
            </w:pPr>
            <w:r>
              <w:rPr>
                <w:rFonts w:hint="eastAsia" w:ascii="宋体" w:hAnsi="宋体" w:eastAsia="宋体" w:cs="宋体"/>
                <w:b/>
                <w:bCs/>
                <w:color w:val="auto"/>
                <w:sz w:val="24"/>
                <w:szCs w:val="24"/>
                <w:highlight w:val="none"/>
                <w:lang w:val="en-US" w:eastAsia="zh-CN"/>
              </w:rPr>
              <w:t>项目</w:t>
            </w:r>
            <w:r>
              <w:rPr>
                <w:rFonts w:hint="eastAsia" w:ascii="宋体" w:hAnsi="宋体" w:eastAsia="宋体" w:cs="宋体"/>
                <w:b/>
                <w:bCs/>
                <w:color w:val="auto"/>
                <w:sz w:val="24"/>
                <w:szCs w:val="24"/>
                <w:highlight w:val="none"/>
              </w:rPr>
              <w:t>最高限</w:t>
            </w:r>
            <w:r>
              <w:rPr>
                <w:rFonts w:hint="eastAsia" w:ascii="宋体" w:hAnsi="宋体" w:eastAsia="宋体" w:cs="宋体"/>
                <w:b/>
                <w:bCs/>
                <w:color w:val="auto"/>
                <w:sz w:val="24"/>
                <w:szCs w:val="24"/>
                <w:highlight w:val="none"/>
                <w:lang w:val="en-US" w:eastAsia="zh-CN"/>
              </w:rPr>
              <w:t>价：</w:t>
            </w:r>
            <w:r>
              <w:rPr>
                <w:rFonts w:hint="eastAsia" w:ascii="宋体" w:hAnsi="宋体" w:cs="宋体"/>
                <w:b/>
                <w:bCs/>
                <w:color w:val="auto"/>
                <w:sz w:val="24"/>
                <w:szCs w:val="24"/>
                <w:highlight w:val="none"/>
                <w:lang w:val="en-US" w:eastAsia="zh-CN"/>
              </w:rPr>
              <w:t>815088.08</w:t>
            </w:r>
            <w:r>
              <w:rPr>
                <w:rFonts w:hint="eastAsia" w:ascii="宋体" w:hAnsi="宋体" w:eastAsia="宋体" w:cs="宋体"/>
                <w:b/>
                <w:bCs/>
                <w:color w:val="auto"/>
                <w:sz w:val="24"/>
                <w:szCs w:val="24"/>
                <w:highlight w:val="none"/>
                <w:lang w:val="en-US" w:eastAsia="zh-CN"/>
              </w:rPr>
              <w:t>元（投标报价超过最高限价将作废标处理）</w:t>
            </w:r>
          </w:p>
        </w:tc>
      </w:tr>
      <w:tr w14:paraId="32263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7" w:type="dxa"/>
            <w:vMerge w:val="continue"/>
            <w:tcBorders>
              <w:left w:val="single" w:color="auto" w:sz="4" w:space="0"/>
              <w:right w:val="single" w:color="auto" w:sz="4" w:space="0"/>
            </w:tcBorders>
            <w:noWrap w:val="0"/>
            <w:vAlign w:val="center"/>
          </w:tcPr>
          <w:p w14:paraId="0AD81E58">
            <w:pPr>
              <w:jc w:val="center"/>
              <w:rPr>
                <w:rFonts w:hint="eastAsia" w:asciiTheme="minorEastAsia" w:hAnsiTheme="minorEastAsia" w:eastAsiaTheme="minorEastAsia" w:cstheme="minorEastAsia"/>
                <w:color w:val="auto"/>
                <w:sz w:val="24"/>
                <w:szCs w:val="24"/>
                <w:highlight w:val="none"/>
              </w:rPr>
            </w:pPr>
          </w:p>
        </w:tc>
        <w:tc>
          <w:tcPr>
            <w:tcW w:w="175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61D018">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采购方式</w:t>
            </w:r>
          </w:p>
        </w:tc>
        <w:tc>
          <w:tcPr>
            <w:tcW w:w="70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6B4225">
            <w:pPr>
              <w:spacing w:line="360" w:lineRule="auto"/>
              <w:jc w:val="both"/>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竞争性磋商</w:t>
            </w:r>
          </w:p>
        </w:tc>
      </w:tr>
      <w:tr w14:paraId="1A019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7" w:type="dxa"/>
            <w:vMerge w:val="continue"/>
            <w:tcBorders>
              <w:left w:val="single" w:color="auto" w:sz="4" w:space="0"/>
              <w:right w:val="single" w:color="auto" w:sz="4" w:space="0"/>
            </w:tcBorders>
            <w:noWrap w:val="0"/>
            <w:vAlign w:val="center"/>
          </w:tcPr>
          <w:p w14:paraId="11B5DD8B">
            <w:pPr>
              <w:jc w:val="center"/>
              <w:rPr>
                <w:rFonts w:hint="eastAsia" w:asciiTheme="minorEastAsia" w:hAnsiTheme="minorEastAsia" w:eastAsiaTheme="minorEastAsia" w:cstheme="minorEastAsia"/>
                <w:color w:val="auto"/>
                <w:sz w:val="24"/>
                <w:szCs w:val="24"/>
                <w:highlight w:val="none"/>
              </w:rPr>
            </w:pPr>
          </w:p>
        </w:tc>
        <w:tc>
          <w:tcPr>
            <w:tcW w:w="175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281860">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项目简要描述</w:t>
            </w:r>
          </w:p>
        </w:tc>
        <w:tc>
          <w:tcPr>
            <w:tcW w:w="70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FE38C4">
            <w:pPr>
              <w:spacing w:line="360" w:lineRule="auto"/>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新建乃仁克尔乡艾勒斯特村农田机耕道长9325.72米，其中4米宽路，长8898.4米；6米宽路，长427.32米，以及相关配套设施。</w:t>
            </w:r>
          </w:p>
        </w:tc>
      </w:tr>
      <w:tr w14:paraId="0BB5E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17" w:type="dxa"/>
            <w:vMerge w:val="continue"/>
            <w:tcBorders>
              <w:left w:val="single" w:color="auto" w:sz="4" w:space="0"/>
              <w:bottom w:val="single" w:color="auto" w:sz="4" w:space="0"/>
              <w:right w:val="single" w:color="auto" w:sz="4" w:space="0"/>
            </w:tcBorders>
            <w:noWrap w:val="0"/>
            <w:vAlign w:val="center"/>
          </w:tcPr>
          <w:p w14:paraId="6ACBF7AD">
            <w:pPr>
              <w:jc w:val="center"/>
              <w:rPr>
                <w:rFonts w:hint="eastAsia" w:asciiTheme="minorEastAsia" w:hAnsiTheme="minorEastAsia" w:eastAsiaTheme="minorEastAsia" w:cstheme="minorEastAsia"/>
                <w:color w:val="auto"/>
                <w:sz w:val="24"/>
                <w:szCs w:val="24"/>
                <w:highlight w:val="none"/>
              </w:rPr>
            </w:pPr>
          </w:p>
        </w:tc>
        <w:tc>
          <w:tcPr>
            <w:tcW w:w="175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21A603">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采购范围</w:t>
            </w:r>
          </w:p>
        </w:tc>
        <w:tc>
          <w:tcPr>
            <w:tcW w:w="70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9E66C6">
            <w:pPr>
              <w:spacing w:line="360" w:lineRule="auto"/>
              <w:jc w:val="both"/>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本工程施工</w:t>
            </w:r>
            <w:r>
              <w:rPr>
                <w:rFonts w:hint="eastAsia" w:ascii="宋体" w:hAnsi="宋体" w:eastAsia="宋体" w:cs="宋体"/>
                <w:color w:val="auto"/>
                <w:kern w:val="0"/>
                <w:sz w:val="24"/>
                <w:szCs w:val="24"/>
                <w:highlight w:val="none"/>
                <w:lang w:val="en-US" w:eastAsia="zh-CN"/>
              </w:rPr>
              <w:t>包括施工图纸、工程量清单、招标文件范围内所有内容。</w:t>
            </w:r>
          </w:p>
        </w:tc>
      </w:tr>
      <w:tr w14:paraId="584E8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17" w:type="dxa"/>
            <w:tcBorders>
              <w:left w:val="single" w:color="auto" w:sz="4" w:space="0"/>
              <w:bottom w:val="single" w:color="auto" w:sz="4" w:space="0"/>
              <w:right w:val="single" w:color="auto" w:sz="4" w:space="0"/>
            </w:tcBorders>
            <w:noWrap w:val="0"/>
            <w:vAlign w:val="center"/>
          </w:tcPr>
          <w:p w14:paraId="4CE91A64">
            <w:pPr>
              <w:jc w:val="center"/>
              <w:rPr>
                <w:rFonts w:hint="eastAsia" w:asciiTheme="minorEastAsia" w:hAnsiTheme="minorEastAsia" w:eastAsiaTheme="minorEastAsia" w:cstheme="minorEastAsia"/>
                <w:color w:val="auto"/>
                <w:sz w:val="24"/>
                <w:szCs w:val="24"/>
                <w:highlight w:val="none"/>
                <w:lang w:val="en-US" w:eastAsia="zh-CN"/>
              </w:rPr>
            </w:pPr>
          </w:p>
          <w:p w14:paraId="59B6A8C2">
            <w:pPr>
              <w:jc w:val="center"/>
              <w:rPr>
                <w:rFonts w:hint="eastAsia" w:asciiTheme="minorEastAsia" w:hAnsiTheme="minorEastAsia" w:eastAsiaTheme="minorEastAsia" w:cstheme="minorEastAsia"/>
                <w:color w:val="auto"/>
                <w:sz w:val="24"/>
                <w:szCs w:val="24"/>
                <w:highlight w:val="none"/>
                <w:lang w:val="en-US" w:eastAsia="zh-CN"/>
              </w:rPr>
            </w:pPr>
          </w:p>
          <w:p w14:paraId="1674E2E9">
            <w:pPr>
              <w:jc w:val="center"/>
              <w:rPr>
                <w:rFonts w:hint="eastAsia" w:asciiTheme="minorEastAsia" w:hAnsiTheme="minorEastAsia" w:eastAsiaTheme="minorEastAsia" w:cstheme="minorEastAsia"/>
                <w:color w:val="auto"/>
                <w:sz w:val="24"/>
                <w:szCs w:val="24"/>
                <w:highlight w:val="none"/>
                <w:lang w:val="en-US" w:eastAsia="zh-CN"/>
              </w:rPr>
            </w:pPr>
          </w:p>
          <w:p w14:paraId="4BA66DE2">
            <w:pPr>
              <w:jc w:val="center"/>
              <w:rPr>
                <w:rFonts w:hint="eastAsia" w:asciiTheme="minorEastAsia" w:hAnsiTheme="minorEastAsia" w:eastAsiaTheme="minorEastAsia" w:cstheme="minorEastAsia"/>
                <w:color w:val="auto"/>
                <w:sz w:val="24"/>
                <w:szCs w:val="24"/>
                <w:highlight w:val="none"/>
                <w:lang w:val="en-US" w:eastAsia="zh-CN"/>
              </w:rPr>
            </w:pPr>
          </w:p>
          <w:p w14:paraId="7C7C2465">
            <w:pPr>
              <w:jc w:val="center"/>
              <w:rPr>
                <w:rFonts w:hint="eastAsia" w:asciiTheme="minorEastAsia" w:hAnsiTheme="minorEastAsia" w:eastAsiaTheme="minorEastAsia" w:cstheme="minorEastAsia"/>
                <w:color w:val="auto"/>
                <w:sz w:val="24"/>
                <w:szCs w:val="24"/>
                <w:highlight w:val="none"/>
                <w:lang w:val="en-US" w:eastAsia="zh-CN"/>
              </w:rPr>
            </w:pPr>
          </w:p>
          <w:p w14:paraId="440511CA">
            <w:pPr>
              <w:jc w:val="center"/>
              <w:rPr>
                <w:rFonts w:hint="eastAsia" w:asciiTheme="minorEastAsia" w:hAnsiTheme="minorEastAsia" w:eastAsiaTheme="minorEastAsia" w:cstheme="minorEastAsia"/>
                <w:color w:val="auto"/>
                <w:sz w:val="24"/>
                <w:szCs w:val="24"/>
                <w:highlight w:val="none"/>
                <w:lang w:val="en-US" w:eastAsia="zh-CN"/>
              </w:rPr>
            </w:pPr>
          </w:p>
          <w:p w14:paraId="3C062956">
            <w:pPr>
              <w:jc w:val="center"/>
              <w:rPr>
                <w:rFonts w:hint="eastAsia" w:asciiTheme="minorEastAsia" w:hAnsiTheme="minorEastAsia" w:eastAsiaTheme="minorEastAsia" w:cstheme="minorEastAsia"/>
                <w:color w:val="auto"/>
                <w:sz w:val="24"/>
                <w:szCs w:val="24"/>
                <w:highlight w:val="none"/>
                <w:lang w:val="en-US" w:eastAsia="zh-CN"/>
              </w:rPr>
            </w:pPr>
          </w:p>
          <w:p w14:paraId="4F1E22CD">
            <w:pPr>
              <w:jc w:val="center"/>
              <w:rPr>
                <w:rFonts w:hint="eastAsia" w:asciiTheme="minorEastAsia" w:hAnsiTheme="minorEastAsia" w:eastAsiaTheme="minorEastAsia" w:cstheme="minorEastAsia"/>
                <w:color w:val="auto"/>
                <w:sz w:val="24"/>
                <w:szCs w:val="24"/>
                <w:highlight w:val="none"/>
                <w:lang w:val="en-US" w:eastAsia="zh-CN"/>
              </w:rPr>
            </w:pPr>
          </w:p>
          <w:p w14:paraId="5C1879C0">
            <w:pPr>
              <w:jc w:val="center"/>
              <w:rPr>
                <w:rFonts w:hint="eastAsia" w:asciiTheme="minorEastAsia" w:hAnsiTheme="minorEastAsia" w:eastAsiaTheme="minorEastAsia" w:cstheme="minorEastAsia"/>
                <w:color w:val="auto"/>
                <w:sz w:val="24"/>
                <w:szCs w:val="24"/>
                <w:highlight w:val="none"/>
                <w:lang w:val="en-US" w:eastAsia="zh-CN"/>
              </w:rPr>
            </w:pPr>
          </w:p>
          <w:p w14:paraId="6CA30DCC">
            <w:pPr>
              <w:jc w:val="center"/>
              <w:rPr>
                <w:rFonts w:hint="eastAsia" w:asciiTheme="minorEastAsia" w:hAnsiTheme="minorEastAsia" w:eastAsiaTheme="minorEastAsia" w:cstheme="minorEastAsia"/>
                <w:color w:val="auto"/>
                <w:sz w:val="24"/>
                <w:szCs w:val="24"/>
                <w:highlight w:val="none"/>
                <w:lang w:val="en-US" w:eastAsia="zh-CN"/>
              </w:rPr>
            </w:pPr>
          </w:p>
          <w:p w14:paraId="418E7ED6">
            <w:pPr>
              <w:jc w:val="center"/>
              <w:rPr>
                <w:rFonts w:hint="eastAsia" w:asciiTheme="minorEastAsia" w:hAnsiTheme="minorEastAsia" w:eastAsiaTheme="minorEastAsia" w:cstheme="minorEastAsia"/>
                <w:color w:val="auto"/>
                <w:sz w:val="24"/>
                <w:szCs w:val="24"/>
                <w:highlight w:val="none"/>
                <w:lang w:val="en-US" w:eastAsia="zh-CN"/>
              </w:rPr>
            </w:pPr>
          </w:p>
          <w:p w14:paraId="4ABC1A92">
            <w:pPr>
              <w:jc w:val="center"/>
              <w:rPr>
                <w:rFonts w:hint="eastAsia" w:asciiTheme="minorEastAsia" w:hAnsiTheme="minorEastAsia" w:eastAsiaTheme="minorEastAsia" w:cstheme="minorEastAsia"/>
                <w:color w:val="auto"/>
                <w:sz w:val="24"/>
                <w:szCs w:val="24"/>
                <w:highlight w:val="none"/>
                <w:lang w:val="en-US" w:eastAsia="zh-CN"/>
              </w:rPr>
            </w:pPr>
          </w:p>
          <w:p w14:paraId="2FF31753">
            <w:pPr>
              <w:jc w:val="center"/>
              <w:rPr>
                <w:rFonts w:hint="eastAsia" w:asciiTheme="minorEastAsia" w:hAnsiTheme="minorEastAsia" w:eastAsiaTheme="minorEastAsia" w:cstheme="minorEastAsia"/>
                <w:color w:val="auto"/>
                <w:sz w:val="24"/>
                <w:szCs w:val="24"/>
                <w:highlight w:val="none"/>
                <w:lang w:val="en-US" w:eastAsia="zh-CN"/>
              </w:rPr>
            </w:pPr>
          </w:p>
          <w:p w14:paraId="43A777C7">
            <w:pPr>
              <w:jc w:val="center"/>
              <w:rPr>
                <w:rFonts w:hint="eastAsia" w:asciiTheme="minorEastAsia" w:hAnsiTheme="minorEastAsia" w:eastAsiaTheme="minorEastAsia" w:cstheme="minorEastAsia"/>
                <w:color w:val="auto"/>
                <w:sz w:val="24"/>
                <w:szCs w:val="24"/>
                <w:highlight w:val="none"/>
                <w:lang w:val="en-US" w:eastAsia="zh-CN"/>
              </w:rPr>
            </w:pPr>
          </w:p>
          <w:p w14:paraId="09CD18EF">
            <w:pPr>
              <w:jc w:val="center"/>
              <w:rPr>
                <w:rFonts w:hint="eastAsia" w:asciiTheme="minorEastAsia" w:hAnsiTheme="minorEastAsia" w:eastAsiaTheme="minorEastAsia" w:cstheme="minorEastAsia"/>
                <w:color w:val="auto"/>
                <w:sz w:val="24"/>
                <w:szCs w:val="24"/>
                <w:highlight w:val="none"/>
                <w:lang w:val="en-US" w:eastAsia="zh-CN"/>
              </w:rPr>
            </w:pPr>
          </w:p>
          <w:p w14:paraId="1683B2F4">
            <w:pPr>
              <w:jc w:val="center"/>
              <w:rPr>
                <w:rFonts w:hint="eastAsia" w:asciiTheme="minorEastAsia" w:hAnsiTheme="minorEastAsia" w:eastAsiaTheme="minorEastAsia" w:cstheme="minorEastAsia"/>
                <w:color w:val="auto"/>
                <w:sz w:val="24"/>
                <w:szCs w:val="24"/>
                <w:highlight w:val="none"/>
                <w:lang w:val="en-US" w:eastAsia="zh-CN"/>
              </w:rPr>
            </w:pPr>
          </w:p>
          <w:p w14:paraId="1FDAAE95">
            <w:pPr>
              <w:jc w:val="center"/>
              <w:rPr>
                <w:rFonts w:hint="eastAsia" w:asciiTheme="minorEastAsia" w:hAnsiTheme="minorEastAsia" w:eastAsiaTheme="minorEastAsia" w:cstheme="minorEastAsia"/>
                <w:color w:val="auto"/>
                <w:sz w:val="24"/>
                <w:szCs w:val="24"/>
                <w:highlight w:val="none"/>
                <w:lang w:val="en-US" w:eastAsia="zh-CN"/>
              </w:rPr>
            </w:pPr>
          </w:p>
          <w:p w14:paraId="499A4E55">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p w14:paraId="69521F41">
            <w:pPr>
              <w:pStyle w:val="3"/>
              <w:rPr>
                <w:rFonts w:hint="eastAsia" w:asciiTheme="minorEastAsia" w:hAnsiTheme="minorEastAsia" w:eastAsiaTheme="minorEastAsia" w:cstheme="minorEastAsia"/>
                <w:color w:val="auto"/>
                <w:sz w:val="24"/>
                <w:szCs w:val="24"/>
                <w:highlight w:val="none"/>
                <w:lang w:val="en-US" w:eastAsia="zh-CN"/>
              </w:rPr>
            </w:pPr>
          </w:p>
          <w:p w14:paraId="097CFC04">
            <w:pPr>
              <w:rPr>
                <w:rFonts w:hint="eastAsia"/>
                <w:color w:val="auto"/>
                <w:highlight w:val="none"/>
                <w:lang w:val="en-US" w:eastAsia="zh-CN"/>
              </w:rPr>
            </w:pPr>
          </w:p>
        </w:tc>
        <w:tc>
          <w:tcPr>
            <w:tcW w:w="175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421EF9">
            <w:pPr>
              <w:jc w:val="center"/>
              <w:rPr>
                <w:rFonts w:hint="eastAsia" w:ascii="宋体" w:hAnsi="宋体" w:eastAsia="宋体" w:cs="宋体"/>
                <w:b w:val="0"/>
                <w:bCs w:val="0"/>
                <w:color w:val="auto"/>
                <w:sz w:val="24"/>
                <w:szCs w:val="24"/>
                <w:highlight w:val="none"/>
                <w:lang w:val="en-US" w:eastAsia="zh-CN"/>
              </w:rPr>
            </w:pPr>
          </w:p>
          <w:p w14:paraId="3091D2F5">
            <w:pPr>
              <w:jc w:val="center"/>
              <w:rPr>
                <w:rFonts w:hint="eastAsia" w:ascii="宋体" w:hAnsi="宋体" w:eastAsia="宋体" w:cs="宋体"/>
                <w:b w:val="0"/>
                <w:bCs w:val="0"/>
                <w:color w:val="auto"/>
                <w:sz w:val="24"/>
                <w:szCs w:val="24"/>
                <w:highlight w:val="none"/>
                <w:lang w:val="en-US" w:eastAsia="zh-CN"/>
              </w:rPr>
            </w:pPr>
          </w:p>
          <w:p w14:paraId="0CC15867">
            <w:pPr>
              <w:jc w:val="center"/>
              <w:rPr>
                <w:rFonts w:hint="eastAsia" w:ascii="宋体" w:hAnsi="宋体" w:eastAsia="宋体" w:cs="宋体"/>
                <w:b w:val="0"/>
                <w:bCs w:val="0"/>
                <w:color w:val="auto"/>
                <w:sz w:val="24"/>
                <w:szCs w:val="24"/>
                <w:highlight w:val="none"/>
                <w:lang w:val="en-US" w:eastAsia="zh-CN"/>
              </w:rPr>
            </w:pPr>
          </w:p>
          <w:p w14:paraId="3D34A731">
            <w:pPr>
              <w:jc w:val="center"/>
              <w:rPr>
                <w:rFonts w:hint="eastAsia" w:ascii="宋体" w:hAnsi="宋体" w:eastAsia="宋体" w:cs="宋体"/>
                <w:b w:val="0"/>
                <w:bCs w:val="0"/>
                <w:color w:val="auto"/>
                <w:sz w:val="24"/>
                <w:szCs w:val="24"/>
                <w:highlight w:val="none"/>
                <w:lang w:val="en-US" w:eastAsia="zh-CN"/>
              </w:rPr>
            </w:pPr>
          </w:p>
          <w:p w14:paraId="3CEAA783">
            <w:pPr>
              <w:jc w:val="center"/>
              <w:rPr>
                <w:rFonts w:hint="eastAsia" w:ascii="宋体" w:hAnsi="宋体" w:eastAsia="宋体" w:cs="宋体"/>
                <w:b w:val="0"/>
                <w:bCs w:val="0"/>
                <w:color w:val="auto"/>
                <w:sz w:val="24"/>
                <w:szCs w:val="24"/>
                <w:highlight w:val="none"/>
                <w:lang w:val="en-US" w:eastAsia="zh-CN"/>
              </w:rPr>
            </w:pPr>
          </w:p>
          <w:p w14:paraId="736E90A3">
            <w:pPr>
              <w:jc w:val="center"/>
              <w:rPr>
                <w:rFonts w:hint="eastAsia" w:ascii="宋体" w:hAnsi="宋体" w:eastAsia="宋体" w:cs="宋体"/>
                <w:b w:val="0"/>
                <w:bCs w:val="0"/>
                <w:color w:val="auto"/>
                <w:sz w:val="24"/>
                <w:szCs w:val="24"/>
                <w:highlight w:val="none"/>
                <w:lang w:val="en-US" w:eastAsia="zh-CN"/>
              </w:rPr>
            </w:pPr>
          </w:p>
          <w:p w14:paraId="58DC8D9A">
            <w:pPr>
              <w:jc w:val="center"/>
              <w:rPr>
                <w:rFonts w:hint="eastAsia" w:ascii="宋体" w:hAnsi="宋体" w:eastAsia="宋体" w:cs="宋体"/>
                <w:b w:val="0"/>
                <w:bCs w:val="0"/>
                <w:color w:val="auto"/>
                <w:sz w:val="24"/>
                <w:szCs w:val="24"/>
                <w:highlight w:val="none"/>
                <w:lang w:val="en-US" w:eastAsia="zh-CN"/>
              </w:rPr>
            </w:pPr>
          </w:p>
          <w:p w14:paraId="29662345">
            <w:pPr>
              <w:jc w:val="center"/>
              <w:rPr>
                <w:rFonts w:hint="eastAsia" w:ascii="宋体" w:hAnsi="宋体" w:eastAsia="宋体" w:cs="宋体"/>
                <w:b w:val="0"/>
                <w:bCs w:val="0"/>
                <w:color w:val="auto"/>
                <w:sz w:val="24"/>
                <w:szCs w:val="24"/>
                <w:highlight w:val="none"/>
                <w:lang w:val="en-US" w:eastAsia="zh-CN"/>
              </w:rPr>
            </w:pPr>
          </w:p>
          <w:p w14:paraId="265513B9">
            <w:pPr>
              <w:jc w:val="center"/>
              <w:rPr>
                <w:rFonts w:hint="eastAsia" w:ascii="宋体" w:hAnsi="宋体" w:eastAsia="宋体" w:cs="宋体"/>
                <w:b w:val="0"/>
                <w:bCs w:val="0"/>
                <w:color w:val="auto"/>
                <w:sz w:val="24"/>
                <w:szCs w:val="24"/>
                <w:highlight w:val="none"/>
                <w:lang w:val="en-US" w:eastAsia="zh-CN"/>
              </w:rPr>
            </w:pPr>
          </w:p>
          <w:p w14:paraId="051726E1">
            <w:pPr>
              <w:jc w:val="center"/>
              <w:rPr>
                <w:rFonts w:hint="eastAsia" w:ascii="宋体" w:hAnsi="宋体" w:eastAsia="宋体" w:cs="宋体"/>
                <w:b w:val="0"/>
                <w:bCs w:val="0"/>
                <w:color w:val="auto"/>
                <w:sz w:val="24"/>
                <w:szCs w:val="24"/>
                <w:highlight w:val="none"/>
                <w:lang w:val="en-US" w:eastAsia="zh-CN"/>
              </w:rPr>
            </w:pPr>
          </w:p>
          <w:p w14:paraId="07571E90">
            <w:pPr>
              <w:jc w:val="center"/>
              <w:rPr>
                <w:rFonts w:hint="eastAsia" w:ascii="宋体" w:hAnsi="宋体" w:eastAsia="宋体" w:cs="宋体"/>
                <w:b w:val="0"/>
                <w:bCs w:val="0"/>
                <w:color w:val="auto"/>
                <w:sz w:val="24"/>
                <w:szCs w:val="24"/>
                <w:highlight w:val="none"/>
                <w:lang w:val="en-US" w:eastAsia="zh-CN"/>
              </w:rPr>
            </w:pPr>
          </w:p>
          <w:p w14:paraId="52006FAE">
            <w:pPr>
              <w:jc w:val="center"/>
              <w:rPr>
                <w:rFonts w:hint="eastAsia" w:ascii="宋体" w:hAnsi="宋体" w:eastAsia="宋体" w:cs="宋体"/>
                <w:b w:val="0"/>
                <w:bCs w:val="0"/>
                <w:color w:val="auto"/>
                <w:sz w:val="24"/>
                <w:szCs w:val="24"/>
                <w:highlight w:val="none"/>
                <w:lang w:val="en-US" w:eastAsia="zh-CN"/>
              </w:rPr>
            </w:pPr>
          </w:p>
          <w:p w14:paraId="09B0C459">
            <w:pPr>
              <w:jc w:val="center"/>
              <w:rPr>
                <w:rFonts w:hint="eastAsia" w:ascii="宋体" w:hAnsi="宋体" w:eastAsia="宋体" w:cs="宋体"/>
                <w:b w:val="0"/>
                <w:bCs w:val="0"/>
                <w:color w:val="auto"/>
                <w:sz w:val="24"/>
                <w:szCs w:val="24"/>
                <w:highlight w:val="none"/>
                <w:lang w:val="en-US" w:eastAsia="zh-CN"/>
              </w:rPr>
            </w:pPr>
          </w:p>
          <w:p w14:paraId="7F318484">
            <w:pPr>
              <w:jc w:val="center"/>
              <w:rPr>
                <w:rFonts w:hint="eastAsia" w:ascii="宋体" w:hAnsi="宋体" w:eastAsia="宋体" w:cs="宋体"/>
                <w:b w:val="0"/>
                <w:bCs w:val="0"/>
                <w:color w:val="auto"/>
                <w:sz w:val="24"/>
                <w:szCs w:val="24"/>
                <w:highlight w:val="none"/>
                <w:lang w:val="en-US" w:eastAsia="zh-CN"/>
              </w:rPr>
            </w:pPr>
          </w:p>
          <w:p w14:paraId="693CBF19">
            <w:pPr>
              <w:jc w:val="center"/>
              <w:rPr>
                <w:rFonts w:hint="eastAsia" w:ascii="宋体" w:hAnsi="宋体" w:eastAsia="宋体" w:cs="宋体"/>
                <w:b w:val="0"/>
                <w:bCs w:val="0"/>
                <w:color w:val="auto"/>
                <w:sz w:val="24"/>
                <w:szCs w:val="24"/>
                <w:highlight w:val="none"/>
                <w:lang w:val="en-US" w:eastAsia="zh-CN"/>
              </w:rPr>
            </w:pPr>
          </w:p>
          <w:p w14:paraId="4504BBD9">
            <w:pPr>
              <w:jc w:val="center"/>
              <w:rPr>
                <w:rFonts w:hint="eastAsia" w:ascii="宋体" w:hAnsi="宋体" w:eastAsia="宋体" w:cs="宋体"/>
                <w:b w:val="0"/>
                <w:bCs w:val="0"/>
                <w:color w:val="auto"/>
                <w:sz w:val="24"/>
                <w:szCs w:val="24"/>
                <w:highlight w:val="none"/>
                <w:lang w:val="en-US" w:eastAsia="zh-CN"/>
              </w:rPr>
            </w:pPr>
          </w:p>
          <w:p w14:paraId="14FFFAB2">
            <w:pPr>
              <w:jc w:val="center"/>
              <w:rPr>
                <w:rFonts w:hint="eastAsia" w:ascii="宋体" w:hAnsi="宋体" w:eastAsia="宋体" w:cs="宋体"/>
                <w:b w:val="0"/>
                <w:bCs w:val="0"/>
                <w:color w:val="auto"/>
                <w:sz w:val="24"/>
                <w:szCs w:val="24"/>
                <w:highlight w:val="none"/>
                <w:lang w:val="en-US" w:eastAsia="zh-CN"/>
              </w:rPr>
            </w:pPr>
          </w:p>
          <w:p w14:paraId="07DDEB61">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供应商</w:t>
            </w:r>
          </w:p>
          <w:p w14:paraId="7F51ABAD">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资格条件</w:t>
            </w:r>
          </w:p>
        </w:tc>
        <w:tc>
          <w:tcPr>
            <w:tcW w:w="70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6774E0">
            <w:pPr>
              <w:spacing w:line="360" w:lineRule="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1、本项目基本资格要求：</w:t>
            </w:r>
          </w:p>
          <w:p w14:paraId="1CF2B316">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（1）满足《中华人民共和国政府采购法》第二十二条规定；</w:t>
            </w:r>
          </w:p>
          <w:p w14:paraId="7EAB224F">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r>
              <w:rPr>
                <w:rFonts w:hint="default" w:asciiTheme="minorEastAsia" w:hAnsiTheme="minorEastAsia" w:eastAsiaTheme="minorEastAsia" w:cstheme="minorEastAsia"/>
                <w:color w:val="auto"/>
                <w:sz w:val="24"/>
                <w:szCs w:val="24"/>
                <w:highlight w:val="none"/>
                <w:lang w:val="en-US" w:eastAsia="zh-CN"/>
              </w:rPr>
              <w:t>单位负责人为同一人或者存在直接控股、管理关系的不同供应商，不得参加同一合同项下的政府采购活动。除单一来源采购项目外，</w:t>
            </w:r>
            <w:r>
              <w:rPr>
                <w:rFonts w:hint="eastAsia" w:asciiTheme="minorEastAsia" w:hAnsiTheme="minorEastAsia" w:eastAsiaTheme="minorEastAsia" w:cstheme="minorEastAsia"/>
                <w:color w:val="auto"/>
                <w:sz w:val="24"/>
                <w:szCs w:val="24"/>
                <w:highlight w:val="none"/>
                <w:lang w:val="en-US" w:eastAsia="zh-CN"/>
              </w:rPr>
              <w:t>为采购项目提供整体设计、规范编制或者项目管理、监理、检测等服务的供应商，不得再参加该采购项目的其他采购活动。</w:t>
            </w:r>
          </w:p>
          <w:p w14:paraId="707FA828">
            <w:pPr>
              <w:spacing w:line="360" w:lineRule="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zh-CN" w:eastAsia="zh-CN"/>
              </w:rPr>
              <w:t>经信用中国（www.creditchina.gov.cn）、中国政府采购网（www.ccgp.gov.cn）等渠道查询后，列入失信被执行人、重大税收违法案件当事人名单、政府采购严重违法失信行为记录名单的，取消投标资格（提供网站无任何不良记录的查询截图并加盖公章，时间为自招标公告发布日期起至开标日期止；</w:t>
            </w:r>
            <w:r>
              <w:rPr>
                <w:rFonts w:hint="eastAsia" w:asciiTheme="minorEastAsia" w:hAnsiTheme="minorEastAsia" w:eastAsiaTheme="minorEastAsia" w:cstheme="minorEastAsia"/>
                <w:color w:val="auto"/>
                <w:sz w:val="24"/>
                <w:szCs w:val="24"/>
                <w:highlight w:val="none"/>
                <w:lang w:val="en-US" w:eastAsia="zh-CN"/>
              </w:rPr>
              <w:t>开标时，以网上查询记录为准</w:t>
            </w:r>
            <w:r>
              <w:rPr>
                <w:rFonts w:hint="eastAsia" w:asciiTheme="minorEastAsia" w:hAnsiTheme="minorEastAsia" w:eastAsiaTheme="minorEastAsia" w:cstheme="minorEastAsia"/>
                <w:color w:val="auto"/>
                <w:sz w:val="24"/>
                <w:szCs w:val="24"/>
                <w:highlight w:val="none"/>
                <w:lang w:val="zh-CN" w:eastAsia="zh-CN"/>
              </w:rPr>
              <w:t>）；</w:t>
            </w:r>
          </w:p>
          <w:p w14:paraId="4E1B0805">
            <w:pPr>
              <w:spacing w:line="360" w:lineRule="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zh-CN"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val="zh-CN" w:eastAsia="zh-CN"/>
              </w:rPr>
              <w:t>）</w:t>
            </w:r>
            <w:r>
              <w:rPr>
                <w:rFonts w:hint="eastAsia" w:asciiTheme="minorEastAsia" w:hAnsiTheme="minorEastAsia" w:eastAsiaTheme="minorEastAsia" w:cstheme="minorEastAsia"/>
                <w:color w:val="auto"/>
                <w:sz w:val="24"/>
                <w:szCs w:val="24"/>
                <w:highlight w:val="none"/>
                <w:lang w:val="en-US" w:eastAsia="zh-CN"/>
              </w:rPr>
              <w:t>本项目不接受联合体投标。</w:t>
            </w:r>
          </w:p>
          <w:p w14:paraId="7B86E2D2">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2、落实政府采购政策需满足的资格要求</w:t>
            </w:r>
            <w:r>
              <w:rPr>
                <w:rFonts w:hint="eastAsia" w:asciiTheme="minorEastAsia" w:hAnsiTheme="minorEastAsia" w:eastAsiaTheme="minorEastAsia" w:cstheme="minorEastAsia"/>
                <w:color w:val="auto"/>
                <w:sz w:val="24"/>
                <w:szCs w:val="24"/>
                <w:highlight w:val="none"/>
              </w:rPr>
              <w:t>：</w:t>
            </w:r>
            <w:r>
              <w:rPr>
                <w:rFonts w:hint="eastAsia" w:ascii="宋体" w:hAnsi="宋体" w:eastAsia="宋体" w:cs="宋体"/>
                <w:color w:val="auto"/>
                <w:kern w:val="0"/>
                <w:sz w:val="24"/>
                <w:szCs w:val="24"/>
                <w:highlight w:val="none"/>
                <w:lang w:val="zh-CN" w:eastAsia="zh-CN"/>
              </w:rPr>
              <w:t>本项目专门面</w:t>
            </w:r>
            <w:r>
              <w:rPr>
                <w:rFonts w:hint="eastAsia" w:ascii="宋体" w:hAnsi="宋体" w:eastAsia="宋体" w:cs="宋体"/>
                <w:color w:val="auto"/>
                <w:kern w:val="0"/>
                <w:sz w:val="24"/>
                <w:szCs w:val="24"/>
                <w:highlight w:val="none"/>
                <w:lang w:val="en-US" w:eastAsia="zh-CN"/>
              </w:rPr>
              <w:t>向</w:t>
            </w:r>
            <w:r>
              <w:rPr>
                <w:rFonts w:hint="eastAsia" w:ascii="宋体" w:hAnsi="宋体" w:cs="宋体"/>
                <w:color w:val="auto"/>
                <w:kern w:val="0"/>
                <w:sz w:val="24"/>
                <w:szCs w:val="24"/>
                <w:highlight w:val="none"/>
                <w:lang w:val="en-US" w:eastAsia="zh-CN"/>
              </w:rPr>
              <w:t>小微</w:t>
            </w:r>
            <w:r>
              <w:rPr>
                <w:rFonts w:hint="eastAsia" w:ascii="宋体" w:hAnsi="宋体" w:eastAsia="宋体" w:cs="宋体"/>
                <w:color w:val="auto"/>
                <w:kern w:val="0"/>
                <w:sz w:val="24"/>
                <w:szCs w:val="24"/>
                <w:highlight w:val="none"/>
                <w:lang w:val="zh-CN" w:eastAsia="zh-CN"/>
              </w:rPr>
              <w:t>企业采购（</w:t>
            </w:r>
            <w:r>
              <w:rPr>
                <w:rFonts w:hint="eastAsia" w:ascii="宋体" w:hAnsi="宋体" w:cs="宋体"/>
                <w:color w:val="auto"/>
                <w:kern w:val="0"/>
                <w:sz w:val="24"/>
                <w:szCs w:val="24"/>
                <w:highlight w:val="none"/>
                <w:lang w:val="en-US" w:eastAsia="zh-CN"/>
              </w:rPr>
              <w:t>小微</w:t>
            </w:r>
            <w:r>
              <w:rPr>
                <w:rFonts w:hint="eastAsia" w:ascii="宋体" w:hAnsi="宋体" w:eastAsia="宋体" w:cs="宋体"/>
                <w:color w:val="auto"/>
                <w:kern w:val="0"/>
                <w:sz w:val="24"/>
                <w:szCs w:val="24"/>
                <w:highlight w:val="none"/>
                <w:lang w:val="en-US" w:eastAsia="zh-CN"/>
              </w:rPr>
              <w:t>企业预留100%</w:t>
            </w:r>
            <w:r>
              <w:rPr>
                <w:rFonts w:hint="eastAsia" w:ascii="宋体" w:hAnsi="宋体" w:eastAsia="宋体" w:cs="宋体"/>
                <w:color w:val="auto"/>
                <w:kern w:val="0"/>
                <w:sz w:val="24"/>
                <w:szCs w:val="24"/>
                <w:highlight w:val="none"/>
                <w:lang w:val="zh-CN" w:eastAsia="zh-CN"/>
              </w:rPr>
              <w:t>）；</w:t>
            </w:r>
          </w:p>
          <w:p w14:paraId="39E8176C">
            <w:pPr>
              <w:numPr>
                <w:ilvl w:val="0"/>
                <w:numId w:val="0"/>
              </w:numPr>
              <w:spacing w:line="360" w:lineRule="auto"/>
              <w:ind w:leftChars="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（1）《政府采购促进中小企业发展管理办法》（财库〔2020〕46号）；</w:t>
            </w:r>
          </w:p>
          <w:p w14:paraId="6347D980">
            <w:pPr>
              <w:numPr>
                <w:ilvl w:val="0"/>
                <w:numId w:val="0"/>
              </w:numPr>
              <w:spacing w:line="360" w:lineRule="auto"/>
              <w:ind w:leftChars="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eastAsia="zh-CN"/>
              </w:rPr>
              <w:t>）《关于落实好政府采购支持中小企业发展的通知》（新财购〔2022〕22号）；</w:t>
            </w:r>
          </w:p>
          <w:p w14:paraId="7EB5BB3C">
            <w:pPr>
              <w:numPr>
                <w:ilvl w:val="0"/>
                <w:numId w:val="0"/>
              </w:numPr>
              <w:spacing w:line="360" w:lineRule="auto"/>
              <w:ind w:leftChars="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zh-CN" w:eastAsia="zh-CN"/>
              </w:rPr>
              <w:t>）财政部关于进一步加大政府采购支持中小企业力度的通知（财库[2022]19号）；</w:t>
            </w:r>
          </w:p>
          <w:p w14:paraId="16424E99">
            <w:pPr>
              <w:numPr>
                <w:ilvl w:val="0"/>
                <w:numId w:val="0"/>
              </w:numPr>
              <w:spacing w:line="360" w:lineRule="auto"/>
              <w:ind w:leftChars="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zh-CN" w:eastAsia="zh-CN"/>
              </w:rPr>
              <w:t>）</w:t>
            </w:r>
            <w:r>
              <w:rPr>
                <w:rFonts w:hint="eastAsia" w:asciiTheme="minorEastAsia" w:hAnsiTheme="minorEastAsia" w:eastAsiaTheme="minorEastAsia" w:cstheme="minorEastAsia"/>
                <w:color w:val="auto"/>
                <w:sz w:val="24"/>
                <w:szCs w:val="24"/>
                <w:highlight w:val="none"/>
              </w:rPr>
              <w:t>财政部、司法部《关于政府采购支持监狱企业发展有关问题的通知》（财库[2014]68号文）。</w:t>
            </w:r>
          </w:p>
          <w:p w14:paraId="57F8EB7B">
            <w:pPr>
              <w:spacing w:line="360" w:lineRule="auto"/>
              <w:rPr>
                <w:rFonts w:hint="eastAsia" w:ascii="宋体" w:hAnsi="宋体" w:eastAsia="宋体" w:cs="宋体"/>
                <w:i w:val="0"/>
                <w:iCs w:val="0"/>
                <w:caps w:val="0"/>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）财政部、民政部、中国残疾人联合会《关于促进残疾人就业政府采购政策的通知》（财库[2017]141号）；</w:t>
            </w:r>
          </w:p>
          <w:p w14:paraId="182D64C3">
            <w:pPr>
              <w:spacing w:line="360" w:lineRule="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3、本项目特定资格要求：</w:t>
            </w:r>
          </w:p>
          <w:p w14:paraId="095938BB">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（1）施工企业资格要求：具备水利水电工程施工总承包叁级及以上资质，具有有效的安全生产许可证，并在人员、设备、资金等方面具有相应的施工能力。</w:t>
            </w:r>
          </w:p>
          <w:p w14:paraId="24059E5D">
            <w:pPr>
              <w:spacing w:line="360" w:lineRule="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（2）项目负责人资格要求：拟派的项目负责人（项目经理）需具备水利水电二级及以上注册建造师执业资格证书，具备有效的安全生产考</w:t>
            </w:r>
            <w:r>
              <w:rPr>
                <w:rFonts w:hint="eastAsia" w:ascii="宋体" w:hAnsi="宋体" w:eastAsia="宋体" w:cs="宋体"/>
                <w:i w:val="0"/>
                <w:iCs w:val="0"/>
                <w:caps w:val="0"/>
                <w:color w:val="auto"/>
                <w:spacing w:val="0"/>
                <w:kern w:val="0"/>
                <w:sz w:val="24"/>
                <w:szCs w:val="24"/>
                <w:highlight w:val="none"/>
                <w:lang w:val="en-US" w:eastAsia="zh-CN" w:bidi="ar-SA"/>
              </w:rPr>
              <w:t>核合格证书（B类），未担任其他在建工程项目的项目经理。</w:t>
            </w:r>
          </w:p>
        </w:tc>
      </w:tr>
      <w:tr w14:paraId="2F563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17" w:type="dxa"/>
            <w:vMerge w:val="restart"/>
            <w:tcBorders>
              <w:top w:val="single" w:color="auto" w:sz="4" w:space="0"/>
              <w:left w:val="single" w:color="auto" w:sz="4" w:space="0"/>
              <w:right w:val="single" w:color="auto" w:sz="4" w:space="0"/>
            </w:tcBorders>
            <w:noWrap w:val="0"/>
            <w:vAlign w:val="center"/>
          </w:tcPr>
          <w:p w14:paraId="69CCE2CB">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p w14:paraId="61A54312">
            <w:pPr>
              <w:jc w:val="center"/>
              <w:rPr>
                <w:rFonts w:hint="eastAsia" w:asciiTheme="minorEastAsia" w:hAnsiTheme="minorEastAsia" w:eastAsiaTheme="minorEastAsia" w:cstheme="minorEastAsia"/>
                <w:color w:val="auto"/>
                <w:sz w:val="24"/>
                <w:szCs w:val="24"/>
                <w:highlight w:val="none"/>
                <w:lang w:val="en-US" w:eastAsia="zh-CN"/>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0F52DC8D">
            <w:pPr>
              <w:jc w:val="center"/>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val="en-US" w:eastAsia="zh-CN"/>
              </w:rPr>
              <w:t>施工工期</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453FBDBC">
            <w:pPr>
              <w:spacing w:line="360" w:lineRule="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60日历天；</w:t>
            </w:r>
            <w:r>
              <w:rPr>
                <w:rFonts w:hint="eastAsia" w:asciiTheme="minorEastAsia" w:hAnsiTheme="minorEastAsia" w:eastAsiaTheme="minorEastAsia" w:cstheme="minorEastAsia"/>
                <w:color w:val="auto"/>
                <w:sz w:val="24"/>
                <w:szCs w:val="24"/>
                <w:highlight w:val="none"/>
                <w:lang w:val="en-US" w:eastAsia="zh-CN"/>
              </w:rPr>
              <w:t>计划开工日期2025年7月29日，计划竣工日期2025年9月26日</w:t>
            </w:r>
            <w:r>
              <w:rPr>
                <w:rFonts w:hint="eastAsia" w:asciiTheme="minorEastAsia" w:hAnsiTheme="minorEastAsia" w:eastAsiaTheme="minorEastAsia" w:cstheme="minorEastAsia"/>
                <w:color w:val="auto"/>
                <w:sz w:val="24"/>
                <w:szCs w:val="24"/>
                <w:highlight w:val="none"/>
                <w:lang w:val="en-US" w:eastAsia="zh-CN"/>
              </w:rPr>
              <w:t>；</w:t>
            </w:r>
          </w:p>
        </w:tc>
      </w:tr>
      <w:tr w14:paraId="21440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17" w:type="dxa"/>
            <w:vMerge w:val="continue"/>
            <w:tcBorders>
              <w:left w:val="single" w:color="auto" w:sz="4" w:space="0"/>
              <w:right w:val="single" w:color="auto" w:sz="4" w:space="0"/>
            </w:tcBorders>
            <w:noWrap w:val="0"/>
            <w:vAlign w:val="center"/>
          </w:tcPr>
          <w:p w14:paraId="65AA0EDE">
            <w:pPr>
              <w:jc w:val="center"/>
              <w:rPr>
                <w:rFonts w:hint="eastAsia" w:asciiTheme="minorEastAsia" w:hAnsiTheme="minorEastAsia" w:eastAsiaTheme="minorEastAsia" w:cstheme="minorEastAsia"/>
                <w:color w:val="auto"/>
                <w:sz w:val="24"/>
                <w:szCs w:val="24"/>
                <w:highlight w:val="none"/>
                <w:lang w:val="en-US" w:eastAsia="zh-CN"/>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3D18F98C">
            <w:pPr>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建设</w:t>
            </w:r>
            <w:r>
              <w:rPr>
                <w:rFonts w:hint="eastAsia" w:asciiTheme="minorEastAsia" w:hAnsiTheme="minorEastAsia" w:eastAsiaTheme="minorEastAsia" w:cstheme="minorEastAsia"/>
                <w:b w:val="0"/>
                <w:bCs w:val="0"/>
                <w:color w:val="auto"/>
                <w:sz w:val="24"/>
                <w:szCs w:val="24"/>
                <w:highlight w:val="none"/>
              </w:rPr>
              <w:t>地点</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3FA5669C">
            <w:pPr>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eastAsia="zh-CN"/>
              </w:rPr>
              <w:t>和硕县</w:t>
            </w:r>
          </w:p>
        </w:tc>
      </w:tr>
      <w:tr w14:paraId="7D0EB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17" w:type="dxa"/>
            <w:vMerge w:val="continue"/>
            <w:tcBorders>
              <w:left w:val="single" w:color="auto" w:sz="4" w:space="0"/>
              <w:right w:val="single" w:color="auto" w:sz="4" w:space="0"/>
            </w:tcBorders>
            <w:noWrap w:val="0"/>
            <w:vAlign w:val="center"/>
          </w:tcPr>
          <w:p w14:paraId="69800AA9">
            <w:pPr>
              <w:jc w:val="center"/>
              <w:rPr>
                <w:rFonts w:hint="eastAsia" w:asciiTheme="minorEastAsia" w:hAnsiTheme="minorEastAsia" w:eastAsiaTheme="minorEastAsia" w:cstheme="minorEastAsia"/>
                <w:color w:val="auto"/>
                <w:sz w:val="24"/>
                <w:szCs w:val="24"/>
                <w:highlight w:val="none"/>
                <w:lang w:val="en-US" w:eastAsia="zh-CN"/>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50E4DFF5">
            <w:pPr>
              <w:jc w:val="center"/>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质量要求</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0469AA0B">
            <w:pPr>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合格并由采购单位验收通过；</w:t>
            </w:r>
          </w:p>
        </w:tc>
      </w:tr>
      <w:tr w14:paraId="1BCC3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17" w:type="dxa"/>
            <w:vMerge w:val="continue"/>
            <w:tcBorders>
              <w:left w:val="single" w:color="auto" w:sz="4" w:space="0"/>
              <w:right w:val="single" w:color="auto" w:sz="4" w:space="0"/>
            </w:tcBorders>
            <w:noWrap w:val="0"/>
            <w:vAlign w:val="center"/>
          </w:tcPr>
          <w:p w14:paraId="42278CAD">
            <w:pPr>
              <w:jc w:val="center"/>
              <w:rPr>
                <w:rFonts w:hint="eastAsia" w:asciiTheme="minorEastAsia" w:hAnsiTheme="minorEastAsia" w:eastAsiaTheme="minorEastAsia" w:cstheme="minorEastAsia"/>
                <w:color w:val="auto"/>
                <w:sz w:val="24"/>
                <w:szCs w:val="24"/>
                <w:highlight w:val="none"/>
                <w:lang w:val="en-US" w:eastAsia="zh-CN"/>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2EAA37C6">
            <w:pPr>
              <w:adjustRightInd w:val="0"/>
              <w:snapToGrid w:val="0"/>
              <w:spacing w:before="120" w:beforeLines="50"/>
              <w:jc w:val="center"/>
              <w:rPr>
                <w:rFonts w:hint="eastAsia" w:asciiTheme="minorEastAsia" w:hAnsiTheme="minorEastAsia" w:eastAsiaTheme="minorEastAsia" w:cstheme="minorEastAsia"/>
                <w:b w:val="0"/>
                <w:bCs w:val="0"/>
                <w:color w:val="auto"/>
                <w:sz w:val="24"/>
                <w:szCs w:val="24"/>
                <w:highlight w:val="none"/>
              </w:rPr>
            </w:pPr>
            <w:r>
              <w:rPr>
                <w:rFonts w:hint="eastAsia" w:ascii="宋体" w:hAnsi="宋体" w:eastAsia="宋体" w:cs="宋体"/>
                <w:b w:val="0"/>
                <w:bCs w:val="0"/>
                <w:color w:val="auto"/>
                <w:sz w:val="24"/>
                <w:szCs w:val="24"/>
                <w:highlight w:val="none"/>
              </w:rPr>
              <w:t>承包方式</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4BA9C157">
            <w:pPr>
              <w:adjustRightInd w:val="0"/>
              <w:snapToGrid w:val="0"/>
              <w:spacing w:before="120" w:beforeLines="50"/>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包工包料</w:t>
            </w:r>
          </w:p>
        </w:tc>
      </w:tr>
      <w:tr w14:paraId="181F0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17" w:type="dxa"/>
            <w:vMerge w:val="continue"/>
            <w:tcBorders>
              <w:left w:val="single" w:color="auto" w:sz="4" w:space="0"/>
              <w:right w:val="single" w:color="auto" w:sz="4" w:space="0"/>
            </w:tcBorders>
            <w:noWrap w:val="0"/>
            <w:vAlign w:val="center"/>
          </w:tcPr>
          <w:p w14:paraId="1E4D48E0">
            <w:pPr>
              <w:jc w:val="center"/>
              <w:rPr>
                <w:rFonts w:hint="eastAsia" w:asciiTheme="minorEastAsia" w:hAnsiTheme="minorEastAsia" w:eastAsiaTheme="minorEastAsia" w:cstheme="minorEastAsia"/>
                <w:color w:val="auto"/>
                <w:sz w:val="24"/>
                <w:szCs w:val="24"/>
                <w:highlight w:val="none"/>
                <w:lang w:val="en-US" w:eastAsia="zh-CN"/>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47D6E4F5">
            <w:pPr>
              <w:adjustRightInd w:val="0"/>
              <w:snapToGrid w:val="0"/>
              <w:spacing w:before="120" w:beforeLines="50"/>
              <w:jc w:val="center"/>
              <w:rPr>
                <w:rFonts w:hint="eastAsia" w:asciiTheme="minorEastAsia" w:hAnsiTheme="minorEastAsia" w:eastAsiaTheme="minorEastAsia" w:cstheme="minorEastAsia"/>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是否允许分包</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11FCAF43">
            <w:pPr>
              <w:adjustRightInd w:val="0"/>
              <w:snapToGrid w:val="0"/>
              <w:spacing w:before="120" w:beforeLines="50"/>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不允许分包</w:t>
            </w:r>
          </w:p>
        </w:tc>
      </w:tr>
      <w:tr w14:paraId="20B03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17" w:type="dxa"/>
            <w:vMerge w:val="continue"/>
            <w:tcBorders>
              <w:left w:val="single" w:color="auto" w:sz="4" w:space="0"/>
              <w:right w:val="single" w:color="auto" w:sz="4" w:space="0"/>
            </w:tcBorders>
            <w:noWrap w:val="0"/>
            <w:vAlign w:val="center"/>
          </w:tcPr>
          <w:p w14:paraId="6485DED9">
            <w:pPr>
              <w:jc w:val="center"/>
              <w:rPr>
                <w:rFonts w:hint="eastAsia" w:asciiTheme="minorEastAsia" w:hAnsiTheme="minorEastAsia" w:eastAsiaTheme="minorEastAsia" w:cstheme="minorEastAsia"/>
                <w:color w:val="auto"/>
                <w:sz w:val="24"/>
                <w:szCs w:val="24"/>
                <w:highlight w:val="none"/>
                <w:lang w:val="en-US" w:eastAsia="zh-CN"/>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673D8AC7">
            <w:pPr>
              <w:adjustRightInd w:val="0"/>
              <w:snapToGrid w:val="0"/>
              <w:spacing w:before="120" w:beforeLines="50"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付款方式</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36592DC4">
            <w:pPr>
              <w:spacing w:line="360" w:lineRule="auto"/>
              <w:jc w:val="both"/>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cs="宋体"/>
                <w:i w:val="0"/>
                <w:iCs w:val="0"/>
                <w:caps w:val="0"/>
                <w:color w:val="auto"/>
                <w:spacing w:val="0"/>
                <w:kern w:val="0"/>
                <w:sz w:val="24"/>
                <w:szCs w:val="24"/>
                <w:highlight w:val="none"/>
                <w:lang w:val="en-US" w:eastAsia="zh-CN" w:bidi="ar-SA"/>
              </w:rPr>
              <w:t>合同签订后支付合同总价的30%预付款，项目完成工程量50%后支付到合同总价的70%，待项目完工且工程审计完后按审计结算支付到合同总价的97%，留工程审计3%质保金，一年后工程没有缺陷后支付，或采取第三方保涵支付。（按双方签定合同为准）</w:t>
            </w:r>
            <w:r>
              <w:rPr>
                <w:rFonts w:hint="eastAsia" w:ascii="宋体" w:hAnsi="宋体" w:eastAsia="宋体" w:cs="宋体"/>
                <w:i w:val="0"/>
                <w:iCs w:val="0"/>
                <w:caps w:val="0"/>
                <w:color w:val="auto"/>
                <w:spacing w:val="0"/>
                <w:kern w:val="0"/>
                <w:sz w:val="24"/>
                <w:szCs w:val="24"/>
                <w:highlight w:val="none"/>
                <w:lang w:val="en-US" w:eastAsia="zh-CN" w:bidi="ar-SA"/>
              </w:rPr>
              <w:t>。</w:t>
            </w:r>
          </w:p>
        </w:tc>
      </w:tr>
      <w:tr w14:paraId="32767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17" w:type="dxa"/>
            <w:vMerge w:val="continue"/>
            <w:tcBorders>
              <w:left w:val="single" w:color="auto" w:sz="4" w:space="0"/>
              <w:right w:val="single" w:color="auto" w:sz="4" w:space="0"/>
            </w:tcBorders>
            <w:noWrap w:val="0"/>
            <w:vAlign w:val="center"/>
          </w:tcPr>
          <w:p w14:paraId="064FADD0">
            <w:pPr>
              <w:jc w:val="center"/>
              <w:rPr>
                <w:rFonts w:hint="eastAsia" w:asciiTheme="minorEastAsia" w:hAnsiTheme="minorEastAsia" w:eastAsiaTheme="minorEastAsia" w:cstheme="minorEastAsia"/>
                <w:color w:val="auto"/>
                <w:sz w:val="24"/>
                <w:szCs w:val="24"/>
                <w:highlight w:val="none"/>
                <w:lang w:val="en-US" w:eastAsia="zh-CN"/>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16AA0FB8">
            <w:pPr>
              <w:adjustRightInd w:val="0"/>
              <w:snapToGrid w:val="0"/>
              <w:spacing w:before="120" w:beforeLines="50"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责任缺陷期</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6F673636">
            <w:pPr>
              <w:adjustRightInd w:val="0"/>
              <w:snapToGrid w:val="0"/>
              <w:spacing w:before="120" w:beforeLines="50" w:line="360" w:lineRule="auto"/>
              <w:rPr>
                <w:rFonts w:hint="default" w:ascii="宋体" w:hAnsi="宋体" w:eastAsia="宋体" w:cs="宋体"/>
                <w:i w:val="0"/>
                <w:iCs w:val="0"/>
                <w:caps w:val="0"/>
                <w:color w:val="auto"/>
                <w:spacing w:val="0"/>
                <w:sz w:val="24"/>
                <w:szCs w:val="24"/>
                <w:highlight w:val="none"/>
                <w:lang w:val="en-US" w:eastAsia="zh-CN"/>
              </w:rPr>
            </w:pPr>
            <w:r>
              <w:rPr>
                <w:rFonts w:hint="eastAsia" w:ascii="宋体" w:hAnsi="宋体" w:cs="宋体"/>
                <w:i w:val="0"/>
                <w:iCs w:val="0"/>
                <w:caps w:val="0"/>
                <w:color w:val="auto"/>
                <w:spacing w:val="0"/>
                <w:sz w:val="24"/>
                <w:szCs w:val="24"/>
                <w:highlight w:val="none"/>
                <w:lang w:val="en-US" w:eastAsia="zh-CN"/>
              </w:rPr>
              <w:t>12个月</w:t>
            </w:r>
          </w:p>
        </w:tc>
      </w:tr>
      <w:tr w14:paraId="18C0E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17" w:type="dxa"/>
            <w:vMerge w:val="continue"/>
            <w:tcBorders>
              <w:left w:val="single" w:color="auto" w:sz="4" w:space="0"/>
              <w:right w:val="single" w:color="auto" w:sz="4" w:space="0"/>
            </w:tcBorders>
            <w:noWrap w:val="0"/>
            <w:vAlign w:val="center"/>
          </w:tcPr>
          <w:p w14:paraId="12633072">
            <w:pPr>
              <w:jc w:val="center"/>
              <w:rPr>
                <w:rFonts w:hint="eastAsia" w:asciiTheme="minorEastAsia" w:hAnsiTheme="minorEastAsia" w:eastAsiaTheme="minorEastAsia" w:cstheme="minorEastAsia"/>
                <w:color w:val="auto"/>
                <w:sz w:val="24"/>
                <w:szCs w:val="24"/>
                <w:highlight w:val="none"/>
                <w:lang w:val="en-US" w:eastAsia="zh-CN"/>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182F6C26">
            <w:pPr>
              <w:adjustRightInd w:val="0"/>
              <w:snapToGrid w:val="0"/>
              <w:spacing w:before="120" w:beforeLines="50" w:line="36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质量保修期</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443B57A6">
            <w:pPr>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cs="宋体"/>
                <w:i w:val="0"/>
                <w:iCs w:val="0"/>
                <w:caps w:val="0"/>
                <w:color w:val="auto"/>
                <w:spacing w:val="0"/>
                <w:sz w:val="24"/>
                <w:szCs w:val="24"/>
                <w:highlight w:val="none"/>
                <w:lang w:val="en-US" w:eastAsia="zh-CN"/>
              </w:rPr>
              <w:t>12个月</w:t>
            </w:r>
          </w:p>
        </w:tc>
      </w:tr>
      <w:tr w14:paraId="27598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17" w:type="dxa"/>
            <w:vMerge w:val="continue"/>
            <w:tcBorders>
              <w:left w:val="single" w:color="auto" w:sz="4" w:space="0"/>
              <w:right w:val="single" w:color="auto" w:sz="4" w:space="0"/>
            </w:tcBorders>
            <w:noWrap w:val="0"/>
            <w:vAlign w:val="center"/>
          </w:tcPr>
          <w:p w14:paraId="144ACC43">
            <w:pPr>
              <w:jc w:val="center"/>
              <w:rPr>
                <w:rFonts w:hint="eastAsia" w:asciiTheme="minorEastAsia" w:hAnsiTheme="minorEastAsia" w:eastAsiaTheme="minorEastAsia" w:cstheme="minorEastAsia"/>
                <w:color w:val="auto"/>
                <w:sz w:val="24"/>
                <w:szCs w:val="24"/>
                <w:highlight w:val="none"/>
                <w:lang w:val="en-US" w:eastAsia="zh-CN"/>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5CA6D692">
            <w:pPr>
              <w:adjustRightInd w:val="0"/>
              <w:snapToGrid w:val="0"/>
              <w:spacing w:before="120" w:beforeLines="50"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质保金</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7A450711">
            <w:pPr>
              <w:adjustRightInd w:val="0"/>
              <w:snapToGrid w:val="0"/>
              <w:spacing w:before="120" w:beforeLines="50" w:line="360" w:lineRule="auto"/>
              <w:rPr>
                <w:rFonts w:hint="default" w:ascii="宋体" w:hAnsi="宋体" w:eastAsia="宋体" w:cs="宋体"/>
                <w:i w:val="0"/>
                <w:iCs w:val="0"/>
                <w:caps w:val="0"/>
                <w:color w:val="auto"/>
                <w:spacing w:val="0"/>
                <w:sz w:val="24"/>
                <w:szCs w:val="24"/>
                <w:highlight w:val="none"/>
                <w:lang w:val="en-US" w:eastAsia="zh-CN"/>
              </w:rPr>
            </w:pPr>
            <w:r>
              <w:rPr>
                <w:rFonts w:hint="eastAsia" w:ascii="宋体" w:hAnsi="宋体" w:cs="宋体"/>
                <w:i w:val="0"/>
                <w:iCs w:val="0"/>
                <w:caps w:val="0"/>
                <w:color w:val="auto"/>
                <w:spacing w:val="0"/>
                <w:kern w:val="0"/>
                <w:sz w:val="24"/>
                <w:szCs w:val="24"/>
                <w:highlight w:val="none"/>
                <w:lang w:val="en-US" w:eastAsia="zh-CN" w:bidi="ar-SA"/>
              </w:rPr>
              <w:t>工程审计的3%</w:t>
            </w:r>
          </w:p>
        </w:tc>
      </w:tr>
      <w:tr w14:paraId="14893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17" w:type="dxa"/>
            <w:vMerge w:val="continue"/>
            <w:tcBorders>
              <w:left w:val="single" w:color="auto" w:sz="4" w:space="0"/>
              <w:bottom w:val="single" w:color="auto" w:sz="4" w:space="0"/>
              <w:right w:val="single" w:color="auto" w:sz="4" w:space="0"/>
            </w:tcBorders>
            <w:noWrap w:val="0"/>
            <w:vAlign w:val="center"/>
          </w:tcPr>
          <w:p w14:paraId="3E011766">
            <w:pPr>
              <w:jc w:val="center"/>
              <w:rPr>
                <w:rFonts w:hint="eastAsia" w:asciiTheme="minorEastAsia" w:hAnsiTheme="minorEastAsia" w:eastAsiaTheme="minorEastAsia" w:cstheme="minorEastAsia"/>
                <w:color w:val="auto"/>
                <w:sz w:val="24"/>
                <w:szCs w:val="24"/>
                <w:highlight w:val="none"/>
                <w:lang w:val="en-US" w:eastAsia="zh-CN"/>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1A7A64E5">
            <w:pPr>
              <w:adjustRightInd w:val="0"/>
              <w:snapToGrid w:val="0"/>
              <w:spacing w:before="120" w:beforeLines="5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技术规范</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73429F31">
            <w:pPr>
              <w:spacing w:line="360" w:lineRule="auto"/>
              <w:rPr>
                <w:rFonts w:hint="eastAsia" w:ascii="宋体" w:hAnsi="宋体" w:eastAsia="宋体" w:cs="宋体"/>
                <w:i w:val="0"/>
                <w:iCs w:val="0"/>
                <w:caps w:val="0"/>
                <w:color w:val="auto"/>
                <w:spacing w:val="0"/>
                <w:kern w:val="0"/>
                <w:sz w:val="24"/>
                <w:szCs w:val="24"/>
                <w:highlight w:val="none"/>
                <w:lang w:val="en-US" w:eastAsia="zh-CN" w:bidi="ar-SA"/>
              </w:rPr>
            </w:pPr>
            <w:r>
              <w:rPr>
                <w:rFonts w:hint="eastAsia" w:ascii="宋体" w:hAnsi="宋体" w:eastAsia="宋体" w:cs="宋体"/>
                <w:i w:val="0"/>
                <w:iCs w:val="0"/>
                <w:caps w:val="0"/>
                <w:color w:val="auto"/>
                <w:spacing w:val="0"/>
                <w:kern w:val="0"/>
                <w:sz w:val="24"/>
                <w:szCs w:val="24"/>
                <w:highlight w:val="none"/>
                <w:lang w:val="en-US" w:eastAsia="zh-CN" w:bidi="ar-SA"/>
              </w:rPr>
              <w:t>（1）本工程技术标准、技术要求必须符合国家和地方现行相关质量评定标准和施工技术规范。</w:t>
            </w:r>
          </w:p>
          <w:p w14:paraId="3723ADFE">
            <w:pPr>
              <w:spacing w:line="360" w:lineRule="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kern w:val="0"/>
                <w:sz w:val="24"/>
                <w:szCs w:val="24"/>
                <w:highlight w:val="none"/>
                <w:lang w:val="en-US" w:eastAsia="zh-CN" w:bidi="ar-SA"/>
              </w:rPr>
              <w:t>（2）本工程的材料检验和质量、工艺试验按国家、地方现行相关规定执行。</w:t>
            </w:r>
          </w:p>
        </w:tc>
      </w:tr>
      <w:tr w14:paraId="5A622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7A0C84E4">
            <w:pPr>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744A8447">
            <w:pPr>
              <w:adjustRightInd w:val="0"/>
              <w:snapToGrid w:val="0"/>
              <w:spacing w:before="120" w:beforeLines="5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联合体投标</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3585E5BF">
            <w:pPr>
              <w:adjustRightInd w:val="0"/>
              <w:snapToGrid w:val="0"/>
              <w:spacing w:before="120" w:beforeLines="50"/>
              <w:rPr>
                <w:rFonts w:hint="eastAsia" w:ascii="宋体" w:hAnsi="宋体" w:eastAsia="宋体" w:cs="宋体"/>
                <w:i w:val="0"/>
                <w:iCs w:val="0"/>
                <w:caps w:val="0"/>
                <w:color w:val="auto"/>
                <w:spacing w:val="0"/>
                <w:sz w:val="24"/>
                <w:szCs w:val="24"/>
                <w:highlight w:val="none"/>
                <w:lang w:val="en-US" w:eastAsia="zh-CN"/>
              </w:rPr>
            </w:pPr>
            <w:r>
              <w:rPr>
                <w:rFonts w:hint="default" w:ascii="宋体" w:hAnsi="宋体" w:cs="宋体"/>
                <w:color w:val="auto"/>
                <w:sz w:val="24"/>
                <w:szCs w:val="24"/>
                <w:highlight w:val="none"/>
                <w:lang w:val="en-US"/>
              </w:rPr>
              <w:t>☑</w:t>
            </w:r>
            <w:r>
              <w:rPr>
                <w:rFonts w:hint="eastAsia" w:ascii="宋体" w:hAnsi="宋体" w:cs="宋体"/>
                <w:color w:val="auto"/>
                <w:sz w:val="24"/>
                <w:szCs w:val="24"/>
                <w:highlight w:val="none"/>
              </w:rPr>
              <w:t>不接受</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接受</w:t>
            </w:r>
          </w:p>
        </w:tc>
      </w:tr>
      <w:tr w14:paraId="4CD0C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3F432D49">
            <w:pPr>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1F8BC3AB">
            <w:pPr>
              <w:adjustRightInd w:val="0"/>
              <w:snapToGrid w:val="0"/>
              <w:spacing w:before="120" w:beforeLines="5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踏勘现场</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64F62E53">
            <w:pPr>
              <w:adjustRightInd w:val="0"/>
              <w:snapToGrid w:val="0"/>
              <w:spacing w:before="120" w:beforeLines="50"/>
              <w:rPr>
                <w:rFonts w:hint="default" w:ascii="宋体" w:hAnsi="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zh-CN"/>
              </w:rPr>
              <w:t>☑不组织□组织</w:t>
            </w:r>
          </w:p>
        </w:tc>
      </w:tr>
      <w:tr w14:paraId="39551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0A49AE2C">
            <w:pPr>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0B68E09F">
            <w:pPr>
              <w:adjustRightInd w:val="0"/>
              <w:snapToGrid w:val="0"/>
              <w:spacing w:before="120" w:beforeLines="50"/>
              <w:jc w:val="center"/>
              <w:rPr>
                <w:rFonts w:hint="eastAsia" w:ascii="宋体" w:hAnsi="宋体" w:cs="宋体"/>
                <w:b w:val="0"/>
                <w:bCs w:val="0"/>
                <w:color w:val="auto"/>
                <w:sz w:val="24"/>
                <w:szCs w:val="24"/>
                <w:highlight w:val="none"/>
              </w:rPr>
            </w:pPr>
            <w:r>
              <w:rPr>
                <w:rFonts w:hint="eastAsia" w:ascii="宋体" w:hAnsi="宋体" w:eastAsia="宋体" w:cs="宋体"/>
                <w:b w:val="0"/>
                <w:bCs w:val="0"/>
                <w:color w:val="auto"/>
                <w:sz w:val="24"/>
                <w:szCs w:val="24"/>
                <w:highlight w:val="none"/>
              </w:rPr>
              <w:t>是否允许进口产品</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79B5CC68">
            <w:pPr>
              <w:adjustRightInd w:val="0"/>
              <w:snapToGrid w:val="0"/>
              <w:spacing w:before="120" w:beforeLines="50"/>
              <w:rPr>
                <w:rFonts w:hint="default" w:ascii="宋体" w:hAnsi="宋体" w:cs="宋体"/>
                <w:color w:val="auto"/>
                <w:sz w:val="24"/>
                <w:szCs w:val="24"/>
                <w:highlight w:val="none"/>
                <w:lang w:val="en-US"/>
              </w:rPr>
            </w:pPr>
            <w:r>
              <w:rPr>
                <w:rFonts w:hint="default" w:ascii="宋体" w:hAnsi="宋体" w:cs="宋体"/>
                <w:color w:val="auto"/>
                <w:sz w:val="24"/>
                <w:szCs w:val="24"/>
                <w:highlight w:val="none"/>
                <w:lang w:val="en-US"/>
              </w:rPr>
              <w:t>☑</w:t>
            </w:r>
            <w:r>
              <w:rPr>
                <w:rFonts w:hint="eastAsia" w:ascii="宋体" w:hAnsi="宋体" w:cs="宋体"/>
                <w:color w:val="auto"/>
                <w:sz w:val="24"/>
                <w:szCs w:val="24"/>
                <w:highlight w:val="none"/>
              </w:rPr>
              <w:t>不</w:t>
            </w:r>
            <w:r>
              <w:rPr>
                <w:rFonts w:hint="eastAsia" w:ascii="宋体" w:hAnsi="宋体" w:cs="宋体"/>
                <w:color w:val="auto"/>
                <w:sz w:val="24"/>
                <w:szCs w:val="24"/>
                <w:highlight w:val="none"/>
                <w:lang w:val="en-US" w:eastAsia="zh-CN"/>
              </w:rPr>
              <w:t>允许</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允许</w:t>
            </w:r>
          </w:p>
        </w:tc>
      </w:tr>
      <w:tr w14:paraId="4D3D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1FA6432C">
            <w:pPr>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7F37ACDE">
            <w:pPr>
              <w:adjustRightInd w:val="0"/>
              <w:snapToGrid w:val="0"/>
              <w:spacing w:before="120" w:beforeLines="50"/>
              <w:jc w:val="center"/>
              <w:rPr>
                <w:rFonts w:hint="eastAsia" w:ascii="宋体" w:hAnsi="宋体" w:cs="宋体"/>
                <w:b w:val="0"/>
                <w:bCs w:val="0"/>
                <w:color w:val="auto"/>
                <w:sz w:val="24"/>
                <w:szCs w:val="24"/>
                <w:highlight w:val="none"/>
              </w:rPr>
            </w:pPr>
            <w:r>
              <w:rPr>
                <w:rFonts w:hint="eastAsia" w:ascii="宋体" w:hAnsi="宋体" w:eastAsia="宋体" w:cs="宋体"/>
                <w:b w:val="0"/>
                <w:bCs w:val="0"/>
                <w:color w:val="auto"/>
                <w:sz w:val="24"/>
                <w:szCs w:val="24"/>
                <w:highlight w:val="none"/>
              </w:rPr>
              <w:t>备选方案</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6BFF3287">
            <w:pPr>
              <w:adjustRightInd w:val="0"/>
              <w:snapToGrid w:val="0"/>
              <w:spacing w:before="120" w:beforeLines="50"/>
              <w:rPr>
                <w:rFonts w:hint="default" w:ascii="宋体" w:hAnsi="宋体" w:cs="宋体"/>
                <w:color w:val="auto"/>
                <w:sz w:val="24"/>
                <w:szCs w:val="24"/>
                <w:highlight w:val="none"/>
                <w:lang w:val="en-US"/>
              </w:rPr>
            </w:pPr>
            <w:r>
              <w:rPr>
                <w:rFonts w:hint="default" w:ascii="宋体" w:hAnsi="宋体" w:cs="宋体"/>
                <w:color w:val="auto"/>
                <w:sz w:val="24"/>
                <w:szCs w:val="24"/>
                <w:highlight w:val="none"/>
                <w:lang w:val="en-US"/>
              </w:rPr>
              <w:t>☑</w:t>
            </w:r>
            <w:r>
              <w:rPr>
                <w:rFonts w:hint="eastAsia" w:ascii="宋体" w:hAnsi="宋体" w:cs="宋体"/>
                <w:color w:val="auto"/>
                <w:sz w:val="24"/>
                <w:szCs w:val="24"/>
                <w:highlight w:val="none"/>
              </w:rPr>
              <w:t>不接受□接受</w:t>
            </w:r>
          </w:p>
        </w:tc>
      </w:tr>
      <w:tr w14:paraId="216AE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6EAA5494">
            <w:pPr>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28F33CFD">
            <w:pPr>
              <w:jc w:val="center"/>
              <w:rPr>
                <w:rFonts w:hint="eastAsia" w:ascii="宋体" w:hAnsi="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投标有效期</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32B7EF97">
            <w:pPr>
              <w:jc w:val="both"/>
              <w:rPr>
                <w:rFonts w:hint="default" w:ascii="宋体" w:hAnsi="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kern w:val="0"/>
                <w:sz w:val="24"/>
                <w:szCs w:val="24"/>
                <w:highlight w:val="none"/>
                <w:lang w:bidi="zh-CN"/>
              </w:rPr>
              <w:t>日历天（从投标截止之日算起）</w:t>
            </w:r>
          </w:p>
        </w:tc>
      </w:tr>
      <w:tr w14:paraId="2D478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735ADB5E">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3DCFC39D">
            <w:pPr>
              <w:jc w:val="center"/>
              <w:rPr>
                <w:rFonts w:hint="eastAsia" w:ascii="宋体" w:hAnsi="宋体" w:cs="宋体"/>
                <w:b/>
                <w:bCs/>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保证金</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01DDF585">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投标保证金金额（元）：15000.00元（大写：壹万伍仟元整）；</w:t>
            </w:r>
          </w:p>
          <w:p w14:paraId="66585636">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缴纳方式：转账、电汇、支票、汇票、本票、金融机构或担保机构出具的保函（推荐使用政府采购电子保函）等非现金形式以基本户进行提交。</w:t>
            </w:r>
          </w:p>
          <w:p w14:paraId="65C6F5DB">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磋商保证金缴纳账号：</w:t>
            </w:r>
          </w:p>
          <w:p w14:paraId="694C7D89">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账户名称：</w:t>
            </w:r>
            <w:r>
              <w:rPr>
                <w:rFonts w:hint="eastAsia" w:ascii="宋体" w:hAnsi="宋体" w:cs="宋体"/>
                <w:bCs/>
                <w:color w:val="auto"/>
                <w:sz w:val="24"/>
                <w:szCs w:val="24"/>
                <w:highlight w:val="none"/>
                <w:lang w:val="en-US" w:eastAsia="zh-CN"/>
              </w:rPr>
              <w:t>新疆唐谷项目管理有限公司</w:t>
            </w:r>
          </w:p>
          <w:p w14:paraId="00EDF103">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开户银行：</w:t>
            </w:r>
            <w:r>
              <w:rPr>
                <w:rFonts w:hint="eastAsia" w:ascii="宋体" w:hAnsi="宋体" w:cs="宋体"/>
                <w:bCs/>
                <w:color w:val="auto"/>
                <w:sz w:val="24"/>
                <w:szCs w:val="24"/>
                <w:highlight w:val="none"/>
                <w:lang w:val="en-US" w:eastAsia="zh-CN"/>
              </w:rPr>
              <w:t>中国银行股份有限公司库尔勒市经济开发区支行</w:t>
            </w:r>
          </w:p>
          <w:p w14:paraId="7C9DF8AE">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银行账号：</w:t>
            </w:r>
            <w:r>
              <w:rPr>
                <w:rFonts w:hint="eastAsia" w:ascii="宋体" w:hAnsi="宋体" w:cs="宋体"/>
                <w:bCs/>
                <w:color w:val="auto"/>
                <w:sz w:val="24"/>
                <w:szCs w:val="24"/>
                <w:highlight w:val="none"/>
                <w:lang w:val="en-US" w:eastAsia="zh-CN"/>
              </w:rPr>
              <w:t>107659006027</w:t>
            </w:r>
          </w:p>
          <w:p w14:paraId="690AEC89">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行号：</w:t>
            </w:r>
            <w:r>
              <w:rPr>
                <w:rFonts w:hint="eastAsia" w:ascii="宋体" w:hAnsi="宋体" w:cs="宋体"/>
                <w:bCs/>
                <w:color w:val="auto"/>
                <w:sz w:val="24"/>
                <w:szCs w:val="24"/>
                <w:highlight w:val="none"/>
                <w:lang w:val="en-US" w:eastAsia="zh-CN"/>
              </w:rPr>
              <w:t>104888001123</w:t>
            </w:r>
          </w:p>
          <w:p w14:paraId="6B1399D0">
            <w:pPr>
              <w:spacing w:line="360" w:lineRule="auto"/>
              <w:rPr>
                <w:rFonts w:hint="default" w:ascii="宋体" w:hAnsi="宋体" w:cs="宋体"/>
                <w:color w:val="auto"/>
                <w:sz w:val="24"/>
                <w:szCs w:val="24"/>
                <w:highlight w:val="none"/>
                <w:lang w:val="en-US"/>
              </w:rPr>
            </w:pPr>
            <w:r>
              <w:rPr>
                <w:rFonts w:hint="default" w:ascii="宋体" w:hAnsi="宋体" w:cs="宋体"/>
                <w:color w:val="auto"/>
                <w:sz w:val="24"/>
                <w:szCs w:val="24"/>
                <w:highlight w:val="none"/>
                <w:lang w:val="en-US"/>
              </w:rPr>
              <w:t>注：（1）投标保证金须在投标截止时间前缴纳至采购代理机构指定账户。</w:t>
            </w:r>
          </w:p>
          <w:p w14:paraId="3F518E84">
            <w:pPr>
              <w:spacing w:line="360" w:lineRule="auto"/>
              <w:rPr>
                <w:rFonts w:hint="default" w:ascii="宋体" w:hAnsi="宋体" w:cs="宋体"/>
                <w:color w:val="auto"/>
                <w:sz w:val="24"/>
                <w:szCs w:val="24"/>
                <w:highlight w:val="none"/>
                <w:lang w:val="en-US"/>
              </w:rPr>
            </w:pPr>
            <w:r>
              <w:rPr>
                <w:rFonts w:hint="default" w:ascii="宋体" w:hAnsi="宋体" w:cs="宋体"/>
                <w:color w:val="auto"/>
                <w:sz w:val="24"/>
                <w:szCs w:val="24"/>
                <w:highlight w:val="none"/>
                <w:lang w:val="en-US"/>
              </w:rPr>
              <w:t>（2）投标单位缴纳投标保证金时，须备注“项目名称+投标保证金”（如字数超出规定字数可简写项目名称）；</w:t>
            </w:r>
          </w:p>
          <w:p w14:paraId="25069CD7">
            <w:pPr>
              <w:spacing w:line="360" w:lineRule="auto"/>
              <w:rPr>
                <w:rFonts w:hint="default" w:ascii="宋体" w:hAnsi="宋体" w:cs="宋体"/>
                <w:color w:val="auto"/>
                <w:sz w:val="24"/>
                <w:szCs w:val="24"/>
                <w:highlight w:val="none"/>
                <w:lang w:val="en-US"/>
              </w:rPr>
            </w:pPr>
            <w:r>
              <w:rPr>
                <w:rFonts w:hint="default" w:ascii="宋体" w:hAnsi="宋体" w:cs="宋体"/>
                <w:color w:val="auto"/>
                <w:sz w:val="24"/>
                <w:szCs w:val="24"/>
                <w:highlight w:val="none"/>
                <w:lang w:val="en-US"/>
              </w:rPr>
              <w:t>（3）投标保证金未按规定时间缴纳或提交金额不足的，将被视为无效投标,其投标文件将不予接受。投标单位应充分考虑资金在途时间）；</w:t>
            </w:r>
          </w:p>
          <w:p w14:paraId="1736C98C">
            <w:pPr>
              <w:spacing w:line="360" w:lineRule="auto"/>
              <w:rPr>
                <w:rFonts w:hint="default" w:ascii="宋体" w:hAnsi="宋体" w:cs="宋体"/>
                <w:color w:val="auto"/>
                <w:sz w:val="24"/>
                <w:szCs w:val="24"/>
                <w:highlight w:val="none"/>
                <w:lang w:val="en-US"/>
              </w:rPr>
            </w:pPr>
            <w:r>
              <w:rPr>
                <w:rFonts w:hint="default" w:ascii="宋体" w:hAnsi="宋体" w:cs="宋体"/>
                <w:color w:val="auto"/>
                <w:sz w:val="24"/>
                <w:szCs w:val="24"/>
                <w:highlight w:val="none"/>
                <w:lang w:val="en-US"/>
              </w:rPr>
              <w:t>（4）如果发现投标单位有围标、串标行为，其投标无效，且投标保证金将被没收，不予退还；</w:t>
            </w:r>
          </w:p>
          <w:p w14:paraId="446DD603">
            <w:pPr>
              <w:spacing w:line="360" w:lineRule="auto"/>
              <w:rPr>
                <w:rFonts w:hint="default" w:ascii="宋体" w:hAnsi="宋体" w:cs="宋体"/>
                <w:color w:val="auto"/>
                <w:sz w:val="24"/>
                <w:szCs w:val="24"/>
                <w:highlight w:val="none"/>
                <w:lang w:val="en-US"/>
              </w:rPr>
            </w:pPr>
            <w:r>
              <w:rPr>
                <w:rFonts w:hint="default" w:ascii="宋体" w:hAnsi="宋体" w:cs="宋体"/>
                <w:color w:val="auto"/>
                <w:sz w:val="24"/>
                <w:szCs w:val="24"/>
                <w:highlight w:val="none"/>
                <w:lang w:val="en-US"/>
              </w:rPr>
              <w:t>退保证金流程：开户许可证复印件或企业账号信息（包含开户名称、开户账号、开户地址）</w:t>
            </w:r>
            <w:r>
              <w:rPr>
                <w:rFonts w:hint="eastAsia" w:ascii="宋体" w:hAnsi="宋体" w:cs="宋体"/>
                <w:color w:val="auto"/>
                <w:sz w:val="24"/>
                <w:szCs w:val="24"/>
                <w:highlight w:val="none"/>
                <w:lang w:val="en-US" w:eastAsia="zh-CN"/>
              </w:rPr>
              <w:t>及保证金退款收据</w:t>
            </w:r>
            <w:r>
              <w:rPr>
                <w:rFonts w:hint="default" w:ascii="宋体" w:hAnsi="宋体" w:cs="宋体"/>
                <w:color w:val="auto"/>
                <w:sz w:val="24"/>
                <w:szCs w:val="24"/>
                <w:highlight w:val="none"/>
                <w:lang w:val="en-US"/>
              </w:rPr>
              <w:t>（</w:t>
            </w:r>
            <w:r>
              <w:rPr>
                <w:rFonts w:hint="eastAsia" w:ascii="宋体" w:hAnsi="宋体" w:cs="宋体"/>
                <w:color w:val="auto"/>
                <w:sz w:val="24"/>
                <w:szCs w:val="24"/>
                <w:highlight w:val="none"/>
                <w:lang w:val="en-US" w:eastAsia="zh-CN"/>
              </w:rPr>
              <w:t>以上资料</w:t>
            </w:r>
            <w:r>
              <w:rPr>
                <w:rFonts w:hint="default" w:ascii="宋体" w:hAnsi="宋体" w:cs="宋体"/>
                <w:color w:val="auto"/>
                <w:sz w:val="24"/>
                <w:szCs w:val="24"/>
                <w:highlight w:val="none"/>
                <w:lang w:val="en-US"/>
              </w:rPr>
              <w:t>盖公章）。招标完成以后，将以上资料准备齐全交至新疆唐谷项目管理有限公司。中标单位须另提供其与采购单位签订的该项目采购合同复印件。</w:t>
            </w:r>
          </w:p>
          <w:p w14:paraId="1287B7A4">
            <w:pPr>
              <w:spacing w:line="360" w:lineRule="auto"/>
              <w:rPr>
                <w:rFonts w:hint="default" w:ascii="宋体" w:hAnsi="宋体" w:cs="宋体"/>
                <w:color w:val="auto"/>
                <w:sz w:val="24"/>
                <w:szCs w:val="24"/>
                <w:highlight w:val="none"/>
                <w:lang w:val="en-US"/>
              </w:rPr>
            </w:pPr>
            <w:r>
              <w:rPr>
                <w:rFonts w:hint="default" w:ascii="宋体" w:hAnsi="宋体" w:cs="宋体"/>
                <w:color w:val="auto"/>
                <w:sz w:val="24"/>
                <w:szCs w:val="24"/>
                <w:highlight w:val="none"/>
                <w:lang w:val="en-US"/>
              </w:rPr>
              <w:t>有效投标保证金成功缴纳后，截止开标时间，投标人无正当理由不参加该项目投标且不递交弃标函，投标保证金不予退还。</w:t>
            </w:r>
          </w:p>
          <w:p w14:paraId="0D089925">
            <w:pPr>
              <w:spacing w:line="360" w:lineRule="auto"/>
              <w:rPr>
                <w:rFonts w:hint="default" w:ascii="宋体" w:hAnsi="宋体" w:cs="宋体"/>
                <w:color w:val="auto"/>
                <w:sz w:val="24"/>
                <w:szCs w:val="24"/>
                <w:highlight w:val="none"/>
                <w:lang w:val="en-US"/>
              </w:rPr>
            </w:pPr>
            <w:r>
              <w:rPr>
                <w:rFonts w:hint="default" w:ascii="宋体" w:hAnsi="宋体" w:cs="宋体"/>
                <w:color w:val="auto"/>
                <w:sz w:val="24"/>
                <w:szCs w:val="24"/>
                <w:highlight w:val="none"/>
                <w:lang w:val="en-US"/>
              </w:rPr>
              <w:t>二、电子保函</w:t>
            </w:r>
          </w:p>
          <w:p w14:paraId="4136868D">
            <w:pPr>
              <w:spacing w:line="360" w:lineRule="auto"/>
              <w:jc w:val="left"/>
              <w:rPr>
                <w:rFonts w:hint="default" w:ascii="宋体" w:hAnsi="宋体" w:cs="宋体"/>
                <w:color w:val="auto"/>
                <w:sz w:val="24"/>
                <w:szCs w:val="24"/>
                <w:highlight w:val="none"/>
                <w:lang w:val="en-US"/>
              </w:rPr>
            </w:pPr>
            <w:r>
              <w:rPr>
                <w:rFonts w:hint="default" w:ascii="宋体" w:hAnsi="宋体" w:cs="宋体"/>
                <w:color w:val="auto"/>
                <w:sz w:val="24"/>
                <w:szCs w:val="24"/>
                <w:highlight w:val="none"/>
                <w:lang w:val="en-US"/>
              </w:rPr>
              <w:t>政采云平台电子保函：投标人登录http://www.ccgp-xinjiang.gov.cn/网址点击电子保函→立即申请</w:t>
            </w:r>
          </w:p>
        </w:tc>
      </w:tr>
      <w:tr w14:paraId="6616D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2F0BF711">
            <w:pPr>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4E836E4A">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供应商提出问题的截止时间</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5B64A59A">
            <w:pPr>
              <w:spacing w:line="360" w:lineRule="auto"/>
              <w:rPr>
                <w:rFonts w:hint="default" w:ascii="宋体" w:hAnsi="宋体" w:cs="宋体"/>
                <w:color w:val="auto"/>
                <w:sz w:val="24"/>
                <w:szCs w:val="24"/>
                <w:highlight w:val="none"/>
                <w:lang w:val="en-US"/>
              </w:rPr>
            </w:pPr>
            <w:r>
              <w:rPr>
                <w:rFonts w:hint="eastAsia" w:ascii="宋体" w:hAnsi="宋体" w:eastAsia="宋体" w:cs="宋体"/>
                <w:bCs/>
                <w:color w:val="auto"/>
                <w:sz w:val="24"/>
                <w:szCs w:val="24"/>
                <w:highlight w:val="none"/>
                <w:lang w:val="en-US" w:eastAsia="zh-CN"/>
              </w:rPr>
              <w:t>在响应文件递交截止时间5日前</w:t>
            </w:r>
          </w:p>
        </w:tc>
      </w:tr>
      <w:tr w14:paraId="5CD24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75267694">
            <w:pPr>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7C0CC314">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采购人书面澄清的时间</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3AF84832">
            <w:pPr>
              <w:spacing w:line="340" w:lineRule="exact"/>
              <w:jc w:val="left"/>
              <w:rPr>
                <w:rFonts w:hint="default" w:ascii="宋体" w:hAnsi="宋体" w:cs="宋体"/>
                <w:color w:val="auto"/>
                <w:sz w:val="24"/>
                <w:szCs w:val="24"/>
                <w:highlight w:val="none"/>
                <w:lang w:val="en-US"/>
              </w:rPr>
            </w:pPr>
            <w:r>
              <w:rPr>
                <w:rFonts w:hint="eastAsia" w:ascii="宋体" w:hAnsi="宋体" w:eastAsia="宋体" w:cs="宋体"/>
                <w:bCs/>
                <w:color w:val="auto"/>
                <w:sz w:val="24"/>
                <w:szCs w:val="24"/>
                <w:highlight w:val="none"/>
                <w:lang w:val="en-US" w:eastAsia="zh-CN"/>
              </w:rPr>
              <w:t>在响应文件递交截止时间5日前</w:t>
            </w:r>
          </w:p>
        </w:tc>
      </w:tr>
      <w:tr w14:paraId="0002F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1DEC39AB">
            <w:pPr>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754BE820">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评标方法</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4C5816CB">
            <w:pPr>
              <w:jc w:val="left"/>
              <w:rPr>
                <w:rFonts w:hint="default" w:ascii="宋体" w:hAnsi="宋体" w:cs="宋体"/>
                <w:color w:val="auto"/>
                <w:sz w:val="24"/>
                <w:szCs w:val="24"/>
                <w:highlight w:val="none"/>
                <w:lang w:val="en-US"/>
              </w:rPr>
            </w:pPr>
            <w:r>
              <w:rPr>
                <w:rFonts w:hint="eastAsia" w:ascii="宋体" w:hAnsi="宋体" w:eastAsia="宋体" w:cs="宋体"/>
                <w:color w:val="auto"/>
                <w:sz w:val="24"/>
                <w:szCs w:val="24"/>
                <w:highlight w:val="none"/>
              </w:rPr>
              <w:t>综合评分法</w:t>
            </w:r>
          </w:p>
        </w:tc>
      </w:tr>
      <w:tr w14:paraId="543C1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37381707">
            <w:pPr>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380CB1FA">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评审小组</w:t>
            </w:r>
          </w:p>
          <w:p w14:paraId="5940A31A">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的组建</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6F7565F8">
            <w:pPr>
              <w:overflowPunct w:val="0"/>
              <w:spacing w:line="440" w:lineRule="exact"/>
              <w:jc w:val="left"/>
              <w:rPr>
                <w:rFonts w:hint="default" w:ascii="宋体" w:hAnsi="宋体" w:cs="宋体"/>
                <w:color w:val="auto"/>
                <w:sz w:val="24"/>
                <w:szCs w:val="24"/>
                <w:highlight w:val="none"/>
                <w:lang w:val="en-US"/>
              </w:rPr>
            </w:pPr>
            <w:r>
              <w:rPr>
                <w:rFonts w:hint="eastAsia" w:ascii="宋体" w:hAnsi="宋体" w:eastAsia="宋体" w:cs="宋体"/>
                <w:bCs/>
                <w:color w:val="auto"/>
                <w:sz w:val="24"/>
                <w:szCs w:val="24"/>
                <w:highlight w:val="none"/>
                <w:lang w:val="en-US" w:eastAsia="zh-CN"/>
              </w:rPr>
              <w:t>招标采购单位依法组建磋商小组共</w:t>
            </w:r>
            <w:r>
              <w:rPr>
                <w:rFonts w:hint="eastAsia" w:ascii="宋体" w:hAnsi="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lang w:val="en-US" w:eastAsia="zh-CN"/>
              </w:rPr>
              <w:t>人组成，其中采购人代表</w:t>
            </w:r>
            <w:r>
              <w:rPr>
                <w:rFonts w:hint="eastAsia" w:ascii="宋体" w:hAnsi="宋体" w:eastAsia="宋体" w:cs="宋体"/>
                <w:bCs/>
                <w:color w:val="auto"/>
                <w:sz w:val="24"/>
                <w:szCs w:val="24"/>
                <w:highlight w:val="none"/>
                <w:u w:val="single"/>
                <w:lang w:val="en-US" w:eastAsia="zh-CN"/>
              </w:rPr>
              <w:t>1</w:t>
            </w:r>
            <w:r>
              <w:rPr>
                <w:rFonts w:hint="eastAsia" w:ascii="宋体" w:hAnsi="宋体" w:eastAsia="宋体" w:cs="宋体"/>
                <w:bCs/>
                <w:color w:val="auto"/>
                <w:sz w:val="24"/>
                <w:szCs w:val="24"/>
                <w:highlight w:val="none"/>
                <w:lang w:val="en-US" w:eastAsia="zh-CN"/>
              </w:rPr>
              <w:t>人和专家评委</w:t>
            </w:r>
            <w:r>
              <w:rPr>
                <w:rFonts w:hint="eastAsia" w:ascii="宋体" w:hAnsi="宋体" w:cs="宋体"/>
                <w:bCs/>
                <w:color w:val="auto"/>
                <w:sz w:val="24"/>
                <w:szCs w:val="24"/>
                <w:highlight w:val="none"/>
                <w:u w:val="single"/>
                <w:lang w:val="en-US" w:eastAsia="zh-CN"/>
              </w:rPr>
              <w:t>2</w:t>
            </w:r>
            <w:r>
              <w:rPr>
                <w:rFonts w:hint="eastAsia" w:ascii="宋体" w:hAnsi="宋体" w:eastAsia="宋体" w:cs="宋体"/>
                <w:bCs/>
                <w:color w:val="auto"/>
                <w:sz w:val="24"/>
                <w:szCs w:val="24"/>
                <w:highlight w:val="none"/>
                <w:lang w:val="en-US" w:eastAsia="zh-CN"/>
              </w:rPr>
              <w:t>人。小组确定方式：从政采云专家库中随机抽取确定。</w:t>
            </w:r>
          </w:p>
        </w:tc>
      </w:tr>
      <w:tr w14:paraId="6DAA6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71D18C6C">
            <w:pPr>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408AA06A">
            <w:pPr>
              <w:spacing w:line="32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施工企业安全生产费用</w:t>
            </w:r>
          </w:p>
        </w:tc>
        <w:tc>
          <w:tcPr>
            <w:tcW w:w="7030" w:type="dxa"/>
            <w:tcBorders>
              <w:top w:val="single" w:color="auto" w:sz="4" w:space="0"/>
              <w:left w:val="single" w:color="auto" w:sz="4" w:space="0"/>
              <w:bottom w:val="single" w:color="auto" w:sz="4" w:space="0"/>
              <w:right w:val="single" w:color="auto" w:sz="4" w:space="0"/>
            </w:tcBorders>
            <w:noWrap w:val="0"/>
            <w:vAlign w:val="top"/>
          </w:tcPr>
          <w:p w14:paraId="21C8F0C3">
            <w:pP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按照自治区水利厅《关于在我区水利水电工程施工企业 计取安全生产费用的通知》（新水办建管[2011]80号）文件关于“水利水电工程施工企业安全生产费用”以建筑安装工程造价为计提依据，计取标准为建筑安装费用的2.5%。施工企业须按照规定标准计取的安全生产费 用在成本中列支，列入工程造价，并单独计列，不得删减”。</w:t>
            </w:r>
          </w:p>
        </w:tc>
      </w:tr>
      <w:tr w14:paraId="4C954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8" w:hRule="atLeast"/>
          <w:jc w:val="center"/>
        </w:trPr>
        <w:tc>
          <w:tcPr>
            <w:tcW w:w="817" w:type="dxa"/>
            <w:tcBorders>
              <w:left w:val="single" w:color="auto" w:sz="4" w:space="0"/>
              <w:bottom w:val="single" w:color="auto" w:sz="4" w:space="0"/>
              <w:right w:val="single" w:color="auto" w:sz="4" w:space="0"/>
            </w:tcBorders>
            <w:noWrap w:val="0"/>
            <w:vAlign w:val="center"/>
          </w:tcPr>
          <w:p w14:paraId="48FE0581">
            <w:pPr>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3D3925A8">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投标报价要求</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3168D71C">
            <w:pPr>
              <w:widowControl/>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（1）不论投标结果如何，投标人均应自行承担所有与投标有关的全部费用。</w:t>
            </w:r>
          </w:p>
          <w:p w14:paraId="280F2CC9">
            <w:pPr>
              <w:widowControl/>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（2）本项目的报价和结算支付均以人民币为货币单位。</w:t>
            </w:r>
          </w:p>
          <w:p w14:paraId="1DE7349B">
            <w:pPr>
              <w:widowControl/>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（3）工程量清单中所列工程量仅作为各投标人投标报价的共同基础，不能作为最终结算与支付的唯一依据。结算工程经招标人和承包人双方核定确认，最终以招标人的审计结果为准。</w:t>
            </w:r>
          </w:p>
          <w:p w14:paraId="239499FE">
            <w:pPr>
              <w:pStyle w:val="40"/>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投标总报价为供应商完成招标范围所述的全部工程内容的体现和完成该工程项目的成本、管理费、技术措施费、利润、风险费及政策性文件规定的不可竞争费用、规费和税金等所有费用，以及所有根据合同或其它原因由供应商支付的税金和其它应缴纳的费用。</w:t>
            </w:r>
          </w:p>
          <w:p w14:paraId="1E5D05B5">
            <w:pPr>
              <w:overflowPunct w:val="0"/>
              <w:spacing w:line="440" w:lineRule="exact"/>
              <w:jc w:val="left"/>
              <w:rPr>
                <w:rFonts w:hint="default" w:ascii="宋体" w:hAnsi="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5）投标人应先到工地踏勘以充分了解工地位置、情况、道路、储存空间、装卸限制及任何其它足以影响承包价的情况，在投标报价中考虑，任何因忽视或误解工地情况而导致的索赔或工期延长申请将不获批准。</w:t>
            </w:r>
          </w:p>
        </w:tc>
      </w:tr>
      <w:tr w14:paraId="0A0E6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17" w:type="dxa"/>
            <w:tcBorders>
              <w:left w:val="single" w:color="auto" w:sz="4" w:space="0"/>
              <w:bottom w:val="single" w:color="auto" w:sz="4" w:space="0"/>
              <w:right w:val="single" w:color="auto" w:sz="4" w:space="0"/>
            </w:tcBorders>
            <w:noWrap w:val="0"/>
            <w:vAlign w:val="center"/>
          </w:tcPr>
          <w:p w14:paraId="065C113D">
            <w:pPr>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16</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69B030A0">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低于成本价不正当竞争预防措施</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101C9649">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在评标过程中，投标人报价低于其他有效投标人报价有可能影响产品质量或者不能诚信履约的，评标委员会应当要求其在评标现场合理的时间内提供成本构成书面说明，并提交相关证明材料。</w:t>
            </w:r>
          </w:p>
          <w:p w14:paraId="624C21BD">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2FC49A25">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329351AB">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14:paraId="6B05B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17" w:type="dxa"/>
            <w:tcBorders>
              <w:left w:val="single" w:color="auto" w:sz="4" w:space="0"/>
              <w:bottom w:val="single" w:color="auto" w:sz="4" w:space="0"/>
              <w:right w:val="single" w:color="auto" w:sz="4" w:space="0"/>
            </w:tcBorders>
            <w:noWrap w:val="0"/>
            <w:vAlign w:val="center"/>
          </w:tcPr>
          <w:p w14:paraId="573E11A2">
            <w:pPr>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17</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0625BCE5">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商务、经济、技术文件</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4EF73CCD">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1、投标文件组成：由商务</w:t>
            </w:r>
            <w:r>
              <w:rPr>
                <w:rFonts w:hint="eastAsia" w:ascii="宋体" w:hAnsi="宋体" w:eastAsia="宋体" w:cs="宋体"/>
                <w:color w:val="auto"/>
                <w:sz w:val="24"/>
                <w:szCs w:val="24"/>
                <w:highlight w:val="none"/>
                <w:lang w:val="en-US" w:eastAsia="zh-CN"/>
              </w:rPr>
              <w:t>部分</w:t>
            </w:r>
            <w:r>
              <w:rPr>
                <w:rFonts w:hint="eastAsia" w:ascii="宋体" w:hAnsi="宋体" w:eastAsia="宋体" w:cs="宋体"/>
                <w:color w:val="auto"/>
                <w:sz w:val="24"/>
                <w:szCs w:val="24"/>
                <w:highlight w:val="none"/>
                <w:lang w:val="zh-CN"/>
              </w:rPr>
              <w:t>、技术</w:t>
            </w:r>
            <w:r>
              <w:rPr>
                <w:rFonts w:hint="eastAsia" w:ascii="宋体" w:hAnsi="宋体" w:eastAsia="宋体" w:cs="宋体"/>
                <w:color w:val="auto"/>
                <w:sz w:val="24"/>
                <w:szCs w:val="24"/>
                <w:highlight w:val="none"/>
                <w:lang w:val="en-US" w:eastAsia="zh-CN"/>
              </w:rPr>
              <w:t>部分</w:t>
            </w:r>
            <w:r>
              <w:rPr>
                <w:rFonts w:hint="eastAsia" w:ascii="宋体" w:hAnsi="宋体" w:eastAsia="宋体" w:cs="宋体"/>
                <w:color w:val="auto"/>
                <w:sz w:val="24"/>
                <w:szCs w:val="24"/>
                <w:highlight w:val="none"/>
                <w:lang w:val="zh-CN"/>
              </w:rPr>
              <w:t>和经济</w:t>
            </w:r>
            <w:r>
              <w:rPr>
                <w:rFonts w:hint="eastAsia" w:ascii="宋体" w:hAnsi="宋体" w:eastAsia="宋体" w:cs="宋体"/>
                <w:color w:val="auto"/>
                <w:sz w:val="24"/>
                <w:szCs w:val="24"/>
                <w:highlight w:val="none"/>
                <w:lang w:val="en-US" w:eastAsia="zh-CN"/>
              </w:rPr>
              <w:t>部分</w:t>
            </w:r>
            <w:r>
              <w:rPr>
                <w:rFonts w:hint="eastAsia" w:ascii="宋体" w:hAnsi="宋体" w:eastAsia="宋体" w:cs="宋体"/>
                <w:color w:val="auto"/>
                <w:sz w:val="24"/>
                <w:szCs w:val="24"/>
                <w:highlight w:val="none"/>
                <w:lang w:val="zh-CN"/>
              </w:rPr>
              <w:t>构成。</w:t>
            </w:r>
          </w:p>
          <w:p w14:paraId="71A370EA">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zh-CN"/>
              </w:rPr>
              <w:t>投标文件编制：供应商应先安装“政采云电子投标客户端”，并按照本采购文件和“政府采购云平台”的要求，通过“政采云电子投标客户端”编制并加密投标文件。</w:t>
            </w:r>
          </w:p>
          <w:p w14:paraId="4FB94C66">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zh-CN"/>
              </w:rPr>
              <w:t>投标文件的签章：电子签章。</w:t>
            </w:r>
          </w:p>
          <w:p w14:paraId="03EC25A4">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投标文件的形式：☑电子投标文件</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zh-CN"/>
              </w:rPr>
              <w:t>包括“电子加密投标文件”、“备份投标文件”（如有）</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zh-CN"/>
              </w:rPr>
              <w:t>☑“纸质标书”；</w:t>
            </w:r>
          </w:p>
          <w:p w14:paraId="0EF254DE">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（1）“电子加密投标文件”是指通过“政采云电子投标客户端”完成投标文件编制后生成并加密的数据电文形式的投标文件。</w:t>
            </w:r>
          </w:p>
          <w:p w14:paraId="013D081A">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（2）“备份投标文件”（若有）是指与“电子加密投标文件”同时生成的数据电文形式的电子文件（备份标书），其他方式编制的备份投标文件视为无效备份投标文件。</w:t>
            </w:r>
          </w:p>
          <w:p w14:paraId="0CDCB6EB">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5、投标文件份数：</w:t>
            </w:r>
          </w:p>
          <w:p w14:paraId="66E65A61">
            <w:pPr>
              <w:spacing w:line="360" w:lineRule="auto"/>
              <w:jc w:val="left"/>
              <w:rPr>
                <w:rFonts w:hint="eastAsia"/>
                <w:color w:val="auto"/>
                <w:highlight w:val="none"/>
                <w:lang w:val="zh-CN"/>
              </w:rPr>
            </w:pPr>
            <w:r>
              <w:rPr>
                <w:rFonts w:hint="eastAsia" w:ascii="宋体" w:hAnsi="宋体" w:eastAsia="宋体" w:cs="宋体"/>
                <w:color w:val="auto"/>
                <w:sz w:val="24"/>
                <w:szCs w:val="24"/>
                <w:highlight w:val="none"/>
                <w:lang w:val="zh-CN"/>
              </w:rPr>
              <w:t>（1）“电子加密投标文件”：在线上传递交。</w:t>
            </w:r>
          </w:p>
          <w:p w14:paraId="119CDDC8">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）“纸质标书”：开标后</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lang w:val="zh-CN"/>
              </w:rPr>
              <w:t>需在公示期满后</w:t>
            </w:r>
            <w:r>
              <w:rPr>
                <w:rFonts w:hint="eastAsia" w:ascii="宋体" w:hAnsi="宋体" w:eastAsia="宋体" w:cs="宋体"/>
                <w:color w:val="auto"/>
                <w:sz w:val="24"/>
                <w:szCs w:val="24"/>
                <w:highlight w:val="none"/>
                <w:lang w:val="en-US" w:eastAsia="zh-CN"/>
              </w:rPr>
              <w:t>2日内</w:t>
            </w:r>
            <w:r>
              <w:rPr>
                <w:rFonts w:hint="eastAsia" w:ascii="宋体" w:hAnsi="宋体" w:eastAsia="宋体" w:cs="宋体"/>
                <w:color w:val="auto"/>
                <w:sz w:val="24"/>
                <w:szCs w:val="24"/>
                <w:highlight w:val="none"/>
                <w:lang w:val="zh-CN"/>
              </w:rPr>
              <w:t>，另行提交纸质版及电子版投标文件（</w:t>
            </w:r>
            <w:r>
              <w:rPr>
                <w:rFonts w:hint="eastAsia" w:ascii="宋体" w:hAnsi="宋体" w:eastAsia="宋体" w:cs="宋体"/>
                <w:color w:val="auto"/>
                <w:sz w:val="24"/>
                <w:szCs w:val="24"/>
                <w:highlight w:val="none"/>
                <w:lang w:val="en-US" w:eastAsia="zh-CN"/>
              </w:rPr>
              <w:t>纸质版</w:t>
            </w:r>
            <w:r>
              <w:rPr>
                <w:rFonts w:hint="eastAsia" w:ascii="宋体" w:hAnsi="宋体" w:eastAsia="宋体" w:cs="宋体"/>
                <w:color w:val="auto"/>
                <w:sz w:val="24"/>
                <w:szCs w:val="24"/>
                <w:highlight w:val="none"/>
                <w:lang w:val="zh-CN"/>
              </w:rPr>
              <w:t>正本一份、副本</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val="zh-CN"/>
              </w:rPr>
              <w:t>份及电子版</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U盘或光盘</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一份</w:t>
            </w:r>
            <w:r>
              <w:rPr>
                <w:rFonts w:hint="eastAsia" w:ascii="宋体" w:hAnsi="宋体" w:eastAsia="宋体" w:cs="宋体"/>
                <w:color w:val="auto"/>
                <w:sz w:val="24"/>
                <w:szCs w:val="24"/>
                <w:highlight w:val="none"/>
                <w:lang w:val="zh-CN"/>
              </w:rPr>
              <w:t>）。递交至招标</w:t>
            </w:r>
            <w:r>
              <w:rPr>
                <w:rFonts w:hint="eastAsia" w:ascii="宋体" w:hAnsi="宋体" w:eastAsia="宋体" w:cs="宋体"/>
                <w:color w:val="auto"/>
                <w:sz w:val="24"/>
                <w:szCs w:val="24"/>
                <w:highlight w:val="none"/>
                <w:lang w:val="en-US" w:eastAsia="zh-CN"/>
              </w:rPr>
              <w:t>代理处存档，内容须与电子版投标文件内容一致，纸质投标文件一律不予退还。</w:t>
            </w:r>
            <w:r>
              <w:rPr>
                <w:rFonts w:hint="eastAsia" w:ascii="宋体" w:hAnsi="宋体" w:eastAsia="宋体" w:cs="宋体"/>
                <w:color w:val="auto"/>
                <w:sz w:val="24"/>
                <w:szCs w:val="24"/>
                <w:highlight w:val="none"/>
                <w:lang w:val="zh-CN"/>
              </w:rPr>
              <w:t>纸质版及电子版标书邮寄地址及收件人：</w:t>
            </w:r>
            <w:r>
              <w:rPr>
                <w:rFonts w:hint="eastAsia" w:ascii="宋体" w:hAnsi="宋体" w:cs="宋体"/>
                <w:color w:val="auto"/>
                <w:sz w:val="24"/>
                <w:szCs w:val="24"/>
                <w:highlight w:val="none"/>
                <w:lang w:val="en-US" w:eastAsia="zh-CN"/>
              </w:rPr>
              <w:t>新疆库尔勒市塔指东路成功商厦15楼</w:t>
            </w:r>
            <w:r>
              <w:rPr>
                <w:rFonts w:hint="eastAsia" w:ascii="宋体" w:hAnsi="宋体" w:eastAsia="宋体" w:cs="宋体"/>
                <w:color w:val="auto"/>
                <w:sz w:val="24"/>
                <w:szCs w:val="24"/>
                <w:highlight w:val="none"/>
                <w:lang w:val="zh-CN" w:eastAsia="zh-CN"/>
              </w:rPr>
              <w:t>（</w:t>
            </w:r>
            <w:r>
              <w:rPr>
                <w:rFonts w:hint="eastAsia" w:ascii="宋体" w:hAnsi="宋体" w:cs="宋体"/>
                <w:color w:val="auto"/>
                <w:sz w:val="24"/>
                <w:szCs w:val="24"/>
                <w:highlight w:val="none"/>
                <w:lang w:val="en-US" w:eastAsia="zh-CN"/>
              </w:rPr>
              <w:t>新疆唐谷项目管理有限公司</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收件</w:t>
            </w:r>
            <w:r>
              <w:rPr>
                <w:rFonts w:hint="eastAsia" w:ascii="宋体" w:hAnsi="宋体" w:eastAsia="宋体" w:cs="宋体"/>
                <w:color w:val="auto"/>
                <w:sz w:val="24"/>
                <w:szCs w:val="24"/>
                <w:highlight w:val="none"/>
                <w:lang w:val="zh-CN" w:eastAsia="zh-CN"/>
              </w:rPr>
              <w:t>人</w:t>
            </w:r>
            <w:r>
              <w:rPr>
                <w:rFonts w:hint="eastAsia" w:ascii="宋体" w:hAnsi="宋体" w:cs="宋体"/>
                <w:color w:val="auto"/>
                <w:sz w:val="24"/>
                <w:szCs w:val="24"/>
                <w:highlight w:val="none"/>
                <w:lang w:val="en-US" w:eastAsia="zh-CN"/>
              </w:rPr>
              <w:t>：李睿卓</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eastAsia="zh-CN"/>
              </w:rPr>
              <w:t>联系电话：</w:t>
            </w:r>
            <w:r>
              <w:rPr>
                <w:rFonts w:hint="eastAsia" w:ascii="宋体" w:hAnsi="宋体" w:cs="宋体"/>
                <w:color w:val="auto"/>
                <w:sz w:val="24"/>
                <w:szCs w:val="24"/>
                <w:highlight w:val="none"/>
                <w:lang w:val="en-US" w:eastAsia="zh-CN"/>
              </w:rPr>
              <w:t>18009963742</w:t>
            </w:r>
            <w:r>
              <w:rPr>
                <w:rFonts w:hint="eastAsia" w:ascii="宋体" w:hAnsi="宋体" w:eastAsia="宋体" w:cs="宋体"/>
                <w:color w:val="auto"/>
                <w:sz w:val="24"/>
                <w:szCs w:val="24"/>
                <w:highlight w:val="none"/>
                <w:lang w:val="zh-CN" w:eastAsia="zh-CN"/>
              </w:rPr>
              <w:t>。</w:t>
            </w:r>
            <w:r>
              <w:rPr>
                <w:rFonts w:hint="eastAsia" w:ascii="宋体" w:hAnsi="宋体" w:cs="宋体"/>
                <w:color w:val="auto"/>
                <w:sz w:val="24"/>
                <w:szCs w:val="24"/>
                <w:highlight w:val="none"/>
                <w:lang w:val="zh-CN" w:eastAsia="zh-CN"/>
              </w:rPr>
              <w:t>（</w:t>
            </w:r>
            <w:r>
              <w:rPr>
                <w:rFonts w:hint="eastAsia" w:ascii="宋体" w:hAnsi="宋体" w:cs="宋体"/>
                <w:color w:val="auto"/>
                <w:sz w:val="24"/>
                <w:szCs w:val="24"/>
                <w:highlight w:val="none"/>
                <w:lang w:val="en-US" w:eastAsia="zh-CN"/>
              </w:rPr>
              <w:t>不接收到付</w:t>
            </w:r>
            <w:r>
              <w:rPr>
                <w:rFonts w:hint="eastAsia" w:ascii="宋体" w:hAnsi="宋体" w:cs="宋体"/>
                <w:color w:val="auto"/>
                <w:sz w:val="24"/>
                <w:szCs w:val="24"/>
                <w:highlight w:val="none"/>
                <w:lang w:val="zh-CN" w:eastAsia="zh-CN"/>
              </w:rPr>
              <w:t>）</w:t>
            </w:r>
          </w:p>
          <w:p w14:paraId="55A77151">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通过“政府采购云平台”成功上传递交的“电子加密投标文件”已按时解密的，“备份投标文件”自动失效。投标截止时间前，供应商仅递交了“备份投标文件”而未将“电子加密投标文件”成功上传至“政府采购云平台”的，投标无效。</w:t>
            </w:r>
          </w:p>
          <w:p w14:paraId="639D56BD">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6、投标截止后，在投标有效期内，供应商不能撤销投标文件。</w:t>
            </w:r>
          </w:p>
          <w:p w14:paraId="3AB87260">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zh-CN"/>
              </w:rPr>
              <w:t>、中标后，供应商拒绝签订合同的，采购人可以按照评审报告推荐的中标候选人名单排序，确定下一候选人为中标供应商，也可以重新开展政府采购活动。</w:t>
            </w:r>
          </w:p>
          <w:p w14:paraId="1A79BFC2">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val="zh-CN"/>
              </w:rPr>
              <w:t>、存在下列行为的，招标代理机构将其失信行为上报政府采购主管部门，由主管部门按有关规定对其违法失信行为记录进行公开：</w:t>
            </w:r>
          </w:p>
          <w:p w14:paraId="768C0535">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（1）中标或者成交后，拒绝签订政府采购合同的；</w:t>
            </w:r>
          </w:p>
          <w:p w14:paraId="493DE4DA">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（2）投标有效期内撤销投标文件的</w:t>
            </w:r>
            <w:r>
              <w:rPr>
                <w:rFonts w:hint="eastAsia" w:ascii="宋体" w:hAnsi="宋体" w:eastAsia="宋体" w:cs="宋体"/>
                <w:color w:val="auto"/>
                <w:sz w:val="24"/>
                <w:szCs w:val="24"/>
                <w:highlight w:val="none"/>
                <w:lang w:val="zh-CN" w:eastAsia="zh-CN"/>
              </w:rPr>
              <w:t>。</w:t>
            </w:r>
          </w:p>
        </w:tc>
      </w:tr>
      <w:tr w14:paraId="3255C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01ADFB5E">
            <w:pPr>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6702E792">
            <w:pPr>
              <w:jc w:val="center"/>
              <w:rPr>
                <w:rFonts w:hint="eastAsia" w:ascii="宋体" w:hAnsi="宋体" w:cs="宋体"/>
                <w:b/>
                <w:bCs/>
                <w:color w:val="auto"/>
                <w:sz w:val="24"/>
                <w:szCs w:val="24"/>
                <w:highlight w:val="none"/>
              </w:rPr>
            </w:pPr>
            <w:r>
              <w:rPr>
                <w:rFonts w:hint="eastAsia" w:ascii="宋体" w:hAnsi="宋体" w:eastAsia="宋体" w:cs="宋体"/>
                <w:b w:val="0"/>
                <w:bCs w:val="0"/>
                <w:color w:val="auto"/>
                <w:sz w:val="24"/>
                <w:szCs w:val="24"/>
                <w:highlight w:val="none"/>
              </w:rPr>
              <w:t>标前准备</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7EDAB8BC">
            <w:pPr>
              <w:overflowPunct w:val="0"/>
              <w:spacing w:line="440" w:lineRule="exact"/>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1、本项目实行网上投标，采用电子投标文件。若供应商参与投标，自行承担投标一切费用。</w:t>
            </w:r>
          </w:p>
          <w:p w14:paraId="4CCC8806">
            <w:pPr>
              <w:overflowPunct w:val="0"/>
              <w:spacing w:line="440" w:lineRule="exact"/>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2、各供应商在开标前应确保成为新疆维吾尔自治区政府采购网正式注册入库供应商，并完成CA数字证书申领。因未注册入库、未办理CA数字证书等原因造成无法投标或投标失败等后果由供应商自行承担。</w:t>
            </w:r>
          </w:p>
          <w:p w14:paraId="2652E3F3">
            <w:pPr>
              <w:overflowPunct w:val="0"/>
              <w:spacing w:line="440" w:lineRule="exact"/>
              <w:jc w:val="left"/>
              <w:rPr>
                <w:rFonts w:hint="default" w:ascii="宋体" w:hAnsi="宋体" w:cs="宋体"/>
                <w:color w:val="auto"/>
                <w:sz w:val="24"/>
                <w:szCs w:val="24"/>
                <w:highlight w:val="none"/>
                <w:lang w:val="en-US"/>
              </w:rPr>
            </w:pPr>
            <w:r>
              <w:rPr>
                <w:rFonts w:hint="eastAsia" w:ascii="宋体" w:hAnsi="宋体" w:eastAsia="宋体" w:cs="宋体"/>
                <w:bCs/>
                <w:color w:val="auto"/>
                <w:sz w:val="24"/>
                <w:szCs w:val="24"/>
                <w:highlight w:val="none"/>
                <w:lang w:val="en-US" w:eastAsia="zh-CN"/>
              </w:rPr>
              <w:t>3、供应商将政采云电子交易客户端下载、安装完成后，可通过账号密码或CA登录客户端进行投标文件制作。在使用政采云投标客户端时，建议使用WIN7及以上操作系统。客户端请至新疆政府采购网（</w:t>
            </w:r>
            <w:r>
              <w:rPr>
                <w:rFonts w:hint="eastAsia" w:ascii="宋体" w:hAnsi="宋体" w:eastAsia="宋体" w:cs="宋体"/>
                <w:bCs/>
                <w:color w:val="auto"/>
                <w:sz w:val="24"/>
                <w:szCs w:val="24"/>
                <w:highlight w:val="none"/>
                <w:lang w:val="en-US" w:eastAsia="zh-CN"/>
              </w:rPr>
              <w:fldChar w:fldCharType="begin"/>
            </w:r>
            <w:r>
              <w:rPr>
                <w:rFonts w:hint="eastAsia" w:ascii="宋体" w:hAnsi="宋体" w:eastAsia="宋体" w:cs="宋体"/>
                <w:bCs/>
                <w:color w:val="auto"/>
                <w:sz w:val="24"/>
                <w:szCs w:val="24"/>
                <w:highlight w:val="none"/>
                <w:lang w:val="en-US" w:eastAsia="zh-CN"/>
              </w:rPr>
              <w:instrText xml:space="preserve">HYPERLINK"http://www.ccgp-xinjiang.gov.cn/"</w:instrText>
            </w:r>
            <w:r>
              <w:rPr>
                <w:rFonts w:hint="eastAsia" w:ascii="宋体" w:hAnsi="宋体" w:eastAsia="宋体" w:cs="宋体"/>
                <w:bCs/>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http://www.ccgp-xinjiang.gov.cn/</w:t>
            </w:r>
            <w:r>
              <w:rPr>
                <w:rFonts w:hint="eastAsia" w:ascii="宋体" w:hAnsi="宋体" w:eastAsia="宋体" w:cs="宋体"/>
                <w:bCs/>
                <w:color w:val="auto"/>
                <w:sz w:val="24"/>
                <w:szCs w:val="24"/>
                <w:highlight w:val="none"/>
                <w:lang w:val="en-US" w:eastAsia="zh-CN"/>
              </w:rPr>
              <w:fldChar w:fldCharType="end"/>
            </w:r>
            <w:r>
              <w:rPr>
                <w:rFonts w:hint="eastAsia" w:ascii="宋体" w:hAnsi="宋体" w:eastAsia="宋体" w:cs="宋体"/>
                <w:bCs/>
                <w:color w:val="auto"/>
                <w:sz w:val="24"/>
                <w:szCs w:val="24"/>
                <w:highlight w:val="none"/>
                <w:lang w:val="en-US" w:eastAsia="zh-CN"/>
              </w:rPr>
              <w:t>）下载专区查看，如有问题可拨打政采云客户服务热线95763进行咨询。</w:t>
            </w:r>
          </w:p>
        </w:tc>
      </w:tr>
      <w:tr w14:paraId="6DFA8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46C6CFDC">
            <w:pPr>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19</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68FC0DC5">
            <w:pPr>
              <w:adjustRightInd w:val="0"/>
              <w:snapToGrid w:val="0"/>
              <w:spacing w:before="120" w:beforeLines="50"/>
              <w:jc w:val="center"/>
              <w:rPr>
                <w:rFonts w:hint="eastAsia" w:ascii="宋体" w:hAnsi="宋体" w:cs="宋体"/>
                <w:b/>
                <w:bCs/>
                <w:color w:val="auto"/>
                <w:sz w:val="24"/>
                <w:szCs w:val="24"/>
                <w:highlight w:val="none"/>
              </w:rPr>
            </w:pPr>
            <w:r>
              <w:rPr>
                <w:rFonts w:hint="eastAsia" w:ascii="宋体" w:hAnsi="宋体" w:eastAsia="宋体" w:cs="宋体"/>
                <w:b w:val="0"/>
                <w:bCs w:val="0"/>
                <w:color w:val="auto"/>
                <w:sz w:val="24"/>
                <w:szCs w:val="24"/>
                <w:highlight w:val="none"/>
              </w:rPr>
              <w:t>响应文件递交</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01FD7205">
            <w:pPr>
              <w:overflowPunct w:val="0"/>
              <w:spacing w:line="440" w:lineRule="exact"/>
              <w:jc w:val="left"/>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投标截止时间：</w:t>
            </w:r>
            <w:r>
              <w:rPr>
                <w:rFonts w:hint="eastAsia" w:ascii="宋体" w:hAnsi="宋体" w:cs="宋体"/>
                <w:bCs/>
                <w:color w:val="auto"/>
                <w:sz w:val="24"/>
                <w:szCs w:val="24"/>
                <w:highlight w:val="none"/>
                <w:lang w:val="en-US" w:eastAsia="zh-CN"/>
              </w:rPr>
              <w:t>2025年7月25日</w:t>
            </w:r>
            <w:r>
              <w:rPr>
                <w:rFonts w:hint="eastAsia" w:ascii="宋体" w:hAnsi="宋体" w:cs="宋体"/>
                <w:bCs/>
                <w:color w:val="auto"/>
                <w:sz w:val="24"/>
                <w:szCs w:val="24"/>
                <w:highlight w:val="none"/>
                <w:lang w:val="en-US" w:eastAsia="zh-CN"/>
              </w:rPr>
              <w:t>11:00</w:t>
            </w:r>
            <w:r>
              <w:rPr>
                <w:rFonts w:hint="eastAsia" w:ascii="宋体" w:hAnsi="宋体" w:eastAsia="宋体" w:cs="宋体"/>
                <w:bCs/>
                <w:color w:val="auto"/>
                <w:sz w:val="24"/>
                <w:szCs w:val="24"/>
                <w:highlight w:val="none"/>
                <w:lang w:val="en-US" w:eastAsia="zh-CN"/>
              </w:rPr>
              <w:t>时（北京时间）</w:t>
            </w:r>
          </w:p>
          <w:p w14:paraId="196DC82D">
            <w:pPr>
              <w:overflowPunct w:val="0"/>
              <w:spacing w:line="440" w:lineRule="exact"/>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投标递交地点：政采云平台</w:t>
            </w:r>
          </w:p>
          <w:p w14:paraId="353CD6E2">
            <w:pPr>
              <w:overflowPunct w:val="0"/>
              <w:spacing w:line="440" w:lineRule="exact"/>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注：</w:t>
            </w:r>
          </w:p>
          <w:p w14:paraId="4F8CF906">
            <w:pPr>
              <w:overflowPunct w:val="0"/>
              <w:spacing w:line="440" w:lineRule="exact"/>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（1）投标文件上传，使用政府采购云平台投标文件制作工具，制作完成需将加密投标文件在投标截止时间前上传至政采云平台对应位置。</w:t>
            </w:r>
          </w:p>
          <w:p w14:paraId="4BA0B82D">
            <w:pPr>
              <w:overflowPunct w:val="0"/>
              <w:spacing w:line="440" w:lineRule="exact"/>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（2）与加密标书同时生成的备份标书，在出现异常情况进行异常处理时使用。比如当加密标书无法正常解密时，可以在开启标书信息前，通过异常处理上传备份标书。</w:t>
            </w:r>
          </w:p>
          <w:p w14:paraId="5355568E">
            <w:pPr>
              <w:overflowPunct w:val="0"/>
              <w:spacing w:line="440" w:lineRule="exact"/>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（3）平台会校验标书一致性及标书身份识别，切勿手动修改标书。</w:t>
            </w:r>
          </w:p>
          <w:p w14:paraId="37B0F904">
            <w:pPr>
              <w:overflowPunct w:val="0"/>
              <w:spacing w:line="440" w:lineRule="exact"/>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（4）供应商生成的后缀格式为.bfbs的备份标书是无法查看的，主要是为了在开标解密时异常处理使用。</w:t>
            </w:r>
          </w:p>
          <w:p w14:paraId="41D00318">
            <w:pPr>
              <w:overflowPunct w:val="0"/>
              <w:spacing w:line="440" w:lineRule="exact"/>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（5）凡因个人原因无法正常解密投标文件（且没提供备份文件至采购代理机构），致使供应商无法参与评标，供应商自行承担后果。</w:t>
            </w:r>
          </w:p>
          <w:p w14:paraId="0B965142">
            <w:pPr>
              <w:overflowPunct w:val="0"/>
              <w:spacing w:line="440" w:lineRule="exact"/>
              <w:jc w:val="left"/>
              <w:rPr>
                <w:rFonts w:hint="default" w:ascii="宋体" w:hAnsi="宋体" w:cs="宋体"/>
                <w:color w:val="auto"/>
                <w:sz w:val="24"/>
                <w:szCs w:val="24"/>
                <w:highlight w:val="none"/>
                <w:lang w:val="en-US"/>
              </w:rPr>
            </w:pPr>
            <w:r>
              <w:rPr>
                <w:rFonts w:hint="eastAsia" w:ascii="宋体" w:hAnsi="宋体" w:eastAsia="宋体" w:cs="宋体"/>
                <w:bCs/>
                <w:color w:val="auto"/>
                <w:sz w:val="24"/>
                <w:szCs w:val="24"/>
                <w:highlight w:val="none"/>
                <w:lang w:val="en-US" w:eastAsia="zh-CN"/>
              </w:rPr>
              <w:t>（6）电报、电话、传真、电子邮件等形式的投标概不接受。</w:t>
            </w:r>
          </w:p>
        </w:tc>
      </w:tr>
      <w:tr w14:paraId="7E113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3468218C">
            <w:pPr>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4E4750FC">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开标</w:t>
            </w:r>
            <w:r>
              <w:rPr>
                <w:rFonts w:hint="eastAsia" w:ascii="宋体" w:hAnsi="宋体" w:eastAsia="宋体" w:cs="宋体"/>
                <w:b w:val="0"/>
                <w:bCs w:val="0"/>
                <w:color w:val="auto"/>
                <w:sz w:val="24"/>
                <w:szCs w:val="24"/>
                <w:highlight w:val="none"/>
                <w:lang w:val="en-US" w:eastAsia="zh-CN"/>
              </w:rPr>
              <w:t>时间</w:t>
            </w:r>
          </w:p>
          <w:p w14:paraId="5D2F63B3">
            <w:pP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及</w:t>
            </w:r>
            <w:r>
              <w:rPr>
                <w:rFonts w:hint="eastAsia" w:ascii="宋体" w:hAnsi="宋体" w:eastAsia="宋体" w:cs="宋体"/>
                <w:b w:val="0"/>
                <w:bCs w:val="0"/>
                <w:color w:val="auto"/>
                <w:sz w:val="24"/>
                <w:szCs w:val="24"/>
                <w:highlight w:val="none"/>
                <w:lang w:eastAsia="zh-CN"/>
              </w:rPr>
              <w:t>地点</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6BD2D37E">
            <w:pPr>
              <w:overflowPunct w:val="0"/>
              <w:spacing w:line="440" w:lineRule="exact"/>
              <w:jc w:val="left"/>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开标时间：</w:t>
            </w:r>
            <w:r>
              <w:rPr>
                <w:rFonts w:hint="eastAsia" w:ascii="宋体" w:hAnsi="宋体" w:cs="宋体"/>
                <w:color w:val="auto"/>
                <w:kern w:val="0"/>
                <w:sz w:val="24"/>
                <w:szCs w:val="24"/>
                <w:highlight w:val="none"/>
                <w:lang w:val="en-US" w:eastAsia="zh-CN"/>
              </w:rPr>
              <w:t>2025年7月25日</w:t>
            </w:r>
            <w:r>
              <w:rPr>
                <w:rFonts w:hint="eastAsia" w:ascii="宋体" w:hAnsi="宋体" w:cs="宋体"/>
                <w:color w:val="auto"/>
                <w:kern w:val="0"/>
                <w:sz w:val="24"/>
                <w:szCs w:val="24"/>
                <w:highlight w:val="none"/>
                <w:lang w:val="en-US" w:eastAsia="zh-CN"/>
              </w:rPr>
              <w:t>11:00</w:t>
            </w:r>
            <w:r>
              <w:rPr>
                <w:rFonts w:hint="eastAsia" w:ascii="宋体" w:hAnsi="宋体" w:eastAsia="宋体" w:cs="宋体"/>
                <w:color w:val="auto"/>
                <w:kern w:val="0"/>
                <w:sz w:val="24"/>
                <w:szCs w:val="24"/>
                <w:highlight w:val="none"/>
                <w:lang w:val="en-US" w:eastAsia="zh-CN"/>
              </w:rPr>
              <w:t>时（北京时间）</w:t>
            </w:r>
          </w:p>
          <w:p w14:paraId="1E83B387">
            <w:pPr>
              <w:overflowPunct w:val="0"/>
              <w:spacing w:line="440" w:lineRule="exact"/>
              <w:jc w:val="left"/>
              <w:rPr>
                <w:rFonts w:hint="default"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eastAsia="zh-CN"/>
              </w:rPr>
              <w:t>开标地点：政采云平台</w:t>
            </w:r>
          </w:p>
          <w:p w14:paraId="01A41ED9">
            <w:pPr>
              <w:overflowPunct w:val="0"/>
              <w:spacing w:line="440" w:lineRule="exact"/>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投标人应于</w:t>
            </w:r>
            <w:r>
              <w:rPr>
                <w:rFonts w:hint="eastAsia" w:ascii="宋体" w:hAnsi="宋体" w:cs="宋体"/>
                <w:color w:val="auto"/>
                <w:kern w:val="0"/>
                <w:sz w:val="24"/>
                <w:szCs w:val="24"/>
                <w:highlight w:val="none"/>
                <w:lang w:val="en-US" w:eastAsia="zh-CN"/>
              </w:rPr>
              <w:t>开标截止时间</w:t>
            </w:r>
            <w:r>
              <w:rPr>
                <w:rFonts w:hint="eastAsia" w:ascii="宋体" w:hAnsi="宋体" w:eastAsia="宋体" w:cs="宋体"/>
                <w:bCs/>
                <w:color w:val="auto"/>
                <w:sz w:val="24"/>
                <w:szCs w:val="24"/>
                <w:highlight w:val="none"/>
              </w:rPr>
              <w:t>之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w:t>
            </w:r>
            <w:r>
              <w:rPr>
                <w:rFonts w:hint="eastAsia" w:ascii="宋体" w:hAnsi="宋体" w:eastAsia="宋体" w:cs="宋体"/>
                <w:bCs/>
                <w:color w:val="auto"/>
                <w:sz w:val="24"/>
                <w:szCs w:val="24"/>
                <w:highlight w:val="none"/>
                <w:lang w:val="en-US" w:eastAsia="zh-CN"/>
              </w:rPr>
              <w:t>95763</w:t>
            </w:r>
            <w:r>
              <w:rPr>
                <w:rFonts w:hint="eastAsia" w:ascii="宋体" w:hAnsi="宋体" w:eastAsia="宋体" w:cs="宋体"/>
                <w:bCs/>
                <w:color w:val="auto"/>
                <w:sz w:val="24"/>
                <w:szCs w:val="24"/>
                <w:highlight w:val="none"/>
              </w:rPr>
              <w:t>。</w:t>
            </w:r>
          </w:p>
        </w:tc>
      </w:tr>
      <w:tr w14:paraId="71723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0FB35087">
            <w:pPr>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7D5D7493">
            <w:pP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投</w:t>
            </w:r>
            <w:r>
              <w:rPr>
                <w:rFonts w:hint="eastAsia" w:ascii="宋体" w:hAnsi="宋体" w:eastAsia="宋体" w:cs="宋体"/>
                <w:b w:val="0"/>
                <w:bCs w:val="0"/>
                <w:color w:val="auto"/>
                <w:sz w:val="24"/>
                <w:szCs w:val="24"/>
                <w:highlight w:val="none"/>
              </w:rPr>
              <w:t>标文件</w:t>
            </w:r>
          </w:p>
          <w:p w14:paraId="46A1991D">
            <w:pPr>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解密时间</w:t>
            </w:r>
          </w:p>
          <w:p w14:paraId="47663832">
            <w:pPr>
              <w:jc w:val="center"/>
              <w:rPr>
                <w:rFonts w:hint="eastAsia" w:ascii="宋体" w:hAnsi="宋体" w:eastAsia="宋体" w:cs="宋体"/>
                <w:b w:val="0"/>
                <w:bCs w:val="0"/>
                <w:color w:val="auto"/>
                <w:sz w:val="24"/>
                <w:szCs w:val="24"/>
                <w:highlight w:val="none"/>
              </w:rPr>
            </w:pPr>
          </w:p>
        </w:tc>
        <w:tc>
          <w:tcPr>
            <w:tcW w:w="7030" w:type="dxa"/>
            <w:tcBorders>
              <w:top w:val="single" w:color="auto" w:sz="4" w:space="0"/>
              <w:left w:val="single" w:color="auto" w:sz="4" w:space="0"/>
              <w:bottom w:val="single" w:color="auto" w:sz="4" w:space="0"/>
              <w:right w:val="single" w:color="auto" w:sz="4" w:space="0"/>
            </w:tcBorders>
            <w:noWrap w:val="0"/>
            <w:vAlign w:val="center"/>
          </w:tcPr>
          <w:p w14:paraId="6A281E99">
            <w:pPr>
              <w:overflowPunct w:val="0"/>
              <w:spacing w:line="440" w:lineRule="exact"/>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开标时间后</w:t>
            </w:r>
            <w:r>
              <w:rPr>
                <w:rFonts w:hint="eastAsia" w:ascii="宋体" w:hAnsi="宋体" w:eastAsia="宋体" w:cs="宋体"/>
                <w:color w:val="auto"/>
                <w:kern w:val="0"/>
                <w:sz w:val="24"/>
                <w:szCs w:val="24"/>
                <w:highlight w:val="none"/>
                <w:lang w:val="en-US" w:eastAsia="zh-CN"/>
              </w:rPr>
              <w:t>30分钟内（</w:t>
            </w:r>
            <w:r>
              <w:rPr>
                <w:rFonts w:hint="eastAsia" w:ascii="宋体" w:hAnsi="宋体" w:cs="宋体"/>
                <w:color w:val="auto"/>
                <w:kern w:val="0"/>
                <w:sz w:val="24"/>
                <w:szCs w:val="24"/>
                <w:highlight w:val="none"/>
                <w:lang w:val="en-US" w:eastAsia="zh-CN"/>
              </w:rPr>
              <w:t>2025年7月25日</w:t>
            </w:r>
            <w:r>
              <w:rPr>
                <w:rFonts w:hint="eastAsia" w:ascii="宋体" w:hAnsi="宋体" w:cs="宋体"/>
                <w:color w:val="auto"/>
                <w:kern w:val="0"/>
                <w:sz w:val="24"/>
                <w:szCs w:val="24"/>
                <w:highlight w:val="none"/>
                <w:lang w:val="en-US" w:eastAsia="zh-CN"/>
              </w:rPr>
              <w:t>11:00</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11:30</w:t>
            </w:r>
            <w:r>
              <w:rPr>
                <w:rFonts w:hint="eastAsia" w:ascii="宋体" w:hAnsi="宋体" w:eastAsia="宋体" w:cs="宋体"/>
                <w:color w:val="auto"/>
                <w:kern w:val="0"/>
                <w:sz w:val="24"/>
                <w:szCs w:val="24"/>
                <w:highlight w:val="none"/>
                <w:lang w:val="en-US" w:eastAsia="zh-CN"/>
              </w:rPr>
              <w:t>）供应商可</w:t>
            </w:r>
            <w:r>
              <w:rPr>
                <w:rFonts w:hint="eastAsia" w:ascii="宋体" w:hAnsi="宋体" w:eastAsia="宋体" w:cs="宋体"/>
                <w:bCs/>
                <w:color w:val="auto"/>
                <w:sz w:val="24"/>
                <w:szCs w:val="24"/>
                <w:highlight w:val="none"/>
              </w:rPr>
              <w:t>以登录“政采云”平台，用“项目采购-开标评标”功能进行解密投标文件。若供应商在规定时间内未按时解密的，视为投标文件撤回。</w:t>
            </w:r>
          </w:p>
        </w:tc>
      </w:tr>
      <w:tr w14:paraId="77040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2B510C0C">
            <w:pPr>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22</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58100877">
            <w:pP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废标和无效</w:t>
            </w:r>
          </w:p>
          <w:p w14:paraId="0178ADF9">
            <w:pP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投标情形</w:t>
            </w:r>
          </w:p>
          <w:p w14:paraId="6EB734B0">
            <w:pPr>
              <w:adjustRightInd w:val="0"/>
              <w:snapToGrid w:val="0"/>
              <w:spacing w:before="120" w:beforeLines="50"/>
              <w:jc w:val="center"/>
              <w:rPr>
                <w:rFonts w:hint="eastAsia" w:ascii="宋体" w:hAnsi="宋体" w:eastAsia="宋体" w:cs="宋体"/>
                <w:b w:val="0"/>
                <w:bCs w:val="0"/>
                <w:color w:val="auto"/>
                <w:sz w:val="24"/>
                <w:szCs w:val="24"/>
                <w:highlight w:val="none"/>
              </w:rPr>
            </w:pPr>
          </w:p>
        </w:tc>
        <w:tc>
          <w:tcPr>
            <w:tcW w:w="7030" w:type="dxa"/>
            <w:tcBorders>
              <w:top w:val="single" w:color="auto" w:sz="4" w:space="0"/>
              <w:left w:val="single" w:color="auto" w:sz="4" w:space="0"/>
              <w:bottom w:val="single" w:color="auto" w:sz="4" w:space="0"/>
              <w:right w:val="single" w:color="auto" w:sz="4" w:space="0"/>
            </w:tcBorders>
            <w:noWrap w:val="0"/>
            <w:vAlign w:val="center"/>
          </w:tcPr>
          <w:p w14:paraId="5384B21C">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(1)开标过程中的废标情形</w:t>
            </w:r>
            <w:r>
              <w:rPr>
                <w:rFonts w:hint="eastAsia" w:ascii="宋体" w:hAnsi="宋体" w:eastAsia="宋体" w:cs="宋体"/>
                <w:color w:val="auto"/>
                <w:sz w:val="24"/>
                <w:szCs w:val="24"/>
                <w:highlight w:val="none"/>
                <w:lang w:eastAsia="zh-CN"/>
              </w:rPr>
              <w:t>：</w:t>
            </w:r>
          </w:p>
          <w:p w14:paraId="694AF574">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a.在主持人宣布开标会开始时，到场的投标人不足三家的；</w:t>
            </w:r>
          </w:p>
          <w:p w14:paraId="2A6F012B">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b.出现影响采购公正的违法、违规行为的；</w:t>
            </w:r>
          </w:p>
          <w:p w14:paraId="1725D9E2">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c.因重大变故，采购任务取消的。</w:t>
            </w:r>
          </w:p>
          <w:p w14:paraId="702A9CCD">
            <w:pPr>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d.法律法规规定的其它情形。</w:t>
            </w:r>
          </w:p>
          <w:p w14:paraId="6C988681">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(2)开标过程中的无效投标情形</w:t>
            </w:r>
          </w:p>
          <w:p w14:paraId="2F5EA1F5">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a.未按照招标文件的规定缴纳投标保证金的；</w:t>
            </w:r>
          </w:p>
          <w:p w14:paraId="25B164B2">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b.投标文件超过规定的时间送达的；</w:t>
            </w:r>
          </w:p>
          <w:p w14:paraId="4A80161A">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w:t>
            </w:r>
            <w:r>
              <w:rPr>
                <w:rFonts w:hint="eastAsia" w:ascii="宋体" w:hAnsi="宋体" w:eastAsia="宋体" w:cs="宋体"/>
                <w:color w:val="auto"/>
                <w:sz w:val="24"/>
                <w:szCs w:val="24"/>
                <w:highlight w:val="none"/>
                <w:lang w:val="en-US" w:eastAsia="zh-CN"/>
              </w:rPr>
              <w:t>未进行加密</w:t>
            </w:r>
            <w:r>
              <w:rPr>
                <w:rFonts w:hint="eastAsia" w:ascii="宋体" w:hAnsi="宋体" w:eastAsia="宋体" w:cs="宋体"/>
                <w:color w:val="auto"/>
                <w:sz w:val="24"/>
                <w:szCs w:val="24"/>
                <w:highlight w:val="none"/>
              </w:rPr>
              <w:t>的作无效投标处理。</w:t>
            </w:r>
          </w:p>
          <w:p w14:paraId="35C22EE5">
            <w:p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(3)评标过程中的废标和无效投标的情形，由评标委员会</w:t>
            </w:r>
            <w:r>
              <w:rPr>
                <w:rFonts w:hint="eastAsia" w:ascii="宋体" w:hAnsi="宋体" w:eastAsia="宋体" w:cs="宋体"/>
                <w:color w:val="auto"/>
                <w:sz w:val="24"/>
                <w:szCs w:val="24"/>
                <w:highlight w:val="none"/>
                <w:lang w:val="en-US" w:eastAsia="zh-CN"/>
              </w:rPr>
              <w:t>根据</w:t>
            </w:r>
            <w:r>
              <w:rPr>
                <w:rFonts w:hint="eastAsia" w:ascii="宋体" w:hAnsi="宋体" w:eastAsia="宋体" w:cs="宋体"/>
                <w:color w:val="auto"/>
                <w:sz w:val="24"/>
                <w:szCs w:val="24"/>
                <w:highlight w:val="none"/>
              </w:rPr>
              <w:t>判定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详见</w:t>
            </w:r>
            <w:r>
              <w:rPr>
                <w:rFonts w:hint="eastAsia" w:ascii="宋体" w:hAnsi="宋体" w:eastAsia="宋体" w:cs="宋体"/>
                <w:color w:val="auto"/>
                <w:sz w:val="24"/>
                <w:szCs w:val="24"/>
                <w:highlight w:val="none"/>
                <w:lang w:val="en-US" w:eastAsia="zh-CN"/>
              </w:rPr>
              <w:t>招标文件相关要求</w:t>
            </w:r>
            <w:r>
              <w:rPr>
                <w:rFonts w:hint="eastAsia" w:ascii="宋体" w:hAnsi="宋体" w:eastAsia="宋体" w:cs="宋体"/>
                <w:color w:val="auto"/>
                <w:sz w:val="24"/>
                <w:szCs w:val="24"/>
                <w:highlight w:val="none"/>
              </w:rPr>
              <w:t>。</w:t>
            </w:r>
          </w:p>
        </w:tc>
      </w:tr>
      <w:tr w14:paraId="491B6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10BBA9B3">
            <w:pPr>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23</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6069B7A3">
            <w:pPr>
              <w:jc w:val="center"/>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rPr>
              <w:t>磋商轮数</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4819D6A2">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磋商轮数</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二次（</w:t>
            </w:r>
            <w:r>
              <w:rPr>
                <w:rFonts w:hint="eastAsia" w:ascii="宋体" w:hAnsi="宋体" w:eastAsia="宋体" w:cs="宋体"/>
                <w:color w:val="auto"/>
                <w:sz w:val="24"/>
                <w:szCs w:val="24"/>
                <w:highlight w:val="none"/>
                <w:lang w:val="en-US" w:eastAsia="zh-CN"/>
              </w:rPr>
              <w:t>二次报价不得高于一次报价</w:t>
            </w:r>
            <w:r>
              <w:rPr>
                <w:rFonts w:hint="eastAsia" w:ascii="宋体" w:hAnsi="宋体" w:eastAsia="宋体" w:cs="宋体"/>
                <w:color w:val="auto"/>
                <w:sz w:val="24"/>
                <w:szCs w:val="24"/>
                <w:highlight w:val="none"/>
                <w:lang w:val="zh-CN"/>
              </w:rPr>
              <w:t>）；</w:t>
            </w:r>
          </w:p>
        </w:tc>
      </w:tr>
      <w:tr w14:paraId="71732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8"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49C11096">
            <w:pPr>
              <w:jc w:val="center"/>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24</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2870F986">
            <w:pPr>
              <w:jc w:val="center"/>
              <w:rPr>
                <w:rFonts w:hint="eastAsia" w:ascii="宋体" w:hAnsi="宋体" w:eastAsia="宋体" w:cs="宋体"/>
                <w:b w:val="0"/>
                <w:bCs w:val="0"/>
                <w:color w:val="auto"/>
                <w:sz w:val="24"/>
                <w:szCs w:val="24"/>
                <w:highlight w:val="none"/>
                <w:lang w:val="en-US" w:eastAsia="zh-CN"/>
              </w:rPr>
            </w:pPr>
          </w:p>
          <w:p w14:paraId="5C72F1B4">
            <w:pPr>
              <w:jc w:val="center"/>
              <w:rPr>
                <w:rFonts w:hint="eastAsia" w:ascii="宋体" w:hAnsi="宋体" w:eastAsia="宋体" w:cs="宋体"/>
                <w:b w:val="0"/>
                <w:bCs w:val="0"/>
                <w:color w:val="auto"/>
                <w:sz w:val="24"/>
                <w:szCs w:val="24"/>
                <w:highlight w:val="none"/>
                <w:lang w:val="en-US" w:eastAsia="zh-CN"/>
              </w:rPr>
            </w:pPr>
          </w:p>
          <w:p w14:paraId="6F7D65F9">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政府采购政策</w:t>
            </w:r>
          </w:p>
          <w:p w14:paraId="7CA51129">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说明</w:t>
            </w:r>
          </w:p>
          <w:p w14:paraId="34F891FD">
            <w:pPr>
              <w:adjustRightInd w:val="0"/>
              <w:snapToGrid w:val="0"/>
              <w:spacing w:before="120" w:beforeLines="50"/>
              <w:jc w:val="center"/>
              <w:rPr>
                <w:rFonts w:hint="eastAsia" w:asciiTheme="minorEastAsia" w:hAnsiTheme="minorEastAsia" w:eastAsiaTheme="minorEastAsia" w:cstheme="minorEastAsia"/>
                <w:color w:val="auto"/>
                <w:kern w:val="2"/>
                <w:sz w:val="24"/>
                <w:szCs w:val="24"/>
                <w:highlight w:val="none"/>
                <w:lang w:val="en-US" w:eastAsia="zh-CN" w:bidi="ar-SA"/>
              </w:rPr>
            </w:pPr>
          </w:p>
        </w:tc>
        <w:tc>
          <w:tcPr>
            <w:tcW w:w="7030" w:type="dxa"/>
            <w:tcBorders>
              <w:top w:val="single" w:color="auto" w:sz="4" w:space="0"/>
              <w:left w:val="single" w:color="auto" w:sz="4" w:space="0"/>
              <w:bottom w:val="single" w:color="auto" w:sz="4" w:space="0"/>
              <w:right w:val="single" w:color="auto" w:sz="4" w:space="0"/>
            </w:tcBorders>
            <w:noWrap w:val="0"/>
            <w:vAlign w:val="center"/>
          </w:tcPr>
          <w:p w14:paraId="491F963F">
            <w:pPr>
              <w:overflowPunct w:val="0"/>
              <w:spacing w:line="44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本项目采购标的对应的中小企业划分标准所属行业：建筑业。</w:t>
            </w:r>
          </w:p>
          <w:p w14:paraId="0BC6E132">
            <w:pPr>
              <w:overflowPunct w:val="0"/>
              <w:spacing w:line="44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☑专门面向中小企业采购项目（不享受价格扣除）</w:t>
            </w:r>
          </w:p>
          <w:p w14:paraId="504A4776">
            <w:pPr>
              <w:overflowPunct w:val="0"/>
              <w:spacing w:line="44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中小企业预留占比100.00%,其中：小微企业预留占比</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lang w:val="en-US" w:eastAsia="zh-CN"/>
              </w:rPr>
              <w:t>0.00%</w:t>
            </w:r>
          </w:p>
          <w:p w14:paraId="2978C6A1">
            <w:pPr>
              <w:overflowPunct w:val="0"/>
              <w:spacing w:line="44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□非专门面向中小企业采购项目（价格扣除）：</w:t>
            </w:r>
          </w:p>
          <w:p w14:paraId="25468ED6">
            <w:pPr>
              <w:overflowPunct w:val="0"/>
              <w:spacing w:line="44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对小型和微型企业产品的价格给予10%-20%的扣除，用扣除后的价格参与评标，本项目的扣除比例为：小型企业扣除10%、微型企业扣除10%。</w:t>
            </w:r>
          </w:p>
          <w:p w14:paraId="18BDDE31">
            <w:pPr>
              <w:overflowPunct w:val="0"/>
              <w:spacing w:line="44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残疾人福利性单位视同小型、微型企业。残疾人福利性单位属于小型、微型企业的，不重复享受政策。</w:t>
            </w:r>
          </w:p>
          <w:p w14:paraId="1C1FF723">
            <w:pPr>
              <w:overflowPunct w:val="0"/>
              <w:spacing w:line="440" w:lineRule="exact"/>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□非专门面向中小企业采购项目（其他优惠）：</w:t>
            </w:r>
          </w:p>
        </w:tc>
      </w:tr>
      <w:tr w14:paraId="0EDBC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56BD077D">
            <w:pPr>
              <w:jc w:val="center"/>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25</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6A37E106">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政府采购政策支持</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476816FB">
            <w:pPr>
              <w:numPr>
                <w:ilvl w:val="0"/>
                <w:numId w:val="0"/>
              </w:numPr>
              <w:spacing w:line="360" w:lineRule="auto"/>
              <w:ind w:leftChars="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（1）《政府采购促进中小企业发展管理办法》（财库〔2020〕46号）；</w:t>
            </w:r>
          </w:p>
          <w:p w14:paraId="210705C8">
            <w:pPr>
              <w:numPr>
                <w:ilvl w:val="0"/>
                <w:numId w:val="0"/>
              </w:numPr>
              <w:spacing w:line="360" w:lineRule="auto"/>
              <w:ind w:leftChars="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eastAsia="zh-CN"/>
              </w:rPr>
              <w:t>）《关于落实好政府采购支持中小企业发展的通知》（新财购〔2022〕22号）；</w:t>
            </w:r>
          </w:p>
          <w:p w14:paraId="34DBADD9">
            <w:pPr>
              <w:numPr>
                <w:ilvl w:val="0"/>
                <w:numId w:val="0"/>
              </w:numPr>
              <w:spacing w:line="360" w:lineRule="auto"/>
              <w:ind w:leftChars="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zh-CN" w:eastAsia="zh-CN"/>
              </w:rPr>
              <w:t>）财政部关于进一步加大政府采购支持中小企业力度的通知（财库[2022]19号）；</w:t>
            </w:r>
          </w:p>
          <w:p w14:paraId="10B71175">
            <w:pPr>
              <w:numPr>
                <w:ilvl w:val="0"/>
                <w:numId w:val="0"/>
              </w:numPr>
              <w:spacing w:line="360" w:lineRule="auto"/>
              <w:ind w:leftChars="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zh-CN" w:eastAsia="zh-CN"/>
              </w:rPr>
              <w:t>）</w:t>
            </w:r>
            <w:r>
              <w:rPr>
                <w:rFonts w:hint="eastAsia" w:asciiTheme="minorEastAsia" w:hAnsiTheme="minorEastAsia" w:eastAsiaTheme="minorEastAsia" w:cstheme="minorEastAsia"/>
                <w:color w:val="auto"/>
                <w:sz w:val="24"/>
                <w:szCs w:val="24"/>
                <w:highlight w:val="none"/>
              </w:rPr>
              <w:t>财政部、司法部《关于政府采购支持监狱企业发展有关问题的通知》（财库[2014]68号文）。</w:t>
            </w:r>
          </w:p>
          <w:p w14:paraId="06AF9B18">
            <w:pPr>
              <w:overflowPunct w:val="0"/>
              <w:spacing w:line="440" w:lineRule="exact"/>
              <w:jc w:val="left"/>
              <w:rPr>
                <w:rFonts w:hint="eastAsia" w:ascii="宋体" w:hAnsi="宋体" w:eastAsia="宋体" w:cs="宋体"/>
                <w:color w:val="auto"/>
                <w:kern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）财政部、民政部、中国残疾人联合会《关于促进残疾人就业政府采购政策的通知》（财库[2017]141号）；</w:t>
            </w:r>
          </w:p>
          <w:p w14:paraId="75DB6463">
            <w:pPr>
              <w:overflowPunct w:val="0"/>
              <w:spacing w:line="44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（6）财政部、国家发展改革委、生态环境部、市场监管总局《关于调整优化节能产品、环境标志产品政府采购执行机制的通知》（财库[2019]9号文）；</w:t>
            </w:r>
          </w:p>
          <w:p w14:paraId="4C1D88BE">
            <w:pPr>
              <w:overflowPunct w:val="0"/>
              <w:spacing w:line="44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（7）财政部、生态环境部《关于印发环境标志产品政府采购品目清单的通知》（财库[2019]18号文）；</w:t>
            </w:r>
          </w:p>
          <w:p w14:paraId="0C9B8730">
            <w:pPr>
              <w:overflowPunct w:val="0"/>
              <w:spacing w:line="44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（8）财政部、发展改革委《关于印发节能产品政府采购品目清单的通知》（财库[2019]19号文）；</w:t>
            </w:r>
          </w:p>
          <w:p w14:paraId="03E20533">
            <w:pPr>
              <w:overflowPunct w:val="0"/>
              <w:spacing w:line="44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（9）市场监管总局《市场监管总局关于发布参与实施政府采购节能产品、环境标志产品认证机构名录的公告》（2019年第16号）；</w:t>
            </w:r>
          </w:p>
        </w:tc>
      </w:tr>
      <w:tr w14:paraId="13900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2D2237EB">
            <w:pPr>
              <w:jc w:val="center"/>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26</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7D4944F6">
            <w:pPr>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宋体" w:hAnsi="宋体"/>
                <w:b w:val="0"/>
                <w:bCs/>
                <w:color w:val="auto"/>
                <w:kern w:val="0"/>
                <w:sz w:val="24"/>
                <w:highlight w:val="none"/>
              </w:rPr>
              <w:t>中标公示媒介</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4F1A0F7E">
            <w:pPr>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cs="宋体"/>
                <w:color w:val="auto"/>
                <w:sz w:val="24"/>
                <w:szCs w:val="24"/>
                <w:highlight w:val="none"/>
                <w:shd w:val="clear" w:color="auto" w:fill="FFFFFF"/>
              </w:rPr>
              <w:t>在新疆政府采购网发布</w:t>
            </w:r>
          </w:p>
        </w:tc>
      </w:tr>
      <w:tr w14:paraId="5EA8E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286CB97B">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7</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0D31E02B">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招标代理</w:t>
            </w:r>
          </w:p>
          <w:p w14:paraId="00D5F782">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服务费</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6D35E7C4">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代理报酬的计算方法：参照原国家计委《招标代理服务收费管理暂行办法》（计加盖[2002]1980号）、国家发展改革委办公厅《关于招标代理服务收费有关问题的通知》（发改办价格[2003]857号）和国家发展改革委《关于降低部分建设项目收费标准规范收费行为等有关问题的通知》（发改价格[2011]534号）规定，以中标金额为基准计算收取。中标金额在5亿元以上的代理服务费实行收费上限，服务类代理服务费上限为300万元。</w:t>
            </w:r>
          </w:p>
          <w:p w14:paraId="1E02C184">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2、代理报酬支付方式：</w:t>
            </w:r>
            <w:r>
              <w:rPr>
                <w:rFonts w:hint="eastAsia" w:ascii="宋体" w:hAnsi="宋体" w:eastAsia="宋体" w:cs="宋体"/>
                <w:color w:val="auto"/>
                <w:sz w:val="24"/>
                <w:szCs w:val="24"/>
                <w:highlight w:val="none"/>
                <w:lang w:val="en-US" w:eastAsia="zh-CN"/>
              </w:rPr>
              <w:t>中标金额的1.5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14:paraId="3F925024">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3、代理报酬的支付时间：由中标人领取中标通知书时支付</w:t>
            </w:r>
          </w:p>
          <w:p w14:paraId="31224970">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highlight w:val="none"/>
              </w:rPr>
              <w:t>针对招标代理服务费，如中标人需我司开具“增值税专用发票”的，在投标时须同时提交开具“增值税专用发票”的相关财务信息材料（在税务部门备案的信息）并加盖公章，包括：单位名称、纳税人识别号、营业地址及联系电话、开户银行及账号，以及</w:t>
            </w:r>
            <w:r>
              <w:rPr>
                <w:rFonts w:hint="eastAsia" w:asciiTheme="minorEastAsia" w:hAnsiTheme="minorEastAsia" w:eastAsiaTheme="minorEastAsia" w:cstheme="minorEastAsia"/>
                <w:color w:val="auto"/>
                <w:sz w:val="24"/>
                <w:szCs w:val="24"/>
                <w:highlight w:val="none"/>
              </w:rPr>
              <w:t>一般纳税人证明，否则将开具“增值税普通发票”；由于投标人没有及时提交上述资料而导致无法开具“增值税专用发票”的，后果由投标人自行承担。</w:t>
            </w:r>
          </w:p>
        </w:tc>
      </w:tr>
      <w:tr w14:paraId="63FF5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2A56C8B5">
            <w:pPr>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注意</w:t>
            </w:r>
          </w:p>
          <w:p w14:paraId="719DFF28">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事项</w:t>
            </w:r>
          </w:p>
        </w:tc>
        <w:tc>
          <w:tcPr>
            <w:tcW w:w="8789" w:type="dxa"/>
            <w:gridSpan w:val="2"/>
            <w:tcBorders>
              <w:top w:val="single" w:color="auto" w:sz="4" w:space="0"/>
              <w:left w:val="single" w:color="auto" w:sz="4" w:space="0"/>
              <w:bottom w:val="single" w:color="auto" w:sz="4" w:space="0"/>
              <w:right w:val="single" w:color="auto" w:sz="4" w:space="0"/>
            </w:tcBorders>
            <w:noWrap w:val="0"/>
            <w:vAlign w:val="center"/>
          </w:tcPr>
          <w:p w14:paraId="789349F9">
            <w:pPr>
              <w:numPr>
                <w:ilvl w:val="0"/>
                <w:numId w:val="5"/>
              </w:numPr>
              <w:overflowPunct w:val="0"/>
              <w:spacing w:line="440" w:lineRule="exac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请务必确保投标文件制作客户端为最新版本，旧版本可能导致投标文件解密失败。</w:t>
            </w:r>
          </w:p>
          <w:p w14:paraId="556A69D8">
            <w:pPr>
              <w:pStyle w:val="8"/>
              <w:widowControl w:val="0"/>
              <w:numPr>
                <w:ilvl w:val="0"/>
                <w:numId w:val="0"/>
              </w:numPr>
              <w:jc w:val="both"/>
              <w:rPr>
                <w:rFonts w:hint="eastAsia"/>
                <w:color w:val="auto"/>
                <w:highlight w:val="none"/>
                <w:lang w:val="en-US" w:eastAsia="zh-CN"/>
              </w:rPr>
            </w:pPr>
          </w:p>
          <w:p w14:paraId="2E088495">
            <w:pPr>
              <w:pStyle w:val="12"/>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请投标单位提前自学线上开标流程；投标截止时间当天，线上开标环节，投标文件解密时长30分钟，投标供应商请自备笔记本电脑及CA锁进行投标文件解密以及操作投标事项，请投标人提前调试好在线参标电脑各项配置。</w:t>
            </w:r>
          </w:p>
          <w:p w14:paraId="38700502">
            <w:pPr>
              <w:pStyle w:val="12"/>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3.招标文件中采购清单、技术需求等如有偏差，如有疑义请在澄清中及时提出；否则视为充分理解招标文件各项要求。</w:t>
            </w:r>
          </w:p>
          <w:p w14:paraId="7EB5E891">
            <w:pPr>
              <w:pStyle w:val="12"/>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本次采用政府采购云平台线上招标、投标，请各潜在投标人及时办理CA锁和学习政府采购云平台线上投标相关知识。请在政府采购云平台登录后，进行下载采购招标文件。请各投标人获取招标文件后及时关注云平台答疑文件获取栏目。具体相关事宜见政府采购云平台。本项目采用资格后审，请投标人仔细阅读招标文件和各项要求，制作文件及相关资料过程中，若因投标人资格条件不符、提供资料不全等原因导致投标文件予以退还，责任自负。</w:t>
            </w:r>
          </w:p>
          <w:p w14:paraId="380EE874">
            <w:pPr>
              <w:pStyle w:val="12"/>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6.投标文件中有弄虚作假的内容，其投标文件作废（如假证书、假业绩、隐瞒不良行为记录、夸大荣誉、使用非本单位在职员工的相关证件及不符合招标文件规定的条款等）；在签订合同之前，投标人如发现投标人的投标文件有弄虚作假内容，招标人可拒绝与其签订合同。并将其列入政府采购黑名单库。</w:t>
            </w:r>
          </w:p>
          <w:p w14:paraId="2E41205C">
            <w:pPr>
              <w:pStyle w:val="29"/>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宋体" w:hAnsi="宋体" w:eastAsia="宋体" w:cs="Times New Roman"/>
                <w:color w:val="auto"/>
                <w:kern w:val="2"/>
                <w:sz w:val="24"/>
                <w:szCs w:val="24"/>
                <w:highlight w:val="none"/>
                <w:lang w:val="en-US" w:eastAsia="zh-CN" w:bidi="ar-SA"/>
              </w:rPr>
              <w:t>6.</w:t>
            </w:r>
            <w:r>
              <w:rPr>
                <w:rFonts w:hint="eastAsia" w:ascii="宋体" w:hAnsi="宋体" w:cs="宋体"/>
                <w:color w:val="auto"/>
                <w:sz w:val="24"/>
                <w:szCs w:val="24"/>
                <w:highlight w:val="none"/>
              </w:rPr>
              <w:t>本表内容与招标文件其它内容不一致的，应当以本表内容为准。</w:t>
            </w:r>
          </w:p>
        </w:tc>
      </w:tr>
    </w:tbl>
    <w:p w14:paraId="50BF1768">
      <w:pPr>
        <w:widowControl/>
        <w:spacing w:line="480" w:lineRule="exact"/>
        <w:jc w:val="both"/>
        <w:rPr>
          <w:rFonts w:hint="eastAsia" w:asciiTheme="minorEastAsia" w:hAnsiTheme="minorEastAsia" w:eastAsiaTheme="minorEastAsia" w:cstheme="minorEastAsia"/>
          <w:b/>
          <w:color w:val="auto"/>
          <w:sz w:val="36"/>
          <w:szCs w:val="36"/>
          <w:highlight w:val="none"/>
        </w:rPr>
      </w:pPr>
    </w:p>
    <w:p w14:paraId="095BB0C6">
      <w:pPr>
        <w:pStyle w:val="24"/>
        <w:rPr>
          <w:rFonts w:hint="eastAsia"/>
          <w:color w:val="auto"/>
          <w:highlight w:val="none"/>
          <w:lang w:val="en-US" w:eastAsia="zh-CN"/>
        </w:rPr>
      </w:pPr>
    </w:p>
    <w:p w14:paraId="7255C957">
      <w:pPr>
        <w:pStyle w:val="3"/>
        <w:spacing w:before="0" w:after="0"/>
        <w:jc w:val="left"/>
        <w:rPr>
          <w:rFonts w:hint="eastAsia" w:ascii="宋体" w:hAnsi="宋体" w:eastAsia="宋体" w:cs="宋体"/>
          <w:color w:val="auto"/>
          <w:sz w:val="24"/>
          <w:szCs w:val="24"/>
          <w:highlight w:val="none"/>
        </w:rPr>
      </w:pPr>
      <w:bookmarkStart w:id="0" w:name="_Toc163267141"/>
      <w:r>
        <w:rPr>
          <w:rFonts w:hint="eastAsia" w:ascii="宋体" w:hAnsi="宋体" w:eastAsia="宋体" w:cs="宋体"/>
          <w:color w:val="auto"/>
          <w:sz w:val="24"/>
          <w:szCs w:val="24"/>
          <w:highlight w:val="none"/>
        </w:rPr>
        <w:t>一、说明</w:t>
      </w:r>
      <w:bookmarkEnd w:id="0"/>
    </w:p>
    <w:p w14:paraId="498435EE">
      <w:pPr>
        <w:snapToGrid w:val="0"/>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1.适用范围：</w:t>
      </w:r>
    </w:p>
    <w:p w14:paraId="6AD179EB">
      <w:pPr>
        <w:spacing w:line="360" w:lineRule="auto"/>
        <w:ind w:firstLine="720" w:firstLineChars="300"/>
        <w:rPr>
          <w:rStyle w:val="75"/>
          <w:rFonts w:hint="eastAsia" w:ascii="宋体" w:hAnsi="宋体" w:eastAsia="宋体" w:cs="宋体"/>
          <w:color w:val="auto"/>
          <w:sz w:val="24"/>
          <w:szCs w:val="24"/>
          <w:highlight w:val="none"/>
        </w:rPr>
      </w:pPr>
      <w:r>
        <w:rPr>
          <w:rStyle w:val="75"/>
          <w:rFonts w:hint="eastAsia" w:ascii="宋体" w:hAnsi="宋体" w:eastAsia="宋体" w:cs="宋体"/>
          <w:color w:val="auto"/>
          <w:sz w:val="24"/>
          <w:szCs w:val="24"/>
          <w:highlight w:val="none"/>
        </w:rPr>
        <w:t>1.1本磋商文件仅适用于</w:t>
      </w:r>
      <w:r>
        <w:rPr>
          <w:rFonts w:hint="eastAsia" w:ascii="宋体" w:hAnsi="宋体" w:cs="宋体"/>
          <w:color w:val="auto"/>
          <w:sz w:val="24"/>
          <w:szCs w:val="24"/>
          <w:highlight w:val="none"/>
          <w:lang w:val="en-US" w:eastAsia="zh-CN"/>
        </w:rPr>
        <w:t>乃仁克尔乡艾勒斯特村农田机耕道建设项目</w:t>
      </w:r>
      <w:r>
        <w:rPr>
          <w:rStyle w:val="75"/>
          <w:rFonts w:hint="eastAsia" w:ascii="宋体" w:hAnsi="宋体" w:eastAsia="宋体" w:cs="宋体"/>
          <w:color w:val="auto"/>
          <w:sz w:val="24"/>
          <w:szCs w:val="24"/>
          <w:highlight w:val="none"/>
        </w:rPr>
        <w:t>。</w:t>
      </w:r>
    </w:p>
    <w:p w14:paraId="42657521">
      <w:pPr>
        <w:spacing w:line="360" w:lineRule="auto"/>
        <w:ind w:firstLine="480" w:firstLineChars="200"/>
        <w:textAlignment w:val="baseline"/>
        <w:rPr>
          <w:rStyle w:val="75"/>
          <w:rFonts w:hint="eastAsia" w:ascii="宋体" w:hAnsi="宋体" w:eastAsia="宋体" w:cs="宋体"/>
          <w:color w:val="auto"/>
          <w:sz w:val="24"/>
          <w:szCs w:val="24"/>
          <w:highlight w:val="none"/>
        </w:rPr>
      </w:pPr>
      <w:r>
        <w:rPr>
          <w:rStyle w:val="75"/>
          <w:rFonts w:hint="eastAsia" w:ascii="宋体" w:hAnsi="宋体" w:eastAsia="宋体" w:cs="宋体"/>
          <w:color w:val="auto"/>
          <w:sz w:val="24"/>
          <w:szCs w:val="24"/>
          <w:highlight w:val="none"/>
        </w:rPr>
        <w:t>1.2磋商依据</w:t>
      </w:r>
    </w:p>
    <w:p w14:paraId="2A19D1C1">
      <w:pPr>
        <w:spacing w:line="360" w:lineRule="auto"/>
        <w:ind w:firstLine="480" w:firstLineChars="200"/>
        <w:textAlignment w:val="baseline"/>
        <w:rPr>
          <w:rStyle w:val="75"/>
          <w:rFonts w:hint="eastAsia" w:ascii="宋体" w:hAnsi="宋体" w:cs="宋体"/>
          <w:color w:val="auto"/>
          <w:sz w:val="24"/>
          <w:szCs w:val="24"/>
          <w:highlight w:val="none"/>
        </w:rPr>
      </w:pPr>
      <w:r>
        <w:rPr>
          <w:rStyle w:val="75"/>
          <w:rFonts w:hint="eastAsia" w:ascii="宋体" w:hAnsi="宋体" w:cs="宋体"/>
          <w:color w:val="auto"/>
          <w:sz w:val="24"/>
          <w:szCs w:val="24"/>
          <w:highlight w:val="none"/>
        </w:rPr>
        <w:t>根据《中华人民共和国政府采购法》、《中华人民共和国政府采购实施条例》、《财政部关于印发〈政府采购竞争性磋商采购方式管理暂行办法〉的通知》（财库〔2014〕214号）、《中华人民共和国</w:t>
      </w:r>
      <w:r>
        <w:rPr>
          <w:rStyle w:val="75"/>
          <w:rFonts w:hint="eastAsia" w:ascii="宋体" w:hAnsi="宋体" w:cs="宋体"/>
          <w:color w:val="auto"/>
          <w:sz w:val="24"/>
          <w:szCs w:val="24"/>
          <w:highlight w:val="none"/>
          <w:lang w:val="en-US"/>
        </w:rPr>
        <w:t>招投标法</w:t>
      </w:r>
      <w:r>
        <w:rPr>
          <w:rStyle w:val="75"/>
          <w:rFonts w:hint="eastAsia" w:ascii="宋体" w:hAnsi="宋体" w:cs="宋体"/>
          <w:color w:val="auto"/>
          <w:sz w:val="24"/>
          <w:szCs w:val="24"/>
          <w:highlight w:val="none"/>
        </w:rPr>
        <w:t>》等有关法律、法规。</w:t>
      </w:r>
    </w:p>
    <w:p w14:paraId="23BF2EBF">
      <w:pPr>
        <w:snapToGrid w:val="0"/>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2.定义：</w:t>
      </w:r>
    </w:p>
    <w:p w14:paraId="47538FBF">
      <w:pPr>
        <w:spacing w:line="360" w:lineRule="auto"/>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2.1“采购人”系</w:t>
      </w:r>
      <w:r>
        <w:rPr>
          <w:rFonts w:hint="eastAsia" w:ascii="宋体" w:hAnsi="宋体" w:eastAsia="宋体" w:cs="宋体"/>
          <w:color w:val="auto"/>
          <w:sz w:val="24"/>
          <w:szCs w:val="24"/>
          <w:highlight w:val="none"/>
          <w:lang w:val="en-US" w:eastAsia="zh-CN"/>
        </w:rPr>
        <w:t>指：</w:t>
      </w:r>
      <w:r>
        <w:rPr>
          <w:rFonts w:hint="eastAsia" w:ascii="宋体" w:hAnsi="宋体" w:cs="宋体"/>
          <w:color w:val="auto"/>
          <w:sz w:val="24"/>
          <w:szCs w:val="24"/>
          <w:highlight w:val="none"/>
          <w:lang w:val="en-US" w:eastAsia="zh-CN"/>
        </w:rPr>
        <w:t>和硕县乃仁克尔乡人民政府</w:t>
      </w:r>
      <w:r>
        <w:rPr>
          <w:rFonts w:hint="eastAsia" w:ascii="宋体" w:hAnsi="宋体" w:cs="宋体"/>
          <w:color w:val="auto"/>
          <w:sz w:val="24"/>
          <w:szCs w:val="24"/>
          <w:highlight w:val="none"/>
        </w:rPr>
        <w:t>。</w:t>
      </w:r>
    </w:p>
    <w:p w14:paraId="3ADDD0B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2.2“采购代理机构”指：</w:t>
      </w:r>
      <w:r>
        <w:rPr>
          <w:rFonts w:hint="eastAsia" w:ascii="宋体" w:hAnsi="宋体" w:cs="宋体"/>
          <w:color w:val="auto"/>
          <w:sz w:val="24"/>
          <w:szCs w:val="24"/>
          <w:highlight w:val="none"/>
          <w:lang w:val="en-US" w:eastAsia="zh-CN"/>
        </w:rPr>
        <w:t>新疆唐谷项目管理有限公司</w:t>
      </w:r>
      <w:r>
        <w:rPr>
          <w:rFonts w:hint="eastAsia" w:ascii="宋体" w:hAnsi="宋体" w:cs="宋体"/>
          <w:color w:val="auto"/>
          <w:sz w:val="24"/>
          <w:szCs w:val="24"/>
          <w:highlight w:val="none"/>
        </w:rPr>
        <w:t>。</w:t>
      </w:r>
    </w:p>
    <w:p w14:paraId="5714C489">
      <w:pPr>
        <w:pStyle w:val="16"/>
        <w:spacing w:line="360" w:lineRule="auto"/>
        <w:ind w:firstLine="480" w:firstLineChars="200"/>
        <w:rPr>
          <w:rFonts w:hint="eastAsia" w:hAnsi="宋体" w:cs="宋体"/>
          <w:color w:val="auto"/>
          <w:sz w:val="24"/>
          <w:szCs w:val="24"/>
          <w:highlight w:val="none"/>
        </w:rPr>
      </w:pPr>
      <w:r>
        <w:rPr>
          <w:rFonts w:hint="eastAsia" w:ascii="宋体" w:hAnsi="宋体" w:eastAsia="宋体" w:cs="宋体"/>
          <w:color w:val="auto"/>
          <w:sz w:val="24"/>
          <w:szCs w:val="24"/>
          <w:highlight w:val="none"/>
        </w:rPr>
        <w:t>2.3“供应商”系指具备资格并响应磋商文件要求提交响应文件的法人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其他组织或者自然人，供应商若成交，在签订和执行合同阶段称“乙方”。</w:t>
      </w:r>
    </w:p>
    <w:p w14:paraId="6E61FCEE">
      <w:pPr>
        <w:pStyle w:val="1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2.4“磋商文件”系指由采购人向供应商发出的本采购项目的全部文件（包括修改文件、补充文件、答疑纪要、各种通知和附件等）。</w:t>
      </w:r>
    </w:p>
    <w:p w14:paraId="66A210CE">
      <w:pPr>
        <w:pStyle w:val="1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2.5“响应文件”系指供应商根据磋商文件提交的所有文件。</w:t>
      </w:r>
    </w:p>
    <w:p w14:paraId="4A9E8E38">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bCs/>
          <w:color w:val="auto"/>
          <w:sz w:val="24"/>
          <w:szCs w:val="24"/>
          <w:highlight w:val="none"/>
        </w:rPr>
        <w:t>2.6“货物”，系指供方根据合同规定须向采购人提供的各种形态和种类的物品，包括产品、</w:t>
      </w:r>
      <w:r>
        <w:rPr>
          <w:rFonts w:hint="eastAsia" w:ascii="宋体" w:hAnsi="宋体" w:cs="宋体"/>
          <w:bCs/>
          <w:color w:val="auto"/>
          <w:sz w:val="24"/>
          <w:szCs w:val="24"/>
          <w:highlight w:val="none"/>
          <w:lang w:val="en-US" w:eastAsia="zh-CN"/>
        </w:rPr>
        <w:t>设备、</w:t>
      </w:r>
      <w:r>
        <w:rPr>
          <w:rFonts w:hint="eastAsia" w:ascii="宋体" w:hAnsi="宋体" w:cs="宋体"/>
          <w:bCs/>
          <w:color w:val="auto"/>
          <w:sz w:val="24"/>
          <w:szCs w:val="24"/>
          <w:highlight w:val="none"/>
        </w:rPr>
        <w:t>配</w:t>
      </w:r>
      <w:r>
        <w:rPr>
          <w:rFonts w:hint="eastAsia" w:ascii="宋体" w:hAnsi="宋体" w:cs="宋体"/>
          <w:bCs/>
          <w:color w:val="auto"/>
          <w:sz w:val="24"/>
          <w:szCs w:val="24"/>
          <w:highlight w:val="none"/>
          <w:lang w:val="en-US" w:eastAsia="zh-CN"/>
        </w:rPr>
        <w:t>件</w:t>
      </w:r>
      <w:r>
        <w:rPr>
          <w:rFonts w:hint="eastAsia" w:ascii="宋体" w:hAnsi="宋体" w:cs="宋体"/>
          <w:bCs/>
          <w:color w:val="auto"/>
          <w:sz w:val="24"/>
          <w:szCs w:val="24"/>
          <w:highlight w:val="none"/>
        </w:rPr>
        <w:t>等。</w:t>
      </w:r>
    </w:p>
    <w:p w14:paraId="591CE580">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2.7</w:t>
      </w:r>
      <w:r>
        <w:rPr>
          <w:rFonts w:hint="eastAsia" w:ascii="宋体" w:hAnsi="宋体" w:cs="宋体"/>
          <w:bCs/>
          <w:color w:val="auto"/>
          <w:sz w:val="24"/>
          <w:szCs w:val="24"/>
          <w:highlight w:val="none"/>
        </w:rPr>
        <w:t>“</w:t>
      </w:r>
      <w:r>
        <w:rPr>
          <w:rFonts w:hint="eastAsia" w:ascii="宋体" w:hAnsi="宋体" w:cs="宋体"/>
          <w:color w:val="auto"/>
          <w:sz w:val="24"/>
          <w:szCs w:val="24"/>
          <w:highlight w:val="none"/>
        </w:rPr>
        <w:t>服务</w:t>
      </w:r>
      <w:r>
        <w:rPr>
          <w:rFonts w:hint="eastAsia" w:ascii="宋体" w:hAnsi="宋体" w:cs="宋体"/>
          <w:bCs/>
          <w:color w:val="auto"/>
          <w:sz w:val="24"/>
          <w:szCs w:val="24"/>
          <w:highlight w:val="none"/>
        </w:rPr>
        <w:t>”</w:t>
      </w:r>
      <w:r>
        <w:rPr>
          <w:rFonts w:hint="eastAsia" w:ascii="宋体" w:hAnsi="宋体" w:cs="宋体"/>
          <w:color w:val="auto"/>
          <w:sz w:val="24"/>
          <w:szCs w:val="24"/>
          <w:highlight w:val="none"/>
        </w:rPr>
        <w:t>系指合同文本、技术规范及标准、项目采购需求、本磋商文件规定，成交供应商完成应承担的所有工作并提交相关成果资料。</w:t>
      </w:r>
    </w:p>
    <w:p w14:paraId="4A70F7A1">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2.8</w:t>
      </w:r>
      <w:r>
        <w:rPr>
          <w:rFonts w:hint="eastAsia" w:ascii="宋体" w:hAnsi="宋体" w:cs="宋体"/>
          <w:bCs/>
          <w:color w:val="auto"/>
          <w:sz w:val="24"/>
          <w:szCs w:val="24"/>
          <w:highlight w:val="none"/>
        </w:rPr>
        <w:t>“工程”</w:t>
      </w:r>
      <w:r>
        <w:rPr>
          <w:rFonts w:hint="eastAsia" w:ascii="宋体" w:hAnsi="宋体" w:cs="宋体"/>
          <w:color w:val="auto"/>
          <w:sz w:val="24"/>
          <w:szCs w:val="24"/>
          <w:highlight w:val="none"/>
        </w:rPr>
        <w:t>系指供方根据合同规定须向采购人提供的永久或临时工程。</w:t>
      </w:r>
    </w:p>
    <w:p w14:paraId="6C5D66F0">
      <w:pPr>
        <w:pStyle w:val="1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2.9凡提及的“天、日期、星期、月份和年份”系指公历日历的日历天、日期、星期、月份和年份。</w:t>
      </w:r>
    </w:p>
    <w:p w14:paraId="63A0307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2.10.本文件及本合同的货币单位为人民币。</w:t>
      </w:r>
    </w:p>
    <w:p w14:paraId="71E7B02E">
      <w:pPr>
        <w:snapToGrid w:val="0"/>
        <w:spacing w:line="360" w:lineRule="auto"/>
        <w:ind w:firstLine="482" w:firstLineChars="200"/>
        <w:jc w:val="left"/>
        <w:rPr>
          <w:rFonts w:hint="eastAsia" w:ascii="宋体" w:hAnsi="宋体" w:cs="宋体"/>
          <w:b/>
          <w:color w:val="auto"/>
          <w:sz w:val="24"/>
          <w:szCs w:val="24"/>
          <w:highlight w:val="none"/>
        </w:rPr>
      </w:pPr>
      <w:bookmarkStart w:id="1" w:name="_Toc233274813"/>
      <w:bookmarkStart w:id="2" w:name="_Toc243907573"/>
      <w:bookmarkStart w:id="3" w:name="_Toc246216182"/>
      <w:bookmarkStart w:id="4" w:name="_Toc243906313"/>
      <w:r>
        <w:rPr>
          <w:rFonts w:hint="eastAsia" w:ascii="宋体" w:hAnsi="宋体" w:cs="宋体"/>
          <w:b/>
          <w:color w:val="auto"/>
          <w:sz w:val="24"/>
          <w:szCs w:val="24"/>
          <w:highlight w:val="none"/>
        </w:rPr>
        <w:t>3、采购范围及</w:t>
      </w:r>
      <w:bookmarkEnd w:id="1"/>
      <w:bookmarkEnd w:id="2"/>
      <w:bookmarkEnd w:id="3"/>
      <w:bookmarkEnd w:id="4"/>
      <w:r>
        <w:rPr>
          <w:rFonts w:hint="eastAsia" w:ascii="宋体" w:hAnsi="宋体" w:cs="宋体"/>
          <w:b/>
          <w:color w:val="auto"/>
          <w:sz w:val="24"/>
          <w:szCs w:val="24"/>
          <w:highlight w:val="none"/>
        </w:rPr>
        <w:t>相关要求</w:t>
      </w:r>
    </w:p>
    <w:p w14:paraId="3417B1AF">
      <w:pPr>
        <w:spacing w:line="360" w:lineRule="auto"/>
        <w:ind w:firstLine="420" w:firstLineChars="175"/>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3.1采购范围：</w:t>
      </w:r>
      <w:r>
        <w:rPr>
          <w:rFonts w:hint="eastAsia" w:asciiTheme="minorEastAsia" w:hAnsiTheme="minorEastAsia" w:eastAsiaTheme="minorEastAsia" w:cstheme="minorEastAsia"/>
          <w:color w:val="auto"/>
          <w:kern w:val="0"/>
          <w:sz w:val="24"/>
          <w:szCs w:val="24"/>
          <w:highlight w:val="none"/>
          <w:lang w:val="en-US" w:eastAsia="zh-CN"/>
        </w:rPr>
        <w:t>本工程施工包括施工图纸、工程量清单、招标文件范围内所有内容</w:t>
      </w:r>
      <w:r>
        <w:rPr>
          <w:rFonts w:hint="eastAsia" w:ascii="宋体" w:hAnsi="宋体" w:eastAsia="宋体" w:cs="宋体"/>
          <w:color w:val="auto"/>
          <w:kern w:val="2"/>
          <w:sz w:val="24"/>
          <w:szCs w:val="24"/>
          <w:highlight w:val="none"/>
          <w:lang w:val="en-US" w:eastAsia="zh-CN" w:bidi="ar-SA"/>
        </w:rPr>
        <w:t>。</w:t>
      </w:r>
      <w:bookmarkStart w:id="5" w:name="_Toc246216183"/>
      <w:bookmarkStart w:id="6" w:name="_Toc243907574"/>
      <w:bookmarkStart w:id="7" w:name="_Toc233274814"/>
      <w:bookmarkStart w:id="8" w:name="_Toc243906314"/>
    </w:p>
    <w:p w14:paraId="1D551DDA">
      <w:pPr>
        <w:spacing w:line="360" w:lineRule="auto"/>
        <w:ind w:left="239" w:leftChars="114" w:firstLine="180" w:firstLineChars="75"/>
        <w:rPr>
          <w:rFonts w:hint="eastAsia" w:ascii="宋体" w:hAnsi="宋体" w:eastAsia="宋体" w:cs="宋体"/>
          <w:color w:val="auto"/>
          <w:kern w:val="0"/>
          <w:sz w:val="24"/>
          <w:szCs w:val="24"/>
          <w:highlight w:val="none"/>
          <w:lang w:val="en-US" w:eastAsia="zh-CN"/>
        </w:rPr>
      </w:pPr>
      <w:r>
        <w:rPr>
          <w:rStyle w:val="75"/>
          <w:rFonts w:hint="eastAsia" w:ascii="宋体" w:hAnsi="宋体" w:cs="宋体"/>
          <w:color w:val="auto"/>
          <w:sz w:val="24"/>
          <w:szCs w:val="24"/>
          <w:highlight w:val="none"/>
        </w:rPr>
        <w:t>3.2</w:t>
      </w:r>
      <w:r>
        <w:rPr>
          <w:rStyle w:val="75"/>
          <w:rFonts w:hint="eastAsia" w:ascii="宋体" w:hAnsi="宋体" w:cs="宋体"/>
          <w:color w:val="auto"/>
          <w:sz w:val="24"/>
          <w:szCs w:val="24"/>
          <w:highlight w:val="none"/>
          <w:lang w:val="en-US"/>
        </w:rPr>
        <w:t>工期</w:t>
      </w:r>
      <w:r>
        <w:rPr>
          <w:rStyle w:val="75"/>
          <w:rFonts w:hint="eastAsia" w:ascii="宋体" w:hAnsi="宋体" w:cs="宋体"/>
          <w:color w:val="auto"/>
          <w:sz w:val="24"/>
          <w:szCs w:val="24"/>
          <w:highlight w:val="none"/>
        </w:rPr>
        <w:t>：</w:t>
      </w:r>
      <w:r>
        <w:rPr>
          <w:rStyle w:val="75"/>
          <w:rFonts w:hint="eastAsia" w:ascii="宋体" w:hAnsi="宋体" w:cs="宋体"/>
          <w:color w:val="auto"/>
          <w:sz w:val="24"/>
          <w:szCs w:val="24"/>
          <w:highlight w:val="none"/>
          <w:lang w:val="en-US" w:eastAsia="zh-CN"/>
        </w:rPr>
        <w:t>60日历天</w:t>
      </w:r>
      <w:r>
        <w:rPr>
          <w:rFonts w:hint="eastAsia" w:ascii="宋体" w:hAnsi="宋体" w:eastAsia="宋体" w:cs="宋体"/>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计划开工日期2025年7月29日，计划竣工日期2025年9月26日</w:t>
      </w:r>
      <w:r>
        <w:rPr>
          <w:rFonts w:hint="eastAsia" w:ascii="宋体" w:hAnsi="宋体" w:eastAsia="宋体" w:cs="宋体"/>
          <w:color w:val="auto"/>
          <w:kern w:val="0"/>
          <w:sz w:val="24"/>
          <w:szCs w:val="24"/>
          <w:highlight w:val="none"/>
          <w:lang w:val="en-US" w:eastAsia="zh-CN"/>
        </w:rPr>
        <w:t>；</w:t>
      </w:r>
    </w:p>
    <w:p w14:paraId="10131F1F">
      <w:pPr>
        <w:spacing w:line="360" w:lineRule="auto"/>
        <w:ind w:left="0" w:leftChars="0" w:firstLine="420" w:firstLineChars="175"/>
        <w:rPr>
          <w:rStyle w:val="75"/>
          <w:rFonts w:hint="eastAsia" w:ascii="宋体" w:hAnsi="宋体" w:cs="宋体"/>
          <w:color w:val="auto"/>
          <w:sz w:val="24"/>
          <w:szCs w:val="24"/>
          <w:highlight w:val="none"/>
        </w:rPr>
      </w:pPr>
      <w:r>
        <w:rPr>
          <w:rStyle w:val="75"/>
          <w:rFonts w:hint="eastAsia" w:ascii="宋体" w:hAnsi="宋体" w:cs="宋体"/>
          <w:color w:val="auto"/>
          <w:sz w:val="24"/>
          <w:szCs w:val="24"/>
          <w:highlight w:val="none"/>
        </w:rPr>
        <w:t>3.3</w:t>
      </w:r>
      <w:r>
        <w:rPr>
          <w:rStyle w:val="75"/>
          <w:rFonts w:hint="eastAsia" w:ascii="宋体" w:hAnsi="宋体" w:cs="宋体"/>
          <w:color w:val="auto"/>
          <w:sz w:val="24"/>
          <w:szCs w:val="24"/>
          <w:highlight w:val="none"/>
          <w:lang w:val="en-US"/>
        </w:rPr>
        <w:t>建设</w:t>
      </w:r>
      <w:r>
        <w:rPr>
          <w:rStyle w:val="75"/>
          <w:rFonts w:hint="eastAsia" w:ascii="宋体" w:hAnsi="宋体" w:cs="宋体"/>
          <w:color w:val="auto"/>
          <w:sz w:val="24"/>
          <w:szCs w:val="24"/>
          <w:highlight w:val="none"/>
        </w:rPr>
        <w:t>地点：</w:t>
      </w:r>
      <w:r>
        <w:rPr>
          <w:rFonts w:hint="eastAsia" w:ascii="宋体" w:hAnsi="宋体" w:cs="宋体"/>
          <w:color w:val="auto"/>
          <w:sz w:val="24"/>
          <w:szCs w:val="24"/>
          <w:highlight w:val="none"/>
          <w:lang w:val="en-US" w:eastAsia="zh-CN"/>
        </w:rPr>
        <w:t>和硕县</w:t>
      </w:r>
    </w:p>
    <w:p w14:paraId="525BD4A7">
      <w:pPr>
        <w:spacing w:line="360" w:lineRule="auto"/>
        <w:ind w:firstLine="420" w:firstLineChars="175"/>
        <w:rPr>
          <w:rFonts w:hint="eastAsia" w:ascii="宋体" w:hAnsi="宋体" w:eastAsia="宋体" w:cs="宋体"/>
          <w:color w:val="auto"/>
          <w:kern w:val="0"/>
          <w:sz w:val="24"/>
          <w:szCs w:val="24"/>
          <w:highlight w:val="none"/>
          <w:lang w:val="en-US" w:eastAsia="zh-CN"/>
        </w:rPr>
      </w:pPr>
      <w:r>
        <w:rPr>
          <w:rStyle w:val="75"/>
          <w:rFonts w:hint="eastAsia" w:ascii="宋体" w:hAnsi="宋体" w:cs="宋体"/>
          <w:color w:val="auto"/>
          <w:sz w:val="24"/>
          <w:szCs w:val="24"/>
          <w:highlight w:val="none"/>
        </w:rPr>
        <w:t>3.4质量要求：</w:t>
      </w:r>
      <w:r>
        <w:rPr>
          <w:rFonts w:hint="eastAsia" w:ascii="宋体" w:hAnsi="宋体" w:eastAsia="宋体" w:cs="宋体"/>
          <w:color w:val="auto"/>
          <w:kern w:val="0"/>
          <w:sz w:val="24"/>
          <w:szCs w:val="24"/>
          <w:highlight w:val="none"/>
          <w:lang w:val="en-US" w:eastAsia="zh-CN"/>
        </w:rPr>
        <w:t>合格并由采购单位验收通过；</w:t>
      </w:r>
    </w:p>
    <w:p w14:paraId="16BF311D">
      <w:pPr>
        <w:spacing w:line="360" w:lineRule="auto"/>
        <w:ind w:firstLine="420" w:firstLineChars="175"/>
        <w:rPr>
          <w:rFonts w:hint="eastAsia" w:ascii="宋体" w:hAnsi="宋体" w:eastAsia="宋体" w:cs="宋体"/>
          <w:color w:val="auto"/>
          <w:kern w:val="0"/>
          <w:sz w:val="24"/>
          <w:szCs w:val="24"/>
          <w:highlight w:val="none"/>
          <w:lang w:val="en-US" w:eastAsia="zh-CN"/>
        </w:rPr>
      </w:pPr>
      <w:r>
        <w:rPr>
          <w:rStyle w:val="75"/>
          <w:rFonts w:hint="eastAsia" w:ascii="宋体" w:hAnsi="宋体" w:cs="宋体"/>
          <w:color w:val="auto"/>
          <w:sz w:val="24"/>
          <w:szCs w:val="24"/>
          <w:highlight w:val="none"/>
        </w:rPr>
        <w:t>3.5</w:t>
      </w:r>
      <w:r>
        <w:rPr>
          <w:rStyle w:val="75"/>
          <w:rFonts w:hint="eastAsia" w:ascii="宋体" w:hAnsi="宋体" w:cs="宋体"/>
          <w:color w:val="auto"/>
          <w:sz w:val="24"/>
          <w:szCs w:val="24"/>
          <w:highlight w:val="none"/>
          <w:lang w:val="en-US"/>
        </w:rPr>
        <w:t>责任缺</w:t>
      </w:r>
      <w:r>
        <w:rPr>
          <w:rFonts w:hint="eastAsia" w:ascii="宋体" w:hAnsi="宋体" w:eastAsia="宋体" w:cs="宋体"/>
          <w:color w:val="auto"/>
          <w:kern w:val="0"/>
          <w:sz w:val="24"/>
          <w:szCs w:val="24"/>
          <w:highlight w:val="none"/>
          <w:lang w:val="en-US" w:eastAsia="zh-CN"/>
        </w:rPr>
        <w:t>陷期：12个月；</w:t>
      </w:r>
    </w:p>
    <w:p w14:paraId="19A0F2D8">
      <w:pPr>
        <w:spacing w:line="360" w:lineRule="auto"/>
        <w:ind w:firstLine="420" w:firstLineChars="175"/>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3.6质量保修期：</w:t>
      </w:r>
      <w:r>
        <w:rPr>
          <w:rFonts w:hint="eastAsia" w:ascii="宋体" w:hAnsi="宋体" w:cs="宋体"/>
          <w:i w:val="0"/>
          <w:iCs w:val="0"/>
          <w:caps w:val="0"/>
          <w:color w:val="auto"/>
          <w:spacing w:val="0"/>
          <w:sz w:val="24"/>
          <w:szCs w:val="24"/>
          <w:highlight w:val="none"/>
          <w:lang w:val="en-US" w:eastAsia="zh-CN"/>
        </w:rPr>
        <w:t>12个月</w:t>
      </w:r>
      <w:r>
        <w:rPr>
          <w:rFonts w:hint="eastAsia" w:ascii="宋体" w:hAnsi="宋体" w:eastAsia="宋体" w:cs="宋体"/>
          <w:color w:val="auto"/>
          <w:kern w:val="0"/>
          <w:sz w:val="24"/>
          <w:szCs w:val="24"/>
          <w:highlight w:val="none"/>
          <w:lang w:val="en-US" w:eastAsia="zh-CN"/>
        </w:rPr>
        <w:t>。</w:t>
      </w:r>
    </w:p>
    <w:p w14:paraId="73D4C42D">
      <w:pPr>
        <w:spacing w:line="360" w:lineRule="auto"/>
        <w:ind w:firstLine="420" w:firstLineChars="175"/>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3.7质保金：</w:t>
      </w:r>
      <w:r>
        <w:rPr>
          <w:rFonts w:hint="eastAsia" w:ascii="宋体" w:hAnsi="宋体" w:cs="宋体"/>
          <w:color w:val="auto"/>
          <w:kern w:val="0"/>
          <w:sz w:val="24"/>
          <w:szCs w:val="24"/>
          <w:highlight w:val="none"/>
          <w:lang w:val="en-US" w:eastAsia="zh-CN"/>
        </w:rPr>
        <w:t>工程审计的3%</w:t>
      </w:r>
    </w:p>
    <w:p w14:paraId="53C321F3">
      <w:pPr>
        <w:spacing w:line="360" w:lineRule="auto"/>
        <w:ind w:firstLine="420" w:firstLineChars="175"/>
        <w:rPr>
          <w:rFonts w:hint="eastAsia" w:ascii="宋体" w:hAnsi="宋体" w:eastAsia="宋体" w:cs="宋体"/>
          <w:color w:val="auto"/>
          <w:kern w:val="0"/>
          <w:sz w:val="24"/>
          <w:szCs w:val="24"/>
          <w:highlight w:val="none"/>
          <w:lang w:val="en-US" w:eastAsia="zh-CN"/>
        </w:rPr>
      </w:pPr>
      <w:r>
        <w:rPr>
          <w:rStyle w:val="75"/>
          <w:rFonts w:hint="eastAsia" w:ascii="宋体" w:hAnsi="宋体" w:cs="宋体"/>
          <w:color w:val="auto"/>
          <w:sz w:val="24"/>
          <w:szCs w:val="24"/>
          <w:highlight w:val="none"/>
        </w:rPr>
        <w:t>3.</w:t>
      </w:r>
      <w:r>
        <w:rPr>
          <w:rStyle w:val="75"/>
          <w:rFonts w:hint="eastAsia" w:ascii="宋体" w:hAnsi="宋体" w:cs="宋体"/>
          <w:color w:val="auto"/>
          <w:sz w:val="24"/>
          <w:szCs w:val="24"/>
          <w:highlight w:val="none"/>
          <w:lang w:val="en-US"/>
        </w:rPr>
        <w:t>8</w:t>
      </w:r>
      <w:r>
        <w:rPr>
          <w:rStyle w:val="75"/>
          <w:rFonts w:hint="eastAsia" w:ascii="宋体" w:hAnsi="宋体" w:cs="宋体"/>
          <w:color w:val="auto"/>
          <w:sz w:val="24"/>
          <w:szCs w:val="24"/>
          <w:highlight w:val="none"/>
        </w:rPr>
        <w:t>付款方式：</w:t>
      </w:r>
      <w:r>
        <w:rPr>
          <w:rFonts w:hint="eastAsia" w:ascii="宋体" w:hAnsi="宋体" w:cs="宋体"/>
          <w:color w:val="auto"/>
          <w:kern w:val="0"/>
          <w:sz w:val="24"/>
          <w:szCs w:val="24"/>
          <w:highlight w:val="none"/>
          <w:lang w:val="en-US" w:eastAsia="zh-CN"/>
        </w:rPr>
        <w:t>合同签订后支付合同总价的30%预付款，项目完成工程量50%后支付到合同总价的70%，待项目完工且工程审计完后按审计结算支付到合同总价的97%，留工程审计3%质保金，一年后工程没有缺陷后支付，或采取第三方保涵支付。（按双方签定合同为准）</w:t>
      </w:r>
      <w:r>
        <w:rPr>
          <w:rFonts w:hint="eastAsia" w:ascii="宋体" w:hAnsi="宋体" w:eastAsia="宋体" w:cs="宋体"/>
          <w:color w:val="auto"/>
          <w:kern w:val="0"/>
          <w:sz w:val="24"/>
          <w:szCs w:val="24"/>
          <w:highlight w:val="none"/>
          <w:lang w:val="en-US" w:eastAsia="zh-CN"/>
        </w:rPr>
        <w:t>。</w:t>
      </w:r>
    </w:p>
    <w:p w14:paraId="095EFCBE">
      <w:pPr>
        <w:snapToGrid w:val="0"/>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4、</w:t>
      </w:r>
      <w:bookmarkEnd w:id="5"/>
      <w:bookmarkEnd w:id="6"/>
      <w:bookmarkEnd w:id="7"/>
      <w:bookmarkEnd w:id="8"/>
      <w:r>
        <w:rPr>
          <w:rFonts w:hint="eastAsia" w:ascii="宋体" w:hAnsi="宋体" w:cs="宋体"/>
          <w:b/>
          <w:color w:val="auto"/>
          <w:sz w:val="24"/>
          <w:szCs w:val="24"/>
          <w:highlight w:val="none"/>
        </w:rPr>
        <w:t>合格供应商资格要求</w:t>
      </w:r>
    </w:p>
    <w:p w14:paraId="2BB27EAB">
      <w:pPr>
        <w:spacing w:line="360" w:lineRule="auto"/>
        <w:ind w:firstLine="482"/>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4.1详见第一章“竞争性磋商采购公告”中的供应商资格要求。</w:t>
      </w:r>
    </w:p>
    <w:p w14:paraId="7E2DAB0D">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4.2</w:t>
      </w:r>
      <w:r>
        <w:rPr>
          <w:rFonts w:hint="eastAsia" w:ascii="宋体" w:hAnsi="宋体" w:eastAsia="宋体" w:cs="宋体"/>
          <w:color w:val="auto"/>
          <w:sz w:val="24"/>
          <w:szCs w:val="24"/>
          <w:highlight w:val="none"/>
        </w:rPr>
        <w:t>投标人或投标人之间如果存在下列情形之一的，不得同时参加同一包（标段）或者不分包（标段）的同一项目投标：</w:t>
      </w:r>
    </w:p>
    <w:p w14:paraId="58390514">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（1）单位负责人为同一个人或者存在直接控股、管理关系的不同投标人；</w:t>
      </w:r>
    </w:p>
    <w:p w14:paraId="5A91C916">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（2）母公司、全资子公司及其控股公司；</w:t>
      </w:r>
    </w:p>
    <w:p w14:paraId="1C8856FC">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（3）为本次采购项目提供整体设计、规范编制或者项目管理、监理、检测等服务的投标人；</w:t>
      </w:r>
    </w:p>
    <w:p w14:paraId="53F01452">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（4）参加投标的其他组织之间存在特殊的利害关系的；</w:t>
      </w:r>
    </w:p>
    <w:p w14:paraId="2506CEAF">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（5）法律法规规定的其他情形。</w:t>
      </w:r>
    </w:p>
    <w:p w14:paraId="131E329B">
      <w:pPr>
        <w:spacing w:line="360" w:lineRule="auto"/>
        <w:ind w:firstLine="482"/>
        <w:jc w:val="left"/>
        <w:rPr>
          <w:rFonts w:hint="eastAsia" w:ascii="宋体" w:hAnsi="宋体" w:eastAsia="宋体" w:cs="宋体"/>
          <w:b/>
          <w:bCs/>
          <w:color w:val="auto"/>
          <w:sz w:val="24"/>
          <w:szCs w:val="24"/>
          <w:highlight w:val="none"/>
        </w:rPr>
      </w:pPr>
      <w:r>
        <w:rPr>
          <w:rFonts w:hint="default" w:ascii="宋体" w:hAnsi="宋体" w:eastAsia="宋体" w:cs="宋体"/>
          <w:b/>
          <w:bCs/>
          <w:color w:val="auto"/>
          <w:sz w:val="24"/>
          <w:szCs w:val="24"/>
          <w:highlight w:val="none"/>
        </w:rPr>
        <w:t>5、</w:t>
      </w:r>
      <w:r>
        <w:rPr>
          <w:rFonts w:hint="eastAsia" w:ascii="宋体" w:hAnsi="宋体" w:eastAsia="宋体" w:cs="宋体"/>
          <w:b/>
          <w:bCs/>
          <w:color w:val="auto"/>
          <w:sz w:val="24"/>
          <w:szCs w:val="24"/>
          <w:highlight w:val="none"/>
        </w:rPr>
        <w:t>投标保证金</w:t>
      </w:r>
    </w:p>
    <w:p w14:paraId="3103C402">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.1投标人在领取招标文件时，应提供不少于投标人须知前附表</w:t>
      </w:r>
      <w:r>
        <w:rPr>
          <w:rFonts w:hint="eastAsia" w:ascii="宋体" w:hAnsi="宋体" w:eastAsia="宋体" w:cs="宋体"/>
          <w:color w:val="auto"/>
          <w:sz w:val="24"/>
          <w:szCs w:val="24"/>
          <w:highlight w:val="none"/>
          <w:lang w:val="en-US" w:eastAsia="zh-CN"/>
        </w:rPr>
        <w:t>中</w:t>
      </w:r>
      <w:r>
        <w:rPr>
          <w:rFonts w:hint="eastAsia" w:ascii="宋体" w:hAnsi="宋体" w:eastAsia="宋体" w:cs="宋体"/>
          <w:color w:val="auto"/>
          <w:sz w:val="24"/>
          <w:szCs w:val="24"/>
          <w:highlight w:val="none"/>
        </w:rPr>
        <w:t>规定数额的投标保证金。</w:t>
      </w:r>
    </w:p>
    <w:p w14:paraId="07DBBBF0">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.2投标人有下列情形之一者，投标保证金将被没收：</w:t>
      </w:r>
    </w:p>
    <w:p w14:paraId="69CFF167">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.2.1投标人在投标有效期内撤回其投标文件；</w:t>
      </w:r>
    </w:p>
    <w:p w14:paraId="5FEC15C7">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.2.2投标人不接受按招标文件规定对其投标报价进行修正的；</w:t>
      </w:r>
    </w:p>
    <w:p w14:paraId="51F12A6A">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.2.3中标人未能在规定期限内签署合同协议书的；</w:t>
      </w:r>
    </w:p>
    <w:p w14:paraId="0EBBB023">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.2.4投标人超过投标截止时间送达投标文件的。</w:t>
      </w:r>
    </w:p>
    <w:p w14:paraId="3BE2F543">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.3退还投标保证金</w:t>
      </w:r>
    </w:p>
    <w:p w14:paraId="23E02B66">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.3.1未中标的投标人的投标保证金，将在中标通知书发出后5个工作日内无息退还。</w:t>
      </w:r>
    </w:p>
    <w:p w14:paraId="0875F98F">
      <w:pPr>
        <w:spacing w:line="360" w:lineRule="auto"/>
        <w:ind w:firstLine="482"/>
        <w:jc w:val="left"/>
        <w:rPr>
          <w:rFonts w:hint="default"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.3.2、中标方的投标保证金，将在领取中标通知书并签订合同后5个工作日内无息退还，中标企业退还保证金时，还需提供采购合同复印件。</w:t>
      </w:r>
    </w:p>
    <w:p w14:paraId="4E2B71D5">
      <w:pPr>
        <w:snapToGrid w:val="0"/>
        <w:spacing w:line="360" w:lineRule="auto"/>
        <w:ind w:firstLine="482" w:firstLineChars="200"/>
        <w:jc w:val="left"/>
        <w:rPr>
          <w:rFonts w:hint="eastAsia" w:ascii="宋体" w:hAnsi="宋体" w:cs="宋体"/>
          <w:b/>
          <w:color w:val="auto"/>
          <w:sz w:val="24"/>
          <w:szCs w:val="24"/>
          <w:highlight w:val="none"/>
        </w:rPr>
      </w:pPr>
      <w:r>
        <w:rPr>
          <w:rFonts w:hint="default" w:ascii="宋体" w:hAnsi="宋体" w:cs="宋体"/>
          <w:b/>
          <w:color w:val="auto"/>
          <w:sz w:val="24"/>
          <w:szCs w:val="24"/>
          <w:highlight w:val="none"/>
        </w:rPr>
        <w:t>6</w:t>
      </w:r>
      <w:r>
        <w:rPr>
          <w:rFonts w:hint="eastAsia" w:ascii="宋体" w:hAnsi="宋体" w:cs="宋体"/>
          <w:b/>
          <w:color w:val="auto"/>
          <w:sz w:val="24"/>
          <w:szCs w:val="24"/>
          <w:highlight w:val="none"/>
        </w:rPr>
        <w:t>、政府采购活动中，采购人员及相关人员与供应商有下列利害关系之一的，应当回避：</w:t>
      </w:r>
    </w:p>
    <w:p w14:paraId="7D853BF2">
      <w:pPr>
        <w:spacing w:line="360" w:lineRule="auto"/>
        <w:ind w:firstLine="482"/>
        <w:jc w:val="left"/>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rPr>
        <w:t>6</w:t>
      </w:r>
      <w:r>
        <w:rPr>
          <w:rFonts w:hint="eastAsia" w:ascii="宋体" w:hAnsi="宋体" w:eastAsia="宋体" w:cs="宋体"/>
          <w:color w:val="auto"/>
          <w:sz w:val="24"/>
          <w:szCs w:val="24"/>
          <w:highlight w:val="none"/>
        </w:rPr>
        <w:t>.1参加采购活动前3年内与供应商存在劳动关系；</w:t>
      </w:r>
    </w:p>
    <w:p w14:paraId="5EEA5AEB">
      <w:pPr>
        <w:spacing w:line="360" w:lineRule="auto"/>
        <w:ind w:firstLine="482"/>
        <w:jc w:val="left"/>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rPr>
        <w:t>6</w:t>
      </w:r>
      <w:r>
        <w:rPr>
          <w:rFonts w:hint="eastAsia" w:ascii="宋体" w:hAnsi="宋体" w:eastAsia="宋体" w:cs="宋体"/>
          <w:color w:val="auto"/>
          <w:sz w:val="24"/>
          <w:szCs w:val="24"/>
          <w:highlight w:val="none"/>
        </w:rPr>
        <w:t>.2参加采购活动前3年内担任供应商的董事、监事；</w:t>
      </w:r>
    </w:p>
    <w:p w14:paraId="3B79D39F">
      <w:pPr>
        <w:spacing w:line="360" w:lineRule="auto"/>
        <w:ind w:firstLine="482"/>
        <w:jc w:val="left"/>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rPr>
        <w:t>6</w:t>
      </w:r>
      <w:r>
        <w:rPr>
          <w:rFonts w:hint="eastAsia" w:ascii="宋体" w:hAnsi="宋体" w:eastAsia="宋体" w:cs="宋体"/>
          <w:color w:val="auto"/>
          <w:sz w:val="24"/>
          <w:szCs w:val="24"/>
          <w:highlight w:val="none"/>
        </w:rPr>
        <w:t>.3参加采购活动前3年内是供应商的控股股东或者实际控制人；</w:t>
      </w:r>
    </w:p>
    <w:p w14:paraId="0059AFBE">
      <w:pPr>
        <w:spacing w:line="360" w:lineRule="auto"/>
        <w:ind w:firstLine="482"/>
        <w:jc w:val="left"/>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rPr>
        <w:t>6</w:t>
      </w:r>
      <w:r>
        <w:rPr>
          <w:rFonts w:hint="eastAsia" w:ascii="宋体" w:hAnsi="宋体" w:eastAsia="宋体" w:cs="宋体"/>
          <w:color w:val="auto"/>
          <w:sz w:val="24"/>
          <w:szCs w:val="24"/>
          <w:highlight w:val="none"/>
        </w:rPr>
        <w:t>.4与供应商的法定代表人或者负责人有夫妻、直系血亲、三代以内旁系血亲或者近姻亲关系；</w:t>
      </w:r>
    </w:p>
    <w:p w14:paraId="37844834">
      <w:pPr>
        <w:spacing w:line="360" w:lineRule="auto"/>
        <w:ind w:firstLine="482"/>
        <w:jc w:val="left"/>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rPr>
        <w:t>6</w:t>
      </w:r>
      <w:r>
        <w:rPr>
          <w:rFonts w:hint="eastAsia" w:ascii="宋体" w:hAnsi="宋体" w:eastAsia="宋体" w:cs="宋体"/>
          <w:color w:val="auto"/>
          <w:sz w:val="24"/>
          <w:szCs w:val="24"/>
          <w:highlight w:val="none"/>
        </w:rPr>
        <w:t>.5与供应商有其他可能影响政府采购活动公平、公正进行的关系。</w:t>
      </w:r>
    </w:p>
    <w:p w14:paraId="3F829EBC">
      <w:pPr>
        <w:pStyle w:val="76"/>
        <w:spacing w:line="360" w:lineRule="auto"/>
        <w:ind w:left="1" w:firstLine="512" w:firstLineChars="200"/>
        <w:rPr>
          <w:rFonts w:hint="eastAsia" w:hAnsi="宋体" w:cs="宋体"/>
          <w:color w:val="auto"/>
          <w:kern w:val="2"/>
          <w:sz w:val="24"/>
          <w:szCs w:val="24"/>
          <w:highlight w:val="none"/>
        </w:rPr>
      </w:pPr>
      <w:r>
        <w:rPr>
          <w:rFonts w:hint="eastAsia" w:hAnsi="宋体" w:cs="宋体"/>
          <w:color w:val="auto"/>
          <w:kern w:val="2"/>
          <w:sz w:val="24"/>
          <w:szCs w:val="24"/>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14:paraId="568A9034">
      <w:pPr>
        <w:pStyle w:val="76"/>
        <w:spacing w:line="360" w:lineRule="auto"/>
        <w:ind w:left="1" w:firstLine="512" w:firstLineChars="200"/>
        <w:rPr>
          <w:rFonts w:hint="eastAsia" w:hAnsi="宋体" w:cs="宋体"/>
          <w:color w:val="auto"/>
          <w:kern w:val="2"/>
          <w:sz w:val="24"/>
          <w:szCs w:val="24"/>
          <w:highlight w:val="none"/>
        </w:rPr>
      </w:pPr>
      <w:r>
        <w:rPr>
          <w:rFonts w:hint="eastAsia" w:hAnsi="宋体" w:cs="宋体"/>
          <w:color w:val="auto"/>
          <w:kern w:val="2"/>
          <w:sz w:val="24"/>
          <w:szCs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14:paraId="2F499DA0">
      <w:pPr>
        <w:autoSpaceDE w:val="0"/>
        <w:autoSpaceDN w:val="0"/>
        <w:adjustRightInd w:val="0"/>
        <w:spacing w:line="360" w:lineRule="auto"/>
        <w:ind w:firstLine="420"/>
        <w:rPr>
          <w:rFonts w:hint="eastAsia" w:ascii="宋体" w:hAnsi="宋体" w:eastAsia="宋体" w:cs="宋体"/>
          <w:b/>
          <w:color w:val="auto"/>
          <w:kern w:val="2"/>
          <w:sz w:val="24"/>
          <w:szCs w:val="24"/>
          <w:highlight w:val="none"/>
          <w:lang w:val="zh-CN" w:eastAsia="zh-CN" w:bidi="ar-SA"/>
        </w:rPr>
      </w:pPr>
      <w:r>
        <w:rPr>
          <w:rFonts w:hint="eastAsia" w:ascii="宋体" w:hAnsi="宋体" w:eastAsia="宋体" w:cs="宋体"/>
          <w:b/>
          <w:color w:val="auto"/>
          <w:kern w:val="2"/>
          <w:sz w:val="24"/>
          <w:szCs w:val="24"/>
          <w:highlight w:val="none"/>
          <w:lang w:val="en-US" w:eastAsia="zh-CN" w:bidi="ar-SA"/>
        </w:rPr>
        <w:t>7</w:t>
      </w:r>
      <w:r>
        <w:rPr>
          <w:rFonts w:hint="eastAsia" w:ascii="宋体" w:hAnsi="宋体" w:eastAsia="宋体" w:cs="宋体"/>
          <w:b/>
          <w:color w:val="auto"/>
          <w:kern w:val="2"/>
          <w:sz w:val="24"/>
          <w:szCs w:val="24"/>
          <w:highlight w:val="none"/>
          <w:lang w:val="zh-CN" w:eastAsia="zh-CN" w:bidi="ar-SA"/>
        </w:rPr>
        <w:t>、招标控制价</w:t>
      </w:r>
    </w:p>
    <w:p w14:paraId="4EA6B4F0">
      <w:pPr>
        <w:pStyle w:val="16"/>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7.1招标控制价：指招标人根据国家或省级、行业建设主管部门颁发的有关计价依据和办法，按设计施工图纸计算的，对招标工程限定的最高工程造价。</w:t>
      </w:r>
    </w:p>
    <w:p w14:paraId="1D2125E8">
      <w:pPr>
        <w:pStyle w:val="16"/>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7.2国有资金投资的工程建设项目应实行工程量清单招标，并应编制招标控制价。招标控制价超过批准的概算时，招标人应将其报原概算部门审核。投标人的投标报价高于招标控制价的，其投标应予以拒绝。</w:t>
      </w:r>
    </w:p>
    <w:p w14:paraId="7F0FAF92">
      <w:pPr>
        <w:pStyle w:val="16"/>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7.3招标控制价应由具有编制能力的招标人，或受其委托具有相应资质的工程造价咨询人编制。</w:t>
      </w:r>
    </w:p>
    <w:p w14:paraId="47743CD2">
      <w:pPr>
        <w:pStyle w:val="16"/>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7.4招标控制价应依据</w:t>
      </w:r>
      <w:r>
        <w:rPr>
          <w:rFonts w:hint="eastAsia" w:ascii="宋体" w:hAnsi="宋体" w:eastAsia="宋体" w:cs="宋体"/>
          <w:color w:val="auto"/>
          <w:sz w:val="24"/>
          <w:szCs w:val="24"/>
          <w:highlight w:val="none"/>
          <w:lang w:val="zh-CN" w:eastAsia="zh-CN"/>
        </w:rPr>
        <w:t>《建设工程工程量清单计价规范》GB50500-2013和</w:t>
      </w:r>
      <w:r>
        <w:rPr>
          <w:rFonts w:hint="eastAsia" w:ascii="宋体" w:hAnsi="宋体" w:eastAsia="宋体" w:cs="宋体"/>
          <w:color w:val="auto"/>
          <w:sz w:val="24"/>
          <w:szCs w:val="24"/>
          <w:highlight w:val="none"/>
          <w:lang w:val="en-US" w:eastAsia="zh-CN"/>
        </w:rPr>
        <w:t>国家或省级、行业建设主管部门颁发的计价定额和计价办法编制。</w:t>
      </w:r>
    </w:p>
    <w:p w14:paraId="36669BD7">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7.5</w:t>
      </w:r>
      <w:r>
        <w:rPr>
          <w:rFonts w:hint="eastAsia" w:ascii="宋体" w:hAnsi="宋体" w:eastAsia="宋体" w:cs="宋体"/>
          <w:color w:val="auto"/>
          <w:sz w:val="24"/>
          <w:szCs w:val="24"/>
          <w:highlight w:val="none"/>
        </w:rPr>
        <w:t>招标控制价应在招标时公布，不应上调或下浮。</w:t>
      </w:r>
    </w:p>
    <w:p w14:paraId="5E2F607A">
      <w:pPr>
        <w:pStyle w:val="16"/>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lang w:val="en-US" w:eastAsia="zh-CN"/>
        </w:rPr>
        <w:t>8</w:t>
      </w:r>
      <w:r>
        <w:rPr>
          <w:rFonts w:hint="eastAsia" w:hAnsi="宋体" w:cs="宋体"/>
          <w:b/>
          <w:color w:val="auto"/>
          <w:sz w:val="24"/>
          <w:szCs w:val="24"/>
          <w:highlight w:val="none"/>
        </w:rPr>
        <w:t>、参与磋商费用</w:t>
      </w:r>
    </w:p>
    <w:p w14:paraId="78D2868E">
      <w:pPr>
        <w:pStyle w:val="1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en-US" w:eastAsia="zh-CN"/>
        </w:rPr>
        <w:t>8</w:t>
      </w:r>
      <w:r>
        <w:rPr>
          <w:rFonts w:hint="eastAsia" w:hAnsi="宋体" w:cs="宋体"/>
          <w:color w:val="auto"/>
          <w:sz w:val="24"/>
          <w:szCs w:val="24"/>
          <w:highlight w:val="none"/>
        </w:rPr>
        <w:t>.1供应商应承担所有与磋商准备和磋商有关的全部费用，不论磋商结果如何，采购人和采购代理机构无义务和责任承担供应商所发生的一切费用。</w:t>
      </w:r>
    </w:p>
    <w:p w14:paraId="3E90A023">
      <w:pPr>
        <w:pStyle w:val="1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en-US" w:eastAsia="zh-CN"/>
        </w:rPr>
        <w:t>8</w:t>
      </w:r>
      <w:r>
        <w:rPr>
          <w:rFonts w:hint="eastAsia" w:hAnsi="宋体" w:cs="宋体"/>
          <w:color w:val="auto"/>
          <w:sz w:val="24"/>
          <w:szCs w:val="24"/>
          <w:highlight w:val="none"/>
        </w:rPr>
        <w:t>.2供应商在磋商准备、实地考察和磋商的全过程中，如果发生人身伤亡、财物或其它任何损失，不论何种原因所造成，均由供应商自行承担全部责任和损失。</w:t>
      </w:r>
    </w:p>
    <w:p w14:paraId="2F518D35">
      <w:pPr>
        <w:pStyle w:val="16"/>
        <w:spacing w:line="360" w:lineRule="auto"/>
        <w:ind w:firstLine="482" w:firstLineChars="200"/>
        <w:rPr>
          <w:rFonts w:hint="eastAsia" w:ascii="宋体" w:hAnsi="宋体" w:eastAsia="宋体" w:cs="宋体"/>
          <w:b/>
          <w:color w:val="auto"/>
          <w:sz w:val="24"/>
          <w:szCs w:val="24"/>
          <w:highlight w:val="none"/>
        </w:rPr>
      </w:pPr>
      <w:bookmarkStart w:id="9" w:name="_Toc233274816"/>
      <w:bookmarkStart w:id="10" w:name="_Toc243906316"/>
      <w:bookmarkStart w:id="11" w:name="_Toc245897276"/>
      <w:bookmarkStart w:id="12" w:name="_Toc243907576"/>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、法律适用</w:t>
      </w:r>
      <w:bookmarkEnd w:id="9"/>
      <w:bookmarkEnd w:id="10"/>
      <w:bookmarkEnd w:id="11"/>
      <w:bookmarkEnd w:id="12"/>
    </w:p>
    <w:p w14:paraId="5E48145C">
      <w:pPr>
        <w:pStyle w:val="1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en-US" w:eastAsia="zh-CN"/>
        </w:rPr>
        <w:t>9</w:t>
      </w:r>
      <w:r>
        <w:rPr>
          <w:rFonts w:hint="eastAsia" w:hAnsi="宋体" w:cs="宋体"/>
          <w:color w:val="auto"/>
          <w:sz w:val="24"/>
          <w:szCs w:val="24"/>
          <w:highlight w:val="none"/>
        </w:rPr>
        <w:t>.1本次磋商活动及由本次磋商产生的合同受中国法律制约和保护。</w:t>
      </w:r>
    </w:p>
    <w:p w14:paraId="24FC8BA9">
      <w:pPr>
        <w:pStyle w:val="16"/>
        <w:spacing w:line="360" w:lineRule="auto"/>
        <w:ind w:firstLine="482" w:firstLineChars="200"/>
        <w:rPr>
          <w:rFonts w:hint="eastAsia" w:hAnsi="宋体" w:cs="宋体"/>
          <w:b/>
          <w:color w:val="auto"/>
          <w:sz w:val="24"/>
          <w:szCs w:val="24"/>
          <w:highlight w:val="none"/>
        </w:rPr>
      </w:pPr>
      <w:bookmarkStart w:id="13" w:name="_Toc233274817"/>
      <w:bookmarkStart w:id="14" w:name="_Toc243906317"/>
      <w:bookmarkStart w:id="15" w:name="_Toc245897277"/>
      <w:bookmarkStart w:id="16" w:name="_Toc243907577"/>
      <w:r>
        <w:rPr>
          <w:rFonts w:hint="eastAsia" w:hAnsi="宋体" w:cs="宋体"/>
          <w:b/>
          <w:color w:val="auto"/>
          <w:sz w:val="24"/>
          <w:szCs w:val="24"/>
          <w:highlight w:val="none"/>
          <w:lang w:val="en-US" w:eastAsia="zh-CN"/>
        </w:rPr>
        <w:t>10</w:t>
      </w:r>
      <w:r>
        <w:rPr>
          <w:rFonts w:hint="eastAsia" w:hAnsi="宋体" w:cs="宋体"/>
          <w:b/>
          <w:color w:val="auto"/>
          <w:sz w:val="24"/>
          <w:szCs w:val="24"/>
          <w:highlight w:val="none"/>
        </w:rPr>
        <w:t>、磋商文件的约束力</w:t>
      </w:r>
      <w:bookmarkEnd w:id="13"/>
      <w:bookmarkEnd w:id="14"/>
      <w:bookmarkEnd w:id="15"/>
      <w:bookmarkEnd w:id="16"/>
    </w:p>
    <w:p w14:paraId="298C8D42">
      <w:pPr>
        <w:pStyle w:val="1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en-US" w:eastAsia="zh-CN"/>
        </w:rPr>
        <w:t>10</w:t>
      </w:r>
      <w:r>
        <w:rPr>
          <w:rFonts w:hint="eastAsia" w:hAnsi="宋体" w:cs="宋体"/>
          <w:color w:val="auto"/>
          <w:sz w:val="24"/>
          <w:szCs w:val="24"/>
          <w:highlight w:val="none"/>
        </w:rPr>
        <w:t>.1供应商若成交，即被认为接受了本磋商文件中的所有条件和规定。是采购人与成交供应商签订合同的依据且是合同的组成部分。</w:t>
      </w:r>
    </w:p>
    <w:p w14:paraId="4484A831">
      <w:pPr>
        <w:pStyle w:val="77"/>
        <w:tabs>
          <w:tab w:val="left" w:pos="0"/>
        </w:tabs>
        <w:spacing w:line="360" w:lineRule="auto"/>
        <w:ind w:left="0" w:leftChars="0" w:firstLine="0" w:firstLineChars="0"/>
        <w:rPr>
          <w:rFonts w:hint="eastAsia" w:hAnsi="宋体" w:cs="宋体"/>
          <w:b/>
          <w:color w:val="auto"/>
          <w:sz w:val="36"/>
          <w:szCs w:val="36"/>
          <w:highlight w:val="none"/>
        </w:rPr>
      </w:pPr>
    </w:p>
    <w:p w14:paraId="1E0AB776">
      <w:pPr>
        <w:pStyle w:val="77"/>
        <w:tabs>
          <w:tab w:val="left" w:pos="0"/>
        </w:tabs>
        <w:spacing w:line="360" w:lineRule="auto"/>
        <w:ind w:left="1680" w:leftChars="800" w:firstLine="723" w:firstLineChars="200"/>
        <w:rPr>
          <w:rFonts w:hint="eastAsia" w:hAnsi="宋体" w:cs="宋体"/>
          <w:b/>
          <w:color w:val="auto"/>
          <w:sz w:val="36"/>
          <w:szCs w:val="36"/>
          <w:highlight w:val="none"/>
        </w:rPr>
      </w:pPr>
      <w:r>
        <w:rPr>
          <w:rFonts w:hint="eastAsia" w:hAnsi="宋体" w:cs="宋体"/>
          <w:b/>
          <w:color w:val="auto"/>
          <w:sz w:val="36"/>
          <w:szCs w:val="36"/>
          <w:highlight w:val="none"/>
        </w:rPr>
        <w:t>第三章磋商响应文件的编制、递交</w:t>
      </w:r>
    </w:p>
    <w:p w14:paraId="64D10BD1">
      <w:pPr>
        <w:pStyle w:val="16"/>
        <w:spacing w:line="360" w:lineRule="auto"/>
        <w:ind w:firstLine="482" w:firstLineChars="200"/>
        <w:outlineLvl w:val="1"/>
        <w:rPr>
          <w:rFonts w:hint="eastAsia" w:hAnsi="宋体" w:cs="宋体"/>
          <w:b/>
          <w:bCs/>
          <w:color w:val="auto"/>
          <w:sz w:val="24"/>
          <w:szCs w:val="24"/>
          <w:highlight w:val="none"/>
        </w:rPr>
      </w:pPr>
      <w:bookmarkStart w:id="17" w:name="_Toc243907579"/>
      <w:bookmarkStart w:id="18" w:name="_Toc243906319"/>
      <w:bookmarkStart w:id="19" w:name="_Toc246216188"/>
      <w:bookmarkStart w:id="20" w:name="_Toc233274819"/>
      <w:r>
        <w:rPr>
          <w:rFonts w:hint="eastAsia" w:hAnsi="宋体" w:cs="宋体"/>
          <w:b/>
          <w:bCs/>
          <w:color w:val="auto"/>
          <w:sz w:val="24"/>
          <w:szCs w:val="24"/>
          <w:highlight w:val="none"/>
          <w:lang w:val="en-US" w:eastAsia="zh-CN"/>
        </w:rPr>
        <w:t>1</w:t>
      </w:r>
      <w:r>
        <w:rPr>
          <w:rFonts w:hint="eastAsia" w:hAnsi="宋体" w:cs="宋体"/>
          <w:b/>
          <w:bCs/>
          <w:color w:val="auto"/>
          <w:sz w:val="24"/>
          <w:szCs w:val="24"/>
          <w:highlight w:val="none"/>
        </w:rPr>
        <w:t>、磋商文件的组成</w:t>
      </w:r>
      <w:bookmarkEnd w:id="17"/>
      <w:bookmarkEnd w:id="18"/>
      <w:bookmarkEnd w:id="19"/>
      <w:bookmarkEnd w:id="20"/>
    </w:p>
    <w:p w14:paraId="4870044C">
      <w:pPr>
        <w:spacing w:line="360" w:lineRule="auto"/>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.1本磋商文件是</w:t>
      </w:r>
      <w:r>
        <w:rPr>
          <w:rFonts w:hint="eastAsia" w:ascii="宋体" w:hAnsi="宋体" w:cs="宋体"/>
          <w:color w:val="auto"/>
          <w:sz w:val="24"/>
          <w:szCs w:val="24"/>
          <w:highlight w:val="none"/>
          <w:lang w:val="en-US" w:eastAsia="zh-CN"/>
        </w:rPr>
        <w:t>对乃仁克尔乡艾勒斯特村农田机耕道建设项目</w:t>
      </w:r>
      <w:r>
        <w:rPr>
          <w:rFonts w:hint="eastAsia" w:ascii="宋体" w:hAnsi="宋体" w:eastAsia="宋体" w:cs="宋体"/>
          <w:color w:val="auto"/>
          <w:kern w:val="0"/>
          <w:sz w:val="24"/>
          <w:szCs w:val="24"/>
          <w:highlight w:val="none"/>
          <w:lang w:val="en-US" w:eastAsia="zh-CN"/>
        </w:rPr>
        <w:t>的</w:t>
      </w:r>
      <w:r>
        <w:rPr>
          <w:rFonts w:hint="eastAsia" w:ascii="宋体" w:hAnsi="宋体" w:cs="宋体"/>
          <w:color w:val="auto"/>
          <w:sz w:val="24"/>
          <w:szCs w:val="24"/>
          <w:highlight w:val="none"/>
        </w:rPr>
        <w:t>磋商程序、合同文本</w:t>
      </w:r>
      <w:r>
        <w:rPr>
          <w:rFonts w:hint="eastAsia" w:ascii="宋体" w:hAnsi="宋体" w:cs="宋体"/>
          <w:color w:val="auto"/>
          <w:sz w:val="24"/>
          <w:szCs w:val="24"/>
          <w:highlight w:val="none"/>
          <w:lang w:val="en-US" w:eastAsia="zh-CN"/>
        </w:rPr>
        <w:t>等内容</w:t>
      </w:r>
      <w:r>
        <w:rPr>
          <w:rFonts w:hint="eastAsia" w:ascii="宋体" w:hAnsi="宋体" w:cs="宋体"/>
          <w:color w:val="auto"/>
          <w:sz w:val="24"/>
          <w:szCs w:val="24"/>
          <w:highlight w:val="none"/>
        </w:rPr>
        <w:t>进行说明。</w:t>
      </w:r>
    </w:p>
    <w:p w14:paraId="1864DF1D">
      <w:pPr>
        <w:spacing w:line="360" w:lineRule="auto"/>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本</w:t>
      </w:r>
      <w:r>
        <w:rPr>
          <w:rFonts w:hint="eastAsia" w:ascii="宋体" w:hAnsi="宋体" w:cs="宋体"/>
          <w:color w:val="auto"/>
          <w:sz w:val="24"/>
          <w:szCs w:val="24"/>
          <w:highlight w:val="none"/>
        </w:rPr>
        <w:t>磋商文件包括下列内容：</w:t>
      </w:r>
    </w:p>
    <w:p w14:paraId="39FD23B1">
      <w:pPr>
        <w:pStyle w:val="16"/>
        <w:spacing w:line="360" w:lineRule="auto"/>
        <w:ind w:firstLine="440"/>
        <w:rPr>
          <w:rFonts w:hint="eastAsia" w:hAnsi="宋体" w:cs="宋体"/>
          <w:color w:val="auto"/>
          <w:sz w:val="24"/>
          <w:szCs w:val="24"/>
          <w:highlight w:val="none"/>
        </w:rPr>
      </w:pPr>
      <w:r>
        <w:rPr>
          <w:rFonts w:hint="eastAsia" w:hAnsi="宋体" w:cs="宋体"/>
          <w:color w:val="auto"/>
          <w:sz w:val="24"/>
          <w:szCs w:val="24"/>
          <w:highlight w:val="none"/>
        </w:rPr>
        <w:fldChar w:fldCharType="begin"/>
      </w:r>
      <w:r>
        <w:rPr>
          <w:rFonts w:hint="eastAsia" w:hAnsi="宋体" w:cs="宋体"/>
          <w:color w:val="auto"/>
          <w:sz w:val="24"/>
          <w:szCs w:val="24"/>
          <w:highlight w:val="none"/>
        </w:rPr>
        <w:instrText xml:space="preserve">HYPERLINK\l"_Toc13129_WPSOffice_Level1"</w:instrText>
      </w:r>
      <w:r>
        <w:rPr>
          <w:rFonts w:hint="eastAsia" w:hAnsi="宋体" w:cs="宋体"/>
          <w:color w:val="auto"/>
          <w:sz w:val="24"/>
          <w:szCs w:val="24"/>
          <w:highlight w:val="none"/>
        </w:rPr>
        <w:fldChar w:fldCharType="separate"/>
      </w:r>
      <w:r>
        <w:rPr>
          <w:rFonts w:hint="eastAsia" w:hAnsi="宋体" w:cs="宋体"/>
          <w:color w:val="auto"/>
          <w:sz w:val="24"/>
          <w:szCs w:val="24"/>
          <w:highlight w:val="none"/>
        </w:rPr>
        <w:t>第一章竞争性磋商公告</w:t>
      </w:r>
      <w:r>
        <w:rPr>
          <w:rFonts w:hint="eastAsia" w:hAnsi="宋体" w:cs="宋体"/>
          <w:color w:val="auto"/>
          <w:sz w:val="24"/>
          <w:szCs w:val="24"/>
          <w:highlight w:val="none"/>
        </w:rPr>
        <w:fldChar w:fldCharType="end"/>
      </w:r>
    </w:p>
    <w:p w14:paraId="592F78C4">
      <w:pPr>
        <w:pStyle w:val="16"/>
        <w:spacing w:line="360" w:lineRule="auto"/>
        <w:ind w:firstLine="440"/>
        <w:rPr>
          <w:rFonts w:hint="eastAsia" w:hAnsi="宋体" w:cs="宋体"/>
          <w:color w:val="auto"/>
          <w:sz w:val="24"/>
          <w:szCs w:val="24"/>
          <w:highlight w:val="none"/>
        </w:rPr>
      </w:pPr>
      <w:r>
        <w:rPr>
          <w:rFonts w:hint="eastAsia" w:hAnsi="宋体" w:cs="宋体"/>
          <w:color w:val="auto"/>
          <w:sz w:val="24"/>
          <w:szCs w:val="24"/>
          <w:highlight w:val="none"/>
        </w:rPr>
        <w:fldChar w:fldCharType="begin"/>
      </w:r>
      <w:r>
        <w:rPr>
          <w:rFonts w:hint="eastAsia" w:hAnsi="宋体" w:cs="宋体"/>
          <w:color w:val="auto"/>
          <w:sz w:val="24"/>
          <w:szCs w:val="24"/>
          <w:highlight w:val="none"/>
        </w:rPr>
        <w:instrText xml:space="preserve">HYPERLINK\l"_Toc32258_WPSOffice_Level1"</w:instrText>
      </w:r>
      <w:r>
        <w:rPr>
          <w:rFonts w:hint="eastAsia" w:hAnsi="宋体" w:cs="宋体"/>
          <w:color w:val="auto"/>
          <w:sz w:val="24"/>
          <w:szCs w:val="24"/>
          <w:highlight w:val="none"/>
        </w:rPr>
        <w:fldChar w:fldCharType="separate"/>
      </w:r>
      <w:r>
        <w:rPr>
          <w:rFonts w:hint="eastAsia" w:hAnsi="宋体" w:cs="宋体"/>
          <w:color w:val="auto"/>
          <w:sz w:val="24"/>
          <w:szCs w:val="24"/>
          <w:highlight w:val="none"/>
        </w:rPr>
        <w:t>第二章磋商供应商须知</w:t>
      </w:r>
      <w:r>
        <w:rPr>
          <w:rFonts w:hint="eastAsia" w:hAnsi="宋体" w:cs="宋体"/>
          <w:color w:val="auto"/>
          <w:sz w:val="24"/>
          <w:szCs w:val="24"/>
          <w:highlight w:val="none"/>
        </w:rPr>
        <w:fldChar w:fldCharType="end"/>
      </w:r>
    </w:p>
    <w:p w14:paraId="3E33D7C4">
      <w:pPr>
        <w:pStyle w:val="16"/>
        <w:spacing w:line="360" w:lineRule="auto"/>
        <w:ind w:firstLine="440"/>
        <w:rPr>
          <w:rFonts w:hint="eastAsia" w:hAnsi="宋体" w:cs="宋体"/>
          <w:color w:val="auto"/>
          <w:sz w:val="24"/>
          <w:szCs w:val="24"/>
          <w:highlight w:val="none"/>
        </w:rPr>
      </w:pPr>
      <w:r>
        <w:rPr>
          <w:rFonts w:hint="eastAsia" w:hAnsi="宋体" w:cs="宋体"/>
          <w:color w:val="auto"/>
          <w:sz w:val="24"/>
          <w:szCs w:val="24"/>
          <w:highlight w:val="none"/>
        </w:rPr>
        <w:fldChar w:fldCharType="begin"/>
      </w:r>
      <w:r>
        <w:rPr>
          <w:rFonts w:hint="eastAsia" w:hAnsi="宋体" w:cs="宋体"/>
          <w:color w:val="auto"/>
          <w:sz w:val="24"/>
          <w:szCs w:val="24"/>
          <w:highlight w:val="none"/>
        </w:rPr>
        <w:instrText xml:space="preserve">HYPERLINK\l"_Toc3717_WPSOffice_Level1"</w:instrText>
      </w:r>
      <w:r>
        <w:rPr>
          <w:rFonts w:hint="eastAsia" w:hAnsi="宋体" w:cs="宋体"/>
          <w:color w:val="auto"/>
          <w:sz w:val="24"/>
          <w:szCs w:val="24"/>
          <w:highlight w:val="none"/>
        </w:rPr>
        <w:fldChar w:fldCharType="separate"/>
      </w:r>
      <w:r>
        <w:rPr>
          <w:rFonts w:hint="eastAsia" w:hAnsi="宋体" w:cs="宋体"/>
          <w:color w:val="auto"/>
          <w:sz w:val="24"/>
          <w:szCs w:val="24"/>
          <w:highlight w:val="none"/>
        </w:rPr>
        <w:t>第三章磋商响应文件的编制、递交</w:t>
      </w:r>
      <w:r>
        <w:rPr>
          <w:rFonts w:hint="eastAsia" w:hAnsi="宋体" w:cs="宋体"/>
          <w:color w:val="auto"/>
          <w:sz w:val="24"/>
          <w:szCs w:val="24"/>
          <w:highlight w:val="none"/>
        </w:rPr>
        <w:fldChar w:fldCharType="end"/>
      </w:r>
    </w:p>
    <w:p w14:paraId="7A9395D6">
      <w:pPr>
        <w:pStyle w:val="16"/>
        <w:spacing w:line="360" w:lineRule="auto"/>
        <w:ind w:firstLine="440"/>
        <w:rPr>
          <w:rFonts w:hint="eastAsia" w:hAnsi="宋体" w:cs="宋体"/>
          <w:color w:val="auto"/>
          <w:sz w:val="24"/>
          <w:szCs w:val="24"/>
          <w:highlight w:val="none"/>
        </w:rPr>
      </w:pPr>
      <w:r>
        <w:rPr>
          <w:rFonts w:hint="eastAsia" w:hAnsi="宋体" w:cs="宋体"/>
          <w:color w:val="auto"/>
          <w:sz w:val="24"/>
          <w:szCs w:val="24"/>
          <w:highlight w:val="none"/>
        </w:rPr>
        <w:fldChar w:fldCharType="begin"/>
      </w:r>
      <w:r>
        <w:rPr>
          <w:rFonts w:hint="eastAsia" w:hAnsi="宋体" w:cs="宋体"/>
          <w:color w:val="auto"/>
          <w:sz w:val="24"/>
          <w:szCs w:val="24"/>
          <w:highlight w:val="none"/>
        </w:rPr>
        <w:instrText xml:space="preserve">HYPERLINK\l"_Toc12453_WPSOffice_Level1"</w:instrText>
      </w:r>
      <w:r>
        <w:rPr>
          <w:rFonts w:hint="eastAsia" w:hAnsi="宋体" w:cs="宋体"/>
          <w:color w:val="auto"/>
          <w:sz w:val="24"/>
          <w:szCs w:val="24"/>
          <w:highlight w:val="none"/>
        </w:rPr>
        <w:fldChar w:fldCharType="separate"/>
      </w:r>
      <w:r>
        <w:rPr>
          <w:rFonts w:hint="eastAsia" w:hAnsi="宋体" w:cs="宋体"/>
          <w:color w:val="auto"/>
          <w:sz w:val="24"/>
          <w:szCs w:val="24"/>
          <w:highlight w:val="none"/>
        </w:rPr>
        <w:t>第四章磋商、评审、确定成交供应商</w:t>
      </w:r>
    </w:p>
    <w:p w14:paraId="4AB897CB">
      <w:pPr>
        <w:pStyle w:val="16"/>
        <w:spacing w:line="360" w:lineRule="auto"/>
        <w:ind w:firstLine="440"/>
        <w:rPr>
          <w:rFonts w:hint="eastAsia" w:hAnsi="宋体" w:cs="宋体"/>
          <w:color w:val="auto"/>
          <w:sz w:val="24"/>
          <w:szCs w:val="24"/>
          <w:highlight w:val="none"/>
        </w:rPr>
      </w:pPr>
      <w:r>
        <w:rPr>
          <w:rFonts w:hint="eastAsia" w:hAnsi="宋体" w:cs="宋体"/>
          <w:color w:val="auto"/>
          <w:sz w:val="24"/>
          <w:szCs w:val="24"/>
          <w:highlight w:val="none"/>
        </w:rPr>
        <w:t>第五章评定成交方式和标准</w:t>
      </w:r>
      <w:r>
        <w:rPr>
          <w:rFonts w:hint="eastAsia" w:hAnsi="宋体" w:cs="宋体"/>
          <w:color w:val="auto"/>
          <w:sz w:val="24"/>
          <w:szCs w:val="24"/>
          <w:highlight w:val="none"/>
        </w:rPr>
        <w:tab/>
      </w:r>
      <w:r>
        <w:rPr>
          <w:rFonts w:hint="eastAsia" w:hAnsi="宋体" w:cs="宋体"/>
          <w:color w:val="auto"/>
          <w:sz w:val="24"/>
          <w:szCs w:val="24"/>
          <w:highlight w:val="none"/>
        </w:rPr>
        <w:fldChar w:fldCharType="end"/>
      </w:r>
    </w:p>
    <w:p w14:paraId="4D18754A">
      <w:pPr>
        <w:pStyle w:val="16"/>
        <w:spacing w:line="360" w:lineRule="auto"/>
        <w:ind w:firstLine="440"/>
        <w:rPr>
          <w:rFonts w:hint="default" w:hAnsi="宋体" w:eastAsia="宋体" w:cs="宋体"/>
          <w:color w:val="auto"/>
          <w:sz w:val="24"/>
          <w:szCs w:val="24"/>
          <w:highlight w:val="none"/>
          <w:lang w:val="en-US" w:eastAsia="zh-CN"/>
        </w:rPr>
      </w:pPr>
      <w:r>
        <w:rPr>
          <w:rFonts w:hint="eastAsia" w:hAnsi="宋体" w:cs="宋体"/>
          <w:color w:val="auto"/>
          <w:sz w:val="24"/>
          <w:szCs w:val="24"/>
          <w:highlight w:val="none"/>
        </w:rPr>
        <w:fldChar w:fldCharType="begin"/>
      </w:r>
      <w:r>
        <w:rPr>
          <w:rFonts w:hint="eastAsia" w:hAnsi="宋体" w:cs="宋体"/>
          <w:color w:val="auto"/>
          <w:sz w:val="24"/>
          <w:szCs w:val="24"/>
          <w:highlight w:val="none"/>
        </w:rPr>
        <w:instrText xml:space="preserve">HYPERLINK\l"_Toc7744_WPSOffice_Level1"</w:instrText>
      </w:r>
      <w:r>
        <w:rPr>
          <w:rFonts w:hint="eastAsia" w:hAnsi="宋体" w:cs="宋体"/>
          <w:color w:val="auto"/>
          <w:sz w:val="24"/>
          <w:szCs w:val="24"/>
          <w:highlight w:val="none"/>
        </w:rPr>
        <w:fldChar w:fldCharType="separate"/>
      </w:r>
      <w:r>
        <w:rPr>
          <w:rFonts w:hint="eastAsia" w:hAnsi="宋体" w:cs="宋体"/>
          <w:color w:val="auto"/>
          <w:sz w:val="24"/>
          <w:szCs w:val="24"/>
          <w:highlight w:val="none"/>
        </w:rPr>
        <w:t>第六章</w:t>
      </w:r>
      <w:r>
        <w:rPr>
          <w:rFonts w:hint="eastAsia" w:hAnsi="宋体" w:cs="宋体"/>
          <w:color w:val="auto"/>
          <w:sz w:val="24"/>
          <w:szCs w:val="24"/>
          <w:highlight w:val="none"/>
          <w:lang w:val="en-US" w:eastAsia="zh-CN"/>
        </w:rPr>
        <w:t>工程量清单</w:t>
      </w:r>
      <w:r>
        <w:rPr>
          <w:rFonts w:hint="eastAsia" w:hAnsi="宋体" w:cs="宋体"/>
          <w:color w:val="auto"/>
          <w:sz w:val="24"/>
          <w:szCs w:val="24"/>
          <w:highlight w:val="none"/>
        </w:rPr>
        <w:fldChar w:fldCharType="end"/>
      </w:r>
      <w:r>
        <w:rPr>
          <w:rFonts w:hint="eastAsia" w:hAnsi="宋体" w:cs="宋体"/>
          <w:color w:val="auto"/>
          <w:sz w:val="24"/>
          <w:szCs w:val="24"/>
          <w:highlight w:val="none"/>
          <w:lang w:val="en-US" w:eastAsia="zh-CN"/>
        </w:rPr>
        <w:t>(另附)</w:t>
      </w:r>
    </w:p>
    <w:p w14:paraId="6C6484D5">
      <w:pPr>
        <w:pStyle w:val="16"/>
        <w:spacing w:line="360" w:lineRule="auto"/>
        <w:ind w:firstLine="440"/>
        <w:rPr>
          <w:rFonts w:hint="eastAsia" w:hAnsi="宋体" w:cs="宋体"/>
          <w:color w:val="auto"/>
          <w:sz w:val="24"/>
          <w:szCs w:val="24"/>
          <w:highlight w:val="none"/>
        </w:rPr>
      </w:pPr>
      <w:r>
        <w:rPr>
          <w:rFonts w:hint="eastAsia" w:hAnsi="宋体" w:cs="宋体"/>
          <w:color w:val="auto"/>
          <w:sz w:val="24"/>
          <w:szCs w:val="24"/>
          <w:highlight w:val="none"/>
        </w:rPr>
        <w:fldChar w:fldCharType="begin"/>
      </w:r>
      <w:r>
        <w:rPr>
          <w:rFonts w:hint="eastAsia" w:hAnsi="宋体" w:cs="宋体"/>
          <w:color w:val="auto"/>
          <w:sz w:val="24"/>
          <w:szCs w:val="24"/>
          <w:highlight w:val="none"/>
        </w:rPr>
        <w:instrText xml:space="preserve">HYPERLINK\l"_Toc11436_WPSOffice_Level1"</w:instrText>
      </w:r>
      <w:r>
        <w:rPr>
          <w:rFonts w:hint="eastAsia" w:hAnsi="宋体" w:cs="宋体"/>
          <w:color w:val="auto"/>
          <w:sz w:val="24"/>
          <w:szCs w:val="24"/>
          <w:highlight w:val="none"/>
        </w:rPr>
        <w:fldChar w:fldCharType="separate"/>
      </w:r>
      <w:r>
        <w:rPr>
          <w:rFonts w:hint="eastAsia" w:hAnsi="宋体" w:cs="宋体"/>
          <w:color w:val="auto"/>
          <w:sz w:val="24"/>
          <w:szCs w:val="24"/>
          <w:highlight w:val="none"/>
        </w:rPr>
        <w:t>第七章合同格式及合同条款</w:t>
      </w:r>
      <w:r>
        <w:rPr>
          <w:rFonts w:hint="eastAsia" w:hAnsi="宋体" w:cs="宋体"/>
          <w:color w:val="auto"/>
          <w:sz w:val="24"/>
          <w:szCs w:val="24"/>
          <w:highlight w:val="none"/>
        </w:rPr>
        <w:tab/>
      </w:r>
      <w:r>
        <w:rPr>
          <w:rFonts w:hint="eastAsia" w:hAnsi="宋体" w:cs="宋体"/>
          <w:color w:val="auto"/>
          <w:sz w:val="24"/>
          <w:szCs w:val="24"/>
          <w:highlight w:val="none"/>
        </w:rPr>
        <w:fldChar w:fldCharType="end"/>
      </w:r>
    </w:p>
    <w:p w14:paraId="6ADF3D3B">
      <w:pPr>
        <w:pStyle w:val="16"/>
        <w:spacing w:line="360" w:lineRule="auto"/>
        <w:ind w:firstLine="440"/>
        <w:rPr>
          <w:rFonts w:hint="eastAsia" w:hAnsi="宋体" w:cs="宋体"/>
          <w:color w:val="auto"/>
          <w:sz w:val="24"/>
          <w:szCs w:val="24"/>
          <w:highlight w:val="none"/>
        </w:rPr>
      </w:pPr>
      <w:r>
        <w:rPr>
          <w:rFonts w:hint="eastAsia" w:hAnsi="宋体" w:cs="宋体"/>
          <w:color w:val="auto"/>
          <w:sz w:val="24"/>
          <w:szCs w:val="24"/>
          <w:highlight w:val="none"/>
        </w:rPr>
        <w:fldChar w:fldCharType="begin"/>
      </w:r>
      <w:r>
        <w:rPr>
          <w:rFonts w:hint="eastAsia" w:hAnsi="宋体" w:cs="宋体"/>
          <w:color w:val="auto"/>
          <w:sz w:val="24"/>
          <w:szCs w:val="24"/>
          <w:highlight w:val="none"/>
        </w:rPr>
        <w:instrText xml:space="preserve">HYPERLINK\l"_Toc11362_WPSOffice_Level1"</w:instrText>
      </w:r>
      <w:r>
        <w:rPr>
          <w:rFonts w:hint="eastAsia" w:hAnsi="宋体" w:cs="宋体"/>
          <w:color w:val="auto"/>
          <w:sz w:val="24"/>
          <w:szCs w:val="24"/>
          <w:highlight w:val="none"/>
        </w:rPr>
        <w:fldChar w:fldCharType="separate"/>
      </w:r>
      <w:r>
        <w:rPr>
          <w:rFonts w:hint="eastAsia" w:hAnsi="宋体" w:cs="宋体"/>
          <w:color w:val="auto"/>
          <w:sz w:val="24"/>
          <w:szCs w:val="24"/>
          <w:highlight w:val="none"/>
        </w:rPr>
        <w:t>第八章磋商响应文件格式</w:t>
      </w:r>
      <w:r>
        <w:rPr>
          <w:rFonts w:hint="eastAsia" w:hAnsi="宋体" w:cs="宋体"/>
          <w:color w:val="auto"/>
          <w:sz w:val="24"/>
          <w:szCs w:val="24"/>
          <w:highlight w:val="none"/>
        </w:rPr>
        <w:tab/>
      </w:r>
      <w:r>
        <w:rPr>
          <w:rFonts w:hint="eastAsia" w:hAnsi="宋体" w:cs="宋体"/>
          <w:color w:val="auto"/>
          <w:sz w:val="24"/>
          <w:szCs w:val="24"/>
          <w:highlight w:val="none"/>
        </w:rPr>
        <w:fldChar w:fldCharType="end"/>
      </w:r>
    </w:p>
    <w:p w14:paraId="5CE5FCEE">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文件由本文件及由招标人按</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文件有关规定发出的</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文件补充构成。</w:t>
      </w:r>
    </w:p>
    <w:p w14:paraId="62B79DE2">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文件的澄清、修改、招标答疑会纪要等书面材料在本招标工程中均称</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文件补充。</w:t>
      </w:r>
    </w:p>
    <w:p w14:paraId="59B0947C">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文件补充作为</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文件的组成部分，对投标人起同等约束作用。如果</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文件补充内容与在此</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文件补充发出之前的</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文件等书面材料中相关内容相冲突，请投标人执行</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文件补充的相关内容，先前发出的</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文件等书面材料中相关内容自动废止。</w:t>
      </w:r>
    </w:p>
    <w:p w14:paraId="7F590D53">
      <w:pPr>
        <w:pStyle w:val="16"/>
        <w:spacing w:line="360" w:lineRule="auto"/>
        <w:ind w:firstLine="480" w:firstLineChars="200"/>
        <w:rPr>
          <w:rFonts w:hint="eastAsia" w:hAnsi="宋体" w:cs="宋体"/>
          <w:color w:val="auto"/>
          <w:sz w:val="24"/>
          <w:szCs w:val="24"/>
          <w:highlight w:val="none"/>
        </w:rPr>
      </w:pPr>
      <w:r>
        <w:rPr>
          <w:rFonts w:hint="eastAsia" w:ascii="宋体" w:hAnsi="宋体" w:eastAsia="宋体" w:cs="宋体"/>
          <w:color w:val="auto"/>
          <w:sz w:val="24"/>
          <w:szCs w:val="24"/>
          <w:highlight w:val="none"/>
          <w:lang w:val="en-US" w:eastAsia="zh-CN"/>
        </w:rPr>
        <w:t>1.5投标人应认真审阅和理解招标文件所有内容，尤其应注意有“废标”、“拒绝评审”加黑字体字样等有关条款，否则引起的后果由投标人自</w:t>
      </w:r>
      <w:r>
        <w:rPr>
          <w:rFonts w:hint="eastAsia" w:ascii="宋体" w:hAnsi="宋体" w:eastAsia="宋体" w:cs="宋体"/>
          <w:color w:val="auto"/>
          <w:sz w:val="24"/>
          <w:szCs w:val="24"/>
          <w:highlight w:val="none"/>
        </w:rPr>
        <w:t>负。</w:t>
      </w:r>
    </w:p>
    <w:p w14:paraId="6D1CFCC4">
      <w:pPr>
        <w:pStyle w:val="1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en-US" w:eastAsia="zh-CN"/>
        </w:rPr>
        <w:t>1</w:t>
      </w:r>
      <w:r>
        <w:rPr>
          <w:rFonts w:hint="eastAsia" w:hAnsi="宋体" w:cs="宋体"/>
          <w:color w:val="auto"/>
          <w:sz w:val="24"/>
          <w:szCs w:val="24"/>
          <w:highlight w:val="none"/>
        </w:rPr>
        <w:t>.</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除非有特殊要求，磋商文件不单独提供采购项目使用地的自然环境、气候条件、劳动力及公用设施等情况，供应商被视为熟悉上述条件或若成交履行合同有关的一切情况。</w:t>
      </w:r>
    </w:p>
    <w:p w14:paraId="6FC25938">
      <w:pPr>
        <w:pStyle w:val="1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en-US" w:eastAsia="zh-CN"/>
        </w:rPr>
        <w:t>1</w:t>
      </w:r>
      <w:r>
        <w:rPr>
          <w:rFonts w:hint="eastAsia" w:hAnsi="宋体" w:cs="宋体"/>
          <w:color w:val="auto"/>
          <w:sz w:val="24"/>
          <w:szCs w:val="24"/>
          <w:highlight w:val="none"/>
        </w:rPr>
        <w:t>.</w:t>
      </w:r>
      <w:r>
        <w:rPr>
          <w:rFonts w:hint="eastAsia" w:hAnsi="宋体" w:cs="宋体"/>
          <w:color w:val="auto"/>
          <w:sz w:val="24"/>
          <w:szCs w:val="24"/>
          <w:highlight w:val="none"/>
          <w:lang w:val="en-US" w:eastAsia="zh-CN"/>
        </w:rPr>
        <w:t>7</w:t>
      </w:r>
      <w:r>
        <w:rPr>
          <w:rFonts w:hint="eastAsia" w:hAnsi="宋体" w:cs="宋体"/>
          <w:color w:val="auto"/>
          <w:sz w:val="24"/>
          <w:szCs w:val="24"/>
          <w:highlight w:val="none"/>
        </w:rPr>
        <w:t>采购人向供应商提供的有关数据和资料，是采购人现有的能被供应商利用的资料，供应商对此做出的推论、理解和结论自行负责。</w:t>
      </w:r>
    </w:p>
    <w:p w14:paraId="5BFDC493">
      <w:pPr>
        <w:pStyle w:val="16"/>
        <w:spacing w:line="360" w:lineRule="auto"/>
        <w:ind w:firstLine="482" w:firstLineChars="200"/>
        <w:outlineLvl w:val="1"/>
        <w:rPr>
          <w:rFonts w:hint="eastAsia" w:hAnsi="宋体" w:cs="宋体"/>
          <w:b/>
          <w:bCs/>
          <w:color w:val="auto"/>
          <w:sz w:val="24"/>
          <w:szCs w:val="24"/>
          <w:highlight w:val="none"/>
        </w:rPr>
      </w:pPr>
      <w:bookmarkStart w:id="21" w:name="_Toc243907580"/>
      <w:bookmarkStart w:id="22" w:name="_Toc245897280"/>
      <w:bookmarkStart w:id="23" w:name="_Toc243906320"/>
      <w:bookmarkStart w:id="24" w:name="_Toc233274820"/>
      <w:r>
        <w:rPr>
          <w:rFonts w:hint="eastAsia" w:hAnsi="宋体" w:cs="宋体"/>
          <w:b/>
          <w:bCs/>
          <w:color w:val="auto"/>
          <w:sz w:val="24"/>
          <w:szCs w:val="24"/>
          <w:highlight w:val="none"/>
          <w:lang w:val="en-US" w:eastAsia="zh-CN"/>
        </w:rPr>
        <w:t>2</w:t>
      </w:r>
      <w:r>
        <w:rPr>
          <w:rFonts w:hint="eastAsia" w:hAnsi="宋体" w:cs="宋体"/>
          <w:b/>
          <w:bCs/>
          <w:color w:val="auto"/>
          <w:sz w:val="24"/>
          <w:szCs w:val="24"/>
          <w:highlight w:val="none"/>
        </w:rPr>
        <w:t>、磋商文件的澄清</w:t>
      </w:r>
      <w:bookmarkEnd w:id="21"/>
      <w:bookmarkEnd w:id="22"/>
      <w:bookmarkEnd w:id="23"/>
      <w:bookmarkEnd w:id="24"/>
    </w:p>
    <w:p w14:paraId="5C78F7E5">
      <w:pPr>
        <w:pStyle w:val="16"/>
        <w:spacing w:line="360" w:lineRule="auto"/>
        <w:ind w:firstLine="480" w:firstLineChars="200"/>
        <w:rPr>
          <w:rFonts w:hint="eastAsia" w:hAnsi="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.1供应商对磋商文件如有疑问，可要求澄清，应按磋商文件规定的时间前</w:t>
      </w:r>
      <w:r>
        <w:rPr>
          <w:rFonts w:hint="eastAsia" w:ascii="宋体" w:hAnsi="宋体" w:eastAsia="宋体" w:cs="宋体"/>
          <w:color w:val="auto"/>
          <w:sz w:val="24"/>
          <w:szCs w:val="24"/>
          <w:highlight w:val="none"/>
          <w:lang w:val="en-US" w:eastAsia="zh-CN"/>
        </w:rPr>
        <w:t>向招标代理机构</w:t>
      </w:r>
      <w:r>
        <w:rPr>
          <w:rFonts w:hint="eastAsia" w:ascii="宋体" w:hAnsi="宋体" w:eastAsia="宋体" w:cs="宋体"/>
          <w:color w:val="auto"/>
          <w:sz w:val="24"/>
          <w:szCs w:val="24"/>
          <w:highlight w:val="none"/>
        </w:rPr>
        <w:t>提出，采购人和采购代理机构将视情况在政采云平台上予以澄清，答复中包括所提问题，但不包括问题的来源，答复一经发布将视为已经通知所有潜在投标供应商，请各投标供应商及时关注相关信息。</w:t>
      </w:r>
    </w:p>
    <w:p w14:paraId="3D836CF7">
      <w:pPr>
        <w:pStyle w:val="1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en-US" w:eastAsia="zh-CN"/>
        </w:rPr>
        <w:t>2</w:t>
      </w:r>
      <w:r>
        <w:rPr>
          <w:rFonts w:hint="eastAsia" w:hAnsi="宋体" w:cs="宋体"/>
          <w:color w:val="auto"/>
          <w:sz w:val="24"/>
          <w:szCs w:val="24"/>
          <w:highlight w:val="none"/>
        </w:rPr>
        <w:t>.2如果上述答复涉及对磋商文件的修改或补充，则它将被视为磋商文件的组成部分。凡原先所发磋商文件中的内容与答复中的内容不一致之处，以最后书面答复为准。任何电话或口头咨询和答复的意思解释均不具有法律约束力。</w:t>
      </w:r>
    </w:p>
    <w:p w14:paraId="4531F08B">
      <w:pPr>
        <w:pStyle w:val="1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en-US" w:eastAsia="zh-CN"/>
        </w:rPr>
        <w:t>2</w:t>
      </w:r>
      <w:r>
        <w:rPr>
          <w:rFonts w:hint="eastAsia" w:hAnsi="宋体" w:cs="宋体"/>
          <w:color w:val="auto"/>
          <w:sz w:val="24"/>
          <w:szCs w:val="24"/>
          <w:highlight w:val="none"/>
        </w:rPr>
        <w:t>.3供应商在递交响应文件截止日期5个工作日前未对磋商文件提出异议的，采购单位将视其为同意。在规定的时间后就磋商文件内容提出的质疑将不予受理。</w:t>
      </w:r>
    </w:p>
    <w:p w14:paraId="49407CB6">
      <w:pPr>
        <w:pStyle w:val="16"/>
        <w:spacing w:line="360" w:lineRule="auto"/>
        <w:ind w:firstLine="482" w:firstLineChars="200"/>
        <w:outlineLvl w:val="1"/>
        <w:rPr>
          <w:rFonts w:hint="eastAsia" w:hAnsi="宋体" w:cs="宋体"/>
          <w:b/>
          <w:bCs/>
          <w:color w:val="auto"/>
          <w:sz w:val="24"/>
          <w:szCs w:val="24"/>
          <w:highlight w:val="none"/>
        </w:rPr>
      </w:pPr>
      <w:bookmarkStart w:id="25" w:name="_Toc243906321"/>
      <w:bookmarkStart w:id="26" w:name="_Toc233274821"/>
      <w:bookmarkStart w:id="27" w:name="_Toc243907581"/>
      <w:bookmarkStart w:id="28" w:name="_Toc245897281"/>
      <w:r>
        <w:rPr>
          <w:rFonts w:hint="eastAsia" w:hAnsi="宋体" w:cs="宋体"/>
          <w:b/>
          <w:bCs/>
          <w:color w:val="auto"/>
          <w:sz w:val="24"/>
          <w:szCs w:val="24"/>
          <w:highlight w:val="none"/>
          <w:lang w:val="en-US" w:eastAsia="zh-CN"/>
        </w:rPr>
        <w:t>3</w:t>
      </w:r>
      <w:r>
        <w:rPr>
          <w:rFonts w:hint="eastAsia" w:hAnsi="宋体" w:cs="宋体"/>
          <w:b/>
          <w:bCs/>
          <w:color w:val="auto"/>
          <w:sz w:val="24"/>
          <w:szCs w:val="24"/>
          <w:highlight w:val="none"/>
        </w:rPr>
        <w:t>、磋商文件的修改和补充</w:t>
      </w:r>
      <w:bookmarkEnd w:id="25"/>
      <w:bookmarkEnd w:id="26"/>
      <w:bookmarkEnd w:id="27"/>
      <w:bookmarkEnd w:id="28"/>
    </w:p>
    <w:p w14:paraId="3C625598">
      <w:pPr>
        <w:pStyle w:val="16"/>
        <w:spacing w:line="360" w:lineRule="auto"/>
        <w:ind w:firstLine="480" w:firstLineChars="200"/>
        <w:rPr>
          <w:rFonts w:hint="eastAsia" w:ascii="宋体" w:hAnsi="宋体" w:eastAsia="宋体" w:cs="宋体"/>
          <w:color w:val="auto"/>
          <w:sz w:val="24"/>
          <w:szCs w:val="24"/>
          <w:highlight w:val="none"/>
        </w:rPr>
      </w:pPr>
      <w:bookmarkStart w:id="29" w:name="_Toc233274823"/>
      <w:bookmarkStart w:id="30" w:name="_Toc245897283"/>
      <w:bookmarkStart w:id="31" w:name="_Toc243907583"/>
      <w:bookmarkStart w:id="32" w:name="_Toc243906323"/>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在递交响应文件截止日期5日前的任何时候，采购人可主动地或依据供应商要求澄清的疑问而修改、补充磋商文件，采购代理机构将对修改和补充的内容在政采云平台上发布，修改和补充文件将作为磋商文件的组成部分，对所有供应商具有约束力。</w:t>
      </w:r>
    </w:p>
    <w:p w14:paraId="0A8ECDCF">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为使供应商在准备响应文件时有合理的时间考虑磋商文件的修改和/或补充，采购代理机构可延长递交响应文件截止时间和开启时间，但至少应当在规定的递交响应文件的截止时间5日前，在政采云平台上通知所有领取磋商文件的每位供应商，不足5日的，应当顺延提交响应文件截止日期。</w:t>
      </w:r>
    </w:p>
    <w:bookmarkEnd w:id="29"/>
    <w:p w14:paraId="5B4AF222">
      <w:pPr>
        <w:pStyle w:val="16"/>
        <w:spacing w:line="360" w:lineRule="auto"/>
        <w:ind w:firstLine="482" w:firstLineChars="200"/>
        <w:outlineLvl w:val="1"/>
        <w:rPr>
          <w:rFonts w:hint="eastAsia" w:hAnsi="宋体" w:cs="宋体"/>
          <w:b/>
          <w:bCs/>
          <w:color w:val="auto"/>
          <w:sz w:val="24"/>
          <w:szCs w:val="24"/>
          <w:highlight w:val="none"/>
        </w:rPr>
      </w:pPr>
      <w:r>
        <w:rPr>
          <w:rFonts w:hint="eastAsia" w:hAnsi="宋体" w:cs="宋体"/>
          <w:b/>
          <w:bCs/>
          <w:color w:val="auto"/>
          <w:sz w:val="24"/>
          <w:szCs w:val="24"/>
          <w:highlight w:val="none"/>
          <w:lang w:val="en-US" w:eastAsia="zh-CN"/>
        </w:rPr>
        <w:t>4</w:t>
      </w:r>
      <w:r>
        <w:rPr>
          <w:rFonts w:hint="eastAsia" w:hAnsi="宋体" w:cs="宋体"/>
          <w:b/>
          <w:bCs/>
          <w:color w:val="auto"/>
          <w:sz w:val="24"/>
          <w:szCs w:val="24"/>
          <w:highlight w:val="none"/>
        </w:rPr>
        <w:t>、响应文件的编写</w:t>
      </w:r>
      <w:bookmarkEnd w:id="30"/>
      <w:bookmarkEnd w:id="31"/>
      <w:bookmarkEnd w:id="32"/>
    </w:p>
    <w:p w14:paraId="186616CD">
      <w:pPr>
        <w:pStyle w:val="16"/>
        <w:spacing w:line="360" w:lineRule="auto"/>
        <w:ind w:firstLine="480" w:firstLineChars="200"/>
        <w:rPr>
          <w:rFonts w:hint="eastAsia" w:ascii="宋体" w:hAnsi="宋体" w:eastAsia="宋体" w:cs="宋体"/>
          <w:color w:val="auto"/>
          <w:sz w:val="24"/>
          <w:szCs w:val="24"/>
          <w:highlight w:val="none"/>
        </w:rPr>
      </w:pPr>
      <w:bookmarkStart w:id="33" w:name="_Toc245897284"/>
      <w:bookmarkStart w:id="34" w:name="_Toc243907584"/>
      <w:bookmarkStart w:id="35" w:name="_Toc233274824"/>
      <w:bookmarkStart w:id="36" w:name="_Toc243906324"/>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供应商必须详细阅读磋商文件的章、节、条款、格式等所有内容，按磋商文件的要求提交响应文件，并保证所提供的全部文件及相关资料的真实性，以使其对磋商文件做出实质性响应。供应商应仔细阅读并充分理解磋商文件、技术规范及标准、项目采购需求、合同文本后编制响应文件。</w:t>
      </w:r>
    </w:p>
    <w:p w14:paraId="571A6385">
      <w:pPr>
        <w:pStyle w:val="16"/>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w:t>
      </w:r>
      <w:r>
        <w:rPr>
          <w:rFonts w:hint="eastAsia" w:hAnsi="宋体" w:cs="宋体"/>
          <w:color w:val="auto"/>
          <w:sz w:val="24"/>
          <w:szCs w:val="24"/>
          <w:highlight w:val="none"/>
        </w:rPr>
        <w:t>供应商应按磋商文件提供的格式及要求完整地填写所投标文件各项内容。</w:t>
      </w:r>
    </w:p>
    <w:p w14:paraId="54F45B71">
      <w:pPr>
        <w:pStyle w:val="16"/>
        <w:spacing w:line="36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、响应文件的语言及计量单位</w:t>
      </w:r>
      <w:bookmarkEnd w:id="33"/>
      <w:bookmarkEnd w:id="34"/>
      <w:bookmarkEnd w:id="35"/>
      <w:bookmarkEnd w:id="36"/>
    </w:p>
    <w:p w14:paraId="22170A3B">
      <w:pPr>
        <w:pStyle w:val="1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en-US" w:eastAsia="zh-CN"/>
        </w:rPr>
        <w:t>5</w:t>
      </w:r>
      <w:r>
        <w:rPr>
          <w:rFonts w:hint="eastAsia" w:hAnsi="宋体" w:cs="宋体"/>
          <w:color w:val="auto"/>
          <w:sz w:val="24"/>
          <w:szCs w:val="24"/>
          <w:highlight w:val="none"/>
        </w:rPr>
        <w:t>.1响应文件及供应商和采购人及采购代理机构就有关磋商的所有文件和来往函件，应以中文书写。供应商可以提交用其他语言（原文）打印的资料，但必须翻译成中文，当原文和译文（中文）之间存有差异和/或矛盾时，以中文为准。</w:t>
      </w:r>
    </w:p>
    <w:p w14:paraId="2B4A974A">
      <w:pPr>
        <w:pStyle w:val="1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en-US" w:eastAsia="zh-CN"/>
        </w:rPr>
        <w:t>5</w:t>
      </w:r>
      <w:r>
        <w:rPr>
          <w:rFonts w:hint="eastAsia" w:hAnsi="宋体" w:cs="宋体"/>
          <w:color w:val="auto"/>
          <w:sz w:val="24"/>
          <w:szCs w:val="24"/>
          <w:highlight w:val="none"/>
        </w:rPr>
        <w:t>.2除在磋商文件的项目采购需求中另有规定外，计量单位应使用中华人民共和国法定计量单位（国际单位制和国家选定的其它计量单位）。如供应商采用其它计量单位，需事先得到采购人的同意。</w:t>
      </w:r>
    </w:p>
    <w:p w14:paraId="3D3A0FD5">
      <w:pPr>
        <w:pStyle w:val="16"/>
        <w:spacing w:line="360" w:lineRule="auto"/>
        <w:ind w:firstLine="482" w:firstLineChars="200"/>
        <w:outlineLvl w:val="1"/>
        <w:rPr>
          <w:rFonts w:hint="eastAsia" w:hAnsi="宋体" w:cs="宋体"/>
          <w:b/>
          <w:bCs/>
          <w:color w:val="auto"/>
          <w:sz w:val="24"/>
          <w:szCs w:val="24"/>
          <w:highlight w:val="none"/>
        </w:rPr>
      </w:pPr>
      <w:bookmarkStart w:id="37" w:name="_Toc245897285"/>
      <w:bookmarkStart w:id="38" w:name="_Toc243906325"/>
      <w:bookmarkStart w:id="39" w:name="_Toc233274825"/>
      <w:bookmarkStart w:id="40" w:name="_Toc243907585"/>
      <w:r>
        <w:rPr>
          <w:rFonts w:hint="eastAsia" w:hAnsi="宋体" w:cs="宋体"/>
          <w:b/>
          <w:bCs/>
          <w:color w:val="auto"/>
          <w:sz w:val="24"/>
          <w:szCs w:val="24"/>
          <w:highlight w:val="none"/>
          <w:lang w:val="en-US" w:eastAsia="zh-CN"/>
        </w:rPr>
        <w:t>6</w:t>
      </w:r>
      <w:r>
        <w:rPr>
          <w:rFonts w:hint="eastAsia" w:hAnsi="宋体" w:cs="宋体"/>
          <w:b/>
          <w:bCs/>
          <w:color w:val="auto"/>
          <w:sz w:val="24"/>
          <w:szCs w:val="24"/>
          <w:highlight w:val="none"/>
        </w:rPr>
        <w:t>、响应文件的组成</w:t>
      </w:r>
      <w:bookmarkEnd w:id="37"/>
      <w:bookmarkEnd w:id="38"/>
      <w:bookmarkEnd w:id="39"/>
      <w:bookmarkEnd w:id="40"/>
    </w:p>
    <w:p w14:paraId="4C8FF4AF">
      <w:pPr>
        <w:pStyle w:val="16"/>
        <w:spacing w:line="360" w:lineRule="auto"/>
        <w:ind w:firstLine="440"/>
        <w:rPr>
          <w:rFonts w:hint="eastAsia" w:hAnsi="宋体" w:cs="宋体"/>
          <w:color w:val="auto"/>
          <w:sz w:val="24"/>
          <w:szCs w:val="24"/>
          <w:highlight w:val="none"/>
        </w:rPr>
      </w:pPr>
      <w:r>
        <w:rPr>
          <w:rFonts w:hint="eastAsia" w:hAnsi="宋体" w:cs="宋体"/>
          <w:color w:val="auto"/>
          <w:sz w:val="24"/>
          <w:szCs w:val="24"/>
          <w:highlight w:val="none"/>
        </w:rPr>
        <w:t>响应文件包括但不限于以下内容，各供应商应对照磋商文件要求提供相关的证明资料（具体详见第八章目录内容）：</w:t>
      </w:r>
    </w:p>
    <w:p w14:paraId="21868F2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一、投标文件封面</w:t>
      </w:r>
    </w:p>
    <w:p w14:paraId="3EEAA50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二、资格审查资料</w:t>
      </w:r>
    </w:p>
    <w:p w14:paraId="34A1216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三、商务技术文件组成</w:t>
      </w:r>
    </w:p>
    <w:p w14:paraId="3330886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四、其它资料</w:t>
      </w:r>
    </w:p>
    <w:p w14:paraId="3506D9F4">
      <w:pPr>
        <w:pStyle w:val="16"/>
        <w:spacing w:line="360" w:lineRule="auto"/>
        <w:ind w:firstLine="422" w:firstLineChars="175"/>
        <w:rPr>
          <w:rFonts w:hint="eastAsia" w:hAnsi="宋体" w:cs="宋体"/>
          <w:b/>
          <w:color w:val="auto"/>
          <w:sz w:val="24"/>
          <w:szCs w:val="24"/>
          <w:highlight w:val="none"/>
        </w:rPr>
      </w:pPr>
      <w:r>
        <w:rPr>
          <w:rFonts w:hint="eastAsia" w:hAnsi="宋体" w:cs="宋体"/>
          <w:b/>
          <w:color w:val="auto"/>
          <w:sz w:val="24"/>
          <w:szCs w:val="24"/>
          <w:highlight w:val="none"/>
        </w:rPr>
        <w:t>特别说明：</w:t>
      </w:r>
    </w:p>
    <w:p w14:paraId="49DCF698">
      <w:pPr>
        <w:pStyle w:val="16"/>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上述各种证件、证书等资料原件的扫描件，供应商应如实提供资料，并保证真实可靠，不得弄虚作假。如供应商隐瞒事实真相、弄虚作假，一经查实，取消该供应商的磋商资格，若成交的，取消其成交资格。</w:t>
      </w:r>
    </w:p>
    <w:p w14:paraId="4253899F">
      <w:pPr>
        <w:pStyle w:val="16"/>
        <w:spacing w:line="360" w:lineRule="auto"/>
        <w:ind w:firstLine="482" w:firstLineChars="200"/>
        <w:outlineLvl w:val="1"/>
        <w:rPr>
          <w:rFonts w:hint="eastAsia" w:ascii="宋体" w:hAnsi="宋体" w:eastAsia="宋体" w:cs="宋体"/>
          <w:b/>
          <w:bCs/>
          <w:color w:val="auto"/>
          <w:sz w:val="24"/>
          <w:szCs w:val="24"/>
          <w:highlight w:val="none"/>
        </w:rPr>
      </w:pPr>
      <w:bookmarkStart w:id="41" w:name="_Toc246216196"/>
      <w:bookmarkStart w:id="42" w:name="_Toc243906326"/>
      <w:bookmarkStart w:id="43" w:name="_Toc243907587"/>
      <w:bookmarkStart w:id="44" w:name="_Toc233274827"/>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商务报价</w:t>
      </w:r>
      <w:bookmarkEnd w:id="41"/>
      <w:bookmarkEnd w:id="42"/>
      <w:bookmarkEnd w:id="43"/>
      <w:bookmarkEnd w:id="44"/>
    </w:p>
    <w:p w14:paraId="23282D14">
      <w:pPr>
        <w:pStyle w:val="16"/>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default"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本工程投标计价方式已在投标人须知前附表中列清。</w:t>
      </w:r>
    </w:p>
    <w:p w14:paraId="6AD9AAD7">
      <w:pPr>
        <w:pStyle w:val="16"/>
        <w:spacing w:line="360"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投标人应当根据《建设工程工程量清单计价规范》GB50500-2013、企业定额及当地市场因素及工程特点等报出综合单价；投标人应按招标人提供的工程量填报价格。</w:t>
      </w:r>
    </w:p>
    <w:p w14:paraId="075047D2">
      <w:pPr>
        <w:pStyle w:val="16"/>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7.3除非招标人对磋商文件予以修改，投标人应按招标人提供的工程量清单中列出的工程项目和工程量填报单价和合价。</w:t>
      </w:r>
    </w:p>
    <w:p w14:paraId="3A8C0292">
      <w:pPr>
        <w:pStyle w:val="16"/>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default"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4招标人认为投标人的投标报价已包括本招标范围内的全部内容</w:t>
      </w:r>
      <w:r>
        <w:rPr>
          <w:rFonts w:hint="default"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如果投标人没有填入单价或价格的细目在实施时业主将不予支付，并认为此细目的费用已包括在工程量清单的其它单价和价格之中。</w:t>
      </w:r>
    </w:p>
    <w:p w14:paraId="07DAA05D">
      <w:pPr>
        <w:pStyle w:val="16"/>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7.5</w:t>
      </w:r>
      <w:r>
        <w:rPr>
          <w:rFonts w:hint="eastAsia" w:ascii="宋体" w:hAnsi="宋体" w:eastAsia="宋体" w:cs="宋体"/>
          <w:color w:val="auto"/>
          <w:sz w:val="24"/>
          <w:szCs w:val="24"/>
          <w:highlight w:val="none"/>
          <w:lang w:val="zh-CN" w:eastAsia="zh-CN"/>
        </w:rPr>
        <w:t>投标价由投标人自主确定，但不得低于成本；</w:t>
      </w:r>
    </w:p>
    <w:p w14:paraId="052692A3">
      <w:pPr>
        <w:pStyle w:val="16"/>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7.6商务报价总价应包括的内容和计价因素</w:t>
      </w:r>
    </w:p>
    <w:p w14:paraId="79294563">
      <w:pPr>
        <w:pStyle w:val="45"/>
        <w:spacing w:line="360" w:lineRule="auto"/>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（1）完成</w:t>
      </w:r>
      <w:r>
        <w:rPr>
          <w:rFonts w:hint="eastAsia" w:ascii="宋体" w:hAnsi="宋体" w:cs="宋体"/>
          <w:color w:val="auto"/>
          <w:kern w:val="2"/>
          <w:sz w:val="24"/>
          <w:szCs w:val="24"/>
          <w:highlight w:val="none"/>
          <w:lang w:val="zh-CN" w:eastAsia="zh-CN" w:bidi="ar-SA"/>
        </w:rPr>
        <w:t>乃仁克尔乡艾勒斯特村农田机耕道建设项目</w:t>
      </w:r>
      <w:r>
        <w:rPr>
          <w:rFonts w:hint="eastAsia" w:ascii="宋体" w:hAnsi="宋体" w:eastAsia="宋体" w:cs="宋体"/>
          <w:color w:val="auto"/>
          <w:kern w:val="2"/>
          <w:sz w:val="24"/>
          <w:szCs w:val="24"/>
          <w:highlight w:val="none"/>
          <w:lang w:val="zh-CN" w:eastAsia="zh-CN" w:bidi="ar-SA"/>
        </w:rPr>
        <w:t>应承担的所有工作。</w:t>
      </w:r>
    </w:p>
    <w:p w14:paraId="5C672937">
      <w:pPr>
        <w:autoSpaceDE w:val="0"/>
        <w:autoSpaceDN w:val="0"/>
        <w:adjustRightInd w:val="0"/>
        <w:spacing w:line="300" w:lineRule="auto"/>
        <w:ind w:firstLine="42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（2）供应商的商务报价应是为采购人提供全部合同工作内容，以及合同文本、技术规范及标准、项目采购需求及本磋商文件约定的所有费用的总和。</w:t>
      </w:r>
    </w:p>
    <w:p w14:paraId="2B899C30">
      <w:pPr>
        <w:autoSpaceDE w:val="0"/>
        <w:autoSpaceDN w:val="0"/>
        <w:adjustRightInd w:val="0"/>
        <w:spacing w:line="300" w:lineRule="auto"/>
        <w:ind w:firstLine="42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任何因供应商忽视或误解采购范围、技术规范及标准、项目采购需求、合同文本和项目现场情况，若成交，采购人将不予批准由此而产生的索赔或服务期延长申请。</w:t>
      </w:r>
    </w:p>
    <w:p w14:paraId="1D7CA230">
      <w:pPr>
        <w:autoSpaceDE w:val="0"/>
        <w:autoSpaceDN w:val="0"/>
        <w:adjustRightInd w:val="0"/>
        <w:spacing w:line="300" w:lineRule="auto"/>
        <w:ind w:firstLine="420"/>
        <w:rPr>
          <w:rFonts w:hint="eastAsia" w:ascii="宋体" w:hAnsi="宋体" w:cs="宋体"/>
          <w:color w:val="auto"/>
          <w:sz w:val="24"/>
          <w:szCs w:val="24"/>
          <w:highlight w:val="none"/>
        </w:rPr>
      </w:pPr>
      <w:r>
        <w:rPr>
          <w:rFonts w:hint="eastAsia" w:ascii="宋体" w:hAnsi="宋体" w:eastAsia="宋体" w:cs="宋体"/>
          <w:color w:val="auto"/>
          <w:kern w:val="2"/>
          <w:sz w:val="24"/>
          <w:szCs w:val="24"/>
          <w:highlight w:val="none"/>
          <w:lang w:val="zh-CN" w:eastAsia="zh-CN" w:bidi="ar-SA"/>
        </w:rPr>
        <w:t>供应商根据对本磋商文件、技术规范和标准、项目采购需求、合同文本的理解，应达到的</w:t>
      </w:r>
      <w:r>
        <w:rPr>
          <w:rFonts w:hint="eastAsia" w:ascii="宋体" w:hAnsi="宋体" w:eastAsia="宋体" w:cs="宋体"/>
          <w:color w:val="auto"/>
          <w:kern w:val="2"/>
          <w:sz w:val="24"/>
          <w:szCs w:val="24"/>
          <w:highlight w:val="none"/>
          <w:lang w:val="en-US" w:eastAsia="zh-CN" w:bidi="ar-SA"/>
        </w:rPr>
        <w:t>质量</w:t>
      </w:r>
      <w:r>
        <w:rPr>
          <w:rFonts w:hint="eastAsia" w:ascii="宋体" w:hAnsi="宋体" w:eastAsia="宋体" w:cs="宋体"/>
          <w:color w:val="auto"/>
          <w:kern w:val="2"/>
          <w:sz w:val="24"/>
          <w:szCs w:val="24"/>
          <w:highlight w:val="none"/>
          <w:lang w:val="zh-CN" w:eastAsia="zh-CN" w:bidi="ar-SA"/>
        </w:rPr>
        <w:t>验收标准等要求，结合市场情况进行商务报价。供应商应</w:t>
      </w:r>
      <w:r>
        <w:rPr>
          <w:rFonts w:hint="eastAsia" w:ascii="宋体" w:hAnsi="宋体" w:cs="宋体"/>
          <w:color w:val="auto"/>
          <w:sz w:val="24"/>
          <w:szCs w:val="24"/>
          <w:highlight w:val="none"/>
        </w:rPr>
        <w:t>充分考虑合同执行期内工程的市场风险和国家政策性调整风险等因素对商务报价的影响。</w:t>
      </w:r>
    </w:p>
    <w:p w14:paraId="2A24B6DE">
      <w:pPr>
        <w:spacing w:line="360" w:lineRule="auto"/>
        <w:ind w:firstLine="482"/>
        <w:jc w:val="left"/>
        <w:rPr>
          <w:rFonts w:hint="eastAsia" w:ascii="宋体" w:hAnsi="宋体" w:cs="宋体"/>
          <w:color w:val="auto"/>
          <w:sz w:val="24"/>
          <w:szCs w:val="24"/>
          <w:highlight w:val="none"/>
        </w:rPr>
      </w:pPr>
      <w:bookmarkStart w:id="45" w:name="_Toc243907588"/>
      <w:bookmarkStart w:id="46" w:name="_Toc233274828"/>
      <w:bookmarkStart w:id="47" w:name="_Toc243906327"/>
      <w:bookmarkStart w:id="48" w:name="_Toc246216197"/>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供应商应按照磋商文件所附的格式完整地填写开标一览表。供应商应对采购范围内的全部内容进行报价。</w:t>
      </w:r>
    </w:p>
    <w:p w14:paraId="0072E098">
      <w:pPr>
        <w:spacing w:line="360" w:lineRule="auto"/>
        <w:ind w:firstLine="482"/>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供应商若成交，不得以任何理由在合同执行期间对其投标文件响应内容进行调整。任何调整的要求将被认为是非响应而予以拒绝。</w:t>
      </w:r>
    </w:p>
    <w:bookmarkEnd w:id="45"/>
    <w:bookmarkEnd w:id="46"/>
    <w:bookmarkEnd w:id="47"/>
    <w:bookmarkEnd w:id="48"/>
    <w:p w14:paraId="261FE150">
      <w:pPr>
        <w:spacing w:line="360" w:lineRule="auto"/>
        <w:ind w:firstLine="482"/>
        <w:jc w:val="left"/>
        <w:rPr>
          <w:rFonts w:hint="eastAsia" w:ascii="宋体" w:hAnsi="宋体" w:eastAsia="宋体" w:cs="宋体"/>
          <w:b/>
          <w:bCs/>
          <w:color w:val="auto"/>
          <w:kern w:val="2"/>
          <w:sz w:val="24"/>
          <w:szCs w:val="24"/>
          <w:highlight w:val="none"/>
          <w:lang w:val="en-US" w:eastAsia="zh-CN" w:bidi="ar-SA"/>
        </w:rPr>
      </w:pPr>
      <w:bookmarkStart w:id="49" w:name="_Toc245897288"/>
      <w:r>
        <w:rPr>
          <w:rFonts w:hint="eastAsia" w:ascii="宋体" w:hAnsi="宋体" w:eastAsia="宋体" w:cs="宋体"/>
          <w:b/>
          <w:bCs/>
          <w:color w:val="auto"/>
          <w:kern w:val="2"/>
          <w:sz w:val="24"/>
          <w:szCs w:val="24"/>
          <w:highlight w:val="none"/>
          <w:lang w:val="en-US" w:eastAsia="zh-CN" w:bidi="ar-SA"/>
        </w:rPr>
        <w:t>8、商务报价货币</w:t>
      </w:r>
      <w:bookmarkEnd w:id="49"/>
    </w:p>
    <w:p w14:paraId="3CDAE816">
      <w:pPr>
        <w:spacing w:line="360" w:lineRule="auto"/>
        <w:ind w:firstLine="482"/>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.1开标一览表和响应文件中的所有报价一律使用人民币填报。</w:t>
      </w:r>
    </w:p>
    <w:p w14:paraId="67A35B56">
      <w:pPr>
        <w:spacing w:line="360" w:lineRule="auto"/>
        <w:ind w:firstLine="482"/>
        <w:jc w:val="left"/>
        <w:rPr>
          <w:rFonts w:hint="eastAsia" w:ascii="宋体" w:hAnsi="宋体" w:eastAsia="宋体" w:cs="宋体"/>
          <w:b/>
          <w:bCs/>
          <w:color w:val="auto"/>
          <w:kern w:val="2"/>
          <w:sz w:val="24"/>
          <w:szCs w:val="24"/>
          <w:highlight w:val="none"/>
          <w:lang w:val="en-US" w:eastAsia="zh-CN" w:bidi="ar-SA"/>
        </w:rPr>
      </w:pPr>
      <w:bookmarkStart w:id="50" w:name="_Toc243906328"/>
      <w:bookmarkStart w:id="51" w:name="_Toc243907589"/>
      <w:bookmarkStart w:id="52" w:name="_Toc245897289"/>
      <w:bookmarkStart w:id="53" w:name="_Toc233274829"/>
      <w:r>
        <w:rPr>
          <w:rFonts w:hint="eastAsia" w:ascii="宋体" w:hAnsi="宋体" w:eastAsia="宋体" w:cs="宋体"/>
          <w:b/>
          <w:bCs/>
          <w:color w:val="auto"/>
          <w:kern w:val="2"/>
          <w:sz w:val="24"/>
          <w:szCs w:val="24"/>
          <w:highlight w:val="none"/>
          <w:lang w:val="en-US" w:eastAsia="zh-CN" w:bidi="ar-SA"/>
        </w:rPr>
        <w:t>9、供应商资格证明文件</w:t>
      </w:r>
      <w:bookmarkEnd w:id="50"/>
      <w:bookmarkEnd w:id="51"/>
      <w:bookmarkEnd w:id="52"/>
      <w:bookmarkEnd w:id="53"/>
    </w:p>
    <w:p w14:paraId="7D907D13">
      <w:pPr>
        <w:spacing w:line="360" w:lineRule="auto"/>
        <w:ind w:firstLine="482"/>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.1供应商必须提交证明其有资格参加磋商和成交后有能力履行合同的文件。</w:t>
      </w:r>
    </w:p>
    <w:p w14:paraId="3BA9A649">
      <w:pPr>
        <w:spacing w:line="360" w:lineRule="auto"/>
        <w:ind w:firstLine="482"/>
        <w:jc w:val="left"/>
        <w:rPr>
          <w:rFonts w:hint="eastAsia" w:ascii="宋体" w:hAnsi="宋体" w:eastAsia="宋体" w:cs="宋体"/>
          <w:b/>
          <w:bCs/>
          <w:color w:val="auto"/>
          <w:kern w:val="2"/>
          <w:sz w:val="24"/>
          <w:szCs w:val="24"/>
          <w:highlight w:val="none"/>
          <w:lang w:val="en-US" w:eastAsia="zh-CN" w:bidi="ar-SA"/>
        </w:rPr>
      </w:pPr>
      <w:bookmarkStart w:id="54" w:name="_Toc243907590"/>
      <w:bookmarkStart w:id="55" w:name="_Toc245897290"/>
      <w:bookmarkStart w:id="56" w:name="_Toc243906329"/>
      <w:bookmarkStart w:id="57" w:name="_Toc233274830"/>
      <w:r>
        <w:rPr>
          <w:rFonts w:hint="eastAsia" w:ascii="宋体" w:hAnsi="宋体" w:eastAsia="宋体" w:cs="宋体"/>
          <w:b/>
          <w:bCs/>
          <w:color w:val="auto"/>
          <w:kern w:val="2"/>
          <w:sz w:val="24"/>
          <w:szCs w:val="24"/>
          <w:highlight w:val="none"/>
          <w:lang w:val="en-US" w:eastAsia="zh-CN" w:bidi="ar-SA"/>
        </w:rPr>
        <w:t>10、提供符合磋商文件规定的技术响应文件</w:t>
      </w:r>
      <w:bookmarkEnd w:id="54"/>
      <w:bookmarkEnd w:id="55"/>
      <w:bookmarkEnd w:id="56"/>
      <w:bookmarkEnd w:id="57"/>
    </w:p>
    <w:p w14:paraId="2A7773C3">
      <w:pPr>
        <w:spacing w:line="360" w:lineRule="auto"/>
        <w:ind w:firstLine="482"/>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.1供应商须提交证明其拟</w:t>
      </w:r>
      <w:r>
        <w:rPr>
          <w:rFonts w:hint="eastAsia" w:ascii="宋体" w:hAnsi="宋体" w:cs="宋体"/>
          <w:color w:val="auto"/>
          <w:sz w:val="24"/>
          <w:szCs w:val="24"/>
          <w:highlight w:val="none"/>
          <w:lang w:val="en-US" w:eastAsia="zh-CN"/>
        </w:rPr>
        <w:t>施工工程</w:t>
      </w:r>
      <w:r>
        <w:rPr>
          <w:rFonts w:hint="eastAsia" w:ascii="宋体" w:hAnsi="宋体" w:cs="宋体"/>
          <w:color w:val="auto"/>
          <w:sz w:val="24"/>
          <w:szCs w:val="24"/>
          <w:highlight w:val="none"/>
        </w:rPr>
        <w:t>符合磋商文件、技术规范及标准、项目采购需求规定的技术响应文件，作为响应文件的一部分；</w:t>
      </w:r>
    </w:p>
    <w:p w14:paraId="667781EC">
      <w:pPr>
        <w:spacing w:line="360" w:lineRule="auto"/>
        <w:ind w:firstLine="482"/>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.2供应商应逐条对磋商文件、项目采购需求、合同文本等进行仔细阅读，提出自己的施工内容是否对其做出了实质性的响应。</w:t>
      </w:r>
    </w:p>
    <w:p w14:paraId="6E43E670">
      <w:pPr>
        <w:spacing w:line="360" w:lineRule="auto"/>
        <w:ind w:firstLine="482"/>
        <w:jc w:val="left"/>
        <w:rPr>
          <w:rFonts w:hint="eastAsia" w:ascii="宋体" w:hAnsi="宋体" w:cs="宋体"/>
          <w:b/>
          <w:bCs/>
          <w:color w:val="auto"/>
          <w:sz w:val="24"/>
          <w:szCs w:val="24"/>
          <w:highlight w:val="none"/>
        </w:rPr>
      </w:pPr>
      <w:bookmarkStart w:id="58" w:name="_Toc245897291"/>
      <w:bookmarkStart w:id="59" w:name="_Toc243906330"/>
      <w:bookmarkStart w:id="60" w:name="_Toc243907591"/>
      <w:bookmarkStart w:id="61" w:name="_Toc233274831"/>
      <w:r>
        <w:rPr>
          <w:rFonts w:hint="eastAsia" w:ascii="宋体" w:hAnsi="宋体" w:cs="宋体"/>
          <w:b/>
          <w:bCs/>
          <w:color w:val="auto"/>
          <w:sz w:val="24"/>
          <w:szCs w:val="24"/>
          <w:highlight w:val="none"/>
          <w:lang w:val="en-US" w:eastAsia="zh-CN"/>
        </w:rPr>
        <w:t>11</w:t>
      </w:r>
      <w:r>
        <w:rPr>
          <w:rFonts w:hint="eastAsia" w:ascii="宋体" w:hAnsi="宋体" w:cs="宋体"/>
          <w:b/>
          <w:bCs/>
          <w:color w:val="auto"/>
          <w:sz w:val="24"/>
          <w:szCs w:val="24"/>
          <w:highlight w:val="none"/>
        </w:rPr>
        <w:t>、响应文件有效期</w:t>
      </w:r>
      <w:bookmarkEnd w:id="58"/>
      <w:bookmarkEnd w:id="59"/>
      <w:bookmarkEnd w:id="60"/>
      <w:bookmarkEnd w:id="61"/>
    </w:p>
    <w:p w14:paraId="4DB0F427">
      <w:pPr>
        <w:spacing w:line="360" w:lineRule="auto"/>
        <w:ind w:firstLine="482"/>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.1响应文件有效期为90日历</w:t>
      </w:r>
      <w:r>
        <w:rPr>
          <w:rFonts w:hint="eastAsia" w:ascii="宋体" w:hAnsi="宋体" w:cs="宋体"/>
          <w:color w:val="auto"/>
          <w:sz w:val="24"/>
          <w:szCs w:val="24"/>
          <w:highlight w:val="none"/>
          <w:lang w:val="en-US" w:eastAsia="zh-CN"/>
        </w:rPr>
        <w:t>天</w:t>
      </w:r>
      <w:r>
        <w:rPr>
          <w:rFonts w:hint="eastAsia" w:ascii="宋体" w:hAnsi="宋体" w:eastAsia="宋体" w:cs="宋体"/>
          <w:color w:val="auto"/>
          <w:kern w:val="0"/>
          <w:sz w:val="24"/>
          <w:szCs w:val="24"/>
          <w:highlight w:val="none"/>
          <w:lang w:bidi="zh-CN"/>
        </w:rPr>
        <w:t>（从投标截止之日算起）</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rPr>
        <w:t>供应商的响应文件有效期比规定的有效期短的，将被视为非响应而予以拒绝。</w:t>
      </w:r>
    </w:p>
    <w:p w14:paraId="45594B99">
      <w:pPr>
        <w:spacing w:line="360" w:lineRule="auto"/>
        <w:ind w:firstLine="482"/>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2特殊情况下，在原有效期届满之前，采购人可征得供应商的同意延长其有效期，这种要求与答复均应以书面形式。供应商拒绝延长的，其响应文件失效。同意延长有效期的供应商，既不要求也不允许其修改响应文件。</w:t>
      </w:r>
    </w:p>
    <w:p w14:paraId="7670D4E4">
      <w:pPr>
        <w:spacing w:line="360" w:lineRule="auto"/>
        <w:ind w:firstLine="482"/>
        <w:jc w:val="left"/>
        <w:rPr>
          <w:rFonts w:hint="eastAsia" w:ascii="宋体" w:hAnsi="宋体" w:eastAsia="宋体" w:cs="宋体"/>
          <w:b/>
          <w:bCs/>
          <w:color w:val="auto"/>
          <w:sz w:val="24"/>
          <w:szCs w:val="24"/>
          <w:highlight w:val="none"/>
        </w:rPr>
      </w:pPr>
      <w:bookmarkStart w:id="62" w:name="_Toc233274832"/>
      <w:bookmarkStart w:id="63" w:name="_Toc243906331"/>
      <w:bookmarkStart w:id="64" w:name="_Toc243907592"/>
      <w:bookmarkStart w:id="65" w:name="_Toc245897292"/>
      <w:r>
        <w:rPr>
          <w:rFonts w:hint="eastAsia" w:ascii="宋体" w:hAnsi="宋体" w:eastAsia="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rPr>
        <w:t>、响应文件的签署及规定</w:t>
      </w:r>
      <w:bookmarkEnd w:id="62"/>
      <w:bookmarkEnd w:id="63"/>
      <w:bookmarkEnd w:id="64"/>
      <w:bookmarkEnd w:id="65"/>
    </w:p>
    <w:p w14:paraId="3708DDE3">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.1所有响应文件均为明标。</w:t>
      </w:r>
    </w:p>
    <w:p w14:paraId="29EFD581">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.2供应商将政采云电子交易客户端下载、安装完成后，可通过账号密码或CA登录客户端进行投标文件制作；</w:t>
      </w:r>
      <w:r>
        <w:rPr>
          <w:rFonts w:hint="eastAsia" w:ascii="宋体" w:hAnsi="宋体" w:eastAsia="宋体" w:cs="宋体"/>
          <w:color w:val="auto"/>
          <w:sz w:val="24"/>
          <w:szCs w:val="24"/>
          <w:highlight w:val="none"/>
          <w:lang w:val="zh-CN"/>
        </w:rPr>
        <w:t>投标文件应根据格式要求在需要盖章和（或）签字的地方进行签章和（或）签字；</w:t>
      </w:r>
      <w:r>
        <w:rPr>
          <w:rFonts w:hint="eastAsia" w:ascii="宋体" w:hAnsi="宋体" w:eastAsia="宋体" w:cs="宋体"/>
          <w:color w:val="auto"/>
          <w:sz w:val="24"/>
          <w:szCs w:val="24"/>
          <w:highlight w:val="none"/>
        </w:rPr>
        <w:t>在使用政采云投标客户端时，建议使用WIN7及以上操作系统。客户端请至新疆政府采购网下载专区查看，如有问题可拨打政采云客户服务热线政采云客户服务热线</w:t>
      </w:r>
      <w:r>
        <w:rPr>
          <w:rFonts w:hint="eastAsia" w:ascii="宋体" w:hAnsi="宋体" w:eastAsia="宋体" w:cs="宋体"/>
          <w:color w:val="auto"/>
          <w:sz w:val="24"/>
          <w:szCs w:val="24"/>
          <w:highlight w:val="none"/>
          <w:lang w:val="en-US"/>
        </w:rPr>
        <w:t>95763</w:t>
      </w:r>
      <w:r>
        <w:rPr>
          <w:rFonts w:hint="eastAsia" w:ascii="宋体" w:hAnsi="宋体" w:eastAsia="宋体" w:cs="宋体"/>
          <w:color w:val="auto"/>
          <w:sz w:val="24"/>
          <w:szCs w:val="24"/>
          <w:highlight w:val="none"/>
        </w:rPr>
        <w:t>进行咨询进行咨询。</w:t>
      </w:r>
    </w:p>
    <w:p w14:paraId="5810246B">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.3供应商应</w:t>
      </w:r>
      <w:r>
        <w:rPr>
          <w:rFonts w:hint="eastAsia" w:ascii="宋体" w:hAnsi="宋体" w:eastAsia="宋体" w:cs="宋体"/>
          <w:color w:val="auto"/>
          <w:sz w:val="24"/>
          <w:szCs w:val="24"/>
          <w:highlight w:val="none"/>
          <w:lang w:val="en-US" w:eastAsia="zh-CN"/>
        </w:rPr>
        <w:t>按投标须知相关要求</w:t>
      </w:r>
      <w:r>
        <w:rPr>
          <w:rFonts w:hint="eastAsia" w:ascii="宋体" w:hAnsi="宋体" w:eastAsia="宋体" w:cs="宋体"/>
          <w:color w:val="auto"/>
          <w:sz w:val="24"/>
          <w:szCs w:val="24"/>
          <w:highlight w:val="none"/>
        </w:rPr>
        <w:t>提交响应文件。</w:t>
      </w:r>
    </w:p>
    <w:p w14:paraId="780FC301">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（投标现场无需递交投标文件，中标单位公示完之后需提供）：纸质版投标文件：一式</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份，其中正本壹份，副本</w:t>
      </w:r>
      <w:r>
        <w:rPr>
          <w:rFonts w:hint="eastAsia" w:ascii="宋体" w:hAnsi="宋体" w:eastAsia="宋体" w:cs="宋体"/>
          <w:color w:val="auto"/>
          <w:sz w:val="24"/>
          <w:szCs w:val="24"/>
          <w:highlight w:val="none"/>
          <w:lang w:val="en-US" w:eastAsia="zh-CN"/>
        </w:rPr>
        <w:t>两</w:t>
      </w:r>
      <w:r>
        <w:rPr>
          <w:rFonts w:hint="eastAsia" w:ascii="宋体" w:hAnsi="宋体" w:eastAsia="宋体" w:cs="宋体"/>
          <w:color w:val="auto"/>
          <w:sz w:val="24"/>
          <w:szCs w:val="24"/>
          <w:highlight w:val="none"/>
        </w:rPr>
        <w:t>份，按A4打印纸页面编制、装订；需编制目录及页码；在每一份响应文件上要明确注明“正本”或“副本”字样，如正、副本之间有差异，以正本为准；投标文件电子版：以光盘</w:t>
      </w:r>
      <w:r>
        <w:rPr>
          <w:rFonts w:hint="eastAsia" w:ascii="宋体" w:hAnsi="宋体" w:eastAsia="宋体" w:cs="宋体"/>
          <w:color w:val="auto"/>
          <w:sz w:val="24"/>
          <w:szCs w:val="24"/>
          <w:highlight w:val="none"/>
          <w:lang w:val="en-US" w:eastAsia="zh-CN"/>
        </w:rPr>
        <w:t>或u盘</w:t>
      </w:r>
      <w:r>
        <w:rPr>
          <w:rFonts w:hint="eastAsia" w:ascii="宋体" w:hAnsi="宋体" w:eastAsia="宋体" w:cs="宋体"/>
          <w:color w:val="auto"/>
          <w:sz w:val="24"/>
          <w:szCs w:val="24"/>
          <w:highlight w:val="none"/>
        </w:rPr>
        <w:t>为介质的投标文件电子版</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份。</w:t>
      </w:r>
    </w:p>
    <w:p w14:paraId="2BCD0AE5">
      <w:pPr>
        <w:pStyle w:val="16"/>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12.4采购人概不接受电报、电传、电话、邮寄以及电子邮件等方式的磋商。</w:t>
      </w:r>
    </w:p>
    <w:p w14:paraId="01835C2D">
      <w:pPr>
        <w:spacing w:line="360" w:lineRule="auto"/>
        <w:ind w:firstLine="482"/>
        <w:jc w:val="left"/>
        <w:rPr>
          <w:rFonts w:hint="eastAsia" w:ascii="宋体" w:hAnsi="宋体" w:cs="宋体"/>
          <w:b/>
          <w:bCs/>
          <w:color w:val="auto"/>
          <w:sz w:val="24"/>
          <w:szCs w:val="24"/>
          <w:highlight w:val="none"/>
        </w:rPr>
      </w:pPr>
      <w:bookmarkStart w:id="66" w:name="_Toc245897298"/>
      <w:bookmarkStart w:id="67" w:name="_Toc243907598"/>
      <w:bookmarkStart w:id="68" w:name="_Toc243906337"/>
      <w:bookmarkStart w:id="69" w:name="_Toc233274838"/>
      <w:r>
        <w:rPr>
          <w:rFonts w:hint="eastAsia" w:ascii="宋体" w:hAnsi="宋体" w:cs="宋体"/>
          <w:b/>
          <w:bCs/>
          <w:color w:val="auto"/>
          <w:sz w:val="24"/>
          <w:szCs w:val="24"/>
          <w:highlight w:val="none"/>
          <w:lang w:val="en-US" w:eastAsia="zh-CN"/>
        </w:rPr>
        <w:t>13</w:t>
      </w:r>
      <w:r>
        <w:rPr>
          <w:rFonts w:hint="eastAsia" w:ascii="宋体" w:hAnsi="宋体" w:cs="宋体"/>
          <w:b/>
          <w:bCs/>
          <w:color w:val="auto"/>
          <w:sz w:val="24"/>
          <w:szCs w:val="24"/>
          <w:highlight w:val="none"/>
        </w:rPr>
        <w:t>、响应文件的递交、修改和撤回</w:t>
      </w:r>
      <w:bookmarkEnd w:id="66"/>
      <w:bookmarkEnd w:id="67"/>
      <w:bookmarkEnd w:id="68"/>
      <w:bookmarkEnd w:id="69"/>
    </w:p>
    <w:p w14:paraId="6384EC64">
      <w:pPr>
        <w:spacing w:line="360" w:lineRule="auto"/>
        <w:ind w:firstLine="482"/>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.1投标人必须按投标人须知前附表</w:t>
      </w:r>
      <w:r>
        <w:rPr>
          <w:rFonts w:hint="eastAsia" w:ascii="宋体" w:hAnsi="宋体" w:eastAsia="宋体" w:cs="宋体"/>
          <w:color w:val="auto"/>
          <w:sz w:val="24"/>
          <w:szCs w:val="24"/>
          <w:highlight w:val="none"/>
          <w:lang w:val="en-US" w:eastAsia="zh-CN"/>
        </w:rPr>
        <w:t>中</w:t>
      </w:r>
      <w:r>
        <w:rPr>
          <w:rFonts w:hint="eastAsia" w:ascii="宋体" w:hAnsi="宋体" w:eastAsia="宋体" w:cs="宋体"/>
          <w:color w:val="auto"/>
          <w:sz w:val="24"/>
          <w:szCs w:val="24"/>
          <w:highlight w:val="none"/>
        </w:rPr>
        <w:t>规定，将投标文件</w:t>
      </w:r>
      <w:r>
        <w:rPr>
          <w:rFonts w:hint="eastAsia" w:ascii="宋体" w:hAnsi="宋体" w:eastAsia="宋体" w:cs="宋体"/>
          <w:color w:val="auto"/>
          <w:sz w:val="24"/>
          <w:szCs w:val="24"/>
          <w:highlight w:val="none"/>
          <w:lang w:val="en-US" w:eastAsia="zh-CN"/>
        </w:rPr>
        <w:t>按规定的时间上传政采云平台。</w:t>
      </w:r>
      <w:r>
        <w:rPr>
          <w:rFonts w:hint="eastAsia" w:ascii="宋体" w:hAnsi="宋体" w:eastAsia="宋体" w:cs="宋体"/>
          <w:color w:val="auto"/>
          <w:kern w:val="2"/>
          <w:sz w:val="24"/>
          <w:szCs w:val="24"/>
          <w:highlight w:val="none"/>
          <w:lang w:val="en-US" w:eastAsia="zh-CN" w:bidi="ar-SA"/>
        </w:rPr>
        <w:t>投标截止时间以后上传递交的磋商响应文件将被“政府采购云平台”拒收。</w:t>
      </w:r>
    </w:p>
    <w:p w14:paraId="18975C12">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招标人事先约定延长投标截止时间的，招标人与投标人以前的投标截止期方面的全部权利、责任和义务，将适用延长至新的投标截止期。</w:t>
      </w:r>
    </w:p>
    <w:p w14:paraId="1E7B91A7">
      <w:pPr>
        <w:spacing w:line="360" w:lineRule="auto"/>
        <w:ind w:firstLine="482"/>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13.3</w:t>
      </w:r>
      <w:r>
        <w:rPr>
          <w:rFonts w:hint="eastAsia" w:ascii="宋体" w:hAnsi="宋体" w:cs="宋体"/>
          <w:color w:val="auto"/>
          <w:sz w:val="24"/>
          <w:szCs w:val="24"/>
          <w:highlight w:val="none"/>
        </w:rPr>
        <w:t>供应商在提交响应文件后可在截止时间前对其响应文件进行修改或撤回</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截止时间之后，除磋商阶段外供应商不得对已投响应文件做任何修改。</w:t>
      </w:r>
    </w:p>
    <w:p w14:paraId="53C5FCAF">
      <w:pPr>
        <w:spacing w:line="360" w:lineRule="auto"/>
        <w:ind w:right="-189" w:rightChars="-90" w:firstLine="482"/>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13</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供应商不得在截止时间起至响应文件有效期期满前撤回响应文件。</w:t>
      </w:r>
    </w:p>
    <w:p w14:paraId="531CE650">
      <w:pPr>
        <w:spacing w:line="360" w:lineRule="auto"/>
        <w:ind w:firstLine="482"/>
        <w:jc w:val="left"/>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14</w:t>
      </w:r>
      <w:r>
        <w:rPr>
          <w:rFonts w:hint="eastAsia" w:ascii="宋体" w:hAnsi="宋体" w:cs="宋体"/>
          <w:b/>
          <w:bCs/>
          <w:color w:val="auto"/>
          <w:sz w:val="24"/>
          <w:szCs w:val="24"/>
          <w:highlight w:val="none"/>
        </w:rPr>
        <w:t>、响应文件的</w:t>
      </w:r>
      <w:r>
        <w:rPr>
          <w:rFonts w:hint="eastAsia" w:ascii="宋体" w:hAnsi="宋体" w:eastAsia="宋体" w:cs="宋体"/>
          <w:b/>
          <w:bCs/>
          <w:color w:val="auto"/>
          <w:sz w:val="24"/>
          <w:szCs w:val="24"/>
          <w:highlight w:val="none"/>
        </w:rPr>
        <w:t>澄清</w:t>
      </w:r>
    </w:p>
    <w:p w14:paraId="7BFA679B">
      <w:pPr>
        <w:spacing w:line="360" w:lineRule="auto"/>
        <w:ind w:firstLine="482"/>
        <w:jc w:val="left"/>
        <w:rPr>
          <w:rFonts w:hint="eastAsia" w:hAnsi="宋体" w:cs="宋体"/>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.1评标过程中，评标委员会为了有助于投标文件的评审，可以要求投标人就投标文件中非改变实质性内容的部分，做出说明并提供相关材料进行澄清，但改变投标文件实质性内容的澄清评标委员会将不予接受。</w:t>
      </w:r>
    </w:p>
    <w:p w14:paraId="29955A51">
      <w:pPr>
        <w:pStyle w:val="77"/>
        <w:spacing w:line="360" w:lineRule="auto"/>
        <w:ind w:firstLine="2108" w:firstLineChars="700"/>
        <w:rPr>
          <w:rFonts w:hint="eastAsia" w:hAnsi="宋体" w:cs="宋体"/>
          <w:b/>
          <w:bCs/>
          <w:color w:val="auto"/>
          <w:sz w:val="30"/>
          <w:szCs w:val="30"/>
          <w:highlight w:val="none"/>
        </w:rPr>
      </w:pPr>
      <w:r>
        <w:rPr>
          <w:rFonts w:hint="eastAsia" w:hAnsi="宋体" w:cs="宋体"/>
          <w:b/>
          <w:color w:val="auto"/>
          <w:sz w:val="30"/>
          <w:szCs w:val="30"/>
          <w:highlight w:val="none"/>
        </w:rPr>
        <w:t>第四章、磋商、评审、确定成交供应商</w:t>
      </w:r>
    </w:p>
    <w:p w14:paraId="5E69CCBE">
      <w:pPr>
        <w:spacing w:line="360" w:lineRule="auto"/>
        <w:ind w:firstLine="482"/>
        <w:jc w:val="left"/>
        <w:rPr>
          <w:rFonts w:hint="eastAsia" w:ascii="宋体" w:hAnsi="宋体" w:eastAsia="宋体" w:cs="宋体"/>
          <w:b/>
          <w:bCs/>
          <w:color w:val="auto"/>
          <w:sz w:val="24"/>
          <w:szCs w:val="24"/>
          <w:highlight w:val="none"/>
        </w:rPr>
      </w:pPr>
      <w:bookmarkStart w:id="70" w:name="_Toc243906340"/>
      <w:bookmarkStart w:id="71" w:name="_Toc243907601"/>
      <w:bookmarkStart w:id="72" w:name="_Toc245897301"/>
      <w:bookmarkStart w:id="73" w:name="_Toc233274841"/>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w:t>
      </w:r>
      <w:bookmarkEnd w:id="70"/>
      <w:bookmarkEnd w:id="71"/>
      <w:bookmarkEnd w:id="72"/>
      <w:bookmarkEnd w:id="73"/>
      <w:r>
        <w:rPr>
          <w:rFonts w:hint="eastAsia" w:ascii="宋体" w:hAnsi="宋体" w:eastAsia="宋体" w:cs="宋体"/>
          <w:b/>
          <w:bCs/>
          <w:color w:val="auto"/>
          <w:sz w:val="24"/>
          <w:szCs w:val="24"/>
          <w:highlight w:val="none"/>
        </w:rPr>
        <w:t>磋商会议</w:t>
      </w:r>
    </w:p>
    <w:p w14:paraId="2FA69974">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.1采购人在本供应商须知前附表规定的时间和地点组织磋商会议。</w:t>
      </w:r>
    </w:p>
    <w:p w14:paraId="1519F80D">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.2本次竞争性磋商采用</w:t>
      </w:r>
      <w:r>
        <w:rPr>
          <w:rFonts w:hint="eastAsia" w:ascii="宋体" w:hAnsi="宋体" w:eastAsia="宋体" w:cs="宋体"/>
          <w:color w:val="auto"/>
          <w:sz w:val="24"/>
          <w:szCs w:val="24"/>
          <w:highlight w:val="none"/>
          <w:lang w:val="en-US" w:eastAsia="zh-CN"/>
        </w:rPr>
        <w:t>不</w:t>
      </w:r>
      <w:r>
        <w:rPr>
          <w:rFonts w:hint="eastAsia" w:ascii="宋体" w:hAnsi="宋体" w:eastAsia="宋体" w:cs="宋体"/>
          <w:color w:val="auto"/>
          <w:sz w:val="24"/>
          <w:szCs w:val="24"/>
          <w:highlight w:val="none"/>
        </w:rPr>
        <w:t>见面方式。</w:t>
      </w:r>
    </w:p>
    <w:p w14:paraId="668DEFE8">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.3磋商会议由采购代理机构组织并主持。</w:t>
      </w:r>
    </w:p>
    <w:p w14:paraId="47FB49EB">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.4在磋商过程中，工作人员如发现响应文件组成部分不齐全，由磋商小组认定其有效性。磋商小组认定的无效响应文件将不进入磋商、评审阶段。</w:t>
      </w:r>
    </w:p>
    <w:p w14:paraId="0CAD444D">
      <w:pPr>
        <w:spacing w:line="360" w:lineRule="auto"/>
        <w:ind w:firstLine="482"/>
        <w:jc w:val="left"/>
        <w:rPr>
          <w:rFonts w:hint="eastAsia" w:ascii="宋体" w:hAnsi="宋体" w:eastAsia="宋体" w:cs="宋体"/>
          <w:b/>
          <w:bCs/>
          <w:color w:val="auto"/>
          <w:sz w:val="24"/>
          <w:szCs w:val="24"/>
          <w:highlight w:val="none"/>
        </w:rPr>
      </w:pPr>
      <w:bookmarkStart w:id="74" w:name="_Toc245897302"/>
      <w:bookmarkStart w:id="75" w:name="_Toc233274842"/>
      <w:bookmarkStart w:id="76" w:name="_Toc243906341"/>
      <w:bookmarkStart w:id="77" w:name="_Toc243907602"/>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、磋商小组</w:t>
      </w:r>
      <w:bookmarkEnd w:id="74"/>
      <w:bookmarkEnd w:id="75"/>
      <w:bookmarkEnd w:id="76"/>
      <w:bookmarkEnd w:id="77"/>
    </w:p>
    <w:p w14:paraId="1965CDA1">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2.1磋商小组成员组成：按照《中华人民共和国政府采购法》、《政府采购竞争性磋商采购方式管理暂行办法》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中华人民共和国招投标法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及相关法律、法规</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rPr>
        <w:t>规定组建，由采购人代表和评审专家组成。磋商小组将负责对供应商提交的响应文件进行磋商、评审，确保磋商、评审过程公正、合法、保密，并向采购人推荐成交候选供应商。</w:t>
      </w:r>
    </w:p>
    <w:p w14:paraId="5C92D8D2">
      <w:pPr>
        <w:spacing w:line="360" w:lineRule="auto"/>
        <w:ind w:firstLine="482"/>
        <w:jc w:val="left"/>
        <w:rPr>
          <w:rFonts w:hint="eastAsia" w:ascii="宋体" w:hAnsi="宋体" w:eastAsia="宋体" w:cs="宋体"/>
          <w:b/>
          <w:bCs/>
          <w:color w:val="auto"/>
          <w:sz w:val="24"/>
          <w:szCs w:val="24"/>
          <w:highlight w:val="none"/>
        </w:rPr>
      </w:pPr>
      <w:bookmarkStart w:id="78" w:name="_Toc224624628"/>
      <w:bookmarkStart w:id="79" w:name="_Toc243906345"/>
      <w:bookmarkStart w:id="80" w:name="_Toc224622928"/>
      <w:bookmarkStart w:id="81" w:name="_Toc224620071"/>
      <w:bookmarkStart w:id="82" w:name="_Toc243907606"/>
      <w:bookmarkStart w:id="83" w:name="_Toc245897304"/>
      <w:bookmarkStart w:id="84" w:name="_Toc245897305"/>
      <w:bookmarkStart w:id="85" w:name="_Toc224623663"/>
      <w:bookmarkStart w:id="86" w:name="_Toc224623451"/>
      <w:bookmarkStart w:id="87" w:name="_Toc233274843"/>
      <w:bookmarkStart w:id="88" w:name="_Toc224620150"/>
      <w:bookmarkStart w:id="89" w:name="_Toc243907605"/>
      <w:bookmarkStart w:id="90" w:name="_Toc224623557"/>
      <w:bookmarkStart w:id="91" w:name="_Toc224624488"/>
      <w:bookmarkStart w:id="92" w:name="_Toc224624767"/>
      <w:bookmarkStart w:id="93" w:name="_Toc243906344"/>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、磋商</w:t>
      </w:r>
    </w:p>
    <w:p w14:paraId="61E60764">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磋商小组所有成员集中与单一供应商分别进行磋商。供应商应由法定代表或法定代表授权的供应商代表及专业技术人员参与磋商。供应商所作的重要答复作为响应文件的一部分，对供应商具有约束力，但不得对磋商内容进行实质性修改。在磋商中，磋商的任何一方不得透露与磋商有关的其他供应商的技术资料和其他信息。</w:t>
      </w:r>
    </w:p>
    <w:p w14:paraId="012F88CD">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在磋商小组与各供应商进行了相同轮次的磋商后，为了更好地实现采购目标，磋商小组可以修改磋商文件，但涉及实质性变动的，将通知所有参加磋商的供应商。供应商收到修改磋商文件的通知后，可以决定是否继续参加磋商活动。</w:t>
      </w:r>
    </w:p>
    <w:p w14:paraId="09CD2FCC">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.3供应商应当按照磋商文件的变动情况和磋商小组的要求重新提交响应文件，并由其法定代表或委托代理人签字或者加盖公章。由委托代理人签字的，应当附法定代表授权书。</w:t>
      </w:r>
    </w:p>
    <w:p w14:paraId="15D10DE0">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.4磋商文件能够详细列明采购标的的技术、</w:t>
      </w:r>
      <w:r>
        <w:rPr>
          <w:rFonts w:hint="eastAsia" w:ascii="宋体" w:hAnsi="宋体" w:eastAsia="宋体" w:cs="宋体"/>
          <w:color w:val="auto"/>
          <w:sz w:val="24"/>
          <w:szCs w:val="24"/>
          <w:highlight w:val="none"/>
          <w:lang w:val="en-US" w:eastAsia="zh-CN"/>
        </w:rPr>
        <w:t>工程施工</w:t>
      </w:r>
      <w:r>
        <w:rPr>
          <w:rFonts w:hint="eastAsia" w:ascii="宋体" w:hAnsi="宋体" w:eastAsia="宋体" w:cs="宋体"/>
          <w:color w:val="auto"/>
          <w:sz w:val="24"/>
          <w:szCs w:val="24"/>
          <w:highlight w:val="none"/>
        </w:rPr>
        <w:t>要求的，磋商小组在磋商结束后，磋商小组应当要求所有实质性响应的供应商在规定时间内提交最后报价，最后报价是供应商响应文件的有效组成部分。</w:t>
      </w:r>
    </w:p>
    <w:p w14:paraId="29880D6E">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.5磋商文件不能详细列明采购标的的技术、</w:t>
      </w:r>
      <w:r>
        <w:rPr>
          <w:rFonts w:hint="eastAsia" w:ascii="宋体" w:hAnsi="宋体" w:eastAsia="宋体" w:cs="宋体"/>
          <w:color w:val="auto"/>
          <w:sz w:val="24"/>
          <w:szCs w:val="24"/>
          <w:highlight w:val="none"/>
          <w:lang w:val="en-US" w:eastAsia="zh-CN"/>
        </w:rPr>
        <w:t>工程施工</w:t>
      </w:r>
      <w:r>
        <w:rPr>
          <w:rFonts w:hint="eastAsia" w:ascii="宋体" w:hAnsi="宋体" w:eastAsia="宋体" w:cs="宋体"/>
          <w:color w:val="auto"/>
          <w:sz w:val="24"/>
          <w:szCs w:val="24"/>
          <w:highlight w:val="none"/>
        </w:rPr>
        <w:t>要求，需经磋商由供应商提供最终整修方案或解决方案的，磋商结束后，磋商小组应当按照少数服从多数的原则投票推荐3家</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以上供应商的整修方案或者解决方案，并要求其在规定时间内提交最后报价。</w:t>
      </w:r>
    </w:p>
    <w:p w14:paraId="22760520">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.6已提交响应文件的供应商，在提交最后报价之前，可以根据磋商情况退出磋商。</w:t>
      </w:r>
    </w:p>
    <w:p w14:paraId="305A446B">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.7磋商小组判断响应文件的响应性仅基于响应文件本身而不依靠任何外部证据，但响应文件有不真实、不正确的内容除外。</w:t>
      </w:r>
    </w:p>
    <w:p w14:paraId="6FF9E601">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.8如果响应文件实质上没有响应磋商文件的要求，磋商小组将予以拒绝，供应商不得通过修正或撤消不符合要求的偏离或保留，而使其成为实质上响应。</w:t>
      </w:r>
    </w:p>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14:paraId="4E994271">
      <w:pPr>
        <w:pStyle w:val="16"/>
        <w:spacing w:line="360" w:lineRule="auto"/>
        <w:ind w:firstLine="482" w:firstLineChars="200"/>
        <w:rPr>
          <w:rFonts w:hint="eastAsia" w:ascii="宋体" w:hAnsi="宋体" w:eastAsia="宋体" w:cs="宋体"/>
          <w:b/>
          <w:bCs/>
          <w:color w:val="auto"/>
          <w:kern w:val="2"/>
          <w:sz w:val="24"/>
          <w:szCs w:val="24"/>
          <w:highlight w:val="none"/>
          <w:lang w:val="en-US" w:eastAsia="zh-CN" w:bidi="ar-SA"/>
        </w:rPr>
      </w:pPr>
      <w:bookmarkStart w:id="94" w:name="_Toc245897306"/>
      <w:bookmarkStart w:id="95" w:name="_Toc243907607"/>
      <w:bookmarkStart w:id="96" w:name="_Toc243906346"/>
      <w:bookmarkStart w:id="97" w:name="_Toc233274845"/>
      <w:r>
        <w:rPr>
          <w:rFonts w:hint="eastAsia" w:ascii="宋体" w:hAnsi="宋体" w:eastAsia="宋体" w:cs="宋体"/>
          <w:b/>
          <w:bCs/>
          <w:color w:val="auto"/>
          <w:kern w:val="2"/>
          <w:sz w:val="24"/>
          <w:szCs w:val="24"/>
          <w:highlight w:val="none"/>
          <w:lang w:val="en-US" w:eastAsia="zh-CN" w:bidi="ar-SA"/>
        </w:rPr>
        <w:t>4、评审</w:t>
      </w:r>
    </w:p>
    <w:p w14:paraId="6D109082">
      <w:pPr>
        <w:pStyle w:val="16"/>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4.1经磋商确定最终采购需求和提交最后报价的供应商后，由磋商小组采用综合评分法对提交最后报价的供应商响应文件和最后报价进行综合评分。</w:t>
      </w:r>
    </w:p>
    <w:p w14:paraId="349A7506">
      <w:pPr>
        <w:pStyle w:val="16"/>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4.2磋商小组将对实质性响应磋商文件的响应文件进行详细评审和比较。对商务部分、技术部分、价格等进行比较，并与磋商文件、项目采购需求和采购人的实际需要进行比较和评价。</w:t>
      </w:r>
    </w:p>
    <w:p w14:paraId="748D8EF2">
      <w:pPr>
        <w:pStyle w:val="16"/>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4.3商务报价错误的修正</w:t>
      </w:r>
    </w:p>
    <w:p w14:paraId="330442D4">
      <w:pPr>
        <w:pStyle w:val="16"/>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如果发现商务报价存在计算或表达上错误，则按下列原则进行修正：</w:t>
      </w:r>
    </w:p>
    <w:p w14:paraId="62705CDC">
      <w:pPr>
        <w:pStyle w:val="16"/>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（1）用数字表示的数额与用文字表示的数额不一致时，以文字数额为准；</w:t>
      </w:r>
    </w:p>
    <w:p w14:paraId="7AA32CA4">
      <w:pPr>
        <w:pStyle w:val="16"/>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（2）单价与工程量的乘积与总价之间不一致时，以单价为准。若单价有明显小数点错位，应以总价为准，并修改单价。</w:t>
      </w:r>
    </w:p>
    <w:p w14:paraId="5394D1F6">
      <w:pPr>
        <w:pStyle w:val="16"/>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4.4磋商小组将按本章第5.3条原则修正商务报价，并要求供应商进行确认。确认后的报价和文件将对供应商具有约束力。并以修正后的报价作为评审的依据。</w:t>
      </w:r>
    </w:p>
    <w:p w14:paraId="308228AD">
      <w:pPr>
        <w:pStyle w:val="16"/>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、响应文件的澄清</w:t>
      </w:r>
    </w:p>
    <w:p w14:paraId="694CC51F">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.1为有助于对响应文件的审查、评价和比较，磋商小组在评审过程中有权随时请供应商对其响应文件进行澄清，但不得寻求、提供或允许对最后报价或响应文件中的其他实质性内容做任何更改。</w:t>
      </w:r>
    </w:p>
    <w:p w14:paraId="6189DE19">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.2供应商在评审过程中应保证随时接受磋商小组质询。若供应商因故不能接受质询，其响应文件仍有效，但应视为供应商已默认磋商小组对缺席的质询所作出的结论。</w:t>
      </w:r>
    </w:p>
    <w:p w14:paraId="032DBAD0">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.3磋商小组允许供应商通过澄清答复修正其最后报价中不构成重大偏离的、微小的、非正规的、不一致的或不规范的地方，但这些修正不能影响任何供应商的相关名次排列。</w:t>
      </w:r>
    </w:p>
    <w:p w14:paraId="7C99F891">
      <w:pPr>
        <w:pStyle w:val="16"/>
        <w:spacing w:line="360" w:lineRule="auto"/>
        <w:ind w:firstLine="480" w:firstLineChars="200"/>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.4如果供应商在响应文件中未对磋商文件、技术规格及标准、项目采购需求、合同主要内容等提出偏离意见或澄清，将视同供应商同意上述文件的全部条款和要求。</w:t>
      </w:r>
    </w:p>
    <w:bookmarkEnd w:id="94"/>
    <w:bookmarkEnd w:id="95"/>
    <w:bookmarkEnd w:id="96"/>
    <w:bookmarkEnd w:id="97"/>
    <w:p w14:paraId="68FBD5F2">
      <w:pPr>
        <w:pStyle w:val="16"/>
        <w:spacing w:line="360" w:lineRule="auto"/>
        <w:ind w:firstLine="482" w:firstLineChars="200"/>
        <w:rPr>
          <w:rFonts w:hint="eastAsia" w:ascii="宋体" w:hAnsi="宋体" w:eastAsia="宋体" w:cs="宋体"/>
          <w:b/>
          <w:bCs/>
          <w:color w:val="auto"/>
          <w:sz w:val="24"/>
          <w:szCs w:val="24"/>
          <w:highlight w:val="none"/>
        </w:rPr>
      </w:pPr>
      <w:bookmarkStart w:id="98" w:name="_Toc243906348"/>
      <w:bookmarkStart w:id="99" w:name="_Toc245897308"/>
      <w:bookmarkStart w:id="100" w:name="_Toc243907609"/>
      <w:bookmarkStart w:id="101" w:name="_Toc233274847"/>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、重大偏离</w:t>
      </w:r>
    </w:p>
    <w:p w14:paraId="49331082">
      <w:pPr>
        <w:pStyle w:val="16"/>
        <w:spacing w:line="360" w:lineRule="auto"/>
        <w:ind w:firstLine="480" w:firstLineChars="200"/>
        <w:rPr>
          <w:rFonts w:hint="eastAsia" w:ascii="宋体" w:hAnsi="宋体" w:eastAsia="宋体" w:cs="宋体"/>
          <w:color w:val="auto"/>
          <w:sz w:val="24"/>
          <w:szCs w:val="24"/>
          <w:highlight w:val="none"/>
        </w:rPr>
      </w:pPr>
      <w:bookmarkStart w:id="102" w:name="_Toc233274846"/>
      <w:bookmarkStart w:id="103" w:name="_Toc245897307"/>
      <w:bookmarkStart w:id="104" w:name="_Toc243907608"/>
      <w:bookmarkStart w:id="105" w:name="_Toc243906347"/>
      <w:r>
        <w:rPr>
          <w:rFonts w:hint="eastAsia" w:ascii="宋体" w:hAnsi="宋体" w:eastAsia="宋体" w:cs="宋体"/>
          <w:color w:val="auto"/>
          <w:sz w:val="24"/>
          <w:szCs w:val="24"/>
          <w:highlight w:val="none"/>
        </w:rPr>
        <w:t>重大偏离是指实质上影响</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施工</w:t>
      </w:r>
      <w:r>
        <w:rPr>
          <w:rFonts w:hint="eastAsia" w:ascii="宋体" w:hAnsi="宋体" w:eastAsia="宋体" w:cs="宋体"/>
          <w:color w:val="auto"/>
          <w:sz w:val="24"/>
          <w:szCs w:val="24"/>
          <w:highlight w:val="none"/>
        </w:rPr>
        <w:t>质量和</w:t>
      </w:r>
      <w:r>
        <w:rPr>
          <w:rFonts w:hint="eastAsia" w:ascii="宋体" w:hAnsi="宋体" w:eastAsia="宋体" w:cs="宋体"/>
          <w:color w:val="auto"/>
          <w:sz w:val="24"/>
          <w:szCs w:val="24"/>
          <w:highlight w:val="none"/>
          <w:lang w:val="en-US" w:eastAsia="zh-CN"/>
        </w:rPr>
        <w:t>工期、安全</w:t>
      </w:r>
      <w:r>
        <w:rPr>
          <w:rFonts w:hint="eastAsia" w:ascii="宋体" w:hAnsi="宋体" w:eastAsia="宋体" w:cs="宋体"/>
          <w:color w:val="auto"/>
          <w:sz w:val="24"/>
          <w:szCs w:val="24"/>
          <w:highlight w:val="none"/>
        </w:rPr>
        <w:t>等，或者实质上不满足磋商文件的要求，而且限制了采购人的权力或减轻了供应商的义务。纠正或承认这些偏离将会对其他实质上响应要求的供应商合理的竞争地位产生不公正的影响。</w:t>
      </w:r>
    </w:p>
    <w:p w14:paraId="707BAD50">
      <w:pPr>
        <w:pStyle w:val="16"/>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w:t>
      </w:r>
      <w:bookmarkEnd w:id="102"/>
      <w:bookmarkEnd w:id="103"/>
      <w:bookmarkEnd w:id="104"/>
      <w:bookmarkEnd w:id="105"/>
      <w:r>
        <w:rPr>
          <w:rFonts w:hint="eastAsia" w:ascii="宋体" w:hAnsi="宋体" w:eastAsia="宋体" w:cs="宋体"/>
          <w:b/>
          <w:bCs/>
          <w:color w:val="auto"/>
          <w:sz w:val="24"/>
          <w:szCs w:val="24"/>
          <w:highlight w:val="none"/>
        </w:rPr>
        <w:t>无效响应文件</w:t>
      </w:r>
    </w:p>
    <w:p w14:paraId="0B16D6D7">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响应文件有下列情形之一的，由磋商小组评审后按无效响应文件处理：</w:t>
      </w:r>
    </w:p>
    <w:p w14:paraId="178E1F06">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.1供应商的商务报价高于采购项目预算；</w:t>
      </w:r>
    </w:p>
    <w:p w14:paraId="581DEF98">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.2响应文件附有采购人不能接受条件的；</w:t>
      </w:r>
    </w:p>
    <w:p w14:paraId="47C622BD">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.3出现重大偏离的；</w:t>
      </w:r>
    </w:p>
    <w:p w14:paraId="30DF2FF6">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.4对磋商文件提出的实质性要求和条件未能实质性响应；</w:t>
      </w:r>
    </w:p>
    <w:p w14:paraId="3FE38208">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.5《中华人民共和国政府采购法》、《中华人民共和国政府采购实施条例》、《政府采购竞争性磋商采购方式管理暂行办法》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中华人民共和国招投标法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其它</w:t>
      </w:r>
      <w:r>
        <w:rPr>
          <w:rFonts w:hint="eastAsia" w:ascii="宋体" w:hAnsi="宋体" w:eastAsia="宋体" w:cs="宋体"/>
          <w:color w:val="auto"/>
          <w:sz w:val="24"/>
          <w:szCs w:val="24"/>
          <w:highlight w:val="none"/>
        </w:rPr>
        <w:t>相关法律法规及磋商文件明确规定可以作无效响应的其他情形。</w:t>
      </w:r>
    </w:p>
    <w:p w14:paraId="0561ED90">
      <w:pPr>
        <w:pStyle w:val="16"/>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、评审标准</w:t>
      </w:r>
    </w:p>
    <w:p w14:paraId="1322FC22">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.1本项目评审采用综合评分法，严格按照磋商文件的要求和条件进行。</w:t>
      </w:r>
    </w:p>
    <w:p w14:paraId="46A5A312">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.2响应文件初审。</w:t>
      </w:r>
    </w:p>
    <w:p w14:paraId="5BB7FCE3">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8.2.1</w:t>
      </w:r>
      <w:r>
        <w:rPr>
          <w:rFonts w:hint="eastAsia" w:ascii="宋体" w:hAnsi="宋体" w:eastAsia="宋体" w:cs="宋体"/>
          <w:color w:val="auto"/>
          <w:sz w:val="24"/>
          <w:szCs w:val="24"/>
          <w:highlight w:val="none"/>
        </w:rPr>
        <w:t>初审分为资格性审查和符合性审查。响应文件初审由磋商小组根据</w:t>
      </w:r>
      <w:r>
        <w:rPr>
          <w:rFonts w:hint="eastAsia" w:ascii="宋体" w:hAnsi="宋体" w:eastAsia="宋体" w:cs="宋体"/>
          <w:color w:val="auto"/>
          <w:sz w:val="24"/>
          <w:szCs w:val="24"/>
          <w:highlight w:val="none"/>
          <w:lang w:val="en-US" w:eastAsia="zh-CN"/>
        </w:rPr>
        <w:t>磋商文件要求对</w:t>
      </w:r>
      <w:r>
        <w:rPr>
          <w:rFonts w:hint="eastAsia" w:ascii="宋体" w:hAnsi="宋体" w:eastAsia="宋体" w:cs="宋体"/>
          <w:color w:val="auto"/>
          <w:sz w:val="24"/>
          <w:szCs w:val="24"/>
          <w:highlight w:val="none"/>
        </w:rPr>
        <w:t>各供应商响应文件进行评审，未通过初审的供应商其响应文件将按照无效磋商处理。</w:t>
      </w:r>
    </w:p>
    <w:p w14:paraId="781493C8">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资格性审查。依据法律法规和磋商文件的规定，对响应文件中的资格证明等进行审查，以确定供应商是否具备磋商资格。</w:t>
      </w:r>
    </w:p>
    <w:p w14:paraId="6B935C94">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（1）磋商小组根据评审办法规定的评审因素和评审标准，对供应商的响应文件进行资格评审。资格性检查不合格的供应商的响应文件作无效文件处理。</w:t>
      </w:r>
    </w:p>
    <w:p w14:paraId="1678F5CF">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（2）磋商小组在进行资格检查时，不得改变磋商文件中已载明的资格条件、标准和办法。</w:t>
      </w:r>
    </w:p>
    <w:p w14:paraId="28E6087A">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（3）磋商小组应逐项对照资格性检查要求所提交的相应证明文件。</w:t>
      </w:r>
    </w:p>
    <w:p w14:paraId="3F0C7BA1">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（4）磋商小组在评审中必要时可按供应商提供的联系方式就有关问题进行查询核实，或要求供应商做出澄清，查询及澄清结果将作为审查的依据。</w:t>
      </w:r>
    </w:p>
    <w:p w14:paraId="0CE6F728">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（5）通过全部资格性检查条件合格的供应商才能通过资格检查，其响应文件方可进入下一个检查阶段。</w:t>
      </w:r>
    </w:p>
    <w:p w14:paraId="45CC088C">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符合性审查。依据磋商文件的规定，从响应文件的有效性、完整性和对磋商文件的响应程度</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rPr>
        <w:t>进行审查，以确定是否对磋商文件的实质性要求作出响应。</w:t>
      </w:r>
    </w:p>
    <w:p w14:paraId="30CDEFC2">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磋商小组根据评审办法规定的评审因素和评审标准，对供应商的响应文件进行符合性检查。符合性检查不合格的供应商的响应文件作无效文件处理。</w:t>
      </w:r>
    </w:p>
    <w:p w14:paraId="731F43A5">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3澄清有关问题。对响应文件中含义不明确、同类问题表述不一致或者有明显文字和计算错误的内容，磋商小组可要求供应商作出必要的澄清、说明或者纠正，并不得超出响应文件的范围或者改变响应文件的实质性内容。</w:t>
      </w:r>
    </w:p>
    <w:p w14:paraId="51F70BA6">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.4比较与评价。磋商小组按磋商文件中规定的评审标准，对资格性检查和符合性检查合格的响应文件进行商务和技术评估，综合比较与评价。</w:t>
      </w:r>
    </w:p>
    <w:p w14:paraId="39F10E21">
      <w:pPr>
        <w:pStyle w:val="16"/>
        <w:spacing w:line="360" w:lineRule="auto"/>
        <w:ind w:firstLine="480" w:firstLineChars="200"/>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.5磋商结束后，磋商小组应当要求所有实质性响应的供应商在规定时间内提交最后报价。供应商在未提高响应文件中承诺的</w:t>
      </w:r>
      <w:r>
        <w:rPr>
          <w:rFonts w:hint="eastAsia" w:ascii="宋体" w:hAnsi="宋体" w:eastAsia="宋体" w:cs="宋体"/>
          <w:color w:val="auto"/>
          <w:sz w:val="24"/>
          <w:szCs w:val="24"/>
          <w:highlight w:val="none"/>
          <w:lang w:val="en-US" w:eastAsia="zh-CN"/>
        </w:rPr>
        <w:t>施工</w:t>
      </w:r>
      <w:r>
        <w:rPr>
          <w:rFonts w:hint="eastAsia" w:ascii="宋体" w:hAnsi="宋体" w:eastAsia="宋体" w:cs="宋体"/>
          <w:color w:val="auto"/>
          <w:sz w:val="24"/>
          <w:szCs w:val="24"/>
          <w:highlight w:val="none"/>
        </w:rPr>
        <w:t>质量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进度等</w:t>
      </w:r>
      <w:r>
        <w:rPr>
          <w:rFonts w:hint="eastAsia" w:ascii="宋体" w:hAnsi="宋体" w:eastAsia="宋体" w:cs="宋体"/>
          <w:color w:val="auto"/>
          <w:sz w:val="24"/>
          <w:szCs w:val="24"/>
          <w:highlight w:val="none"/>
        </w:rPr>
        <w:t>的情况下，其最后报价不得高于对该项目之前的报价，否则，磋商小组应当对其响应文件按无效处理，不允许进入综合评分，并书面告知供应商，说明理由。</w:t>
      </w:r>
    </w:p>
    <w:p w14:paraId="510D5EC4">
      <w:pPr>
        <w:pStyle w:val="16"/>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.6评审分值：总分值为100分，其中价格分值为30分，其余部分（技术及商务）分值为70分。具体评审评分内容详本磋商文件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第五章、评定成交方式和标准（综合评分法）”</w:t>
      </w:r>
    </w:p>
    <w:bookmarkEnd w:id="98"/>
    <w:bookmarkEnd w:id="99"/>
    <w:bookmarkEnd w:id="100"/>
    <w:bookmarkEnd w:id="101"/>
    <w:p w14:paraId="3F39F287">
      <w:pPr>
        <w:pStyle w:val="16"/>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8.7推荐成交候选供应商</w:t>
      </w:r>
    </w:p>
    <w:p w14:paraId="2FC22DD3">
      <w:pPr>
        <w:pStyle w:val="16"/>
        <w:spacing w:line="360" w:lineRule="auto"/>
        <w:ind w:firstLine="480" w:firstLineChars="20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4"/>
          <w:szCs w:val="24"/>
          <w:highlight w:val="none"/>
          <w:lang w:val="en-US" w:eastAsia="zh-CN"/>
        </w:rPr>
        <w:t>8.7.1各供应商的评审得分由高至低排序，评审得分排列前3名的供应商被推荐为成交候选供应商。评审得分相同的，按照最后报价由低到高的顺序推荐。评审得分且最后报价相同的，由磋商小组按照技术指标优劣顺序推荐第一名中标候选人。</w:t>
      </w:r>
    </w:p>
    <w:p w14:paraId="6F298D72">
      <w:pPr>
        <w:spacing w:line="360" w:lineRule="auto"/>
        <w:ind w:firstLine="482"/>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8.7.2评分计算结果保留两位小数，第三位小数四舍五入。</w:t>
      </w:r>
    </w:p>
    <w:p w14:paraId="0B2843F4">
      <w:pPr>
        <w:spacing w:line="360" w:lineRule="auto"/>
        <w:ind w:firstLine="482"/>
        <w:jc w:val="left"/>
        <w:rPr>
          <w:rFonts w:hint="eastAsia" w:ascii="宋体" w:hAnsi="宋体" w:eastAsia="宋体" w:cs="宋体"/>
          <w:color w:val="auto"/>
          <w:sz w:val="24"/>
          <w:szCs w:val="24"/>
          <w:highlight w:val="none"/>
          <w:lang w:val="en-US" w:eastAsia="zh-CN"/>
        </w:rPr>
      </w:pPr>
      <w:bookmarkStart w:id="106" w:name="_Toc233274848"/>
      <w:bookmarkStart w:id="107" w:name="_Toc245897309"/>
      <w:bookmarkStart w:id="108" w:name="_Toc243907610"/>
      <w:bookmarkStart w:id="109" w:name="_Toc243906349"/>
      <w:r>
        <w:rPr>
          <w:rFonts w:hint="eastAsia" w:ascii="宋体" w:hAnsi="宋体" w:eastAsia="宋体" w:cs="宋体"/>
          <w:color w:val="auto"/>
          <w:kern w:val="2"/>
          <w:sz w:val="24"/>
          <w:szCs w:val="24"/>
          <w:highlight w:val="none"/>
          <w:lang w:val="en-US" w:eastAsia="zh-CN" w:bidi="ar-SA"/>
        </w:rPr>
        <w:t>8.8</w:t>
      </w:r>
      <w:r>
        <w:rPr>
          <w:rFonts w:hint="eastAsia" w:ascii="宋体" w:hAnsi="宋体" w:cs="宋体"/>
          <w:color w:val="auto"/>
          <w:sz w:val="24"/>
          <w:szCs w:val="24"/>
          <w:highlight w:val="none"/>
        </w:rPr>
        <w:t>磋商小组复核。磋商小组评分汇总结束后，磋商小组应当进行评审复核，对拟推荐为成交候选供应商的、报价最低的、供应商资格审查未通过的、供应商</w:t>
      </w:r>
      <w:r>
        <w:rPr>
          <w:rFonts w:hint="eastAsia" w:ascii="宋体" w:hAnsi="宋体" w:eastAsia="宋体" w:cs="宋体"/>
          <w:color w:val="auto"/>
          <w:kern w:val="2"/>
          <w:sz w:val="24"/>
          <w:szCs w:val="24"/>
          <w:highlight w:val="none"/>
          <w:lang w:val="en-US" w:eastAsia="zh-CN" w:bidi="ar-SA"/>
        </w:rPr>
        <w:t>响应文件作无效处理的</w:t>
      </w:r>
      <w:r>
        <w:rPr>
          <w:rFonts w:hint="eastAsia" w:ascii="宋体" w:hAnsi="宋体" w:eastAsia="宋体" w:cs="宋体"/>
          <w:color w:val="auto"/>
          <w:sz w:val="24"/>
          <w:szCs w:val="24"/>
          <w:highlight w:val="none"/>
          <w:lang w:val="en-US" w:eastAsia="zh-CN"/>
        </w:rPr>
        <w:t>重点复核。</w:t>
      </w:r>
    </w:p>
    <w:p w14:paraId="0467D0E3">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8.9采</w:t>
      </w:r>
      <w:r>
        <w:rPr>
          <w:rFonts w:hint="eastAsia" w:ascii="宋体" w:hAnsi="宋体" w:eastAsia="宋体" w:cs="宋体"/>
          <w:color w:val="auto"/>
          <w:sz w:val="24"/>
          <w:szCs w:val="24"/>
          <w:highlight w:val="none"/>
        </w:rPr>
        <w:t>购人根据磋商小组推荐的成交候选供应商及有关规定确定成交供应商。</w:t>
      </w:r>
    </w:p>
    <w:p w14:paraId="5677A16F">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8.10在</w:t>
      </w:r>
      <w:r>
        <w:rPr>
          <w:rFonts w:hint="eastAsia" w:ascii="宋体" w:hAnsi="宋体" w:eastAsia="宋体" w:cs="宋体"/>
          <w:color w:val="auto"/>
          <w:sz w:val="24"/>
          <w:szCs w:val="24"/>
          <w:highlight w:val="none"/>
        </w:rPr>
        <w:t>确定成交供应商之前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采购人保留依法接受或拒绝任一或所有供应商的权力。</w:t>
      </w:r>
    </w:p>
    <w:p w14:paraId="4A4EB32D">
      <w:pPr>
        <w:spacing w:line="360" w:lineRule="auto"/>
        <w:ind w:firstLine="482"/>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成交通知</w:t>
      </w:r>
      <w:bookmarkEnd w:id="106"/>
      <w:bookmarkEnd w:id="107"/>
      <w:bookmarkEnd w:id="108"/>
      <w:bookmarkEnd w:id="109"/>
      <w:r>
        <w:rPr>
          <w:rFonts w:hint="eastAsia" w:ascii="宋体" w:hAnsi="宋体" w:eastAsia="宋体" w:cs="宋体"/>
          <w:b/>
          <w:bCs/>
          <w:color w:val="auto"/>
          <w:sz w:val="24"/>
          <w:szCs w:val="24"/>
          <w:highlight w:val="none"/>
        </w:rPr>
        <w:t>书</w:t>
      </w:r>
    </w:p>
    <w:p w14:paraId="10FF33D2">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.1在评审结束后2个工作日内将评审报告送采购人，采购人在收到评审报告后5个工作日内确定成交供应商。</w:t>
      </w:r>
    </w:p>
    <w:p w14:paraId="4FDB052D">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2采购人确定成交供应商后，及时通知采购代理机构，采购代理机构将按程序在成交供应商确定后2个工作内公告成交结果，公告内容合法，同时向成交供应商发出成交通知书，成交通知书一经发出即发生法律效力。</w:t>
      </w:r>
    </w:p>
    <w:p w14:paraId="6B2521F0">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.3《成交通知书》将是合同的组成部分。</w:t>
      </w:r>
    </w:p>
    <w:p w14:paraId="40E3EA47">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.4采购人将通知其他未成交的供应商。</w:t>
      </w:r>
    </w:p>
    <w:p w14:paraId="647DA9E8">
      <w:pPr>
        <w:spacing w:line="360" w:lineRule="auto"/>
        <w:ind w:firstLine="482"/>
        <w:jc w:val="left"/>
        <w:rPr>
          <w:rFonts w:hint="eastAsia" w:ascii="宋体" w:hAnsi="宋体" w:cs="宋体"/>
          <w:b/>
          <w:bCs/>
          <w:color w:val="auto"/>
          <w:sz w:val="24"/>
          <w:szCs w:val="24"/>
          <w:highlight w:val="none"/>
        </w:rPr>
      </w:pPr>
      <w:bookmarkStart w:id="110" w:name="_Toc243906350"/>
      <w:bookmarkStart w:id="111" w:name="_Toc233274849"/>
      <w:bookmarkStart w:id="112" w:name="_Toc245897310"/>
      <w:bookmarkStart w:id="113" w:name="_Toc243907611"/>
      <w:r>
        <w:rPr>
          <w:rFonts w:hint="eastAsia" w:ascii="宋体" w:hAnsi="宋体" w:cs="宋体"/>
          <w:b/>
          <w:bCs/>
          <w:color w:val="auto"/>
          <w:sz w:val="24"/>
          <w:szCs w:val="24"/>
          <w:highlight w:val="none"/>
          <w:lang w:val="en-US" w:eastAsia="zh-CN"/>
        </w:rPr>
        <w:t>10</w:t>
      </w:r>
      <w:r>
        <w:rPr>
          <w:rFonts w:hint="eastAsia" w:ascii="宋体" w:hAnsi="宋体" w:cs="宋体"/>
          <w:b/>
          <w:bCs/>
          <w:color w:val="auto"/>
          <w:sz w:val="24"/>
          <w:szCs w:val="24"/>
          <w:highlight w:val="none"/>
        </w:rPr>
        <w:t>、纪律与保密事项</w:t>
      </w:r>
      <w:bookmarkEnd w:id="110"/>
      <w:bookmarkEnd w:id="111"/>
      <w:bookmarkEnd w:id="112"/>
      <w:bookmarkEnd w:id="113"/>
    </w:p>
    <w:p w14:paraId="22100D89">
      <w:pPr>
        <w:spacing w:line="360" w:lineRule="auto"/>
        <w:ind w:firstLine="482"/>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.1凡参与磋商工作的有关人员均应自觉接受有关主管部门的监督，不得向他人透露可能影响公平竞争的有关磋商的其他情况。</w:t>
      </w:r>
    </w:p>
    <w:p w14:paraId="54009E16">
      <w:pPr>
        <w:spacing w:line="360" w:lineRule="auto"/>
        <w:ind w:firstLine="482"/>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2领取本磋商文件及其它相关资料者，应对文件进行保密，不得用作本次磋商以外的任何用途。由采购人向供应商提供的图纸、技术资料和所有其它资料，均视为保密资料，除非得到采购人的同意，不得向第三方透露。</w:t>
      </w:r>
    </w:p>
    <w:p w14:paraId="00DEB1B0">
      <w:pPr>
        <w:spacing w:line="360" w:lineRule="auto"/>
        <w:ind w:firstLine="482"/>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.3供应商不得与采购人串通磋商，不得向采购人或者磋商小组成员行贿谋取成交，不得以他人名义参与磋商或者以其它任何方式弄虚作假骗取参与磋商。供应商不得以任何方式干扰、影响评审工作。</w:t>
      </w:r>
    </w:p>
    <w:p w14:paraId="15295C98">
      <w:pPr>
        <w:spacing w:line="360" w:lineRule="auto"/>
        <w:ind w:firstLine="482"/>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4供应商不得在磋商过程中互相串通、结盟、损害磋商的公正性和竞争性，或以任何方式影响其他供应商参与正当磋商。扰乱磋商市场，破坏公平竞争原则。如供应商在磋商过程中互相串通，一经查实，将取消磋商资格。</w:t>
      </w:r>
    </w:p>
    <w:p w14:paraId="45328B89">
      <w:pPr>
        <w:spacing w:line="360" w:lineRule="auto"/>
        <w:ind w:firstLine="482"/>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.5磋商之日起直至授予成交供应商合同为止，凡属于对响应文件的审查、澄清、评价、比较有关的资料和成交候选人的推荐情况及与评审有关的其他任何情况均严格保密。</w:t>
      </w:r>
    </w:p>
    <w:p w14:paraId="097103A7">
      <w:pPr>
        <w:spacing w:line="360" w:lineRule="auto"/>
        <w:ind w:firstLine="482"/>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.6从磋商之日起至授予合同期间，供应商试图向磋商小组、采购代理机构施加任何影响或对采购人的比较及授予合同的决定进行影响，都可能导致其响应文件被拒绝。</w:t>
      </w:r>
    </w:p>
    <w:p w14:paraId="1ABDE2A6">
      <w:pPr>
        <w:spacing w:line="360" w:lineRule="auto"/>
        <w:ind w:firstLine="482"/>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.7除供应商被要求对响应文件进行澄清外，从磋商之时起至授予合同期间，供应商不得就与其响应文件有关的事项主动与磋商小组、采购代理机构以及采购人联系。</w:t>
      </w:r>
    </w:p>
    <w:p w14:paraId="256A23FB">
      <w:pPr>
        <w:spacing w:line="360" w:lineRule="auto"/>
        <w:ind w:firstLine="482"/>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.8成交供应商确定后，采购人不对未成交供应商就评审过程以及未能成交原因作出任何解释，未成交供应商不得向磋商小组或其他有关人员询问评审过程的情况和索取评审过程的资料。</w:t>
      </w:r>
    </w:p>
    <w:p w14:paraId="3E87B585">
      <w:pPr>
        <w:pStyle w:val="16"/>
        <w:spacing w:line="360" w:lineRule="auto"/>
        <w:ind w:firstLine="482" w:firstLineChars="200"/>
        <w:outlineLvl w:val="1"/>
        <w:rPr>
          <w:rFonts w:hint="eastAsia" w:hAnsi="宋体" w:cs="宋体"/>
          <w:b/>
          <w:bCs/>
          <w:color w:val="auto"/>
          <w:sz w:val="24"/>
          <w:szCs w:val="24"/>
          <w:highlight w:val="none"/>
        </w:rPr>
      </w:pPr>
      <w:r>
        <w:rPr>
          <w:rFonts w:hint="eastAsia" w:hAnsi="宋体" w:cs="宋体"/>
          <w:b/>
          <w:bCs/>
          <w:color w:val="auto"/>
          <w:sz w:val="24"/>
          <w:szCs w:val="24"/>
          <w:highlight w:val="none"/>
          <w:lang w:val="en-US" w:eastAsia="zh-CN"/>
        </w:rPr>
        <w:t>11</w:t>
      </w:r>
      <w:r>
        <w:rPr>
          <w:rFonts w:hint="eastAsia" w:hAnsi="宋体" w:cs="宋体"/>
          <w:b/>
          <w:bCs/>
          <w:color w:val="auto"/>
          <w:sz w:val="24"/>
          <w:szCs w:val="24"/>
          <w:highlight w:val="none"/>
        </w:rPr>
        <w:t>、授予合同</w:t>
      </w:r>
    </w:p>
    <w:p w14:paraId="5FDED4B5">
      <w:pPr>
        <w:pStyle w:val="16"/>
        <w:spacing w:line="360" w:lineRule="auto"/>
        <w:ind w:firstLine="480" w:firstLineChars="200"/>
        <w:outlineLvl w:val="1"/>
        <w:rPr>
          <w:rFonts w:hint="eastAsia" w:hAnsi="宋体" w:cs="宋体"/>
          <w:color w:val="auto"/>
          <w:sz w:val="24"/>
          <w:szCs w:val="24"/>
          <w:highlight w:val="none"/>
        </w:rPr>
      </w:pPr>
      <w:r>
        <w:rPr>
          <w:rFonts w:hint="eastAsia" w:hAnsi="宋体" w:cs="宋体"/>
          <w:color w:val="auto"/>
          <w:sz w:val="24"/>
          <w:szCs w:val="24"/>
          <w:highlight w:val="none"/>
          <w:lang w:val="en-US" w:eastAsia="zh-CN"/>
        </w:rPr>
        <w:t>11</w:t>
      </w:r>
      <w:r>
        <w:rPr>
          <w:rFonts w:hint="eastAsia" w:hAnsi="宋体" w:cs="宋体"/>
          <w:color w:val="auto"/>
          <w:sz w:val="24"/>
          <w:szCs w:val="24"/>
          <w:highlight w:val="none"/>
        </w:rPr>
        <w:t>.1本采购项目的采购合同将授予按本须知确定成交供应商。</w:t>
      </w:r>
    </w:p>
    <w:p w14:paraId="423F0FA7">
      <w:pPr>
        <w:pStyle w:val="16"/>
        <w:spacing w:line="360" w:lineRule="auto"/>
        <w:ind w:firstLine="482" w:firstLineChars="200"/>
        <w:outlineLvl w:val="1"/>
        <w:rPr>
          <w:rFonts w:hint="eastAsia" w:ascii="宋体" w:hAnsi="宋体" w:eastAsia="宋体" w:cs="宋体"/>
          <w:b/>
          <w:bCs/>
          <w:color w:val="auto"/>
          <w:sz w:val="24"/>
          <w:szCs w:val="24"/>
          <w:highlight w:val="none"/>
        </w:rPr>
      </w:pPr>
      <w:bookmarkStart w:id="114" w:name="_Toc233274855"/>
      <w:bookmarkStart w:id="115" w:name="_Toc245897317"/>
      <w:bookmarkStart w:id="116" w:name="_Toc243907620"/>
      <w:bookmarkStart w:id="117" w:name="_Toc243906357"/>
      <w:bookmarkStart w:id="118" w:name="_Toc243907621"/>
      <w:bookmarkStart w:id="119" w:name="_Toc245897318"/>
      <w:r>
        <w:rPr>
          <w:rFonts w:hint="eastAsia" w:ascii="宋体" w:hAnsi="宋体" w:eastAsia="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rPr>
        <w:t>、签订合同</w:t>
      </w:r>
      <w:bookmarkEnd w:id="114"/>
      <w:bookmarkEnd w:id="115"/>
      <w:bookmarkEnd w:id="116"/>
      <w:bookmarkEnd w:id="117"/>
    </w:p>
    <w:p w14:paraId="5F0B9087">
      <w:pPr>
        <w:pStyle w:val="16"/>
        <w:spacing w:line="360" w:lineRule="auto"/>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.1成交供应商应当自成交通知书发出之日起三十日内，按照磋商文件和成交供应商的响应文件订立书面合同。成交供应商不得要求订立背离本响应文件合同文本等响应文件实质性内容的其他协议。</w:t>
      </w:r>
    </w:p>
    <w:p w14:paraId="31B5BB0B">
      <w:pPr>
        <w:pStyle w:val="16"/>
        <w:spacing w:line="360" w:lineRule="auto"/>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.2成交通知书、成交供应商的响应文件及其澄清文件、技术规范及标准、项目采购需求、本磋商文件（含修改文件或补充文件）及答疑纪要等，均为签订合同的依据。</w:t>
      </w:r>
    </w:p>
    <w:p w14:paraId="2756B5F4">
      <w:pPr>
        <w:pStyle w:val="16"/>
        <w:spacing w:line="360" w:lineRule="auto"/>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.3采购人如</w:t>
      </w:r>
      <w:r>
        <w:rPr>
          <w:rFonts w:hint="eastAsia" w:ascii="宋体" w:hAnsi="宋体" w:eastAsia="宋体" w:cs="宋体"/>
          <w:color w:val="auto"/>
          <w:sz w:val="24"/>
          <w:szCs w:val="24"/>
          <w:highlight w:val="none"/>
          <w:lang w:val="en-US" w:eastAsia="zh-CN"/>
        </w:rPr>
        <w:t>不</w:t>
      </w:r>
      <w:r>
        <w:rPr>
          <w:rFonts w:hint="eastAsia" w:ascii="宋体" w:hAnsi="宋体" w:eastAsia="宋体" w:cs="宋体"/>
          <w:color w:val="auto"/>
          <w:sz w:val="24"/>
          <w:szCs w:val="24"/>
          <w:highlight w:val="none"/>
        </w:rPr>
        <w:t>与成交供应商签订合同，或者采购人、成交供应商签订背离合同实质性内容的协议，由监督管理部门责令其改正。</w:t>
      </w:r>
    </w:p>
    <w:p w14:paraId="5E2A23EF">
      <w:pPr>
        <w:pStyle w:val="16"/>
        <w:spacing w:line="360" w:lineRule="auto"/>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.4成交供应商如不与采购人签订合同，则按违约处理，采购人将有权取消成交供应商资格，给采购人造成损失的，还应当予以赔偿，同时依法承担相应的法律责任。</w:t>
      </w:r>
    </w:p>
    <w:p w14:paraId="6CEB410E">
      <w:pPr>
        <w:pStyle w:val="16"/>
        <w:spacing w:line="360" w:lineRule="auto"/>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.5成交供应商拒绝与采购人签订合同的，采购人可以按照评审报告推荐的成交候选人名单排序，确定下一名候选人为成交供应商，并组织重新选定的成交供应商和采购人签订合同，也可以重新开展政府采购活动。</w:t>
      </w:r>
    </w:p>
    <w:p w14:paraId="4134D674">
      <w:pPr>
        <w:pStyle w:val="16"/>
        <w:spacing w:line="360" w:lineRule="auto"/>
        <w:ind w:firstLine="480" w:firstLineChars="200"/>
        <w:outlineLvl w:val="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.6未成交供应商的保证金在成交通知书发出</w:t>
      </w:r>
      <w:r>
        <w:rPr>
          <w:rFonts w:hint="eastAsia" w:ascii="宋体" w:hAnsi="宋体" w:eastAsia="宋体" w:cs="宋体"/>
          <w:color w:val="auto"/>
          <w:sz w:val="24"/>
          <w:szCs w:val="24"/>
          <w:highlight w:val="none"/>
          <w:lang w:val="en-US" w:eastAsia="zh-CN"/>
        </w:rPr>
        <w:t>之日起</w:t>
      </w:r>
      <w:r>
        <w:rPr>
          <w:rFonts w:hint="eastAsia" w:ascii="宋体" w:hAnsi="宋体" w:eastAsia="宋体" w:cs="宋体"/>
          <w:color w:val="auto"/>
          <w:sz w:val="24"/>
          <w:szCs w:val="24"/>
          <w:highlight w:val="none"/>
        </w:rPr>
        <w:t>5个工作日内退还，成交供应商的保证金在采购合同签订</w:t>
      </w:r>
      <w:r>
        <w:rPr>
          <w:rFonts w:hint="eastAsia" w:ascii="宋体" w:hAnsi="宋体" w:eastAsia="宋体" w:cs="宋体"/>
          <w:color w:val="auto"/>
          <w:sz w:val="24"/>
          <w:szCs w:val="24"/>
          <w:highlight w:val="none"/>
          <w:lang w:val="en-US" w:eastAsia="zh-CN"/>
        </w:rPr>
        <w:t>之日起</w:t>
      </w:r>
      <w:r>
        <w:rPr>
          <w:rFonts w:hint="eastAsia" w:ascii="宋体" w:hAnsi="宋体" w:eastAsia="宋体" w:cs="宋体"/>
          <w:color w:val="auto"/>
          <w:sz w:val="24"/>
          <w:szCs w:val="24"/>
          <w:highlight w:val="none"/>
        </w:rPr>
        <w:t>5个工作日内退还</w:t>
      </w:r>
      <w:r>
        <w:rPr>
          <w:rFonts w:hint="eastAsia" w:ascii="宋体" w:hAnsi="宋体" w:eastAsia="宋体" w:cs="宋体"/>
          <w:color w:val="auto"/>
          <w:sz w:val="24"/>
          <w:szCs w:val="24"/>
          <w:highlight w:val="none"/>
          <w:lang w:eastAsia="zh-CN"/>
        </w:rPr>
        <w:t>。</w:t>
      </w:r>
    </w:p>
    <w:bookmarkEnd w:id="118"/>
    <w:bookmarkEnd w:id="119"/>
    <w:p w14:paraId="752D3098">
      <w:pPr>
        <w:pStyle w:val="16"/>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13</w:t>
      </w:r>
      <w:r>
        <w:rPr>
          <w:rFonts w:hint="eastAsia" w:ascii="宋体" w:hAnsi="宋体" w:eastAsia="宋体" w:cs="宋体"/>
          <w:b/>
          <w:bCs/>
          <w:color w:val="auto"/>
          <w:sz w:val="24"/>
          <w:szCs w:val="24"/>
          <w:highlight w:val="none"/>
        </w:rPr>
        <w:t>、合同的签订准则</w:t>
      </w:r>
    </w:p>
    <w:p w14:paraId="4A0EF60F">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.1合同签订必须由采购人、成交供应商双方法定代表或其委托代理人签署并加盖法人公章后方能生效。</w:t>
      </w:r>
    </w:p>
    <w:p w14:paraId="37C1FE8F">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.2合同转包（实质性要求）</w:t>
      </w:r>
    </w:p>
    <w:p w14:paraId="36F5CAC1">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28A6C727">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成交供应商转包的，视同拒绝履行政府采购合同义务，将依法追究法律责任。</w:t>
      </w:r>
    </w:p>
    <w:p w14:paraId="3678B085">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.3补充合同</w:t>
      </w:r>
    </w:p>
    <w:p w14:paraId="270FA9A5">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采购合同履行过程中，采购人需要追加与合同标的相同的</w:t>
      </w:r>
      <w:r>
        <w:rPr>
          <w:rFonts w:hint="eastAsia" w:ascii="宋体" w:hAnsi="宋体" w:eastAsia="宋体" w:cs="宋体"/>
          <w:color w:val="auto"/>
          <w:sz w:val="24"/>
          <w:szCs w:val="24"/>
          <w:highlight w:val="none"/>
          <w:lang w:val="en-US" w:eastAsia="zh-CN"/>
        </w:rPr>
        <w:t>货物、服务</w:t>
      </w:r>
      <w:r>
        <w:rPr>
          <w:rFonts w:hint="eastAsia" w:ascii="宋体" w:hAnsi="宋体" w:eastAsia="宋体" w:cs="宋体"/>
          <w:color w:val="auto"/>
          <w:sz w:val="24"/>
          <w:szCs w:val="24"/>
          <w:highlight w:val="none"/>
        </w:rPr>
        <w:t>或者</w:t>
      </w:r>
      <w:r>
        <w:rPr>
          <w:rFonts w:hint="eastAsia" w:ascii="宋体" w:hAnsi="宋体" w:eastAsia="宋体" w:cs="宋体"/>
          <w:color w:val="auto"/>
          <w:sz w:val="24"/>
          <w:szCs w:val="24"/>
          <w:highlight w:val="none"/>
          <w:lang w:val="en-US" w:eastAsia="zh-CN"/>
        </w:rPr>
        <w:t>施工</w:t>
      </w:r>
      <w:r>
        <w:rPr>
          <w:rFonts w:hint="eastAsia" w:ascii="宋体" w:hAnsi="宋体" w:eastAsia="宋体" w:cs="宋体"/>
          <w:color w:val="auto"/>
          <w:sz w:val="24"/>
          <w:szCs w:val="24"/>
          <w:highlight w:val="none"/>
        </w:rPr>
        <w:t>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w:t>
      </w:r>
    </w:p>
    <w:p w14:paraId="32356BFF">
      <w:pPr>
        <w:pStyle w:val="16"/>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14</w:t>
      </w:r>
      <w:r>
        <w:rPr>
          <w:rFonts w:hint="eastAsia" w:ascii="宋体" w:hAnsi="宋体" w:eastAsia="宋体" w:cs="宋体"/>
          <w:b/>
          <w:bCs/>
          <w:color w:val="auto"/>
          <w:sz w:val="24"/>
          <w:szCs w:val="24"/>
          <w:highlight w:val="none"/>
        </w:rPr>
        <w:t>询问、质疑、投诉</w:t>
      </w:r>
    </w:p>
    <w:p w14:paraId="245C2883">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14.1</w:t>
      </w:r>
      <w:r>
        <w:rPr>
          <w:rFonts w:hint="eastAsia" w:ascii="宋体" w:hAnsi="宋体" w:eastAsia="宋体" w:cs="宋体"/>
          <w:color w:val="auto"/>
          <w:sz w:val="24"/>
          <w:szCs w:val="24"/>
          <w:highlight w:val="none"/>
        </w:rPr>
        <w:t>询问</w:t>
      </w:r>
    </w:p>
    <w:p w14:paraId="4B2855C7">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供应商对采购活动事项有疑问的，可以向采购人或采购代理机构提出询问，采购人或采购代理机构应当在三个工作日内对供应商依法提出的询问作出答复，但答复的内容不得涉及商业秘密。</w:t>
      </w:r>
    </w:p>
    <w:p w14:paraId="48CFF12F">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14.2</w:t>
      </w:r>
      <w:r>
        <w:rPr>
          <w:rFonts w:hint="eastAsia" w:ascii="宋体" w:hAnsi="宋体" w:eastAsia="宋体" w:cs="宋体"/>
          <w:color w:val="auto"/>
          <w:sz w:val="24"/>
          <w:szCs w:val="24"/>
          <w:highlight w:val="none"/>
        </w:rPr>
        <w:t>质疑</w:t>
      </w:r>
    </w:p>
    <w:p w14:paraId="74940F5A">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14.2.1</w:t>
      </w:r>
      <w:r>
        <w:rPr>
          <w:rFonts w:hint="eastAsia" w:ascii="宋体" w:hAnsi="宋体" w:eastAsia="宋体" w:cs="宋体"/>
          <w:color w:val="auto"/>
          <w:sz w:val="24"/>
          <w:szCs w:val="24"/>
          <w:highlight w:val="none"/>
        </w:rPr>
        <w:t>供应商认为采购文件、采购过程和中标、成交结果使自己的合法权益受到损害的，可以在知道或者应知其权益受到损害之日起七个工作日内，将质疑文件原件和必要的证明材料送达采购代理机构。</w:t>
      </w:r>
    </w:p>
    <w:p w14:paraId="65D93008">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14.2.2</w:t>
      </w:r>
      <w:r>
        <w:rPr>
          <w:rFonts w:hint="eastAsia" w:ascii="宋体" w:hAnsi="宋体" w:eastAsia="宋体" w:cs="宋体"/>
          <w:color w:val="auto"/>
          <w:sz w:val="24"/>
          <w:szCs w:val="24"/>
          <w:highlight w:val="none"/>
        </w:rPr>
        <w:t>供应商认为采购文件技术指标、参数、评分标准有质疑，向采购人提出，由采购人按相关规定作出答复或委托采购代理机构代为答复。供应商如对采购过程和采购结果有质疑，向采购代理机构提出，由采购代理机构按相关规定作出答复。</w:t>
      </w:r>
    </w:p>
    <w:p w14:paraId="7D734634">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14.2.3</w:t>
      </w:r>
      <w:r>
        <w:rPr>
          <w:rFonts w:hint="eastAsia" w:ascii="宋体" w:hAnsi="宋体" w:eastAsia="宋体" w:cs="宋体"/>
          <w:color w:val="auto"/>
          <w:sz w:val="24"/>
          <w:szCs w:val="24"/>
          <w:highlight w:val="none"/>
        </w:rPr>
        <w:t>上述应知其权益受到损害之日是指：</w:t>
      </w:r>
    </w:p>
    <w:p w14:paraId="32C3DCEF">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（1）对采购文件提出质疑的，为采购文件公告期限届满之日起计算；</w:t>
      </w:r>
    </w:p>
    <w:p w14:paraId="1A191BC5">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（2）对采购过程提出质疑的，自采购程序环节结束之日起计算；</w:t>
      </w:r>
    </w:p>
    <w:p w14:paraId="4FE5303D">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（3）对中标或者成交结果提出质疑的，自中标或者成交结果公告期限届满之日起计算。</w:t>
      </w:r>
    </w:p>
    <w:p w14:paraId="42714CBA">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14.2.4</w:t>
      </w:r>
      <w:r>
        <w:rPr>
          <w:rFonts w:hint="eastAsia" w:ascii="宋体" w:hAnsi="宋体" w:eastAsia="宋体" w:cs="宋体"/>
          <w:color w:val="auto"/>
          <w:sz w:val="24"/>
          <w:szCs w:val="24"/>
          <w:highlight w:val="none"/>
        </w:rPr>
        <w:t>质疑供应商在法定质疑期内应当一次性提出针对同一采购环节提出质疑。</w:t>
      </w:r>
    </w:p>
    <w:p w14:paraId="51BCAE48">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14.2.5</w:t>
      </w:r>
      <w:r>
        <w:rPr>
          <w:rFonts w:hint="eastAsia" w:ascii="宋体" w:hAnsi="宋体" w:eastAsia="宋体" w:cs="宋体"/>
          <w:color w:val="auto"/>
          <w:sz w:val="24"/>
          <w:szCs w:val="24"/>
          <w:highlight w:val="none"/>
        </w:rPr>
        <w:t>质疑文件应包括以下主要内容，并按照“谁主张、谁举证”的原则，附上相关证明材料。否则，采购代理机构不予受理【财政部发布了《政府采购供应商质疑函范本》和《政府采购供应商投诉书范本》，两范本指供应商提出质疑、投诉人提起投诉时，应提交的质疑函、投诉书和必要的证明材料（下载路径：中国政府采购网→下载专区）】：</w:t>
      </w:r>
    </w:p>
    <w:p w14:paraId="5BFE1773">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（1）供应商的姓名或者名称、地址、邮编、联系人及联系电话（包括座机、手机、传真号码等）；</w:t>
      </w:r>
    </w:p>
    <w:p w14:paraId="05B9211C">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（2）质疑项目的名称、项目编号、包号、采购公告发布时间、递交投标文件或响应文件截止时间；</w:t>
      </w:r>
    </w:p>
    <w:p w14:paraId="742C5372">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（3）具体、明确的质疑事项和与质疑事项相关的请求；</w:t>
      </w:r>
    </w:p>
    <w:p w14:paraId="235F6CF2">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（4）事实依据（具体条款，认为自己合法权益受到损害或可能受到损害的相关证据材料。如涉及到产品功能或技术指标的，应出具相关制造商的证明文件）；</w:t>
      </w:r>
    </w:p>
    <w:p w14:paraId="1FC49FD5">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（5）必要的法律依据；</w:t>
      </w:r>
    </w:p>
    <w:p w14:paraId="0516E538">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（6）提起质疑的日期；</w:t>
      </w:r>
    </w:p>
    <w:p w14:paraId="513FF1B1">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（7）质疑文件应当署名，质疑人为自然人的，应当由本人签字并附有效身份证明；质疑人为法人或其他组织的，应当由法定代表人签字并加盖单位公章；</w:t>
      </w:r>
    </w:p>
    <w:p w14:paraId="7F3352A6">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（8）供应商委托代理质疑的，应当提交授权委托书，并载明代理人的姓名或者名称、代理事项、具体权限、期限和相关事项。</w:t>
      </w:r>
    </w:p>
    <w:p w14:paraId="5B91B850">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14.2.6</w:t>
      </w:r>
      <w:r>
        <w:rPr>
          <w:rFonts w:hint="eastAsia" w:ascii="宋体" w:hAnsi="宋体" w:eastAsia="宋体" w:cs="宋体"/>
          <w:color w:val="auto"/>
          <w:sz w:val="24"/>
          <w:szCs w:val="24"/>
          <w:highlight w:val="none"/>
        </w:rPr>
        <w:t>质疑供应商是指直接参加本项目采购活动的供应商，未参加政府采购活动的供应商或在采购活动中自身权益未受到损害的供应商所提出的质疑不予受理。</w:t>
      </w:r>
    </w:p>
    <w:p w14:paraId="00B443BB">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14.2.7</w:t>
      </w:r>
      <w:r>
        <w:rPr>
          <w:rFonts w:hint="eastAsia" w:ascii="宋体" w:hAnsi="宋体" w:eastAsia="宋体" w:cs="宋体"/>
          <w:color w:val="auto"/>
          <w:sz w:val="24"/>
          <w:szCs w:val="24"/>
          <w:highlight w:val="none"/>
        </w:rPr>
        <w:t>采购人、采购代理机构在收到供应商的书面质疑后将及时组织调查核实，在七个工作日内作出答复，并以书面形式通知质疑供应商和其他有关供应商，答复的内容不涉及商业秘密。</w:t>
      </w:r>
    </w:p>
    <w:p w14:paraId="786CAE2E">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14.3</w:t>
      </w:r>
      <w:r>
        <w:rPr>
          <w:rFonts w:hint="eastAsia" w:ascii="宋体" w:hAnsi="宋体" w:eastAsia="宋体" w:cs="宋体"/>
          <w:color w:val="auto"/>
          <w:sz w:val="24"/>
          <w:szCs w:val="24"/>
          <w:highlight w:val="none"/>
        </w:rPr>
        <w:t>投诉</w:t>
      </w:r>
    </w:p>
    <w:p w14:paraId="209D77EC">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14.3.</w:t>
      </w:r>
      <w:r>
        <w:rPr>
          <w:rFonts w:hint="eastAsia" w:ascii="宋体" w:hAnsi="宋体" w:eastAsia="宋体" w:cs="宋体"/>
          <w:color w:val="auto"/>
          <w:sz w:val="24"/>
          <w:szCs w:val="24"/>
          <w:highlight w:val="none"/>
        </w:rPr>
        <w:t>1质疑供应商对采购人、采购代理机构的答复不满意，或采购人、采购代理机构未在规定的时间内作出答复的，可以在答复期满后十五个工作日内向采购项目同级财政部门提起投诉。</w:t>
      </w:r>
    </w:p>
    <w:p w14:paraId="22947072">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14.3.</w:t>
      </w:r>
      <w:r>
        <w:rPr>
          <w:rFonts w:hint="eastAsia" w:ascii="宋体" w:hAnsi="宋体" w:eastAsia="宋体" w:cs="宋体"/>
          <w:color w:val="auto"/>
          <w:sz w:val="24"/>
          <w:szCs w:val="24"/>
          <w:highlight w:val="none"/>
        </w:rPr>
        <w:t>2供应商投诉的事项不得超出已质疑事项的范围，但基于质疑答复内容提出的投诉事项除外。</w:t>
      </w:r>
    </w:p>
    <w:p w14:paraId="16AD32E0">
      <w:pPr>
        <w:pStyle w:val="16"/>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15</w:t>
      </w:r>
      <w:r>
        <w:rPr>
          <w:rFonts w:hint="eastAsia" w:ascii="宋体" w:hAnsi="宋体" w:eastAsia="宋体" w:cs="宋体"/>
          <w:b/>
          <w:bCs/>
          <w:color w:val="auto"/>
          <w:sz w:val="24"/>
          <w:szCs w:val="24"/>
          <w:highlight w:val="none"/>
        </w:rPr>
        <w:t>、诚实信用</w:t>
      </w:r>
    </w:p>
    <w:p w14:paraId="6E46A808">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.1供应商不得虚假承诺，否则，按照提供虚假材料谋取中标或成交处理。</w:t>
      </w:r>
    </w:p>
    <w:p w14:paraId="2B35646C">
      <w:pPr>
        <w:pStyle w:val="16"/>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16</w:t>
      </w:r>
      <w:r>
        <w:rPr>
          <w:rFonts w:hint="eastAsia" w:ascii="宋体" w:hAnsi="宋体" w:eastAsia="宋体" w:cs="宋体"/>
          <w:b/>
          <w:bCs/>
          <w:color w:val="auto"/>
          <w:sz w:val="24"/>
          <w:szCs w:val="24"/>
          <w:highlight w:val="none"/>
        </w:rPr>
        <w:t>、磋商小组在政府采购活动中承担以下义务：</w:t>
      </w:r>
    </w:p>
    <w:p w14:paraId="53A1C016">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（一）遵守评审工作纪律；</w:t>
      </w:r>
    </w:p>
    <w:p w14:paraId="1FD6B218">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（二）按照客观、公正、审慎的原则，根据磋商文件规定的评审程序、评审方法和评审标准进行独立评审；</w:t>
      </w:r>
    </w:p>
    <w:p w14:paraId="7BC90434">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（三）不得泄露评审文件、评审情况和在评审过程中获悉的商业秘密；</w:t>
      </w:r>
    </w:p>
    <w:p w14:paraId="00CBEFF4">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（四）及时向财政部门报告评审过程中发现的采购人、采购代理机构向评审专家做倾向性、误导性的解释或者说明，以及供应商行贿、提供虚假材料或者串通等违法行为；</w:t>
      </w:r>
    </w:p>
    <w:p w14:paraId="327AABB1">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（五）发现磋商文件内容违反国家有关强制性规定或者磋商文件存在歧义、重大缺陷导致评审工作无法进行时，停止评审并向采购人或者采购代理机构书面说明情况；</w:t>
      </w:r>
    </w:p>
    <w:p w14:paraId="09987578">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（六）及时向财政、监察等部门举报在评审过程中受到非法干预的情况；</w:t>
      </w:r>
    </w:p>
    <w:p w14:paraId="440E9B53">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（七）配合答复处理供应商的询问、质疑和投诉等事项；</w:t>
      </w:r>
    </w:p>
    <w:p w14:paraId="5C56349B">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（八）法律、法规和规章规定的其他义务。</w:t>
      </w:r>
    </w:p>
    <w:p w14:paraId="027BD5F4">
      <w:pPr>
        <w:pStyle w:val="16"/>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17</w:t>
      </w:r>
      <w:r>
        <w:rPr>
          <w:rFonts w:hint="eastAsia" w:ascii="宋体" w:hAnsi="宋体" w:eastAsia="宋体" w:cs="宋体"/>
          <w:b/>
          <w:bCs/>
          <w:color w:val="auto"/>
          <w:sz w:val="24"/>
          <w:szCs w:val="24"/>
          <w:highlight w:val="none"/>
        </w:rPr>
        <w:t>、评审专家在政府采购活动中应当遵守以下工作纪律：</w:t>
      </w:r>
    </w:p>
    <w:p w14:paraId="70F99467">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（一）不得参加与自己有《中华人民共和国政府采购法实施条例》第九条规定的利害关系的政府采购项目的评标活动。发现参加了与自己有利害关系的评审活动，须主动提出回避，退出评审；</w:t>
      </w:r>
    </w:p>
    <w:p w14:paraId="34DC313E">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（二）评审前，应当将通讯工具或者相关电子设备交由采购代理机构统一保管；</w:t>
      </w:r>
    </w:p>
    <w:p w14:paraId="7D73649B">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（三）评审过程中，不得与外界联系，因发生不可预见情况，确实需要与外界联系的，应当在监督人员监督之下办理；</w:t>
      </w:r>
    </w:p>
    <w:p w14:paraId="69BBFB66">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14:paraId="0FDCA558">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（五）在评审过程中和评审结束后，不得记录、复制或带走任何评审资料，不得向外界透露评审内容；</w:t>
      </w:r>
    </w:p>
    <w:p w14:paraId="55A2A8F3">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（六）评审现场服从采购代理机构工作人员的管理，接受现场监督人员的合法监督；</w:t>
      </w:r>
    </w:p>
    <w:p w14:paraId="74F1A0B2">
      <w:pPr>
        <w:pStyle w:val="16"/>
        <w:spacing w:line="360" w:lineRule="auto"/>
        <w:ind w:firstLine="480" w:firstLineChars="200"/>
        <w:rPr>
          <w:rFonts w:hint="eastAsia" w:ascii="宋体" w:hAnsi="宋体" w:eastAsia="宋体" w:cs="宋体"/>
          <w:b/>
          <w:color w:val="auto"/>
          <w:kern w:val="2"/>
          <w:sz w:val="30"/>
          <w:szCs w:val="30"/>
          <w:highlight w:val="none"/>
          <w:lang w:val="en-US" w:eastAsia="zh-CN" w:bidi="ar-SA"/>
        </w:rPr>
      </w:pPr>
      <w:r>
        <w:rPr>
          <w:rFonts w:hint="eastAsia" w:ascii="宋体" w:hAnsi="宋体" w:eastAsia="宋体" w:cs="宋体"/>
          <w:color w:val="auto"/>
          <w:sz w:val="24"/>
          <w:szCs w:val="24"/>
          <w:highlight w:val="none"/>
        </w:rPr>
        <w:t>（七）遵守有关廉洁自律规定，不得私下接触供应商，不得收受供应商及有关业务单位和个人的财物或好处，不得接受采购代理机构的请托。</w:t>
      </w:r>
    </w:p>
    <w:p w14:paraId="72982662">
      <w:pPr>
        <w:numPr>
          <w:ilvl w:val="0"/>
          <w:numId w:val="0"/>
        </w:numPr>
        <w:spacing w:line="440" w:lineRule="exact"/>
        <w:jc w:val="center"/>
        <w:rPr>
          <w:rFonts w:hint="eastAsia" w:ascii="宋体" w:hAnsi="宋体" w:eastAsia="宋体" w:cs="宋体"/>
          <w:b/>
          <w:color w:val="auto"/>
          <w:kern w:val="2"/>
          <w:sz w:val="30"/>
          <w:szCs w:val="30"/>
          <w:highlight w:val="none"/>
          <w:lang w:val="en-US" w:eastAsia="zh-CN" w:bidi="ar-SA"/>
        </w:rPr>
      </w:pPr>
      <w:r>
        <w:rPr>
          <w:rFonts w:hint="eastAsia" w:ascii="宋体" w:hAnsi="宋体" w:eastAsia="宋体" w:cs="宋体"/>
          <w:b/>
          <w:color w:val="auto"/>
          <w:kern w:val="2"/>
          <w:sz w:val="30"/>
          <w:szCs w:val="30"/>
          <w:highlight w:val="none"/>
          <w:lang w:val="en-US" w:eastAsia="zh-CN" w:bidi="ar-SA"/>
        </w:rPr>
        <w:t>第五章、评定成交方式和标准</w:t>
      </w:r>
      <w:bookmarkStart w:id="120" w:name="_Toc163267204"/>
    </w:p>
    <w:p w14:paraId="272834CE">
      <w:pPr>
        <w:spacing w:line="360" w:lineRule="auto"/>
        <w:ind w:firstLine="3654" w:firstLineChars="1300"/>
        <w:rPr>
          <w:rFonts w:hint="eastAsia" w:ascii="宋体" w:hAnsi="宋体" w:cs="宋体"/>
          <w:b/>
          <w:bCs/>
          <w:color w:val="auto"/>
          <w:sz w:val="28"/>
          <w:szCs w:val="28"/>
          <w:highlight w:val="none"/>
        </w:rPr>
      </w:pPr>
    </w:p>
    <w:p w14:paraId="215B32FA">
      <w:pPr>
        <w:spacing w:line="360" w:lineRule="auto"/>
        <w:ind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1、综合评分</w:t>
      </w:r>
    </w:p>
    <w:p w14:paraId="03865204">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1.1.经磋商确定最终采购需求和提交最后报价的供应商后，由磋商小组采用综合评分法对提交最后报价供应商的响应文件和最后报价进行综合评分。</w:t>
      </w:r>
    </w:p>
    <w:p w14:paraId="328F8799">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综合评分法，是指响应文件满足磋商文件全部实质性要求且按评审因素的量化指标评审得分最高的供应商为成交候选供应商的评审方法。</w:t>
      </w:r>
    </w:p>
    <w:p w14:paraId="2448A274">
      <w:pPr>
        <w:numPr>
          <w:ilvl w:val="0"/>
          <w:numId w:val="0"/>
        </w:numPr>
        <w:spacing w:line="360" w:lineRule="auto"/>
        <w:ind w:leftChars="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1.2评审时，磋商小组各成员应当独立对每个有效响应的文件进行评价、打分，然后汇总每个供应商每项评分因素的得分。</w:t>
      </w:r>
    </w:p>
    <w:p w14:paraId="2D759F5C">
      <w:pPr>
        <w:numPr>
          <w:ilvl w:val="0"/>
          <w:numId w:val="0"/>
        </w:numPr>
        <w:spacing w:line="360" w:lineRule="auto"/>
        <w:ind w:leftChars="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1.3符合《政府采购竞争性磋商采购方式管理暂行办法》（财库[2014]214号）中第三条第三项的规定和执行统一价格标准的项目，其价格不列为评分因素。有特殊情况需要在上述规定范围外设定价格分权重的，应当经本级人民政府财政部门审核同意。</w:t>
      </w:r>
    </w:p>
    <w:p w14:paraId="7396A1EB">
      <w:pPr>
        <w:numPr>
          <w:ilvl w:val="0"/>
          <w:numId w:val="0"/>
        </w:numPr>
        <w:spacing w:line="360" w:lineRule="auto"/>
        <w:ind w:leftChars="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1.4本次竟争性磋商采用两轮报价评定成交方式。</w:t>
      </w:r>
    </w:p>
    <w:p w14:paraId="44DE5078">
      <w:pPr>
        <w:spacing w:line="360" w:lineRule="auto"/>
        <w:ind w:firstLine="482" w:firstLineChars="200"/>
        <w:rPr>
          <w:rFonts w:hint="eastAsia" w:ascii="宋体" w:hAnsi="宋体" w:eastAsia="宋体" w:cs="宋体"/>
          <w:color w:val="auto"/>
          <w:kern w:val="2"/>
          <w:sz w:val="24"/>
          <w:szCs w:val="24"/>
          <w:highlight w:val="none"/>
          <w:lang w:val="en-US" w:eastAsia="zh-CN" w:bidi="ar-SA"/>
        </w:rPr>
      </w:pPr>
      <w:bookmarkStart w:id="121" w:name="_Toc509337062"/>
      <w:bookmarkStart w:id="122" w:name="_Toc11931296"/>
      <w:bookmarkStart w:id="123" w:name="_Toc524368801"/>
      <w:bookmarkStart w:id="124" w:name="_Toc9864098"/>
      <w:bookmarkStart w:id="125" w:name="_Toc524517873"/>
      <w:bookmarkStart w:id="126" w:name="_Toc498871262"/>
      <w:bookmarkStart w:id="127" w:name="_Toc498899394"/>
      <w:bookmarkStart w:id="128" w:name="_Toc10446430"/>
      <w:bookmarkStart w:id="129" w:name="_Toc494832098"/>
      <w:bookmarkStart w:id="130" w:name="_Toc11944603"/>
      <w:bookmarkStart w:id="131" w:name="_Toc522529816"/>
      <w:bookmarkStart w:id="132" w:name="_Toc509337177"/>
      <w:bookmarkStart w:id="133" w:name="_Toc9612862"/>
      <w:bookmarkStart w:id="134" w:name="_Toc523170353"/>
      <w:bookmarkStart w:id="135" w:name="_Toc514177064"/>
      <w:bookmarkStart w:id="136" w:name="_Toc5124220"/>
      <w:r>
        <w:rPr>
          <w:rFonts w:hint="eastAsia" w:ascii="宋体" w:hAnsi="宋体" w:eastAsia="宋体" w:cs="宋体"/>
          <w:b/>
          <w:bCs/>
          <w:color w:val="auto"/>
          <w:kern w:val="2"/>
          <w:sz w:val="24"/>
          <w:szCs w:val="24"/>
          <w:highlight w:val="none"/>
          <w:lang w:val="en-US" w:eastAsia="zh-CN" w:bidi="ar-SA"/>
        </w:rPr>
        <w:t>2、综合评分细则表：</w:t>
      </w:r>
    </w:p>
    <w:p w14:paraId="5CB09486">
      <w:pPr>
        <w:pStyle w:val="16"/>
        <w:rPr>
          <w:rFonts w:hint="eastAsia" w:ascii="宋体" w:hAnsi="宋体" w:eastAsia="宋体" w:cs="宋体"/>
          <w:color w:val="auto"/>
          <w:kern w:val="2"/>
          <w:sz w:val="24"/>
          <w:szCs w:val="24"/>
          <w:highlight w:val="none"/>
          <w:lang w:val="en-US" w:eastAsia="zh-CN" w:bidi="ar-SA"/>
        </w:rPr>
      </w:pPr>
    </w:p>
    <w:p w14:paraId="7A70C445">
      <w:pPr>
        <w:pStyle w:val="12"/>
        <w:spacing w:line="240" w:lineRule="auto"/>
        <w:ind w:firstLine="4498" w:firstLineChars="1600"/>
        <w:jc w:val="both"/>
        <w:rPr>
          <w:rFonts w:hint="default" w:ascii="宋体" w:hAnsi="宋体" w:eastAsia="宋体" w:cs="宋体"/>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初步评审表</w:t>
      </w:r>
    </w:p>
    <w:tbl>
      <w:tblPr>
        <w:tblStyle w:val="31"/>
        <w:tblW w:w="9801"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
      <w:tblGrid>
        <w:gridCol w:w="571"/>
        <w:gridCol w:w="694"/>
        <w:gridCol w:w="1613"/>
        <w:gridCol w:w="4928"/>
        <w:gridCol w:w="1022"/>
        <w:gridCol w:w="973"/>
      </w:tblGrid>
      <w:tr w14:paraId="1AD45DE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265" w:type="dxa"/>
            <w:gridSpan w:val="2"/>
            <w:vMerge w:val="restart"/>
            <w:tcBorders>
              <w:top w:val="outset" w:color="auto" w:sz="6" w:space="0"/>
              <w:left w:val="outset" w:color="auto" w:sz="6" w:space="0"/>
              <w:bottom w:val="outset" w:color="auto" w:sz="6" w:space="0"/>
              <w:right w:val="outset" w:color="auto" w:sz="6" w:space="0"/>
            </w:tcBorders>
            <w:noWrap w:val="0"/>
            <w:vAlign w:val="center"/>
          </w:tcPr>
          <w:p w14:paraId="6C7A7E5C">
            <w:pPr>
              <w:pStyle w:val="74"/>
              <w:jc w:val="center"/>
              <w:rPr>
                <w:color w:val="auto"/>
                <w:highlight w:val="none"/>
              </w:rPr>
            </w:pPr>
            <w:r>
              <w:rPr>
                <w:b/>
                <w:color w:val="auto"/>
                <w:highlight w:val="none"/>
              </w:rPr>
              <w:t>评分因素</w:t>
            </w:r>
          </w:p>
        </w:tc>
        <w:tc>
          <w:tcPr>
            <w:tcW w:w="1613" w:type="dxa"/>
            <w:vMerge w:val="restart"/>
            <w:tcBorders>
              <w:top w:val="outset" w:color="auto" w:sz="6" w:space="0"/>
              <w:left w:val="outset" w:color="auto" w:sz="6" w:space="0"/>
              <w:bottom w:val="outset" w:color="auto" w:sz="6" w:space="0"/>
              <w:right w:val="outset" w:color="auto" w:sz="6" w:space="0"/>
            </w:tcBorders>
            <w:noWrap w:val="0"/>
            <w:vAlign w:val="center"/>
          </w:tcPr>
          <w:p w14:paraId="7B2B3466">
            <w:pPr>
              <w:pStyle w:val="74"/>
              <w:jc w:val="center"/>
              <w:rPr>
                <w:color w:val="auto"/>
                <w:highlight w:val="none"/>
              </w:rPr>
            </w:pPr>
            <w:r>
              <w:rPr>
                <w:b/>
                <w:color w:val="auto"/>
                <w:highlight w:val="none"/>
              </w:rPr>
              <w:t>评分点</w:t>
            </w:r>
          </w:p>
        </w:tc>
        <w:tc>
          <w:tcPr>
            <w:tcW w:w="4928" w:type="dxa"/>
            <w:vMerge w:val="restart"/>
            <w:tcBorders>
              <w:top w:val="outset" w:color="auto" w:sz="6" w:space="0"/>
              <w:left w:val="outset" w:color="auto" w:sz="6" w:space="0"/>
              <w:bottom w:val="outset" w:color="auto" w:sz="6" w:space="0"/>
              <w:right w:val="outset" w:color="auto" w:sz="6" w:space="0"/>
            </w:tcBorders>
            <w:noWrap w:val="0"/>
            <w:vAlign w:val="center"/>
          </w:tcPr>
          <w:p w14:paraId="77C59E08">
            <w:pPr>
              <w:pStyle w:val="74"/>
              <w:jc w:val="center"/>
              <w:rPr>
                <w:color w:val="auto"/>
                <w:highlight w:val="none"/>
              </w:rPr>
            </w:pPr>
            <w:r>
              <w:rPr>
                <w:b/>
                <w:color w:val="auto"/>
                <w:highlight w:val="none"/>
              </w:rPr>
              <w:t>评分标准</w:t>
            </w:r>
          </w:p>
        </w:tc>
        <w:tc>
          <w:tcPr>
            <w:tcW w:w="1995" w:type="dxa"/>
            <w:gridSpan w:val="2"/>
            <w:tcBorders>
              <w:top w:val="outset" w:color="auto" w:sz="6" w:space="0"/>
              <w:left w:val="outset" w:color="auto" w:sz="6" w:space="0"/>
              <w:bottom w:val="outset" w:color="auto" w:sz="6" w:space="0"/>
              <w:right w:val="outset" w:color="auto" w:sz="6" w:space="0"/>
            </w:tcBorders>
            <w:noWrap w:val="0"/>
            <w:vAlign w:val="center"/>
          </w:tcPr>
          <w:p w14:paraId="1076B6EB">
            <w:pPr>
              <w:pStyle w:val="74"/>
              <w:jc w:val="center"/>
              <w:rPr>
                <w:color w:val="auto"/>
                <w:highlight w:val="none"/>
              </w:rPr>
            </w:pPr>
            <w:r>
              <w:rPr>
                <w:b/>
                <w:color w:val="auto"/>
                <w:highlight w:val="none"/>
              </w:rPr>
              <w:t>评审意见</w:t>
            </w:r>
          </w:p>
        </w:tc>
      </w:tr>
      <w:tr w14:paraId="4034BD2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44" w:hRule="atLeast"/>
        </w:trPr>
        <w:tc>
          <w:tcPr>
            <w:tcW w:w="1265" w:type="dxa"/>
            <w:gridSpan w:val="2"/>
            <w:vMerge w:val="continue"/>
            <w:tcBorders>
              <w:top w:val="outset" w:color="auto" w:sz="6" w:space="0"/>
              <w:left w:val="outset" w:color="auto" w:sz="6" w:space="0"/>
              <w:bottom w:val="outset" w:color="auto" w:sz="6" w:space="0"/>
              <w:right w:val="outset" w:color="auto" w:sz="6" w:space="0"/>
            </w:tcBorders>
            <w:noWrap w:val="0"/>
            <w:vAlign w:val="center"/>
          </w:tcPr>
          <w:p w14:paraId="127FAF6A">
            <w:pPr>
              <w:pStyle w:val="74"/>
              <w:jc w:val="center"/>
              <w:rPr>
                <w:color w:val="auto"/>
                <w:highlight w:val="none"/>
              </w:rPr>
            </w:pPr>
          </w:p>
        </w:tc>
        <w:tc>
          <w:tcPr>
            <w:tcW w:w="1613" w:type="dxa"/>
            <w:vMerge w:val="continue"/>
            <w:tcBorders>
              <w:top w:val="outset" w:color="auto" w:sz="6" w:space="0"/>
              <w:left w:val="outset" w:color="auto" w:sz="6" w:space="0"/>
              <w:bottom w:val="outset" w:color="auto" w:sz="6" w:space="0"/>
              <w:right w:val="outset" w:color="auto" w:sz="6" w:space="0"/>
            </w:tcBorders>
            <w:noWrap w:val="0"/>
            <w:vAlign w:val="center"/>
          </w:tcPr>
          <w:p w14:paraId="09F6C8D2">
            <w:pPr>
              <w:pStyle w:val="74"/>
              <w:jc w:val="center"/>
              <w:rPr>
                <w:color w:val="auto"/>
                <w:highlight w:val="none"/>
              </w:rPr>
            </w:pPr>
          </w:p>
        </w:tc>
        <w:tc>
          <w:tcPr>
            <w:tcW w:w="4928" w:type="dxa"/>
            <w:vMerge w:val="continue"/>
            <w:tcBorders>
              <w:top w:val="outset" w:color="auto" w:sz="6" w:space="0"/>
              <w:left w:val="outset" w:color="auto" w:sz="6" w:space="0"/>
              <w:bottom w:val="outset" w:color="auto" w:sz="6" w:space="0"/>
              <w:right w:val="outset" w:color="auto" w:sz="6" w:space="0"/>
            </w:tcBorders>
            <w:noWrap w:val="0"/>
            <w:vAlign w:val="center"/>
          </w:tcPr>
          <w:p w14:paraId="49C3E5E8">
            <w:pPr>
              <w:pStyle w:val="74"/>
              <w:jc w:val="center"/>
              <w:rPr>
                <w:color w:val="auto"/>
                <w:highlight w:val="none"/>
              </w:rPr>
            </w:pPr>
          </w:p>
        </w:tc>
        <w:tc>
          <w:tcPr>
            <w:tcW w:w="1022" w:type="dxa"/>
            <w:tcBorders>
              <w:top w:val="outset" w:color="auto" w:sz="6" w:space="0"/>
              <w:left w:val="outset" w:color="auto" w:sz="6" w:space="0"/>
              <w:bottom w:val="outset" w:color="auto" w:sz="6" w:space="0"/>
              <w:right w:val="outset" w:color="auto" w:sz="6" w:space="0"/>
            </w:tcBorders>
            <w:noWrap w:val="0"/>
            <w:vAlign w:val="center"/>
          </w:tcPr>
          <w:p w14:paraId="7D32F72D">
            <w:pPr>
              <w:pStyle w:val="74"/>
              <w:jc w:val="center"/>
              <w:rPr>
                <w:rFonts w:hint="eastAsia" w:eastAsia="宋体"/>
                <w:color w:val="auto"/>
                <w:highlight w:val="none"/>
                <w:lang w:eastAsia="zh-CN"/>
              </w:rPr>
            </w:pPr>
            <w:r>
              <w:rPr>
                <w:rFonts w:hint="eastAsia" w:eastAsia="宋体"/>
                <w:b/>
                <w:color w:val="auto"/>
                <w:highlight w:val="none"/>
                <w:lang w:eastAsia="zh-CN"/>
              </w:rPr>
              <w:t>通过</w:t>
            </w:r>
          </w:p>
        </w:tc>
        <w:tc>
          <w:tcPr>
            <w:tcW w:w="973" w:type="dxa"/>
            <w:tcBorders>
              <w:top w:val="outset" w:color="auto" w:sz="6" w:space="0"/>
              <w:left w:val="outset" w:color="auto" w:sz="6" w:space="0"/>
              <w:bottom w:val="outset" w:color="auto" w:sz="6" w:space="0"/>
              <w:right w:val="outset" w:color="auto" w:sz="6" w:space="0"/>
            </w:tcBorders>
            <w:noWrap w:val="0"/>
            <w:vAlign w:val="center"/>
          </w:tcPr>
          <w:p w14:paraId="622AB413">
            <w:pPr>
              <w:pStyle w:val="74"/>
              <w:jc w:val="center"/>
              <w:rPr>
                <w:rFonts w:hint="eastAsia" w:eastAsia="宋体"/>
                <w:color w:val="auto"/>
                <w:highlight w:val="none"/>
                <w:lang w:eastAsia="zh-CN"/>
              </w:rPr>
            </w:pPr>
            <w:r>
              <w:rPr>
                <w:rFonts w:hint="eastAsia" w:eastAsia="宋体"/>
                <w:b/>
                <w:color w:val="auto"/>
                <w:highlight w:val="none"/>
                <w:lang w:eastAsia="zh-CN"/>
              </w:rPr>
              <w:t>不通过</w:t>
            </w:r>
          </w:p>
        </w:tc>
      </w:tr>
      <w:tr w14:paraId="77FE25F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150" w:hRule="atLeast"/>
        </w:trPr>
        <w:tc>
          <w:tcPr>
            <w:tcW w:w="571" w:type="dxa"/>
            <w:vMerge w:val="restart"/>
            <w:tcBorders>
              <w:top w:val="outset" w:color="auto" w:sz="6" w:space="0"/>
              <w:left w:val="outset" w:color="auto" w:sz="6" w:space="0"/>
              <w:bottom w:val="outset" w:color="auto" w:sz="6" w:space="0"/>
              <w:right w:val="outset" w:color="auto" w:sz="6" w:space="0"/>
            </w:tcBorders>
            <w:noWrap w:val="0"/>
            <w:vAlign w:val="center"/>
          </w:tcPr>
          <w:p w14:paraId="0E5B9D1F">
            <w:pPr>
              <w:pStyle w:val="74"/>
              <w:jc w:val="center"/>
              <w:rPr>
                <w:color w:val="auto"/>
                <w:highlight w:val="none"/>
              </w:rPr>
            </w:pPr>
          </w:p>
          <w:p w14:paraId="5FE016FA">
            <w:pPr>
              <w:pStyle w:val="74"/>
              <w:jc w:val="center"/>
              <w:rPr>
                <w:color w:val="auto"/>
                <w:highlight w:val="none"/>
              </w:rPr>
            </w:pPr>
          </w:p>
          <w:p w14:paraId="1AA30DF3">
            <w:pPr>
              <w:pStyle w:val="74"/>
              <w:jc w:val="center"/>
              <w:rPr>
                <w:color w:val="auto"/>
                <w:highlight w:val="none"/>
              </w:rPr>
            </w:pPr>
          </w:p>
          <w:p w14:paraId="64F9DB56">
            <w:pPr>
              <w:pStyle w:val="74"/>
              <w:jc w:val="center"/>
              <w:rPr>
                <w:color w:val="auto"/>
                <w:highlight w:val="none"/>
              </w:rPr>
            </w:pPr>
          </w:p>
          <w:p w14:paraId="22119230">
            <w:pPr>
              <w:pStyle w:val="74"/>
              <w:jc w:val="center"/>
              <w:rPr>
                <w:color w:val="auto"/>
                <w:highlight w:val="none"/>
              </w:rPr>
            </w:pPr>
          </w:p>
          <w:p w14:paraId="6B46CCD1">
            <w:pPr>
              <w:pStyle w:val="74"/>
              <w:jc w:val="center"/>
              <w:rPr>
                <w:color w:val="auto"/>
                <w:highlight w:val="none"/>
              </w:rPr>
            </w:pPr>
          </w:p>
          <w:p w14:paraId="4089F891">
            <w:pPr>
              <w:pStyle w:val="74"/>
              <w:jc w:val="center"/>
              <w:rPr>
                <w:color w:val="auto"/>
                <w:highlight w:val="none"/>
              </w:rPr>
            </w:pPr>
          </w:p>
          <w:p w14:paraId="074BB7A3">
            <w:pPr>
              <w:pStyle w:val="74"/>
              <w:jc w:val="center"/>
              <w:rPr>
                <w:color w:val="auto"/>
                <w:highlight w:val="none"/>
              </w:rPr>
            </w:pPr>
          </w:p>
          <w:p w14:paraId="55F484B7">
            <w:pPr>
              <w:pStyle w:val="74"/>
              <w:jc w:val="center"/>
              <w:rPr>
                <w:color w:val="auto"/>
                <w:highlight w:val="none"/>
              </w:rPr>
            </w:pPr>
          </w:p>
          <w:p w14:paraId="57AA7E12">
            <w:pPr>
              <w:pStyle w:val="74"/>
              <w:jc w:val="center"/>
              <w:rPr>
                <w:color w:val="auto"/>
                <w:highlight w:val="none"/>
              </w:rPr>
            </w:pPr>
          </w:p>
          <w:p w14:paraId="156C7E4E">
            <w:pPr>
              <w:pStyle w:val="74"/>
              <w:jc w:val="center"/>
              <w:rPr>
                <w:color w:val="auto"/>
                <w:highlight w:val="none"/>
              </w:rPr>
            </w:pPr>
          </w:p>
          <w:p w14:paraId="183B8D50">
            <w:pPr>
              <w:pStyle w:val="74"/>
              <w:jc w:val="center"/>
              <w:rPr>
                <w:color w:val="auto"/>
                <w:highlight w:val="none"/>
              </w:rPr>
            </w:pPr>
          </w:p>
          <w:p w14:paraId="305DD5BF">
            <w:pPr>
              <w:pStyle w:val="74"/>
              <w:jc w:val="center"/>
              <w:rPr>
                <w:color w:val="auto"/>
                <w:highlight w:val="none"/>
              </w:rPr>
            </w:pPr>
          </w:p>
          <w:p w14:paraId="7191059B">
            <w:pPr>
              <w:pStyle w:val="74"/>
              <w:jc w:val="center"/>
              <w:rPr>
                <w:color w:val="auto"/>
                <w:highlight w:val="none"/>
              </w:rPr>
            </w:pPr>
          </w:p>
          <w:p w14:paraId="2329D857">
            <w:pPr>
              <w:pStyle w:val="74"/>
              <w:jc w:val="center"/>
              <w:rPr>
                <w:color w:val="auto"/>
                <w:highlight w:val="none"/>
              </w:rPr>
            </w:pPr>
          </w:p>
          <w:p w14:paraId="2E23AAC0">
            <w:pPr>
              <w:pStyle w:val="74"/>
              <w:jc w:val="center"/>
              <w:rPr>
                <w:color w:val="auto"/>
                <w:highlight w:val="none"/>
              </w:rPr>
            </w:pPr>
          </w:p>
          <w:p w14:paraId="569BA5AC">
            <w:pPr>
              <w:pStyle w:val="74"/>
              <w:jc w:val="center"/>
              <w:rPr>
                <w:color w:val="auto"/>
                <w:highlight w:val="none"/>
              </w:rPr>
            </w:pPr>
          </w:p>
          <w:p w14:paraId="2C6770AC">
            <w:pPr>
              <w:pStyle w:val="74"/>
              <w:jc w:val="center"/>
              <w:rPr>
                <w:color w:val="auto"/>
                <w:highlight w:val="none"/>
              </w:rPr>
            </w:pPr>
          </w:p>
          <w:p w14:paraId="32C2D90F">
            <w:pPr>
              <w:pStyle w:val="74"/>
              <w:jc w:val="center"/>
              <w:rPr>
                <w:b/>
                <w:bCs/>
                <w:color w:val="auto"/>
                <w:highlight w:val="none"/>
              </w:rPr>
            </w:pPr>
          </w:p>
          <w:p w14:paraId="29A14EBC">
            <w:pPr>
              <w:pStyle w:val="74"/>
              <w:jc w:val="center"/>
              <w:rPr>
                <w:b/>
                <w:bCs/>
                <w:color w:val="auto"/>
                <w:highlight w:val="none"/>
              </w:rPr>
            </w:pPr>
          </w:p>
          <w:p w14:paraId="732B539E">
            <w:pPr>
              <w:pStyle w:val="74"/>
              <w:jc w:val="center"/>
              <w:rPr>
                <w:color w:val="auto"/>
                <w:highlight w:val="none"/>
              </w:rPr>
            </w:pPr>
            <w:r>
              <w:rPr>
                <w:b/>
                <w:bCs/>
                <w:color w:val="auto"/>
                <w:highlight w:val="none"/>
              </w:rPr>
              <w:t>初步评审</w:t>
            </w:r>
          </w:p>
        </w:tc>
        <w:tc>
          <w:tcPr>
            <w:tcW w:w="694" w:type="dxa"/>
            <w:vMerge w:val="restart"/>
            <w:tcBorders>
              <w:top w:val="outset" w:color="auto" w:sz="6" w:space="0"/>
              <w:left w:val="outset" w:color="auto" w:sz="6" w:space="0"/>
              <w:right w:val="outset" w:color="auto" w:sz="6" w:space="0"/>
            </w:tcBorders>
            <w:noWrap w:val="0"/>
            <w:vAlign w:val="center"/>
          </w:tcPr>
          <w:p w14:paraId="737D5B86">
            <w:pPr>
              <w:pStyle w:val="74"/>
              <w:jc w:val="center"/>
              <w:rPr>
                <w:rFonts w:hint="eastAsia" w:ascii="宋体" w:hAnsi="宋体" w:eastAsia="宋体" w:cs="Times New Roman"/>
                <w:color w:val="auto"/>
                <w:kern w:val="2"/>
                <w:sz w:val="21"/>
                <w:szCs w:val="21"/>
                <w:highlight w:val="none"/>
                <w:lang w:val="en-US" w:eastAsia="zh-CN" w:bidi="ar-SA"/>
              </w:rPr>
            </w:pPr>
          </w:p>
          <w:p w14:paraId="6994E0A4">
            <w:pPr>
              <w:pStyle w:val="74"/>
              <w:jc w:val="center"/>
              <w:rPr>
                <w:rFonts w:hint="eastAsia" w:ascii="宋体" w:hAnsi="宋体" w:eastAsia="宋体" w:cs="Times New Roman"/>
                <w:color w:val="auto"/>
                <w:kern w:val="2"/>
                <w:sz w:val="21"/>
                <w:szCs w:val="21"/>
                <w:highlight w:val="none"/>
                <w:lang w:val="en-US" w:eastAsia="zh-CN" w:bidi="ar-SA"/>
              </w:rPr>
            </w:pPr>
          </w:p>
          <w:p w14:paraId="2A58ABD8">
            <w:pPr>
              <w:pStyle w:val="74"/>
              <w:jc w:val="center"/>
              <w:rPr>
                <w:rFonts w:hint="eastAsia" w:ascii="宋体" w:hAnsi="宋体" w:eastAsia="宋体" w:cs="Times New Roman"/>
                <w:b/>
                <w:bCs/>
                <w:color w:val="auto"/>
                <w:kern w:val="2"/>
                <w:sz w:val="21"/>
                <w:szCs w:val="21"/>
                <w:highlight w:val="none"/>
                <w:lang w:val="en-US" w:eastAsia="zh-CN" w:bidi="ar-SA"/>
              </w:rPr>
            </w:pPr>
          </w:p>
          <w:p w14:paraId="6E2EFB57">
            <w:pPr>
              <w:pStyle w:val="74"/>
              <w:jc w:val="center"/>
              <w:rPr>
                <w:rFonts w:hint="eastAsia" w:ascii="宋体" w:hAnsi="宋体" w:eastAsia="Times New Roman" w:cs="宋体"/>
                <w:b/>
                <w:bCs/>
                <w:color w:val="auto"/>
                <w:sz w:val="24"/>
                <w:highlight w:val="none"/>
                <w:lang w:val="en-US" w:eastAsia="zh-CN"/>
              </w:rPr>
            </w:pPr>
            <w:r>
              <w:rPr>
                <w:rFonts w:hint="eastAsia" w:ascii="宋体" w:hAnsi="宋体" w:eastAsia="Times New Roman" w:cs="宋体"/>
                <w:b/>
                <w:bCs/>
                <w:color w:val="auto"/>
                <w:sz w:val="24"/>
                <w:highlight w:val="none"/>
                <w:lang w:val="en-US" w:eastAsia="zh-CN"/>
              </w:rPr>
              <w:t>资</w:t>
            </w:r>
          </w:p>
          <w:p w14:paraId="01CBF380">
            <w:pPr>
              <w:pStyle w:val="74"/>
              <w:jc w:val="center"/>
              <w:rPr>
                <w:rFonts w:hint="eastAsia" w:ascii="宋体" w:hAnsi="宋体" w:eastAsia="Times New Roman" w:cs="宋体"/>
                <w:b/>
                <w:bCs/>
                <w:color w:val="auto"/>
                <w:sz w:val="24"/>
                <w:highlight w:val="none"/>
                <w:lang w:val="en-US" w:eastAsia="zh-CN"/>
              </w:rPr>
            </w:pPr>
            <w:r>
              <w:rPr>
                <w:rFonts w:hint="eastAsia" w:ascii="宋体" w:hAnsi="宋体" w:eastAsia="Times New Roman" w:cs="宋体"/>
                <w:b/>
                <w:bCs/>
                <w:color w:val="auto"/>
                <w:sz w:val="24"/>
                <w:highlight w:val="none"/>
                <w:lang w:val="en-US" w:eastAsia="zh-CN"/>
              </w:rPr>
              <w:t>格</w:t>
            </w:r>
          </w:p>
          <w:p w14:paraId="1066B7FF">
            <w:pPr>
              <w:pStyle w:val="74"/>
              <w:jc w:val="center"/>
              <w:rPr>
                <w:rFonts w:hint="eastAsia" w:ascii="宋体" w:hAnsi="宋体" w:eastAsia="Times New Roman" w:cs="宋体"/>
                <w:b/>
                <w:bCs/>
                <w:color w:val="auto"/>
                <w:sz w:val="24"/>
                <w:highlight w:val="none"/>
                <w:lang w:val="en-US" w:eastAsia="zh-CN"/>
              </w:rPr>
            </w:pPr>
            <w:r>
              <w:rPr>
                <w:rFonts w:hint="eastAsia" w:ascii="宋体" w:hAnsi="宋体" w:eastAsia="Times New Roman" w:cs="宋体"/>
                <w:b/>
                <w:bCs/>
                <w:color w:val="auto"/>
                <w:sz w:val="24"/>
                <w:highlight w:val="none"/>
                <w:lang w:val="en-US" w:eastAsia="zh-CN"/>
              </w:rPr>
              <w:t>检</w:t>
            </w:r>
          </w:p>
          <w:p w14:paraId="23077298">
            <w:pPr>
              <w:pStyle w:val="74"/>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Times New Roman" w:cs="宋体"/>
                <w:b/>
                <w:bCs/>
                <w:color w:val="auto"/>
                <w:sz w:val="24"/>
                <w:highlight w:val="none"/>
                <w:lang w:val="en-US" w:eastAsia="zh-CN"/>
              </w:rPr>
              <w:t>查</w:t>
            </w:r>
          </w:p>
        </w:tc>
        <w:tc>
          <w:tcPr>
            <w:tcW w:w="1613" w:type="dxa"/>
            <w:tcBorders>
              <w:top w:val="outset" w:color="auto" w:sz="6" w:space="0"/>
              <w:left w:val="outset" w:color="auto" w:sz="6" w:space="0"/>
              <w:bottom w:val="outset" w:color="auto" w:sz="6" w:space="0"/>
              <w:right w:val="outset" w:color="auto" w:sz="6" w:space="0"/>
            </w:tcBorders>
            <w:noWrap w:val="0"/>
            <w:vAlign w:val="center"/>
          </w:tcPr>
          <w:p w14:paraId="25ACFC93">
            <w:pPr>
              <w:pStyle w:val="74"/>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sz w:val="24"/>
                <w:highlight w:val="none"/>
              </w:rPr>
              <w:t>符合《中华人民共和国政府采购法》第二十二条的相关规定。</w:t>
            </w:r>
          </w:p>
        </w:tc>
        <w:tc>
          <w:tcPr>
            <w:tcW w:w="4928" w:type="dxa"/>
            <w:tcBorders>
              <w:top w:val="outset" w:color="auto" w:sz="6" w:space="0"/>
              <w:left w:val="outset" w:color="auto" w:sz="6" w:space="0"/>
              <w:bottom w:val="outset" w:color="auto" w:sz="6" w:space="0"/>
              <w:right w:val="outset" w:color="auto" w:sz="6" w:space="0"/>
            </w:tcBorders>
            <w:noWrap w:val="0"/>
            <w:vAlign w:val="center"/>
          </w:tcPr>
          <w:p w14:paraId="1E5D77DD">
            <w:pPr>
              <w:pStyle w:val="74"/>
              <w:numPr>
                <w:ilvl w:val="0"/>
                <w:numId w:val="6"/>
              </w:numP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是否</w:t>
            </w:r>
            <w:r>
              <w:rPr>
                <w:rFonts w:hint="eastAsia" w:ascii="宋体" w:hAnsi="宋体" w:eastAsia="宋体" w:cs="宋体"/>
                <w:color w:val="auto"/>
                <w:sz w:val="24"/>
                <w:highlight w:val="none"/>
              </w:rPr>
              <w:t>在中华人民共和国境内注册或登记，</w:t>
            </w:r>
            <w:r>
              <w:rPr>
                <w:rFonts w:hint="eastAsia" w:ascii="宋体" w:hAnsi="宋体" w:eastAsia="宋体" w:cs="宋体"/>
                <w:color w:val="auto"/>
                <w:sz w:val="24"/>
                <w:highlight w:val="none"/>
                <w:lang w:val="en-US" w:eastAsia="zh-CN"/>
              </w:rPr>
              <w:t>并提供</w:t>
            </w:r>
            <w:r>
              <w:rPr>
                <w:rFonts w:hint="eastAsia" w:ascii="宋体" w:hAnsi="宋体" w:eastAsia="宋体" w:cs="宋体"/>
                <w:color w:val="auto"/>
                <w:sz w:val="24"/>
                <w:highlight w:val="none"/>
              </w:rPr>
              <w:t>有效的营业执照（</w:t>
            </w:r>
            <w:r>
              <w:rPr>
                <w:rFonts w:hint="eastAsia" w:ascii="宋体" w:hAnsi="宋体" w:eastAsia="宋体" w:cs="宋体"/>
                <w:color w:val="auto"/>
                <w:sz w:val="24"/>
                <w:highlight w:val="none"/>
                <w:lang w:val="en-US" w:eastAsia="zh-CN"/>
              </w:rPr>
              <w:t>或</w:t>
            </w:r>
            <w:r>
              <w:rPr>
                <w:rFonts w:hint="eastAsia" w:ascii="宋体" w:hAnsi="宋体" w:eastAsia="宋体" w:cs="宋体"/>
                <w:color w:val="auto"/>
                <w:sz w:val="24"/>
                <w:highlight w:val="none"/>
              </w:rPr>
              <w:t>事业单位法人证书</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民办非企业单位登记证书</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社会团体法人登记证书</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基金会法人登记证书</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自然人身份证）；</w:t>
            </w:r>
          </w:p>
          <w:p w14:paraId="5A328C5A">
            <w:pPr>
              <w:pStyle w:val="74"/>
              <w:numPr>
                <w:ilvl w:val="0"/>
                <w:numId w:val="6"/>
              </w:numPr>
              <w:rPr>
                <w:rFonts w:hint="eastAsia" w:ascii="宋体" w:hAnsi="宋体" w:eastAsia="宋体" w:cs="宋体"/>
                <w:color w:val="auto"/>
                <w:sz w:val="24"/>
                <w:highlight w:val="none"/>
                <w:lang w:val="en-US" w:eastAsia="zh-CN"/>
              </w:rPr>
            </w:pPr>
            <w:r>
              <w:rPr>
                <w:rFonts w:hint="eastAsia" w:ascii="宋体" w:hAnsi="宋体" w:eastAsia="宋体" w:cs="宋体"/>
                <w:i w:val="0"/>
                <w:iCs w:val="0"/>
                <w:caps w:val="0"/>
                <w:color w:val="auto"/>
                <w:spacing w:val="0"/>
                <w:kern w:val="0"/>
                <w:sz w:val="24"/>
                <w:szCs w:val="24"/>
                <w:highlight w:val="none"/>
                <w:lang w:val="en-US" w:eastAsia="zh-CN" w:bidi="ar-SA"/>
              </w:rPr>
              <w:t>是否</w:t>
            </w:r>
            <w:r>
              <w:rPr>
                <w:rFonts w:hint="eastAsia" w:ascii="宋体" w:hAnsi="宋体" w:eastAsia="宋体" w:cs="宋体"/>
                <w:color w:val="auto"/>
                <w:sz w:val="24"/>
                <w:highlight w:val="none"/>
                <w:lang w:val="en-US" w:eastAsia="zh-CN"/>
              </w:rPr>
              <w:t>提供</w:t>
            </w:r>
            <w:r>
              <w:rPr>
                <w:rFonts w:hint="eastAsia" w:ascii="宋体" w:hAnsi="宋体" w:cs="宋体"/>
                <w:color w:val="auto"/>
                <w:sz w:val="24"/>
                <w:highlight w:val="none"/>
              </w:rPr>
              <w:t>符合《中华人民共和国政府采购法》第二十二条</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lang w:val="en-US" w:eastAsia="zh-CN"/>
              </w:rPr>
              <w:t>承诺书或证明材料；</w:t>
            </w:r>
          </w:p>
        </w:tc>
        <w:tc>
          <w:tcPr>
            <w:tcW w:w="1022" w:type="dxa"/>
            <w:tcBorders>
              <w:top w:val="outset" w:color="auto" w:sz="6" w:space="0"/>
              <w:left w:val="outset" w:color="auto" w:sz="6" w:space="0"/>
              <w:bottom w:val="outset" w:color="auto" w:sz="6" w:space="0"/>
              <w:right w:val="outset" w:color="auto" w:sz="6" w:space="0"/>
            </w:tcBorders>
            <w:noWrap w:val="0"/>
            <w:vAlign w:val="center"/>
          </w:tcPr>
          <w:p w14:paraId="12A73431">
            <w:pPr>
              <w:pStyle w:val="74"/>
              <w:rPr>
                <w:color w:val="auto"/>
                <w:highlight w:val="none"/>
              </w:rPr>
            </w:pPr>
          </w:p>
        </w:tc>
        <w:tc>
          <w:tcPr>
            <w:tcW w:w="973" w:type="dxa"/>
            <w:tcBorders>
              <w:top w:val="outset" w:color="auto" w:sz="6" w:space="0"/>
              <w:left w:val="outset" w:color="auto" w:sz="6" w:space="0"/>
              <w:bottom w:val="outset" w:color="auto" w:sz="6" w:space="0"/>
              <w:right w:val="outset" w:color="auto" w:sz="6" w:space="0"/>
            </w:tcBorders>
            <w:noWrap w:val="0"/>
            <w:vAlign w:val="center"/>
          </w:tcPr>
          <w:p w14:paraId="1E7D303C">
            <w:pPr>
              <w:pStyle w:val="74"/>
              <w:rPr>
                <w:color w:val="auto"/>
                <w:highlight w:val="none"/>
              </w:rPr>
            </w:pPr>
          </w:p>
        </w:tc>
      </w:tr>
      <w:tr w14:paraId="6ED4535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761" w:hRule="atLeast"/>
        </w:trPr>
        <w:tc>
          <w:tcPr>
            <w:tcW w:w="571" w:type="dxa"/>
            <w:vMerge w:val="continue"/>
            <w:tcBorders>
              <w:left w:val="outset" w:color="auto" w:sz="6" w:space="0"/>
              <w:right w:val="outset" w:color="auto" w:sz="6" w:space="0"/>
            </w:tcBorders>
            <w:noWrap w:val="0"/>
            <w:vAlign w:val="center"/>
          </w:tcPr>
          <w:p w14:paraId="3A406940">
            <w:pPr>
              <w:pStyle w:val="74"/>
              <w:jc w:val="center"/>
              <w:rPr>
                <w:color w:val="auto"/>
                <w:highlight w:val="none"/>
              </w:rPr>
            </w:pPr>
          </w:p>
        </w:tc>
        <w:tc>
          <w:tcPr>
            <w:tcW w:w="694" w:type="dxa"/>
            <w:vMerge w:val="continue"/>
            <w:tcBorders>
              <w:left w:val="outset" w:color="auto" w:sz="6" w:space="0"/>
              <w:right w:val="outset" w:color="auto" w:sz="6" w:space="0"/>
            </w:tcBorders>
            <w:noWrap w:val="0"/>
            <w:vAlign w:val="center"/>
          </w:tcPr>
          <w:p w14:paraId="4B6E9AED">
            <w:pPr>
              <w:pStyle w:val="74"/>
              <w:jc w:val="center"/>
              <w:rPr>
                <w:rFonts w:hint="eastAsia" w:ascii="宋体" w:hAnsi="宋体" w:eastAsia="宋体" w:cs="Times New Roman"/>
                <w:color w:val="auto"/>
                <w:kern w:val="2"/>
                <w:sz w:val="21"/>
                <w:szCs w:val="21"/>
                <w:highlight w:val="none"/>
                <w:lang w:val="en-US" w:eastAsia="zh-CN" w:bidi="ar-SA"/>
              </w:rPr>
            </w:pPr>
          </w:p>
        </w:tc>
        <w:tc>
          <w:tcPr>
            <w:tcW w:w="1613" w:type="dxa"/>
            <w:tcBorders>
              <w:top w:val="outset" w:color="auto" w:sz="6" w:space="0"/>
              <w:left w:val="outset" w:color="auto" w:sz="6" w:space="0"/>
              <w:bottom w:val="outset" w:color="auto" w:sz="6" w:space="0"/>
              <w:right w:val="outset" w:color="auto" w:sz="6" w:space="0"/>
            </w:tcBorders>
            <w:noWrap w:val="0"/>
            <w:vAlign w:val="center"/>
          </w:tcPr>
          <w:p w14:paraId="4C8A3FEB">
            <w:pPr>
              <w:pStyle w:val="74"/>
              <w:jc w:val="center"/>
              <w:rPr>
                <w:rFonts w:hint="eastAsia" w:ascii="宋体" w:hAnsi="宋体" w:eastAsia="Times New Roman" w:cs="宋体"/>
                <w:color w:val="auto"/>
                <w:sz w:val="24"/>
                <w:highlight w:val="none"/>
                <w:lang w:val="en-US" w:eastAsia="zh-CN"/>
              </w:rPr>
            </w:pPr>
            <w:r>
              <w:rPr>
                <w:rFonts w:hint="eastAsia" w:ascii="宋体" w:hAnsi="宋体" w:eastAsia="Times New Roman" w:cs="宋体"/>
                <w:color w:val="auto"/>
                <w:sz w:val="24"/>
                <w:highlight w:val="none"/>
                <w:lang w:val="en-US" w:eastAsia="zh-CN"/>
              </w:rPr>
              <w:t>法人身份证明或授权委托书</w:t>
            </w:r>
          </w:p>
        </w:tc>
        <w:tc>
          <w:tcPr>
            <w:tcW w:w="4928" w:type="dxa"/>
            <w:tcBorders>
              <w:top w:val="outset" w:color="auto" w:sz="6" w:space="0"/>
              <w:left w:val="outset" w:color="auto" w:sz="6" w:space="0"/>
              <w:bottom w:val="outset" w:color="auto" w:sz="6" w:space="0"/>
              <w:right w:val="outset" w:color="auto" w:sz="6" w:space="0"/>
            </w:tcBorders>
            <w:noWrap w:val="0"/>
            <w:vAlign w:val="center"/>
          </w:tcPr>
          <w:p w14:paraId="5D5D1A95">
            <w:pPr>
              <w:pStyle w:val="74"/>
              <w:jc w:val="left"/>
              <w:rPr>
                <w:rFonts w:hint="eastAsia" w:ascii="宋体" w:hAnsi="宋体" w:eastAsia="Times New Roman" w:cs="宋体"/>
                <w:color w:val="auto"/>
                <w:sz w:val="24"/>
                <w:highlight w:val="none"/>
                <w:lang w:val="en-US" w:eastAsia="zh-CN"/>
              </w:rPr>
            </w:pPr>
            <w:r>
              <w:rPr>
                <w:rFonts w:hint="eastAsia" w:ascii="宋体" w:hAnsi="宋体" w:eastAsia="Times New Roman" w:cs="宋体"/>
                <w:color w:val="auto"/>
                <w:sz w:val="24"/>
                <w:highlight w:val="none"/>
                <w:lang w:val="en-US" w:eastAsia="zh-CN"/>
              </w:rPr>
              <w:t>法定代表人</w:t>
            </w:r>
            <w:r>
              <w:rPr>
                <w:rFonts w:hint="eastAsia" w:ascii="宋体" w:hAnsi="宋体" w:cs="宋体"/>
                <w:color w:val="auto"/>
                <w:sz w:val="24"/>
                <w:highlight w:val="none"/>
                <w:lang w:val="en-US" w:eastAsia="zh-CN"/>
              </w:rPr>
              <w:t>是否</w:t>
            </w:r>
            <w:r>
              <w:rPr>
                <w:rFonts w:hint="eastAsia" w:ascii="宋体" w:hAnsi="宋体" w:eastAsia="Times New Roman" w:cs="宋体"/>
                <w:color w:val="auto"/>
                <w:sz w:val="24"/>
                <w:highlight w:val="none"/>
                <w:lang w:val="en-US" w:eastAsia="zh-CN"/>
              </w:rPr>
              <w:t>提供身份证明或委托代理人</w:t>
            </w:r>
            <w:r>
              <w:rPr>
                <w:rFonts w:hint="eastAsia" w:ascii="宋体" w:hAnsi="宋体" w:cs="宋体"/>
                <w:color w:val="auto"/>
                <w:sz w:val="24"/>
                <w:highlight w:val="none"/>
                <w:lang w:val="en-US" w:eastAsia="zh-CN"/>
              </w:rPr>
              <w:t>是否</w:t>
            </w:r>
            <w:r>
              <w:rPr>
                <w:rFonts w:hint="eastAsia" w:ascii="宋体" w:hAnsi="宋体" w:eastAsia="Times New Roman" w:cs="宋体"/>
                <w:color w:val="auto"/>
                <w:sz w:val="24"/>
                <w:highlight w:val="none"/>
                <w:lang w:val="en-US" w:eastAsia="zh-CN"/>
              </w:rPr>
              <w:t>提供身份证和授权委托书；</w:t>
            </w:r>
          </w:p>
        </w:tc>
        <w:tc>
          <w:tcPr>
            <w:tcW w:w="1022" w:type="dxa"/>
            <w:tcBorders>
              <w:top w:val="outset" w:color="auto" w:sz="6" w:space="0"/>
              <w:left w:val="outset" w:color="auto" w:sz="6" w:space="0"/>
              <w:bottom w:val="outset" w:color="auto" w:sz="6" w:space="0"/>
              <w:right w:val="outset" w:color="auto" w:sz="6" w:space="0"/>
            </w:tcBorders>
            <w:noWrap w:val="0"/>
            <w:vAlign w:val="center"/>
          </w:tcPr>
          <w:p w14:paraId="2A3ECC9F">
            <w:pPr>
              <w:pStyle w:val="74"/>
              <w:rPr>
                <w:color w:val="auto"/>
                <w:highlight w:val="none"/>
              </w:rPr>
            </w:pPr>
          </w:p>
        </w:tc>
        <w:tc>
          <w:tcPr>
            <w:tcW w:w="973" w:type="dxa"/>
            <w:tcBorders>
              <w:top w:val="outset" w:color="auto" w:sz="6" w:space="0"/>
              <w:left w:val="outset" w:color="auto" w:sz="6" w:space="0"/>
              <w:bottom w:val="outset" w:color="auto" w:sz="6" w:space="0"/>
              <w:right w:val="outset" w:color="auto" w:sz="6" w:space="0"/>
            </w:tcBorders>
            <w:noWrap w:val="0"/>
            <w:vAlign w:val="center"/>
          </w:tcPr>
          <w:p w14:paraId="3791EFE2">
            <w:pPr>
              <w:pStyle w:val="74"/>
              <w:rPr>
                <w:color w:val="auto"/>
                <w:highlight w:val="none"/>
              </w:rPr>
            </w:pPr>
          </w:p>
        </w:tc>
      </w:tr>
      <w:tr w14:paraId="7ED8E27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686" w:hRule="atLeast"/>
        </w:trPr>
        <w:tc>
          <w:tcPr>
            <w:tcW w:w="571" w:type="dxa"/>
            <w:vMerge w:val="continue"/>
            <w:tcBorders>
              <w:left w:val="outset" w:color="auto" w:sz="6" w:space="0"/>
              <w:right w:val="outset" w:color="auto" w:sz="6" w:space="0"/>
            </w:tcBorders>
            <w:noWrap w:val="0"/>
            <w:vAlign w:val="center"/>
          </w:tcPr>
          <w:p w14:paraId="3FCA5F67">
            <w:pPr>
              <w:pStyle w:val="74"/>
              <w:jc w:val="center"/>
              <w:rPr>
                <w:color w:val="auto"/>
                <w:highlight w:val="none"/>
              </w:rPr>
            </w:pPr>
          </w:p>
        </w:tc>
        <w:tc>
          <w:tcPr>
            <w:tcW w:w="694" w:type="dxa"/>
            <w:vMerge w:val="continue"/>
            <w:tcBorders>
              <w:left w:val="outset" w:color="auto" w:sz="6" w:space="0"/>
              <w:right w:val="outset" w:color="auto" w:sz="6" w:space="0"/>
            </w:tcBorders>
            <w:noWrap w:val="0"/>
            <w:vAlign w:val="center"/>
          </w:tcPr>
          <w:p w14:paraId="3B346A89">
            <w:pPr>
              <w:pStyle w:val="74"/>
              <w:jc w:val="center"/>
              <w:rPr>
                <w:rFonts w:hint="eastAsia" w:ascii="宋体" w:hAnsi="宋体" w:eastAsia="宋体" w:cs="Times New Roman"/>
                <w:color w:val="auto"/>
                <w:kern w:val="2"/>
                <w:sz w:val="21"/>
                <w:szCs w:val="21"/>
                <w:highlight w:val="none"/>
                <w:lang w:val="en-US" w:eastAsia="zh-CN" w:bidi="ar-SA"/>
              </w:rPr>
            </w:pPr>
          </w:p>
        </w:tc>
        <w:tc>
          <w:tcPr>
            <w:tcW w:w="1613" w:type="dxa"/>
            <w:tcBorders>
              <w:top w:val="outset" w:color="auto" w:sz="6" w:space="0"/>
              <w:left w:val="outset" w:color="auto" w:sz="6" w:space="0"/>
              <w:right w:val="outset" w:color="auto" w:sz="6" w:space="0"/>
            </w:tcBorders>
            <w:noWrap w:val="0"/>
            <w:vAlign w:val="center"/>
          </w:tcPr>
          <w:p w14:paraId="0BB5DE1E">
            <w:pPr>
              <w:pStyle w:val="74"/>
              <w:jc w:val="center"/>
              <w:rPr>
                <w:rFonts w:hint="default" w:ascii="宋体" w:hAnsi="宋体" w:eastAsia="Times New Roman" w:cs="宋体"/>
                <w:color w:val="auto"/>
                <w:sz w:val="24"/>
                <w:highlight w:val="none"/>
                <w:lang w:val="en-US" w:eastAsia="zh-CN"/>
              </w:rPr>
            </w:pPr>
            <w:r>
              <w:rPr>
                <w:rFonts w:hint="eastAsia" w:ascii="宋体" w:hAnsi="宋体" w:eastAsia="Times New Roman" w:cs="宋体"/>
                <w:color w:val="auto"/>
                <w:sz w:val="24"/>
                <w:highlight w:val="none"/>
                <w:lang w:val="en-US" w:eastAsia="zh-CN"/>
              </w:rPr>
              <w:t>企业资格</w:t>
            </w:r>
          </w:p>
        </w:tc>
        <w:tc>
          <w:tcPr>
            <w:tcW w:w="4928" w:type="dxa"/>
            <w:tcBorders>
              <w:top w:val="outset" w:color="auto" w:sz="6" w:space="0"/>
              <w:left w:val="outset" w:color="auto" w:sz="6" w:space="0"/>
              <w:bottom w:val="outset" w:color="auto" w:sz="6" w:space="0"/>
              <w:right w:val="outset" w:color="auto" w:sz="6" w:space="0"/>
            </w:tcBorders>
            <w:noWrap w:val="0"/>
            <w:vAlign w:val="center"/>
          </w:tcPr>
          <w:p w14:paraId="77C52613">
            <w:pPr>
              <w:pStyle w:val="74"/>
              <w:jc w:val="left"/>
              <w:rPr>
                <w:rFonts w:hint="eastAsia" w:ascii="宋体" w:hAnsi="宋体" w:eastAsia="Times New Roman" w:cs="宋体"/>
                <w:color w:val="auto"/>
                <w:sz w:val="24"/>
                <w:highlight w:val="none"/>
                <w:lang w:val="en-US" w:eastAsia="zh-CN"/>
              </w:rPr>
            </w:pPr>
            <w:r>
              <w:rPr>
                <w:rFonts w:hint="eastAsia" w:ascii="宋体" w:hAnsi="宋体" w:eastAsia="宋体" w:cs="宋体"/>
                <w:i w:val="0"/>
                <w:iCs w:val="0"/>
                <w:caps w:val="0"/>
                <w:color w:val="auto"/>
                <w:spacing w:val="0"/>
                <w:kern w:val="0"/>
                <w:sz w:val="24"/>
                <w:szCs w:val="24"/>
                <w:highlight w:val="none"/>
                <w:lang w:val="en-US" w:eastAsia="zh-CN" w:bidi="ar-SA"/>
              </w:rPr>
              <w:t>是否提供：水利水电工程施工总承包叁级及以上资质证书，有效的安全生产许可证，并在人员、设备、资金等方面具有相应的施工能力；</w:t>
            </w:r>
          </w:p>
        </w:tc>
        <w:tc>
          <w:tcPr>
            <w:tcW w:w="1022" w:type="dxa"/>
            <w:tcBorders>
              <w:top w:val="outset" w:color="auto" w:sz="6" w:space="0"/>
              <w:left w:val="outset" w:color="auto" w:sz="6" w:space="0"/>
              <w:bottom w:val="outset" w:color="auto" w:sz="6" w:space="0"/>
              <w:right w:val="outset" w:color="auto" w:sz="6" w:space="0"/>
            </w:tcBorders>
            <w:noWrap w:val="0"/>
            <w:vAlign w:val="center"/>
          </w:tcPr>
          <w:p w14:paraId="60213CF0">
            <w:pPr>
              <w:pStyle w:val="74"/>
              <w:rPr>
                <w:color w:val="auto"/>
                <w:highlight w:val="none"/>
              </w:rPr>
            </w:pPr>
          </w:p>
        </w:tc>
        <w:tc>
          <w:tcPr>
            <w:tcW w:w="973" w:type="dxa"/>
            <w:tcBorders>
              <w:top w:val="outset" w:color="auto" w:sz="6" w:space="0"/>
              <w:left w:val="outset" w:color="auto" w:sz="6" w:space="0"/>
              <w:bottom w:val="outset" w:color="auto" w:sz="6" w:space="0"/>
              <w:right w:val="outset" w:color="auto" w:sz="6" w:space="0"/>
            </w:tcBorders>
            <w:noWrap w:val="0"/>
            <w:vAlign w:val="center"/>
          </w:tcPr>
          <w:p w14:paraId="57EC2C30">
            <w:pPr>
              <w:pStyle w:val="74"/>
              <w:rPr>
                <w:color w:val="auto"/>
                <w:highlight w:val="none"/>
              </w:rPr>
            </w:pPr>
          </w:p>
        </w:tc>
      </w:tr>
      <w:tr w14:paraId="4F628B4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686" w:hRule="atLeast"/>
        </w:trPr>
        <w:tc>
          <w:tcPr>
            <w:tcW w:w="571" w:type="dxa"/>
            <w:vMerge w:val="continue"/>
            <w:tcBorders>
              <w:left w:val="outset" w:color="auto" w:sz="6" w:space="0"/>
              <w:right w:val="outset" w:color="auto" w:sz="6" w:space="0"/>
            </w:tcBorders>
            <w:noWrap w:val="0"/>
            <w:vAlign w:val="center"/>
          </w:tcPr>
          <w:p w14:paraId="5D55A7F2">
            <w:pPr>
              <w:pStyle w:val="74"/>
              <w:jc w:val="center"/>
              <w:rPr>
                <w:color w:val="auto"/>
                <w:highlight w:val="none"/>
              </w:rPr>
            </w:pPr>
          </w:p>
        </w:tc>
        <w:tc>
          <w:tcPr>
            <w:tcW w:w="694" w:type="dxa"/>
            <w:vMerge w:val="continue"/>
            <w:tcBorders>
              <w:left w:val="outset" w:color="auto" w:sz="6" w:space="0"/>
              <w:right w:val="outset" w:color="auto" w:sz="6" w:space="0"/>
            </w:tcBorders>
            <w:noWrap w:val="0"/>
            <w:vAlign w:val="center"/>
          </w:tcPr>
          <w:p w14:paraId="486F4226">
            <w:pPr>
              <w:pStyle w:val="74"/>
              <w:jc w:val="center"/>
              <w:rPr>
                <w:rFonts w:hint="eastAsia" w:ascii="宋体" w:hAnsi="宋体" w:eastAsia="宋体" w:cs="Times New Roman"/>
                <w:color w:val="auto"/>
                <w:kern w:val="2"/>
                <w:sz w:val="21"/>
                <w:szCs w:val="21"/>
                <w:highlight w:val="none"/>
                <w:lang w:val="en-US" w:eastAsia="zh-CN" w:bidi="ar-SA"/>
              </w:rPr>
            </w:pPr>
          </w:p>
        </w:tc>
        <w:tc>
          <w:tcPr>
            <w:tcW w:w="1613" w:type="dxa"/>
            <w:tcBorders>
              <w:top w:val="outset" w:color="auto" w:sz="6" w:space="0"/>
              <w:left w:val="outset" w:color="auto" w:sz="6" w:space="0"/>
              <w:bottom w:val="outset" w:color="auto" w:sz="6" w:space="0"/>
              <w:right w:val="outset" w:color="auto" w:sz="6" w:space="0"/>
            </w:tcBorders>
            <w:noWrap w:val="0"/>
            <w:vAlign w:val="center"/>
          </w:tcPr>
          <w:p w14:paraId="33142DD8">
            <w:pPr>
              <w:pStyle w:val="74"/>
              <w:jc w:val="center"/>
              <w:rPr>
                <w:rFonts w:hint="eastAsia" w:ascii="宋体" w:hAnsi="宋体" w:eastAsia="宋体" w:cs="宋体"/>
                <w:i w:val="0"/>
                <w:iCs w:val="0"/>
                <w:caps w:val="0"/>
                <w:color w:val="auto"/>
                <w:spacing w:val="0"/>
                <w:kern w:val="0"/>
                <w:sz w:val="24"/>
                <w:szCs w:val="24"/>
                <w:highlight w:val="none"/>
                <w:lang w:val="en-US" w:eastAsia="zh-CN" w:bidi="ar-SA"/>
              </w:rPr>
            </w:pPr>
            <w:r>
              <w:rPr>
                <w:rFonts w:hint="eastAsia" w:ascii="宋体" w:hAnsi="宋体" w:eastAsia="宋体" w:cs="宋体"/>
                <w:i w:val="0"/>
                <w:iCs w:val="0"/>
                <w:caps w:val="0"/>
                <w:color w:val="auto"/>
                <w:spacing w:val="0"/>
                <w:kern w:val="0"/>
                <w:sz w:val="24"/>
                <w:szCs w:val="24"/>
                <w:highlight w:val="none"/>
                <w:lang w:val="en-US" w:eastAsia="zh-CN" w:bidi="ar-SA"/>
              </w:rPr>
              <w:t>项目负责人</w:t>
            </w:r>
          </w:p>
          <w:p w14:paraId="6C6F5BDE">
            <w:pPr>
              <w:pStyle w:val="74"/>
              <w:jc w:val="center"/>
              <w:rPr>
                <w:rFonts w:hint="default" w:ascii="宋体" w:hAnsi="宋体" w:eastAsia="Times New Roman" w:cs="宋体"/>
                <w:color w:val="auto"/>
                <w:sz w:val="24"/>
                <w:highlight w:val="none"/>
                <w:lang w:val="en-US" w:eastAsia="zh-CN"/>
              </w:rPr>
            </w:pPr>
            <w:r>
              <w:rPr>
                <w:rFonts w:hint="eastAsia" w:ascii="宋体" w:hAnsi="宋体" w:eastAsia="宋体" w:cs="宋体"/>
                <w:i w:val="0"/>
                <w:iCs w:val="0"/>
                <w:caps w:val="0"/>
                <w:color w:val="auto"/>
                <w:spacing w:val="0"/>
                <w:kern w:val="0"/>
                <w:sz w:val="24"/>
                <w:szCs w:val="24"/>
                <w:highlight w:val="none"/>
                <w:lang w:val="en-US" w:eastAsia="zh-CN" w:bidi="ar-SA"/>
              </w:rPr>
              <w:t>资格</w:t>
            </w:r>
          </w:p>
        </w:tc>
        <w:tc>
          <w:tcPr>
            <w:tcW w:w="4928" w:type="dxa"/>
            <w:tcBorders>
              <w:top w:val="outset" w:color="auto" w:sz="6" w:space="0"/>
              <w:left w:val="outset" w:color="auto" w:sz="6" w:space="0"/>
              <w:bottom w:val="outset" w:color="auto" w:sz="6" w:space="0"/>
              <w:right w:val="outset" w:color="auto" w:sz="6" w:space="0"/>
            </w:tcBorders>
            <w:noWrap w:val="0"/>
            <w:vAlign w:val="center"/>
          </w:tcPr>
          <w:p w14:paraId="23DEABD5">
            <w:pPr>
              <w:pStyle w:val="74"/>
              <w:jc w:val="left"/>
              <w:rPr>
                <w:rFonts w:hint="eastAsia" w:ascii="宋体" w:hAnsi="宋体" w:eastAsia="Times New Roman" w:cs="宋体"/>
                <w:color w:val="auto"/>
                <w:sz w:val="24"/>
                <w:highlight w:val="none"/>
                <w:lang w:val="en-US" w:eastAsia="zh-CN"/>
              </w:rPr>
            </w:pPr>
            <w:r>
              <w:rPr>
                <w:rFonts w:hint="eastAsia" w:ascii="宋体" w:hAnsi="宋体" w:eastAsia="宋体" w:cs="宋体"/>
                <w:i w:val="0"/>
                <w:iCs w:val="0"/>
                <w:caps w:val="0"/>
                <w:color w:val="auto"/>
                <w:spacing w:val="0"/>
                <w:kern w:val="0"/>
                <w:sz w:val="24"/>
                <w:szCs w:val="24"/>
                <w:highlight w:val="none"/>
                <w:lang w:val="en-US" w:eastAsia="zh-CN" w:bidi="ar-SA"/>
              </w:rPr>
              <w:t>是否提供：拟派项目负责人（项目经理）的水利水电二级及以上注册建造师执业资格证书证书及注册证书，有效的安全生产考核合格证书（B类），未担任其他在建工程项目的项目经理的承诺书。</w:t>
            </w:r>
          </w:p>
        </w:tc>
        <w:tc>
          <w:tcPr>
            <w:tcW w:w="1022" w:type="dxa"/>
            <w:tcBorders>
              <w:top w:val="outset" w:color="auto" w:sz="6" w:space="0"/>
              <w:left w:val="outset" w:color="auto" w:sz="6" w:space="0"/>
              <w:bottom w:val="outset" w:color="auto" w:sz="6" w:space="0"/>
              <w:right w:val="outset" w:color="auto" w:sz="6" w:space="0"/>
            </w:tcBorders>
            <w:noWrap w:val="0"/>
            <w:vAlign w:val="center"/>
          </w:tcPr>
          <w:p w14:paraId="654D34C6">
            <w:pPr>
              <w:pStyle w:val="74"/>
              <w:rPr>
                <w:color w:val="auto"/>
                <w:highlight w:val="none"/>
              </w:rPr>
            </w:pPr>
          </w:p>
        </w:tc>
        <w:tc>
          <w:tcPr>
            <w:tcW w:w="973" w:type="dxa"/>
            <w:tcBorders>
              <w:top w:val="outset" w:color="auto" w:sz="6" w:space="0"/>
              <w:left w:val="outset" w:color="auto" w:sz="6" w:space="0"/>
              <w:bottom w:val="outset" w:color="auto" w:sz="6" w:space="0"/>
              <w:right w:val="outset" w:color="auto" w:sz="6" w:space="0"/>
            </w:tcBorders>
            <w:noWrap w:val="0"/>
            <w:vAlign w:val="center"/>
          </w:tcPr>
          <w:p w14:paraId="0A6798BC">
            <w:pPr>
              <w:pStyle w:val="74"/>
              <w:rPr>
                <w:color w:val="auto"/>
                <w:highlight w:val="none"/>
              </w:rPr>
            </w:pPr>
          </w:p>
        </w:tc>
      </w:tr>
      <w:tr w14:paraId="5109CD8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200" w:hRule="atLeast"/>
        </w:trPr>
        <w:tc>
          <w:tcPr>
            <w:tcW w:w="571" w:type="dxa"/>
            <w:vMerge w:val="continue"/>
            <w:tcBorders>
              <w:left w:val="outset" w:color="auto" w:sz="6" w:space="0"/>
              <w:right w:val="outset" w:color="auto" w:sz="6" w:space="0"/>
            </w:tcBorders>
            <w:noWrap w:val="0"/>
            <w:vAlign w:val="center"/>
          </w:tcPr>
          <w:p w14:paraId="7D1B49B5">
            <w:pPr>
              <w:pStyle w:val="74"/>
              <w:jc w:val="center"/>
              <w:rPr>
                <w:color w:val="auto"/>
                <w:highlight w:val="none"/>
              </w:rPr>
            </w:pPr>
          </w:p>
        </w:tc>
        <w:tc>
          <w:tcPr>
            <w:tcW w:w="694" w:type="dxa"/>
            <w:vMerge w:val="continue"/>
            <w:tcBorders>
              <w:left w:val="outset" w:color="auto" w:sz="6" w:space="0"/>
              <w:right w:val="outset" w:color="auto" w:sz="6" w:space="0"/>
            </w:tcBorders>
            <w:noWrap w:val="0"/>
            <w:vAlign w:val="center"/>
          </w:tcPr>
          <w:p w14:paraId="35E037D6">
            <w:pPr>
              <w:pStyle w:val="74"/>
              <w:jc w:val="center"/>
              <w:rPr>
                <w:rFonts w:hint="eastAsia" w:ascii="宋体" w:hAnsi="宋体" w:eastAsia="宋体" w:cs="Times New Roman"/>
                <w:color w:val="auto"/>
                <w:kern w:val="2"/>
                <w:sz w:val="21"/>
                <w:szCs w:val="21"/>
                <w:highlight w:val="none"/>
                <w:lang w:val="en-US" w:eastAsia="zh-CN" w:bidi="ar-SA"/>
              </w:rPr>
            </w:pPr>
          </w:p>
        </w:tc>
        <w:tc>
          <w:tcPr>
            <w:tcW w:w="1613" w:type="dxa"/>
            <w:tcBorders>
              <w:top w:val="outset" w:color="auto" w:sz="6" w:space="0"/>
              <w:left w:val="outset" w:color="auto" w:sz="6" w:space="0"/>
              <w:bottom w:val="outset" w:color="auto" w:sz="6" w:space="0"/>
              <w:right w:val="outset" w:color="auto" w:sz="6" w:space="0"/>
            </w:tcBorders>
            <w:noWrap w:val="0"/>
            <w:vAlign w:val="center"/>
          </w:tcPr>
          <w:p w14:paraId="35A94CF0">
            <w:pPr>
              <w:pStyle w:val="74"/>
              <w:numPr>
                <w:ilvl w:val="0"/>
                <w:numId w:val="0"/>
              </w:numPr>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信用查询</w:t>
            </w:r>
          </w:p>
        </w:tc>
        <w:tc>
          <w:tcPr>
            <w:tcW w:w="4928" w:type="dxa"/>
            <w:tcBorders>
              <w:top w:val="outset" w:color="auto" w:sz="6" w:space="0"/>
              <w:left w:val="outset" w:color="auto" w:sz="6" w:space="0"/>
              <w:bottom w:val="outset" w:color="auto" w:sz="6" w:space="0"/>
              <w:right w:val="outset" w:color="auto" w:sz="6" w:space="0"/>
            </w:tcBorders>
            <w:noWrap w:val="0"/>
            <w:vAlign w:val="center"/>
          </w:tcPr>
          <w:p w14:paraId="6DABEABF">
            <w:pPr>
              <w:pStyle w:val="74"/>
              <w:jc w:val="left"/>
              <w:rPr>
                <w:rFonts w:hint="eastAsia" w:ascii="宋体" w:hAnsi="宋体" w:eastAsia="宋体" w:cs="宋体"/>
                <w:color w:val="auto"/>
                <w:sz w:val="24"/>
                <w:highlight w:val="none"/>
                <w:lang w:val="en-US" w:eastAsia="zh-CN"/>
              </w:rPr>
            </w:pPr>
            <w:r>
              <w:rPr>
                <w:rFonts w:hint="eastAsia" w:ascii="宋体" w:hAnsi="宋体" w:eastAsia="宋体" w:cs="宋体"/>
                <w:i w:val="0"/>
                <w:iCs w:val="0"/>
                <w:caps w:val="0"/>
                <w:color w:val="auto"/>
                <w:spacing w:val="0"/>
                <w:kern w:val="0"/>
                <w:sz w:val="24"/>
                <w:szCs w:val="24"/>
                <w:highlight w:val="none"/>
                <w:lang w:val="zh-CN" w:eastAsia="zh-CN" w:bidi="ar-SA"/>
              </w:rPr>
              <w:t>经信用中国、中国政府采购网等渠道查询后，列入失信被执行人、重大税收违法案件当事人名单、政府采购严重违法失信行为记录名单的，取消投标资格（</w:t>
            </w:r>
            <w:r>
              <w:rPr>
                <w:rFonts w:hint="eastAsia" w:ascii="宋体" w:hAnsi="宋体" w:eastAsia="宋体" w:cs="宋体"/>
                <w:i w:val="0"/>
                <w:iCs w:val="0"/>
                <w:caps w:val="0"/>
                <w:color w:val="auto"/>
                <w:spacing w:val="0"/>
                <w:kern w:val="0"/>
                <w:sz w:val="24"/>
                <w:szCs w:val="24"/>
                <w:highlight w:val="none"/>
                <w:lang w:val="en-US" w:eastAsia="zh-CN" w:bidi="ar-SA"/>
              </w:rPr>
              <w:t>是否</w:t>
            </w:r>
            <w:r>
              <w:rPr>
                <w:rFonts w:hint="eastAsia" w:ascii="宋体" w:hAnsi="宋体" w:eastAsia="宋体" w:cs="宋体"/>
                <w:i w:val="0"/>
                <w:iCs w:val="0"/>
                <w:caps w:val="0"/>
                <w:color w:val="auto"/>
                <w:spacing w:val="0"/>
                <w:kern w:val="0"/>
                <w:sz w:val="24"/>
                <w:szCs w:val="24"/>
                <w:highlight w:val="none"/>
                <w:lang w:val="zh-CN" w:eastAsia="zh-CN" w:bidi="ar-SA"/>
              </w:rPr>
              <w:t>提供网站无任何不良记录的查询截图并加盖公章，时间为自招标公告发布日期起至开标日期止；</w:t>
            </w:r>
            <w:r>
              <w:rPr>
                <w:rFonts w:hint="eastAsia" w:ascii="宋体" w:hAnsi="宋体" w:eastAsia="宋体" w:cs="宋体"/>
                <w:i w:val="0"/>
                <w:iCs w:val="0"/>
                <w:caps w:val="0"/>
                <w:color w:val="auto"/>
                <w:spacing w:val="0"/>
                <w:kern w:val="0"/>
                <w:sz w:val="24"/>
                <w:szCs w:val="24"/>
                <w:highlight w:val="none"/>
                <w:lang w:val="en-US" w:eastAsia="zh-CN" w:bidi="ar-SA"/>
              </w:rPr>
              <w:t>开标时，以网上查询记录为准</w:t>
            </w:r>
            <w:r>
              <w:rPr>
                <w:rFonts w:hint="eastAsia" w:ascii="宋体" w:hAnsi="宋体" w:eastAsia="宋体" w:cs="宋体"/>
                <w:i w:val="0"/>
                <w:iCs w:val="0"/>
                <w:caps w:val="0"/>
                <w:color w:val="auto"/>
                <w:spacing w:val="0"/>
                <w:kern w:val="0"/>
                <w:sz w:val="24"/>
                <w:szCs w:val="24"/>
                <w:highlight w:val="none"/>
                <w:lang w:val="zh-CN" w:eastAsia="zh-CN" w:bidi="ar-SA"/>
              </w:rPr>
              <w:t>）；</w:t>
            </w:r>
          </w:p>
        </w:tc>
        <w:tc>
          <w:tcPr>
            <w:tcW w:w="1022" w:type="dxa"/>
            <w:tcBorders>
              <w:top w:val="outset" w:color="auto" w:sz="6" w:space="0"/>
              <w:left w:val="outset" w:color="auto" w:sz="6" w:space="0"/>
              <w:bottom w:val="outset" w:color="auto" w:sz="6" w:space="0"/>
              <w:right w:val="outset" w:color="auto" w:sz="6" w:space="0"/>
            </w:tcBorders>
            <w:noWrap w:val="0"/>
            <w:vAlign w:val="center"/>
          </w:tcPr>
          <w:p w14:paraId="60A1DD4A">
            <w:pPr>
              <w:pStyle w:val="74"/>
              <w:rPr>
                <w:color w:val="auto"/>
                <w:highlight w:val="none"/>
              </w:rPr>
            </w:pPr>
          </w:p>
        </w:tc>
        <w:tc>
          <w:tcPr>
            <w:tcW w:w="973" w:type="dxa"/>
            <w:tcBorders>
              <w:top w:val="outset" w:color="auto" w:sz="6" w:space="0"/>
              <w:left w:val="outset" w:color="auto" w:sz="6" w:space="0"/>
              <w:bottom w:val="outset" w:color="auto" w:sz="6" w:space="0"/>
              <w:right w:val="outset" w:color="auto" w:sz="6" w:space="0"/>
            </w:tcBorders>
            <w:noWrap w:val="0"/>
            <w:vAlign w:val="center"/>
          </w:tcPr>
          <w:p w14:paraId="4E70D233">
            <w:pPr>
              <w:pStyle w:val="74"/>
              <w:rPr>
                <w:color w:val="auto"/>
                <w:highlight w:val="none"/>
              </w:rPr>
            </w:pPr>
          </w:p>
        </w:tc>
      </w:tr>
      <w:tr w14:paraId="6D68497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703" w:hRule="atLeast"/>
        </w:trPr>
        <w:tc>
          <w:tcPr>
            <w:tcW w:w="571" w:type="dxa"/>
            <w:vMerge w:val="continue"/>
            <w:tcBorders>
              <w:left w:val="outset" w:color="auto" w:sz="6" w:space="0"/>
              <w:right w:val="outset" w:color="auto" w:sz="6" w:space="0"/>
            </w:tcBorders>
            <w:noWrap w:val="0"/>
            <w:vAlign w:val="center"/>
          </w:tcPr>
          <w:p w14:paraId="38454015">
            <w:pPr>
              <w:pStyle w:val="74"/>
              <w:jc w:val="center"/>
              <w:rPr>
                <w:color w:val="auto"/>
                <w:highlight w:val="none"/>
              </w:rPr>
            </w:pPr>
          </w:p>
        </w:tc>
        <w:tc>
          <w:tcPr>
            <w:tcW w:w="694" w:type="dxa"/>
            <w:vMerge w:val="continue"/>
            <w:tcBorders>
              <w:left w:val="outset" w:color="auto" w:sz="6" w:space="0"/>
              <w:right w:val="outset" w:color="auto" w:sz="6" w:space="0"/>
            </w:tcBorders>
            <w:noWrap w:val="0"/>
            <w:vAlign w:val="center"/>
          </w:tcPr>
          <w:p w14:paraId="56FF5E12">
            <w:pPr>
              <w:pStyle w:val="74"/>
              <w:jc w:val="center"/>
              <w:rPr>
                <w:rFonts w:hint="eastAsia" w:ascii="宋体" w:hAnsi="宋体" w:eastAsia="宋体" w:cs="Times New Roman"/>
                <w:color w:val="auto"/>
                <w:kern w:val="2"/>
                <w:sz w:val="21"/>
                <w:szCs w:val="21"/>
                <w:highlight w:val="none"/>
                <w:lang w:val="en-US" w:eastAsia="zh-CN" w:bidi="ar-SA"/>
              </w:rPr>
            </w:pPr>
          </w:p>
        </w:tc>
        <w:tc>
          <w:tcPr>
            <w:tcW w:w="1613" w:type="dxa"/>
            <w:tcBorders>
              <w:top w:val="outset" w:color="auto" w:sz="6" w:space="0"/>
              <w:left w:val="outset" w:color="auto" w:sz="6" w:space="0"/>
              <w:bottom w:val="outset" w:color="auto" w:sz="6" w:space="0"/>
              <w:right w:val="outset" w:color="auto" w:sz="6" w:space="0"/>
            </w:tcBorders>
            <w:noWrap w:val="0"/>
            <w:vAlign w:val="center"/>
          </w:tcPr>
          <w:p w14:paraId="0A6F8D0F">
            <w:pPr>
              <w:pStyle w:val="74"/>
              <w:jc w:val="center"/>
              <w:rPr>
                <w:rFonts w:hint="eastAsia" w:ascii="宋体" w:hAnsi="宋体" w:eastAsia="Times New Roman" w:cs="宋体"/>
                <w:color w:val="auto"/>
                <w:sz w:val="24"/>
                <w:szCs w:val="24"/>
                <w:highlight w:val="none"/>
                <w:lang w:val="en-US" w:eastAsia="zh-CN" w:bidi="ar-SA"/>
              </w:rPr>
            </w:pPr>
            <w:r>
              <w:rPr>
                <w:rFonts w:hint="eastAsia" w:ascii="宋体" w:hAnsi="宋体" w:eastAsia="Times New Roman" w:cs="宋体"/>
                <w:color w:val="auto"/>
                <w:sz w:val="24"/>
                <w:highlight w:val="none"/>
                <w:lang w:val="en-US" w:eastAsia="zh-CN"/>
              </w:rPr>
              <w:t>投标保证金</w:t>
            </w:r>
          </w:p>
        </w:tc>
        <w:tc>
          <w:tcPr>
            <w:tcW w:w="4928" w:type="dxa"/>
            <w:tcBorders>
              <w:top w:val="outset" w:color="auto" w:sz="6" w:space="0"/>
              <w:left w:val="outset" w:color="auto" w:sz="6" w:space="0"/>
              <w:bottom w:val="outset" w:color="auto" w:sz="6" w:space="0"/>
              <w:right w:val="outset" w:color="auto" w:sz="6" w:space="0"/>
            </w:tcBorders>
            <w:noWrap w:val="0"/>
            <w:vAlign w:val="center"/>
          </w:tcPr>
          <w:p w14:paraId="3F5A7697">
            <w:pPr>
              <w:pStyle w:val="74"/>
              <w:jc w:val="both"/>
              <w:rPr>
                <w:rFonts w:hint="eastAsia" w:ascii="宋体" w:hAnsi="宋体" w:eastAsia="Times New Roman" w:cs="宋体"/>
                <w:color w:val="auto"/>
                <w:sz w:val="24"/>
                <w:szCs w:val="24"/>
                <w:highlight w:val="none"/>
                <w:lang w:val="zh-CN" w:eastAsia="zh-CN" w:bidi="ar-SA"/>
              </w:rPr>
            </w:pPr>
            <w:r>
              <w:rPr>
                <w:rFonts w:hint="eastAsia" w:ascii="宋体" w:hAnsi="宋体" w:eastAsia="宋体" w:cs="宋体"/>
                <w:i w:val="0"/>
                <w:iCs w:val="0"/>
                <w:caps w:val="0"/>
                <w:color w:val="auto"/>
                <w:spacing w:val="0"/>
                <w:kern w:val="0"/>
                <w:sz w:val="24"/>
                <w:szCs w:val="24"/>
                <w:highlight w:val="none"/>
                <w:lang w:val="en-US" w:eastAsia="zh-CN" w:bidi="ar-SA"/>
              </w:rPr>
              <w:t>是否</w:t>
            </w:r>
            <w:r>
              <w:rPr>
                <w:rFonts w:hint="eastAsia" w:ascii="宋体" w:hAnsi="宋体" w:eastAsia="Times New Roman" w:cs="宋体"/>
                <w:color w:val="auto"/>
                <w:sz w:val="24"/>
                <w:highlight w:val="none"/>
                <w:lang w:val="zh-CN" w:eastAsia="zh-CN"/>
              </w:rPr>
              <w:t>提供</w:t>
            </w:r>
            <w:r>
              <w:rPr>
                <w:rFonts w:hint="eastAsia" w:ascii="宋体" w:hAnsi="宋体" w:eastAsia="Times New Roman" w:cs="宋体"/>
                <w:color w:val="auto"/>
                <w:sz w:val="24"/>
                <w:highlight w:val="none"/>
                <w:lang w:val="en-US" w:eastAsia="zh-CN"/>
              </w:rPr>
              <w:t>有效的</w:t>
            </w:r>
            <w:r>
              <w:rPr>
                <w:rFonts w:hint="eastAsia" w:ascii="宋体" w:hAnsi="宋体" w:eastAsia="Times New Roman" w:cs="宋体"/>
                <w:color w:val="auto"/>
                <w:sz w:val="24"/>
                <w:highlight w:val="none"/>
                <w:lang w:val="zh-CN" w:eastAsia="zh-CN"/>
              </w:rPr>
              <w:t>投标保证金</w:t>
            </w:r>
            <w:r>
              <w:rPr>
                <w:rFonts w:hint="eastAsia" w:ascii="宋体" w:hAnsi="宋体" w:eastAsia="Times New Roman" w:cs="宋体"/>
                <w:color w:val="auto"/>
                <w:sz w:val="24"/>
                <w:highlight w:val="none"/>
                <w:lang w:val="en-US" w:eastAsia="zh-CN"/>
              </w:rPr>
              <w:t>缴纳</w:t>
            </w:r>
            <w:r>
              <w:rPr>
                <w:rFonts w:hint="eastAsia" w:ascii="宋体" w:hAnsi="宋体" w:eastAsia="Times New Roman" w:cs="宋体"/>
                <w:color w:val="auto"/>
                <w:sz w:val="24"/>
                <w:highlight w:val="none"/>
                <w:lang w:val="zh-CN" w:eastAsia="zh-CN"/>
              </w:rPr>
              <w:t>凭证</w:t>
            </w:r>
            <w:r>
              <w:rPr>
                <w:rFonts w:hint="eastAsia" w:ascii="宋体" w:hAnsi="宋体" w:eastAsia="Times New Roman" w:cs="宋体"/>
                <w:color w:val="auto"/>
                <w:sz w:val="24"/>
                <w:highlight w:val="none"/>
                <w:lang w:val="en-US" w:eastAsia="zh-CN"/>
              </w:rPr>
              <w:t>；</w:t>
            </w:r>
          </w:p>
        </w:tc>
        <w:tc>
          <w:tcPr>
            <w:tcW w:w="1022" w:type="dxa"/>
            <w:tcBorders>
              <w:top w:val="outset" w:color="auto" w:sz="6" w:space="0"/>
              <w:left w:val="outset" w:color="auto" w:sz="6" w:space="0"/>
              <w:bottom w:val="outset" w:color="auto" w:sz="6" w:space="0"/>
              <w:right w:val="outset" w:color="auto" w:sz="6" w:space="0"/>
            </w:tcBorders>
            <w:noWrap w:val="0"/>
            <w:vAlign w:val="center"/>
          </w:tcPr>
          <w:p w14:paraId="50FEE01C">
            <w:pPr>
              <w:pStyle w:val="74"/>
              <w:rPr>
                <w:color w:val="auto"/>
                <w:highlight w:val="none"/>
              </w:rPr>
            </w:pPr>
          </w:p>
        </w:tc>
        <w:tc>
          <w:tcPr>
            <w:tcW w:w="973" w:type="dxa"/>
            <w:tcBorders>
              <w:top w:val="outset" w:color="auto" w:sz="6" w:space="0"/>
              <w:left w:val="outset" w:color="auto" w:sz="6" w:space="0"/>
              <w:bottom w:val="outset" w:color="auto" w:sz="6" w:space="0"/>
              <w:right w:val="outset" w:color="auto" w:sz="6" w:space="0"/>
            </w:tcBorders>
            <w:noWrap w:val="0"/>
            <w:vAlign w:val="center"/>
          </w:tcPr>
          <w:p w14:paraId="09E34251">
            <w:pPr>
              <w:pStyle w:val="74"/>
              <w:rPr>
                <w:color w:val="auto"/>
                <w:highlight w:val="none"/>
              </w:rPr>
            </w:pPr>
          </w:p>
        </w:tc>
      </w:tr>
      <w:tr w14:paraId="3785ED4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571" w:type="dxa"/>
            <w:vMerge w:val="continue"/>
            <w:tcBorders>
              <w:left w:val="outset" w:color="auto" w:sz="6" w:space="0"/>
              <w:right w:val="outset" w:color="auto" w:sz="6" w:space="0"/>
            </w:tcBorders>
            <w:noWrap w:val="0"/>
            <w:vAlign w:val="center"/>
          </w:tcPr>
          <w:p w14:paraId="6A87F79D">
            <w:pPr>
              <w:pStyle w:val="74"/>
              <w:jc w:val="center"/>
              <w:rPr>
                <w:color w:val="auto"/>
                <w:highlight w:val="none"/>
              </w:rPr>
            </w:pPr>
          </w:p>
        </w:tc>
        <w:tc>
          <w:tcPr>
            <w:tcW w:w="694" w:type="dxa"/>
            <w:vMerge w:val="continue"/>
            <w:tcBorders>
              <w:left w:val="outset" w:color="auto" w:sz="6" w:space="0"/>
              <w:right w:val="outset" w:color="auto" w:sz="6" w:space="0"/>
            </w:tcBorders>
            <w:noWrap w:val="0"/>
            <w:vAlign w:val="center"/>
          </w:tcPr>
          <w:p w14:paraId="475674E5">
            <w:pPr>
              <w:pStyle w:val="74"/>
              <w:jc w:val="center"/>
              <w:rPr>
                <w:rFonts w:hint="eastAsia" w:ascii="宋体" w:hAnsi="宋体" w:eastAsia="宋体" w:cs="Times New Roman"/>
                <w:color w:val="auto"/>
                <w:kern w:val="2"/>
                <w:sz w:val="21"/>
                <w:szCs w:val="21"/>
                <w:highlight w:val="none"/>
                <w:lang w:val="en-US" w:eastAsia="zh-CN" w:bidi="ar-SA"/>
              </w:rPr>
            </w:pPr>
          </w:p>
        </w:tc>
        <w:tc>
          <w:tcPr>
            <w:tcW w:w="1613" w:type="dxa"/>
            <w:tcBorders>
              <w:top w:val="outset" w:color="auto" w:sz="6" w:space="0"/>
              <w:left w:val="outset" w:color="auto" w:sz="6" w:space="0"/>
              <w:bottom w:val="outset" w:color="auto" w:sz="6" w:space="0"/>
              <w:right w:val="outset" w:color="auto" w:sz="6" w:space="0"/>
            </w:tcBorders>
            <w:noWrap w:val="0"/>
            <w:vAlign w:val="center"/>
          </w:tcPr>
          <w:p w14:paraId="628F8547">
            <w:pPr>
              <w:pStyle w:val="74"/>
              <w:jc w:val="center"/>
              <w:rPr>
                <w:rFonts w:hint="eastAsia" w:ascii="宋体" w:hAnsi="宋体" w:eastAsia="Times New Roman" w:cs="宋体"/>
                <w:color w:val="auto"/>
                <w:sz w:val="24"/>
                <w:highlight w:val="none"/>
                <w:lang w:val="en-US" w:eastAsia="zh-CN"/>
              </w:rPr>
            </w:pPr>
            <w:r>
              <w:rPr>
                <w:rFonts w:hint="eastAsia" w:ascii="宋体" w:hAnsi="宋体" w:eastAsia="Times New Roman" w:cs="宋体"/>
                <w:color w:val="auto"/>
                <w:sz w:val="24"/>
                <w:highlight w:val="none"/>
                <w:lang w:val="en-US" w:eastAsia="zh-CN"/>
              </w:rPr>
              <w:t>未组成</w:t>
            </w:r>
          </w:p>
          <w:p w14:paraId="4D4A48F3">
            <w:pPr>
              <w:pStyle w:val="74"/>
              <w:jc w:val="center"/>
              <w:rPr>
                <w:rFonts w:hint="default" w:ascii="宋体" w:hAnsi="宋体" w:eastAsia="Times New Roman" w:cs="宋体"/>
                <w:color w:val="auto"/>
                <w:sz w:val="24"/>
                <w:highlight w:val="none"/>
                <w:lang w:val="en-US" w:eastAsia="zh-CN"/>
              </w:rPr>
            </w:pPr>
            <w:r>
              <w:rPr>
                <w:rFonts w:hint="eastAsia" w:ascii="宋体" w:hAnsi="宋体" w:eastAsia="Times New Roman" w:cs="宋体"/>
                <w:color w:val="auto"/>
                <w:sz w:val="24"/>
                <w:highlight w:val="none"/>
                <w:lang w:val="en-US" w:eastAsia="zh-CN"/>
              </w:rPr>
              <w:t>联合投标</w:t>
            </w:r>
          </w:p>
        </w:tc>
        <w:tc>
          <w:tcPr>
            <w:tcW w:w="4928" w:type="dxa"/>
            <w:tcBorders>
              <w:top w:val="outset" w:color="auto" w:sz="6" w:space="0"/>
              <w:left w:val="outset" w:color="auto" w:sz="6" w:space="0"/>
              <w:bottom w:val="outset" w:color="auto" w:sz="6" w:space="0"/>
              <w:right w:val="outset" w:color="auto" w:sz="6" w:space="0"/>
            </w:tcBorders>
            <w:noWrap w:val="0"/>
            <w:vAlign w:val="center"/>
          </w:tcPr>
          <w:p w14:paraId="3B4BBAFB">
            <w:pPr>
              <w:pStyle w:val="74"/>
              <w:jc w:val="both"/>
              <w:rPr>
                <w:rFonts w:hint="default" w:ascii="宋体" w:hAnsi="宋体" w:eastAsia="Times New Roman" w:cs="宋体"/>
                <w:color w:val="auto"/>
                <w:sz w:val="24"/>
                <w:highlight w:val="none"/>
                <w:lang w:val="en-US" w:eastAsia="zh-CN"/>
              </w:rPr>
            </w:pPr>
            <w:r>
              <w:rPr>
                <w:rFonts w:hint="eastAsia" w:ascii="宋体" w:hAnsi="宋体" w:eastAsia="宋体" w:cs="宋体"/>
                <w:i w:val="0"/>
                <w:iCs w:val="0"/>
                <w:caps w:val="0"/>
                <w:color w:val="auto"/>
                <w:spacing w:val="0"/>
                <w:kern w:val="0"/>
                <w:sz w:val="24"/>
                <w:szCs w:val="24"/>
                <w:highlight w:val="none"/>
                <w:lang w:val="en-US" w:eastAsia="zh-CN" w:bidi="ar-SA"/>
              </w:rPr>
              <w:t>是否</w:t>
            </w:r>
            <w:r>
              <w:rPr>
                <w:rFonts w:hint="eastAsia" w:ascii="宋体" w:hAnsi="宋体" w:eastAsia="Times New Roman" w:cs="宋体"/>
                <w:color w:val="auto"/>
                <w:sz w:val="24"/>
                <w:highlight w:val="none"/>
                <w:lang w:val="en-US" w:eastAsia="zh-CN"/>
              </w:rPr>
              <w:t>提供未组成联合投标的承诺书（内容自拟）；</w:t>
            </w:r>
          </w:p>
        </w:tc>
        <w:tc>
          <w:tcPr>
            <w:tcW w:w="1022" w:type="dxa"/>
            <w:tcBorders>
              <w:top w:val="outset" w:color="auto" w:sz="6" w:space="0"/>
              <w:left w:val="outset" w:color="auto" w:sz="6" w:space="0"/>
              <w:bottom w:val="outset" w:color="auto" w:sz="6" w:space="0"/>
              <w:right w:val="outset" w:color="auto" w:sz="6" w:space="0"/>
            </w:tcBorders>
            <w:noWrap w:val="0"/>
            <w:vAlign w:val="center"/>
          </w:tcPr>
          <w:p w14:paraId="57635D40">
            <w:pPr>
              <w:pStyle w:val="74"/>
              <w:rPr>
                <w:color w:val="auto"/>
                <w:highlight w:val="none"/>
              </w:rPr>
            </w:pPr>
          </w:p>
        </w:tc>
        <w:tc>
          <w:tcPr>
            <w:tcW w:w="973" w:type="dxa"/>
            <w:tcBorders>
              <w:top w:val="outset" w:color="auto" w:sz="6" w:space="0"/>
              <w:left w:val="outset" w:color="auto" w:sz="6" w:space="0"/>
              <w:bottom w:val="outset" w:color="auto" w:sz="6" w:space="0"/>
              <w:right w:val="outset" w:color="auto" w:sz="6" w:space="0"/>
            </w:tcBorders>
            <w:noWrap w:val="0"/>
            <w:vAlign w:val="center"/>
          </w:tcPr>
          <w:p w14:paraId="4BDE512B">
            <w:pPr>
              <w:pStyle w:val="74"/>
              <w:rPr>
                <w:color w:val="auto"/>
                <w:highlight w:val="none"/>
              </w:rPr>
            </w:pPr>
          </w:p>
        </w:tc>
      </w:tr>
      <w:tr w14:paraId="53E418A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571" w:type="dxa"/>
            <w:vMerge w:val="continue"/>
            <w:tcBorders>
              <w:left w:val="outset" w:color="auto" w:sz="6" w:space="0"/>
              <w:right w:val="outset" w:color="auto" w:sz="6" w:space="0"/>
            </w:tcBorders>
            <w:noWrap w:val="0"/>
            <w:vAlign w:val="center"/>
          </w:tcPr>
          <w:p w14:paraId="49D1F9F3">
            <w:pPr>
              <w:pStyle w:val="74"/>
              <w:jc w:val="center"/>
              <w:rPr>
                <w:color w:val="auto"/>
                <w:highlight w:val="none"/>
              </w:rPr>
            </w:pPr>
          </w:p>
        </w:tc>
        <w:tc>
          <w:tcPr>
            <w:tcW w:w="694" w:type="dxa"/>
            <w:vMerge w:val="continue"/>
            <w:tcBorders>
              <w:left w:val="outset" w:color="auto" w:sz="6" w:space="0"/>
              <w:right w:val="outset" w:color="auto" w:sz="6" w:space="0"/>
            </w:tcBorders>
            <w:noWrap w:val="0"/>
            <w:vAlign w:val="center"/>
          </w:tcPr>
          <w:p w14:paraId="49B020B5">
            <w:pPr>
              <w:pStyle w:val="74"/>
              <w:jc w:val="center"/>
              <w:rPr>
                <w:rFonts w:hint="eastAsia" w:ascii="宋体" w:hAnsi="宋体" w:eastAsia="宋体" w:cs="Times New Roman"/>
                <w:color w:val="auto"/>
                <w:kern w:val="2"/>
                <w:sz w:val="21"/>
                <w:szCs w:val="21"/>
                <w:highlight w:val="none"/>
                <w:lang w:val="en-US" w:eastAsia="zh-CN" w:bidi="ar-SA"/>
              </w:rPr>
            </w:pPr>
          </w:p>
        </w:tc>
        <w:tc>
          <w:tcPr>
            <w:tcW w:w="1613" w:type="dxa"/>
            <w:tcBorders>
              <w:top w:val="outset" w:color="auto" w:sz="6" w:space="0"/>
              <w:left w:val="outset" w:color="auto" w:sz="6" w:space="0"/>
              <w:bottom w:val="outset" w:color="auto" w:sz="6" w:space="0"/>
              <w:right w:val="outset" w:color="auto" w:sz="6" w:space="0"/>
            </w:tcBorders>
            <w:noWrap w:val="0"/>
            <w:vAlign w:val="center"/>
          </w:tcPr>
          <w:p w14:paraId="27C66231">
            <w:pPr>
              <w:pStyle w:val="74"/>
              <w:jc w:val="center"/>
              <w:rPr>
                <w:rFonts w:hint="default" w:ascii="宋体" w:hAnsi="宋体" w:eastAsia="Times New Roman" w:cs="宋体"/>
                <w:color w:val="auto"/>
                <w:sz w:val="24"/>
                <w:highlight w:val="none"/>
                <w:lang w:val="en-US" w:eastAsia="zh-CN"/>
              </w:rPr>
            </w:pPr>
            <w:r>
              <w:rPr>
                <w:rFonts w:hint="eastAsia" w:ascii="宋体" w:hAnsi="宋体" w:eastAsia="Times New Roman" w:cs="宋体"/>
                <w:color w:val="auto"/>
                <w:sz w:val="24"/>
                <w:highlight w:val="none"/>
                <w:lang w:val="en-US" w:eastAsia="zh-CN"/>
              </w:rPr>
              <w:t>其它要求</w:t>
            </w:r>
          </w:p>
        </w:tc>
        <w:tc>
          <w:tcPr>
            <w:tcW w:w="4928" w:type="dxa"/>
            <w:tcBorders>
              <w:top w:val="outset" w:color="auto" w:sz="6" w:space="0"/>
              <w:left w:val="outset" w:color="auto" w:sz="6" w:space="0"/>
              <w:bottom w:val="outset" w:color="auto" w:sz="6" w:space="0"/>
              <w:right w:val="outset" w:color="auto" w:sz="6" w:space="0"/>
            </w:tcBorders>
            <w:noWrap w:val="0"/>
            <w:vAlign w:val="center"/>
          </w:tcPr>
          <w:p w14:paraId="1C543640">
            <w:pPr>
              <w:numPr>
                <w:ilvl w:val="0"/>
                <w:numId w:val="0"/>
              </w:numPr>
              <w:spacing w:line="240" w:lineRule="auto"/>
              <w:ind w:leftChars="0"/>
              <w:rPr>
                <w:rFonts w:hint="default" w:ascii="宋体" w:hAnsi="宋体" w:eastAsia="Times New Roman" w:cs="宋体"/>
                <w:color w:val="auto"/>
                <w:sz w:val="24"/>
                <w:highlight w:val="none"/>
                <w:lang w:val="en-US" w:eastAsia="zh-CN"/>
              </w:rPr>
            </w:pPr>
            <w:r>
              <w:rPr>
                <w:rFonts w:hint="eastAsia" w:ascii="宋体" w:hAnsi="宋体" w:eastAsia="宋体" w:cs="宋体"/>
                <w:i w:val="0"/>
                <w:iCs w:val="0"/>
                <w:caps w:val="0"/>
                <w:color w:val="auto"/>
                <w:spacing w:val="0"/>
                <w:kern w:val="0"/>
                <w:sz w:val="24"/>
                <w:szCs w:val="24"/>
                <w:highlight w:val="none"/>
                <w:lang w:val="en-US" w:eastAsia="zh-CN" w:bidi="ar-SA"/>
              </w:rPr>
              <w:t>是否</w:t>
            </w:r>
            <w:r>
              <w:rPr>
                <w:rFonts w:hint="eastAsia" w:ascii="宋体" w:hAnsi="宋体" w:eastAsia="Times New Roman" w:cs="宋体"/>
                <w:color w:val="auto"/>
                <w:kern w:val="0"/>
                <w:sz w:val="24"/>
                <w:szCs w:val="24"/>
                <w:highlight w:val="none"/>
                <w:lang w:val="en-US" w:eastAsia="zh-CN" w:bidi="ar-SA"/>
              </w:rPr>
              <w:t>提供“</w:t>
            </w:r>
            <w:r>
              <w:rPr>
                <w:rFonts w:hint="eastAsia" w:ascii="宋体" w:hAnsi="宋体" w:eastAsia="Times New Roman" w:cs="宋体"/>
                <w:color w:val="auto"/>
                <w:kern w:val="0"/>
                <w:sz w:val="24"/>
                <w:szCs w:val="24"/>
                <w:highlight w:val="none"/>
                <w:lang w:val="zh-CN" w:eastAsia="zh-CN" w:bidi="ar-SA"/>
              </w:rPr>
              <w:t>单位负责人为同一人或者存在直接控股、管理关系的不同供应商，不得参加同一合同项下的政府采购活动；</w:t>
            </w:r>
            <w:r>
              <w:rPr>
                <w:rFonts w:hint="default" w:ascii="宋体" w:hAnsi="宋体" w:eastAsia="Times New Roman" w:cs="宋体"/>
                <w:color w:val="auto"/>
                <w:kern w:val="0"/>
                <w:sz w:val="24"/>
                <w:szCs w:val="24"/>
                <w:highlight w:val="none"/>
                <w:lang w:val="en-US" w:eastAsia="zh-CN" w:bidi="ar-SA"/>
              </w:rPr>
              <w:t>除单一来源采购项目外，</w:t>
            </w:r>
            <w:r>
              <w:rPr>
                <w:rFonts w:hint="eastAsia" w:ascii="宋体" w:hAnsi="宋体" w:eastAsia="Times New Roman" w:cs="宋体"/>
                <w:color w:val="auto"/>
                <w:kern w:val="0"/>
                <w:sz w:val="24"/>
                <w:szCs w:val="24"/>
                <w:highlight w:val="none"/>
                <w:lang w:val="en-US" w:eastAsia="zh-CN" w:bidi="ar-SA"/>
              </w:rPr>
              <w:t>为采购项目提供整体设计、规范编制或者项目管理、监理、检测等服务的供应商，不得再参加该采购项目的其他采购活动”的承诺书（内容自拟）；</w:t>
            </w:r>
          </w:p>
        </w:tc>
        <w:tc>
          <w:tcPr>
            <w:tcW w:w="1022" w:type="dxa"/>
            <w:tcBorders>
              <w:top w:val="outset" w:color="auto" w:sz="6" w:space="0"/>
              <w:left w:val="outset" w:color="auto" w:sz="6" w:space="0"/>
              <w:bottom w:val="outset" w:color="auto" w:sz="6" w:space="0"/>
              <w:right w:val="outset" w:color="auto" w:sz="6" w:space="0"/>
            </w:tcBorders>
            <w:noWrap w:val="0"/>
            <w:vAlign w:val="center"/>
          </w:tcPr>
          <w:p w14:paraId="389B10B4">
            <w:pPr>
              <w:pStyle w:val="74"/>
              <w:rPr>
                <w:color w:val="auto"/>
                <w:highlight w:val="none"/>
              </w:rPr>
            </w:pPr>
          </w:p>
        </w:tc>
        <w:tc>
          <w:tcPr>
            <w:tcW w:w="973" w:type="dxa"/>
            <w:tcBorders>
              <w:top w:val="outset" w:color="auto" w:sz="6" w:space="0"/>
              <w:left w:val="outset" w:color="auto" w:sz="6" w:space="0"/>
              <w:bottom w:val="outset" w:color="auto" w:sz="6" w:space="0"/>
              <w:right w:val="outset" w:color="auto" w:sz="6" w:space="0"/>
            </w:tcBorders>
            <w:noWrap w:val="0"/>
            <w:vAlign w:val="center"/>
          </w:tcPr>
          <w:p w14:paraId="1B33BAB1">
            <w:pPr>
              <w:pStyle w:val="74"/>
              <w:rPr>
                <w:color w:val="auto"/>
                <w:highlight w:val="none"/>
              </w:rPr>
            </w:pPr>
          </w:p>
        </w:tc>
      </w:tr>
      <w:tr w14:paraId="51F9056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571" w:type="dxa"/>
            <w:vMerge w:val="continue"/>
            <w:tcBorders>
              <w:left w:val="outset" w:color="auto" w:sz="6" w:space="0"/>
              <w:right w:val="outset" w:color="auto" w:sz="6" w:space="0"/>
            </w:tcBorders>
            <w:noWrap w:val="0"/>
            <w:vAlign w:val="center"/>
          </w:tcPr>
          <w:p w14:paraId="30DC30FE">
            <w:pPr>
              <w:pStyle w:val="74"/>
              <w:jc w:val="center"/>
              <w:rPr>
                <w:color w:val="auto"/>
                <w:highlight w:val="none"/>
              </w:rPr>
            </w:pPr>
          </w:p>
        </w:tc>
        <w:tc>
          <w:tcPr>
            <w:tcW w:w="694" w:type="dxa"/>
            <w:vMerge w:val="continue"/>
            <w:tcBorders>
              <w:left w:val="outset" w:color="auto" w:sz="6" w:space="0"/>
              <w:right w:val="outset" w:color="auto" w:sz="6" w:space="0"/>
            </w:tcBorders>
            <w:noWrap w:val="0"/>
            <w:vAlign w:val="center"/>
          </w:tcPr>
          <w:p w14:paraId="4619956B">
            <w:pPr>
              <w:pStyle w:val="74"/>
              <w:jc w:val="center"/>
              <w:rPr>
                <w:rFonts w:hint="eastAsia" w:ascii="宋体" w:hAnsi="宋体" w:eastAsia="宋体" w:cs="Times New Roman"/>
                <w:color w:val="auto"/>
                <w:kern w:val="2"/>
                <w:sz w:val="21"/>
                <w:szCs w:val="21"/>
                <w:highlight w:val="none"/>
                <w:lang w:val="en-US" w:eastAsia="zh-CN" w:bidi="ar-SA"/>
              </w:rPr>
            </w:pPr>
          </w:p>
        </w:tc>
        <w:tc>
          <w:tcPr>
            <w:tcW w:w="1613" w:type="dxa"/>
            <w:tcBorders>
              <w:top w:val="outset" w:color="auto" w:sz="6" w:space="0"/>
              <w:left w:val="outset" w:color="auto" w:sz="6" w:space="0"/>
              <w:bottom w:val="outset" w:color="auto" w:sz="6" w:space="0"/>
              <w:right w:val="outset" w:color="auto" w:sz="6" w:space="0"/>
            </w:tcBorders>
            <w:noWrap w:val="0"/>
            <w:vAlign w:val="center"/>
          </w:tcPr>
          <w:p w14:paraId="58FA500A">
            <w:pPr>
              <w:pStyle w:val="74"/>
              <w:jc w:val="center"/>
              <w:rPr>
                <w:rFonts w:hint="eastAsia" w:ascii="宋体" w:hAnsi="宋体" w:eastAsia="Times New Roman" w:cs="宋体"/>
                <w:color w:val="auto"/>
                <w:sz w:val="24"/>
                <w:szCs w:val="24"/>
                <w:highlight w:val="none"/>
                <w:lang w:val="en-US" w:eastAsia="zh-CN" w:bidi="ar-SA"/>
              </w:rPr>
            </w:pPr>
            <w:r>
              <w:rPr>
                <w:rFonts w:hint="eastAsia" w:ascii="宋体" w:hAnsi="宋体" w:cs="宋体"/>
                <w:color w:val="auto"/>
                <w:sz w:val="24"/>
                <w:highlight w:val="none"/>
                <w:lang w:val="en-US" w:eastAsia="zh-CN"/>
              </w:rPr>
              <w:t>小微</w:t>
            </w:r>
            <w:r>
              <w:rPr>
                <w:rFonts w:hint="eastAsia" w:ascii="宋体" w:hAnsi="宋体" w:eastAsia="Times New Roman" w:cs="宋体"/>
                <w:color w:val="auto"/>
                <w:sz w:val="24"/>
                <w:highlight w:val="none"/>
                <w:lang w:val="en-US" w:eastAsia="zh-CN"/>
              </w:rPr>
              <w:t>企业</w:t>
            </w:r>
          </w:p>
        </w:tc>
        <w:tc>
          <w:tcPr>
            <w:tcW w:w="4928" w:type="dxa"/>
            <w:tcBorders>
              <w:top w:val="outset" w:color="auto" w:sz="6" w:space="0"/>
              <w:left w:val="outset" w:color="auto" w:sz="6" w:space="0"/>
              <w:bottom w:val="outset" w:color="auto" w:sz="6" w:space="0"/>
              <w:right w:val="outset" w:color="auto" w:sz="6" w:space="0"/>
            </w:tcBorders>
            <w:noWrap w:val="0"/>
            <w:vAlign w:val="center"/>
          </w:tcPr>
          <w:p w14:paraId="055B81C6">
            <w:pPr>
              <w:pStyle w:val="74"/>
              <w:jc w:val="left"/>
              <w:rPr>
                <w:rFonts w:hint="default" w:ascii="宋体" w:hAnsi="宋体" w:eastAsia="Times New Roman" w:cs="宋体"/>
                <w:color w:val="auto"/>
                <w:sz w:val="24"/>
                <w:highlight w:val="none"/>
                <w:lang w:val="en-US" w:eastAsia="zh-CN"/>
              </w:rPr>
            </w:pPr>
            <w:r>
              <w:rPr>
                <w:rFonts w:hint="default" w:ascii="宋体" w:hAnsi="宋体" w:eastAsia="Times New Roman" w:cs="宋体"/>
                <w:color w:val="auto"/>
                <w:sz w:val="24"/>
                <w:highlight w:val="none"/>
                <w:lang w:val="en-US" w:eastAsia="zh-CN"/>
              </w:rPr>
              <w:t>是否提供符合要求的《中小企业声明函》</w:t>
            </w:r>
          </w:p>
        </w:tc>
        <w:tc>
          <w:tcPr>
            <w:tcW w:w="1022" w:type="dxa"/>
            <w:tcBorders>
              <w:top w:val="outset" w:color="auto" w:sz="6" w:space="0"/>
              <w:left w:val="outset" w:color="auto" w:sz="6" w:space="0"/>
              <w:bottom w:val="outset" w:color="auto" w:sz="6" w:space="0"/>
              <w:right w:val="outset" w:color="auto" w:sz="6" w:space="0"/>
            </w:tcBorders>
            <w:noWrap w:val="0"/>
            <w:vAlign w:val="center"/>
          </w:tcPr>
          <w:p w14:paraId="6EFF6C1B">
            <w:pPr>
              <w:pStyle w:val="74"/>
              <w:rPr>
                <w:color w:val="auto"/>
                <w:highlight w:val="none"/>
              </w:rPr>
            </w:pPr>
          </w:p>
        </w:tc>
        <w:tc>
          <w:tcPr>
            <w:tcW w:w="973" w:type="dxa"/>
            <w:tcBorders>
              <w:top w:val="outset" w:color="auto" w:sz="6" w:space="0"/>
              <w:left w:val="outset" w:color="auto" w:sz="6" w:space="0"/>
              <w:bottom w:val="outset" w:color="auto" w:sz="6" w:space="0"/>
              <w:right w:val="outset" w:color="auto" w:sz="6" w:space="0"/>
            </w:tcBorders>
            <w:noWrap w:val="0"/>
            <w:vAlign w:val="center"/>
          </w:tcPr>
          <w:p w14:paraId="773EB6CB">
            <w:pPr>
              <w:pStyle w:val="74"/>
              <w:rPr>
                <w:color w:val="auto"/>
                <w:highlight w:val="none"/>
              </w:rPr>
            </w:pPr>
          </w:p>
        </w:tc>
      </w:tr>
      <w:tr w14:paraId="0BA5D26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571" w:type="dxa"/>
            <w:vMerge w:val="continue"/>
            <w:tcBorders>
              <w:top w:val="outset" w:color="auto" w:sz="6" w:space="0"/>
              <w:left w:val="outset" w:color="auto" w:sz="6" w:space="0"/>
              <w:bottom w:val="outset" w:color="auto" w:sz="6" w:space="0"/>
              <w:right w:val="outset" w:color="auto" w:sz="6" w:space="0"/>
            </w:tcBorders>
            <w:noWrap w:val="0"/>
            <w:vAlign w:val="center"/>
          </w:tcPr>
          <w:p w14:paraId="4009B00E">
            <w:pPr>
              <w:pStyle w:val="74"/>
              <w:rPr>
                <w:color w:val="auto"/>
                <w:highlight w:val="none"/>
              </w:rPr>
            </w:pPr>
          </w:p>
        </w:tc>
        <w:tc>
          <w:tcPr>
            <w:tcW w:w="694" w:type="dxa"/>
            <w:vMerge w:val="restart"/>
            <w:tcBorders>
              <w:top w:val="single" w:color="auto" w:sz="4" w:space="0"/>
              <w:left w:val="outset" w:color="auto" w:sz="6" w:space="0"/>
              <w:right w:val="outset" w:color="auto" w:sz="6" w:space="0"/>
            </w:tcBorders>
            <w:noWrap w:val="0"/>
            <w:vAlign w:val="center"/>
          </w:tcPr>
          <w:p w14:paraId="07CBDD9A">
            <w:pPr>
              <w:pStyle w:val="74"/>
              <w:jc w:val="center"/>
              <w:rPr>
                <w:rFonts w:hint="eastAsia" w:ascii="宋体" w:hAnsi="宋体" w:eastAsia="Times New Roman" w:cs="宋体"/>
                <w:b/>
                <w:bCs/>
                <w:color w:val="auto"/>
                <w:sz w:val="24"/>
                <w:highlight w:val="none"/>
                <w:lang w:val="en-US" w:eastAsia="zh-CN"/>
              </w:rPr>
            </w:pPr>
            <w:r>
              <w:rPr>
                <w:rFonts w:hint="eastAsia" w:ascii="宋体" w:hAnsi="宋体" w:eastAsia="Times New Roman" w:cs="宋体"/>
                <w:b/>
                <w:bCs/>
                <w:color w:val="auto"/>
                <w:sz w:val="24"/>
                <w:highlight w:val="none"/>
                <w:lang w:val="en-US" w:eastAsia="zh-CN"/>
              </w:rPr>
              <w:t>符</w:t>
            </w:r>
          </w:p>
          <w:p w14:paraId="51D93D50">
            <w:pPr>
              <w:pStyle w:val="74"/>
              <w:jc w:val="center"/>
              <w:rPr>
                <w:rFonts w:hint="eastAsia" w:ascii="宋体" w:hAnsi="宋体" w:eastAsia="Times New Roman" w:cs="宋体"/>
                <w:b/>
                <w:bCs/>
                <w:color w:val="auto"/>
                <w:sz w:val="24"/>
                <w:highlight w:val="none"/>
                <w:lang w:val="en-US" w:eastAsia="zh-CN"/>
              </w:rPr>
            </w:pPr>
            <w:r>
              <w:rPr>
                <w:rFonts w:hint="eastAsia" w:ascii="宋体" w:hAnsi="宋体" w:eastAsia="Times New Roman" w:cs="宋体"/>
                <w:b/>
                <w:bCs/>
                <w:color w:val="auto"/>
                <w:sz w:val="24"/>
                <w:highlight w:val="none"/>
                <w:lang w:val="en-US" w:eastAsia="zh-CN"/>
              </w:rPr>
              <w:t>合</w:t>
            </w:r>
          </w:p>
          <w:p w14:paraId="3C7F6EDD">
            <w:pPr>
              <w:pStyle w:val="74"/>
              <w:jc w:val="center"/>
              <w:rPr>
                <w:rFonts w:hint="eastAsia" w:ascii="宋体" w:hAnsi="宋体" w:eastAsia="Times New Roman" w:cs="宋体"/>
                <w:b/>
                <w:bCs/>
                <w:color w:val="auto"/>
                <w:sz w:val="24"/>
                <w:highlight w:val="none"/>
                <w:lang w:val="en-US" w:eastAsia="zh-CN"/>
              </w:rPr>
            </w:pPr>
            <w:r>
              <w:rPr>
                <w:rFonts w:hint="eastAsia" w:ascii="宋体" w:hAnsi="宋体" w:eastAsia="Times New Roman" w:cs="宋体"/>
                <w:b/>
                <w:bCs/>
                <w:color w:val="auto"/>
                <w:sz w:val="24"/>
                <w:highlight w:val="none"/>
                <w:lang w:val="en-US" w:eastAsia="zh-CN"/>
              </w:rPr>
              <w:t>性</w:t>
            </w:r>
          </w:p>
          <w:p w14:paraId="01BF7834">
            <w:pPr>
              <w:pStyle w:val="74"/>
              <w:jc w:val="center"/>
              <w:rPr>
                <w:rFonts w:hint="eastAsia" w:ascii="宋体" w:hAnsi="宋体" w:eastAsia="Times New Roman" w:cs="宋体"/>
                <w:color w:val="auto"/>
                <w:sz w:val="24"/>
                <w:highlight w:val="none"/>
                <w:lang w:val="en-US" w:eastAsia="zh-CN"/>
              </w:rPr>
            </w:pPr>
            <w:r>
              <w:rPr>
                <w:rFonts w:hint="eastAsia" w:ascii="宋体" w:hAnsi="宋体" w:eastAsia="Times New Roman" w:cs="宋体"/>
                <w:b/>
                <w:bCs/>
                <w:color w:val="auto"/>
                <w:sz w:val="24"/>
                <w:highlight w:val="none"/>
                <w:lang w:val="en-US" w:eastAsia="zh-CN"/>
              </w:rPr>
              <w:t>检</w:t>
            </w:r>
          </w:p>
          <w:p w14:paraId="2D74CBEF">
            <w:pPr>
              <w:pStyle w:val="74"/>
              <w:jc w:val="center"/>
              <w:rPr>
                <w:rFonts w:hint="eastAsia" w:ascii="宋体" w:hAnsi="宋体" w:eastAsia="Times New Roman" w:cs="宋体"/>
                <w:color w:val="auto"/>
                <w:sz w:val="24"/>
                <w:highlight w:val="none"/>
                <w:lang w:val="en-US" w:eastAsia="zh-CN"/>
              </w:rPr>
            </w:pPr>
            <w:r>
              <w:rPr>
                <w:rFonts w:hint="eastAsia" w:ascii="宋体" w:hAnsi="宋体" w:eastAsia="Times New Roman" w:cs="宋体"/>
                <w:b/>
                <w:bCs/>
                <w:color w:val="auto"/>
                <w:sz w:val="24"/>
                <w:highlight w:val="none"/>
                <w:lang w:val="en-US" w:eastAsia="zh-CN"/>
              </w:rPr>
              <w:t>查</w:t>
            </w:r>
          </w:p>
        </w:tc>
        <w:tc>
          <w:tcPr>
            <w:tcW w:w="1613" w:type="dxa"/>
            <w:tcBorders>
              <w:top w:val="outset" w:color="auto" w:sz="6" w:space="0"/>
              <w:left w:val="outset" w:color="auto" w:sz="6" w:space="0"/>
              <w:bottom w:val="outset" w:color="auto" w:sz="6" w:space="0"/>
              <w:right w:val="outset" w:color="auto" w:sz="6" w:space="0"/>
            </w:tcBorders>
            <w:noWrap w:val="0"/>
            <w:vAlign w:val="center"/>
          </w:tcPr>
          <w:p w14:paraId="08E18104">
            <w:pPr>
              <w:pStyle w:val="74"/>
              <w:jc w:val="center"/>
              <w:rPr>
                <w:rFonts w:hint="default" w:ascii="宋体" w:hAnsi="宋体" w:eastAsia="Times New Roman" w:cs="宋体"/>
                <w:color w:val="auto"/>
                <w:sz w:val="24"/>
                <w:highlight w:val="none"/>
                <w:lang w:val="en-US" w:eastAsia="zh-CN"/>
              </w:rPr>
            </w:pPr>
            <w:r>
              <w:rPr>
                <w:rFonts w:hint="eastAsia" w:ascii="宋体" w:hAnsi="宋体" w:eastAsia="Times New Roman" w:cs="宋体"/>
                <w:color w:val="auto"/>
                <w:sz w:val="24"/>
                <w:highlight w:val="none"/>
                <w:lang w:val="en-US" w:eastAsia="zh-CN"/>
              </w:rPr>
              <w:t>响应文件签字、盖章</w:t>
            </w:r>
          </w:p>
        </w:tc>
        <w:tc>
          <w:tcPr>
            <w:tcW w:w="4928" w:type="dxa"/>
            <w:tcBorders>
              <w:top w:val="outset" w:color="auto" w:sz="6" w:space="0"/>
              <w:left w:val="outset" w:color="auto" w:sz="6" w:space="0"/>
              <w:bottom w:val="outset" w:color="auto" w:sz="6" w:space="0"/>
              <w:right w:val="outset" w:color="auto" w:sz="6" w:space="0"/>
            </w:tcBorders>
            <w:noWrap w:val="0"/>
            <w:vAlign w:val="center"/>
          </w:tcPr>
          <w:p w14:paraId="328D0282">
            <w:pPr>
              <w:pStyle w:val="74"/>
              <w:jc w:val="left"/>
              <w:rPr>
                <w:rFonts w:hint="eastAsia" w:ascii="宋体" w:hAnsi="宋体" w:eastAsia="Times New Roman" w:cs="宋体"/>
                <w:color w:val="auto"/>
                <w:sz w:val="24"/>
                <w:highlight w:val="none"/>
                <w:lang w:val="en-US" w:eastAsia="zh-CN"/>
              </w:rPr>
            </w:pPr>
            <w:r>
              <w:rPr>
                <w:rFonts w:hint="eastAsia" w:ascii="宋体" w:hAnsi="宋体" w:eastAsia="Times New Roman" w:cs="宋体"/>
                <w:color w:val="auto"/>
                <w:sz w:val="24"/>
                <w:highlight w:val="none"/>
                <w:lang w:val="en-US" w:eastAsia="zh-CN"/>
              </w:rPr>
              <w:t>响应文件是否按照磋商文件规定要求签字、盖章；</w:t>
            </w:r>
          </w:p>
        </w:tc>
        <w:tc>
          <w:tcPr>
            <w:tcW w:w="1022" w:type="dxa"/>
            <w:tcBorders>
              <w:top w:val="outset" w:color="auto" w:sz="6" w:space="0"/>
              <w:left w:val="outset" w:color="auto" w:sz="6" w:space="0"/>
              <w:bottom w:val="outset" w:color="auto" w:sz="6" w:space="0"/>
              <w:right w:val="outset" w:color="auto" w:sz="6" w:space="0"/>
            </w:tcBorders>
            <w:noWrap w:val="0"/>
            <w:vAlign w:val="center"/>
          </w:tcPr>
          <w:p w14:paraId="63D020BC">
            <w:pPr>
              <w:pStyle w:val="74"/>
              <w:rPr>
                <w:color w:val="auto"/>
                <w:highlight w:val="none"/>
              </w:rPr>
            </w:pPr>
          </w:p>
        </w:tc>
        <w:tc>
          <w:tcPr>
            <w:tcW w:w="973" w:type="dxa"/>
            <w:tcBorders>
              <w:top w:val="outset" w:color="auto" w:sz="6" w:space="0"/>
              <w:left w:val="outset" w:color="auto" w:sz="6" w:space="0"/>
              <w:bottom w:val="outset" w:color="auto" w:sz="6" w:space="0"/>
              <w:right w:val="outset" w:color="auto" w:sz="6" w:space="0"/>
            </w:tcBorders>
            <w:noWrap w:val="0"/>
            <w:vAlign w:val="center"/>
          </w:tcPr>
          <w:p w14:paraId="49114F53">
            <w:pPr>
              <w:pStyle w:val="74"/>
              <w:rPr>
                <w:color w:val="auto"/>
                <w:highlight w:val="none"/>
              </w:rPr>
            </w:pPr>
          </w:p>
        </w:tc>
      </w:tr>
      <w:tr w14:paraId="125FE9B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571" w:type="dxa"/>
            <w:vMerge w:val="continue"/>
            <w:tcBorders>
              <w:top w:val="outset" w:color="auto" w:sz="6" w:space="0"/>
              <w:left w:val="outset" w:color="auto" w:sz="6" w:space="0"/>
              <w:bottom w:val="outset" w:color="auto" w:sz="6" w:space="0"/>
              <w:right w:val="outset" w:color="auto" w:sz="6" w:space="0"/>
            </w:tcBorders>
            <w:noWrap w:val="0"/>
            <w:vAlign w:val="center"/>
          </w:tcPr>
          <w:p w14:paraId="21D11042">
            <w:pPr>
              <w:pStyle w:val="74"/>
              <w:rPr>
                <w:color w:val="auto"/>
                <w:highlight w:val="none"/>
              </w:rPr>
            </w:pPr>
          </w:p>
        </w:tc>
        <w:tc>
          <w:tcPr>
            <w:tcW w:w="694" w:type="dxa"/>
            <w:vMerge w:val="continue"/>
            <w:tcBorders>
              <w:left w:val="outset" w:color="auto" w:sz="6" w:space="0"/>
              <w:right w:val="outset" w:color="auto" w:sz="6" w:space="0"/>
            </w:tcBorders>
            <w:noWrap w:val="0"/>
            <w:vAlign w:val="center"/>
          </w:tcPr>
          <w:p w14:paraId="00841C6C">
            <w:pPr>
              <w:pStyle w:val="74"/>
              <w:jc w:val="left"/>
              <w:rPr>
                <w:rFonts w:hint="eastAsia" w:ascii="宋体" w:hAnsi="宋体" w:eastAsia="Times New Roman" w:cs="宋体"/>
                <w:color w:val="auto"/>
                <w:sz w:val="24"/>
                <w:highlight w:val="none"/>
                <w:lang w:val="en-US" w:eastAsia="zh-CN"/>
              </w:rPr>
            </w:pPr>
          </w:p>
        </w:tc>
        <w:tc>
          <w:tcPr>
            <w:tcW w:w="1613" w:type="dxa"/>
            <w:tcBorders>
              <w:top w:val="outset" w:color="auto" w:sz="6" w:space="0"/>
              <w:left w:val="outset" w:color="auto" w:sz="6" w:space="0"/>
              <w:bottom w:val="outset" w:color="auto" w:sz="6" w:space="0"/>
              <w:right w:val="outset" w:color="auto" w:sz="6" w:space="0"/>
            </w:tcBorders>
            <w:noWrap w:val="0"/>
            <w:vAlign w:val="center"/>
          </w:tcPr>
          <w:p w14:paraId="0D6F7EE0">
            <w:pPr>
              <w:pStyle w:val="74"/>
              <w:jc w:val="center"/>
              <w:rPr>
                <w:rFonts w:hint="default" w:ascii="宋体" w:hAnsi="宋体" w:eastAsia="Times New Roman" w:cs="宋体"/>
                <w:color w:val="auto"/>
                <w:sz w:val="24"/>
                <w:highlight w:val="none"/>
                <w:lang w:val="en-US" w:eastAsia="zh-CN"/>
              </w:rPr>
            </w:pPr>
            <w:r>
              <w:rPr>
                <w:rFonts w:hint="eastAsia" w:ascii="宋体" w:hAnsi="宋体" w:eastAsia="Times New Roman" w:cs="宋体"/>
                <w:color w:val="auto"/>
                <w:sz w:val="24"/>
                <w:highlight w:val="none"/>
                <w:lang w:val="en-US" w:eastAsia="zh-CN"/>
              </w:rPr>
              <w:t>响应文件组成</w:t>
            </w:r>
          </w:p>
        </w:tc>
        <w:tc>
          <w:tcPr>
            <w:tcW w:w="4928" w:type="dxa"/>
            <w:tcBorders>
              <w:top w:val="outset" w:color="auto" w:sz="6" w:space="0"/>
              <w:left w:val="outset" w:color="auto" w:sz="6" w:space="0"/>
              <w:bottom w:val="outset" w:color="auto" w:sz="6" w:space="0"/>
              <w:right w:val="outset" w:color="auto" w:sz="6" w:space="0"/>
            </w:tcBorders>
            <w:noWrap w:val="0"/>
            <w:vAlign w:val="center"/>
          </w:tcPr>
          <w:p w14:paraId="596CA851">
            <w:pPr>
              <w:pStyle w:val="74"/>
              <w:jc w:val="left"/>
              <w:rPr>
                <w:rFonts w:hint="eastAsia" w:ascii="宋体" w:hAnsi="宋体" w:eastAsia="Times New Roman" w:cs="宋体"/>
                <w:color w:val="auto"/>
                <w:sz w:val="24"/>
                <w:highlight w:val="none"/>
                <w:lang w:val="en-US" w:eastAsia="zh-CN"/>
              </w:rPr>
            </w:pPr>
            <w:r>
              <w:rPr>
                <w:rFonts w:hint="eastAsia" w:ascii="宋体" w:hAnsi="宋体" w:eastAsia="Times New Roman" w:cs="宋体"/>
                <w:color w:val="auto"/>
                <w:sz w:val="24"/>
                <w:highlight w:val="none"/>
                <w:lang w:val="en-US" w:eastAsia="zh-CN"/>
              </w:rPr>
              <w:t>投标文件是否按招标文件规定的内容、格式等进行编制；</w:t>
            </w:r>
          </w:p>
        </w:tc>
        <w:tc>
          <w:tcPr>
            <w:tcW w:w="1022" w:type="dxa"/>
            <w:tcBorders>
              <w:top w:val="outset" w:color="auto" w:sz="6" w:space="0"/>
              <w:left w:val="outset" w:color="auto" w:sz="6" w:space="0"/>
              <w:bottom w:val="outset" w:color="auto" w:sz="6" w:space="0"/>
              <w:right w:val="outset" w:color="auto" w:sz="6" w:space="0"/>
            </w:tcBorders>
            <w:noWrap w:val="0"/>
            <w:vAlign w:val="center"/>
          </w:tcPr>
          <w:p w14:paraId="17C1F321">
            <w:pPr>
              <w:pStyle w:val="74"/>
              <w:rPr>
                <w:color w:val="auto"/>
                <w:highlight w:val="none"/>
              </w:rPr>
            </w:pPr>
          </w:p>
        </w:tc>
        <w:tc>
          <w:tcPr>
            <w:tcW w:w="973" w:type="dxa"/>
            <w:tcBorders>
              <w:top w:val="outset" w:color="auto" w:sz="6" w:space="0"/>
              <w:left w:val="outset" w:color="auto" w:sz="6" w:space="0"/>
              <w:bottom w:val="outset" w:color="auto" w:sz="6" w:space="0"/>
              <w:right w:val="outset" w:color="auto" w:sz="6" w:space="0"/>
            </w:tcBorders>
            <w:noWrap w:val="0"/>
            <w:vAlign w:val="center"/>
          </w:tcPr>
          <w:p w14:paraId="4278CD88">
            <w:pPr>
              <w:pStyle w:val="74"/>
              <w:rPr>
                <w:color w:val="auto"/>
                <w:highlight w:val="none"/>
              </w:rPr>
            </w:pPr>
          </w:p>
        </w:tc>
      </w:tr>
      <w:tr w14:paraId="695CDDB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262" w:hRule="atLeast"/>
        </w:trPr>
        <w:tc>
          <w:tcPr>
            <w:tcW w:w="571" w:type="dxa"/>
            <w:vMerge w:val="continue"/>
            <w:tcBorders>
              <w:top w:val="outset" w:color="auto" w:sz="6" w:space="0"/>
              <w:left w:val="outset" w:color="auto" w:sz="6" w:space="0"/>
              <w:bottom w:val="outset" w:color="auto" w:sz="6" w:space="0"/>
              <w:right w:val="outset" w:color="auto" w:sz="6" w:space="0"/>
            </w:tcBorders>
            <w:noWrap w:val="0"/>
            <w:vAlign w:val="center"/>
          </w:tcPr>
          <w:p w14:paraId="30AC3851">
            <w:pPr>
              <w:pStyle w:val="74"/>
              <w:rPr>
                <w:color w:val="auto"/>
                <w:highlight w:val="none"/>
              </w:rPr>
            </w:pPr>
          </w:p>
        </w:tc>
        <w:tc>
          <w:tcPr>
            <w:tcW w:w="694" w:type="dxa"/>
            <w:vMerge w:val="continue"/>
            <w:tcBorders>
              <w:top w:val="outset" w:color="auto" w:sz="6" w:space="0"/>
              <w:left w:val="outset" w:color="auto" w:sz="6" w:space="0"/>
              <w:bottom w:val="outset" w:color="auto" w:sz="6" w:space="0"/>
              <w:right w:val="outset" w:color="auto" w:sz="6" w:space="0"/>
            </w:tcBorders>
            <w:noWrap w:val="0"/>
            <w:vAlign w:val="center"/>
          </w:tcPr>
          <w:p w14:paraId="63416D26">
            <w:pPr>
              <w:pStyle w:val="74"/>
              <w:jc w:val="left"/>
              <w:rPr>
                <w:rFonts w:hint="eastAsia" w:ascii="宋体" w:hAnsi="宋体" w:eastAsia="Times New Roman" w:cs="宋体"/>
                <w:color w:val="auto"/>
                <w:sz w:val="24"/>
                <w:highlight w:val="none"/>
                <w:lang w:val="en-US" w:eastAsia="zh-CN"/>
              </w:rPr>
            </w:pPr>
          </w:p>
        </w:tc>
        <w:tc>
          <w:tcPr>
            <w:tcW w:w="1613" w:type="dxa"/>
            <w:tcBorders>
              <w:top w:val="outset" w:color="auto" w:sz="6" w:space="0"/>
              <w:left w:val="outset" w:color="auto" w:sz="6" w:space="0"/>
              <w:bottom w:val="outset" w:color="auto" w:sz="6" w:space="0"/>
              <w:right w:val="outset" w:color="auto" w:sz="6" w:space="0"/>
            </w:tcBorders>
            <w:noWrap w:val="0"/>
            <w:vAlign w:val="center"/>
          </w:tcPr>
          <w:p w14:paraId="1D8CCE56">
            <w:pPr>
              <w:pStyle w:val="74"/>
              <w:jc w:val="center"/>
              <w:rPr>
                <w:rFonts w:hint="eastAsia" w:ascii="宋体" w:hAnsi="宋体" w:eastAsia="Times New Roman" w:cs="宋体"/>
                <w:color w:val="auto"/>
                <w:sz w:val="24"/>
                <w:highlight w:val="none"/>
                <w:lang w:val="en-US" w:eastAsia="zh-CN"/>
              </w:rPr>
            </w:pPr>
            <w:r>
              <w:rPr>
                <w:rFonts w:hint="eastAsia" w:ascii="宋体" w:hAnsi="宋体" w:eastAsia="Times New Roman" w:cs="宋体"/>
                <w:color w:val="auto"/>
                <w:sz w:val="24"/>
                <w:highlight w:val="none"/>
                <w:lang w:val="en-US" w:eastAsia="zh-CN"/>
              </w:rPr>
              <w:t>供应商是否</w:t>
            </w:r>
          </w:p>
          <w:p w14:paraId="6B2B46C0">
            <w:pPr>
              <w:pStyle w:val="74"/>
              <w:jc w:val="center"/>
              <w:rPr>
                <w:rFonts w:hint="eastAsia" w:ascii="宋体" w:hAnsi="宋体" w:eastAsia="Times New Roman" w:cs="宋体"/>
                <w:color w:val="auto"/>
                <w:sz w:val="24"/>
                <w:szCs w:val="24"/>
                <w:highlight w:val="none"/>
                <w:lang w:val="en-US" w:eastAsia="zh-CN" w:bidi="ar-SA"/>
              </w:rPr>
            </w:pPr>
            <w:r>
              <w:rPr>
                <w:rFonts w:hint="eastAsia" w:ascii="宋体" w:hAnsi="宋体" w:eastAsia="Times New Roman" w:cs="宋体"/>
                <w:color w:val="auto"/>
                <w:sz w:val="24"/>
                <w:highlight w:val="none"/>
                <w:lang w:val="en-US" w:eastAsia="zh-CN"/>
              </w:rPr>
              <w:t>符合要求</w:t>
            </w:r>
          </w:p>
        </w:tc>
        <w:tc>
          <w:tcPr>
            <w:tcW w:w="4928" w:type="dxa"/>
            <w:tcBorders>
              <w:top w:val="outset" w:color="auto" w:sz="6" w:space="0"/>
              <w:left w:val="outset" w:color="auto" w:sz="6" w:space="0"/>
              <w:bottom w:val="outset" w:color="auto" w:sz="6" w:space="0"/>
              <w:right w:val="outset" w:color="auto" w:sz="6" w:space="0"/>
            </w:tcBorders>
            <w:noWrap w:val="0"/>
            <w:vAlign w:val="center"/>
          </w:tcPr>
          <w:p w14:paraId="0D5C2894">
            <w:pPr>
              <w:pStyle w:val="74"/>
              <w:jc w:val="left"/>
              <w:rPr>
                <w:rFonts w:hint="default" w:ascii="宋体" w:hAnsi="宋体" w:eastAsia="Times New Roman" w:cs="宋体"/>
                <w:color w:val="auto"/>
                <w:sz w:val="24"/>
                <w:szCs w:val="24"/>
                <w:highlight w:val="none"/>
                <w:lang w:val="en-US" w:eastAsia="zh-CN" w:bidi="ar-SA"/>
              </w:rPr>
            </w:pPr>
            <w:r>
              <w:rPr>
                <w:rFonts w:hint="eastAsia" w:ascii="宋体" w:hAnsi="宋体" w:eastAsia="Times New Roman" w:cs="宋体"/>
                <w:color w:val="auto"/>
                <w:sz w:val="24"/>
                <w:highlight w:val="none"/>
                <w:lang w:val="en-US" w:eastAsia="zh-CN"/>
              </w:rPr>
              <w:t>供应商是否满足磋商文件中规定的施工工期、建设地点、质量要求、承包方式、不允许分包、付款方式、投标有效期，责任缺陷期等相关要求；</w:t>
            </w:r>
          </w:p>
        </w:tc>
        <w:tc>
          <w:tcPr>
            <w:tcW w:w="1022" w:type="dxa"/>
            <w:tcBorders>
              <w:top w:val="outset" w:color="auto" w:sz="6" w:space="0"/>
              <w:left w:val="outset" w:color="auto" w:sz="6" w:space="0"/>
              <w:bottom w:val="outset" w:color="auto" w:sz="6" w:space="0"/>
              <w:right w:val="outset" w:color="auto" w:sz="6" w:space="0"/>
            </w:tcBorders>
            <w:noWrap w:val="0"/>
            <w:vAlign w:val="center"/>
          </w:tcPr>
          <w:p w14:paraId="2BBA1BE9">
            <w:pPr>
              <w:pStyle w:val="74"/>
              <w:rPr>
                <w:color w:val="auto"/>
                <w:highlight w:val="none"/>
              </w:rPr>
            </w:pPr>
          </w:p>
        </w:tc>
        <w:tc>
          <w:tcPr>
            <w:tcW w:w="973" w:type="dxa"/>
            <w:tcBorders>
              <w:top w:val="outset" w:color="auto" w:sz="6" w:space="0"/>
              <w:left w:val="outset" w:color="auto" w:sz="6" w:space="0"/>
              <w:bottom w:val="outset" w:color="auto" w:sz="6" w:space="0"/>
              <w:right w:val="outset" w:color="auto" w:sz="6" w:space="0"/>
            </w:tcBorders>
            <w:noWrap w:val="0"/>
            <w:vAlign w:val="center"/>
          </w:tcPr>
          <w:p w14:paraId="30B0D381">
            <w:pPr>
              <w:pStyle w:val="74"/>
              <w:rPr>
                <w:color w:val="auto"/>
                <w:highlight w:val="none"/>
              </w:rPr>
            </w:pPr>
          </w:p>
        </w:tc>
      </w:tr>
      <w:tr w14:paraId="4F0AEAD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645" w:hRule="atLeast"/>
        </w:trPr>
        <w:tc>
          <w:tcPr>
            <w:tcW w:w="571" w:type="dxa"/>
            <w:vMerge w:val="continue"/>
            <w:tcBorders>
              <w:top w:val="outset" w:color="auto" w:sz="6" w:space="0"/>
              <w:left w:val="outset" w:color="auto" w:sz="6" w:space="0"/>
              <w:bottom w:val="outset" w:color="auto" w:sz="6" w:space="0"/>
              <w:right w:val="outset" w:color="auto" w:sz="6" w:space="0"/>
            </w:tcBorders>
            <w:noWrap w:val="0"/>
            <w:vAlign w:val="center"/>
          </w:tcPr>
          <w:p w14:paraId="12FE390C">
            <w:pPr>
              <w:pStyle w:val="74"/>
              <w:rPr>
                <w:color w:val="auto"/>
                <w:highlight w:val="none"/>
              </w:rPr>
            </w:pPr>
          </w:p>
        </w:tc>
        <w:tc>
          <w:tcPr>
            <w:tcW w:w="694" w:type="dxa"/>
            <w:vMerge w:val="continue"/>
            <w:tcBorders>
              <w:top w:val="outset" w:color="auto" w:sz="6" w:space="0"/>
              <w:left w:val="outset" w:color="auto" w:sz="6" w:space="0"/>
              <w:bottom w:val="outset" w:color="auto" w:sz="6" w:space="0"/>
              <w:right w:val="outset" w:color="auto" w:sz="6" w:space="0"/>
            </w:tcBorders>
            <w:noWrap w:val="0"/>
            <w:vAlign w:val="center"/>
          </w:tcPr>
          <w:p w14:paraId="77B22903">
            <w:pPr>
              <w:pStyle w:val="74"/>
              <w:jc w:val="left"/>
              <w:rPr>
                <w:rFonts w:hint="eastAsia" w:ascii="宋体" w:hAnsi="宋体" w:eastAsia="Times New Roman" w:cs="宋体"/>
                <w:color w:val="auto"/>
                <w:sz w:val="24"/>
                <w:highlight w:val="none"/>
                <w:lang w:val="en-US" w:eastAsia="zh-CN"/>
              </w:rPr>
            </w:pPr>
          </w:p>
        </w:tc>
        <w:tc>
          <w:tcPr>
            <w:tcW w:w="1613" w:type="dxa"/>
            <w:vMerge w:val="restart"/>
            <w:tcBorders>
              <w:top w:val="outset" w:color="auto" w:sz="6" w:space="0"/>
              <w:left w:val="outset" w:color="auto" w:sz="6" w:space="0"/>
              <w:right w:val="outset" w:color="auto" w:sz="6" w:space="0"/>
            </w:tcBorders>
            <w:noWrap w:val="0"/>
            <w:vAlign w:val="center"/>
          </w:tcPr>
          <w:p w14:paraId="420DFF7D">
            <w:pPr>
              <w:pStyle w:val="74"/>
              <w:jc w:val="center"/>
              <w:rPr>
                <w:rFonts w:hint="eastAsia" w:ascii="宋体" w:hAnsi="宋体" w:eastAsia="Times New Roman" w:cs="宋体"/>
                <w:color w:val="auto"/>
                <w:sz w:val="24"/>
                <w:highlight w:val="none"/>
                <w:lang w:val="en-US" w:eastAsia="zh-CN"/>
              </w:rPr>
            </w:pPr>
            <w:r>
              <w:rPr>
                <w:rFonts w:hint="eastAsia" w:ascii="宋体" w:hAnsi="宋体" w:eastAsia="Times New Roman" w:cs="宋体"/>
                <w:color w:val="auto"/>
                <w:sz w:val="24"/>
                <w:highlight w:val="none"/>
                <w:lang w:val="en-US" w:eastAsia="zh-CN"/>
              </w:rPr>
              <w:t>投标报价</w:t>
            </w:r>
          </w:p>
        </w:tc>
        <w:tc>
          <w:tcPr>
            <w:tcW w:w="4928" w:type="dxa"/>
            <w:tcBorders>
              <w:top w:val="outset" w:color="auto" w:sz="6" w:space="0"/>
              <w:left w:val="outset" w:color="auto" w:sz="6" w:space="0"/>
              <w:bottom w:val="outset" w:color="auto" w:sz="6" w:space="0"/>
              <w:right w:val="outset" w:color="auto" w:sz="6" w:space="0"/>
            </w:tcBorders>
            <w:noWrap w:val="0"/>
            <w:vAlign w:val="center"/>
          </w:tcPr>
          <w:p w14:paraId="185F88DF">
            <w:pPr>
              <w:pStyle w:val="74"/>
              <w:jc w:val="left"/>
              <w:rPr>
                <w:rFonts w:hint="eastAsia" w:ascii="宋体" w:hAnsi="宋体" w:eastAsia="Times New Roman" w:cs="宋体"/>
                <w:color w:val="auto"/>
                <w:sz w:val="24"/>
                <w:highlight w:val="none"/>
                <w:lang w:val="en-US" w:eastAsia="zh-CN"/>
              </w:rPr>
            </w:pPr>
            <w:r>
              <w:rPr>
                <w:rFonts w:hint="eastAsia" w:ascii="宋体" w:hAnsi="宋体" w:eastAsia="Times New Roman" w:cs="宋体"/>
                <w:color w:val="auto"/>
                <w:sz w:val="24"/>
                <w:highlight w:val="none"/>
                <w:lang w:val="en-US" w:eastAsia="zh-CN"/>
              </w:rPr>
              <w:t>投标报价是否未超过最高限价；</w:t>
            </w:r>
          </w:p>
        </w:tc>
        <w:tc>
          <w:tcPr>
            <w:tcW w:w="1022" w:type="dxa"/>
            <w:tcBorders>
              <w:top w:val="outset" w:color="auto" w:sz="6" w:space="0"/>
              <w:left w:val="outset" w:color="auto" w:sz="6" w:space="0"/>
              <w:bottom w:val="outset" w:color="auto" w:sz="6" w:space="0"/>
              <w:right w:val="outset" w:color="auto" w:sz="6" w:space="0"/>
            </w:tcBorders>
            <w:noWrap w:val="0"/>
            <w:vAlign w:val="center"/>
          </w:tcPr>
          <w:p w14:paraId="6A9A79C8">
            <w:pPr>
              <w:pStyle w:val="74"/>
              <w:rPr>
                <w:color w:val="auto"/>
                <w:highlight w:val="none"/>
              </w:rPr>
            </w:pPr>
          </w:p>
        </w:tc>
        <w:tc>
          <w:tcPr>
            <w:tcW w:w="973" w:type="dxa"/>
            <w:tcBorders>
              <w:top w:val="outset" w:color="auto" w:sz="6" w:space="0"/>
              <w:left w:val="outset" w:color="auto" w:sz="6" w:space="0"/>
              <w:bottom w:val="outset" w:color="auto" w:sz="6" w:space="0"/>
              <w:right w:val="outset" w:color="auto" w:sz="6" w:space="0"/>
            </w:tcBorders>
            <w:noWrap w:val="0"/>
            <w:vAlign w:val="center"/>
          </w:tcPr>
          <w:p w14:paraId="6431B038">
            <w:pPr>
              <w:pStyle w:val="74"/>
              <w:rPr>
                <w:color w:val="auto"/>
                <w:highlight w:val="none"/>
              </w:rPr>
            </w:pPr>
          </w:p>
        </w:tc>
      </w:tr>
      <w:tr w14:paraId="52B42A6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571" w:type="dxa"/>
            <w:vMerge w:val="continue"/>
            <w:tcBorders>
              <w:top w:val="outset" w:color="auto" w:sz="6" w:space="0"/>
              <w:left w:val="outset" w:color="auto" w:sz="6" w:space="0"/>
              <w:bottom w:val="outset" w:color="auto" w:sz="6" w:space="0"/>
              <w:right w:val="outset" w:color="auto" w:sz="6" w:space="0"/>
            </w:tcBorders>
            <w:noWrap w:val="0"/>
            <w:vAlign w:val="center"/>
          </w:tcPr>
          <w:p w14:paraId="49D9A86C">
            <w:pPr>
              <w:pStyle w:val="74"/>
              <w:rPr>
                <w:color w:val="auto"/>
                <w:highlight w:val="none"/>
              </w:rPr>
            </w:pPr>
          </w:p>
        </w:tc>
        <w:tc>
          <w:tcPr>
            <w:tcW w:w="694" w:type="dxa"/>
            <w:vMerge w:val="continue"/>
            <w:tcBorders>
              <w:top w:val="outset" w:color="auto" w:sz="6" w:space="0"/>
              <w:left w:val="outset" w:color="auto" w:sz="6" w:space="0"/>
              <w:bottom w:val="outset" w:color="auto" w:sz="6" w:space="0"/>
              <w:right w:val="outset" w:color="auto" w:sz="6" w:space="0"/>
            </w:tcBorders>
            <w:noWrap w:val="0"/>
            <w:vAlign w:val="center"/>
          </w:tcPr>
          <w:p w14:paraId="304606CD">
            <w:pPr>
              <w:pStyle w:val="74"/>
              <w:jc w:val="left"/>
              <w:rPr>
                <w:rFonts w:hint="eastAsia" w:ascii="宋体" w:hAnsi="宋体" w:eastAsia="Times New Roman" w:cs="宋体"/>
                <w:color w:val="auto"/>
                <w:sz w:val="24"/>
                <w:highlight w:val="none"/>
                <w:lang w:val="en-US" w:eastAsia="zh-CN"/>
              </w:rPr>
            </w:pPr>
          </w:p>
        </w:tc>
        <w:tc>
          <w:tcPr>
            <w:tcW w:w="1613" w:type="dxa"/>
            <w:vMerge w:val="continue"/>
            <w:tcBorders>
              <w:left w:val="outset" w:color="auto" w:sz="6" w:space="0"/>
              <w:right w:val="outset" w:color="auto" w:sz="6" w:space="0"/>
            </w:tcBorders>
            <w:noWrap w:val="0"/>
            <w:vAlign w:val="center"/>
          </w:tcPr>
          <w:p w14:paraId="44572E9B">
            <w:pPr>
              <w:pStyle w:val="74"/>
              <w:jc w:val="left"/>
              <w:rPr>
                <w:rFonts w:hint="eastAsia" w:ascii="宋体" w:hAnsi="宋体" w:eastAsia="Times New Roman" w:cs="宋体"/>
                <w:color w:val="auto"/>
                <w:sz w:val="24"/>
                <w:highlight w:val="none"/>
                <w:lang w:val="en-US" w:eastAsia="zh-CN"/>
              </w:rPr>
            </w:pPr>
          </w:p>
        </w:tc>
        <w:tc>
          <w:tcPr>
            <w:tcW w:w="4928" w:type="dxa"/>
            <w:tcBorders>
              <w:top w:val="outset" w:color="auto" w:sz="6" w:space="0"/>
              <w:left w:val="outset" w:color="auto" w:sz="6" w:space="0"/>
              <w:bottom w:val="outset" w:color="auto" w:sz="6" w:space="0"/>
              <w:right w:val="outset" w:color="auto" w:sz="6" w:space="0"/>
            </w:tcBorders>
            <w:noWrap w:val="0"/>
            <w:vAlign w:val="center"/>
          </w:tcPr>
          <w:p w14:paraId="6F9640B4">
            <w:pPr>
              <w:pStyle w:val="74"/>
              <w:jc w:val="left"/>
              <w:rPr>
                <w:rFonts w:hint="eastAsia" w:ascii="宋体" w:hAnsi="宋体" w:eastAsia="Times New Roman" w:cs="宋体"/>
                <w:color w:val="auto"/>
                <w:sz w:val="24"/>
                <w:highlight w:val="none"/>
                <w:lang w:val="en-US" w:eastAsia="zh-CN"/>
              </w:rPr>
            </w:pPr>
            <w:r>
              <w:rPr>
                <w:rFonts w:hint="eastAsia" w:ascii="宋体" w:hAnsi="宋体" w:eastAsia="Times New Roman" w:cs="宋体"/>
                <w:color w:val="auto"/>
                <w:sz w:val="24"/>
                <w:highlight w:val="none"/>
                <w:lang w:val="en-US" w:eastAsia="zh-CN"/>
              </w:rPr>
              <w:t>投标文件是否未对同一招标项目作出两个及以上报价的；</w:t>
            </w:r>
          </w:p>
        </w:tc>
        <w:tc>
          <w:tcPr>
            <w:tcW w:w="1022" w:type="dxa"/>
            <w:tcBorders>
              <w:top w:val="outset" w:color="auto" w:sz="6" w:space="0"/>
              <w:left w:val="outset" w:color="auto" w:sz="6" w:space="0"/>
              <w:bottom w:val="outset" w:color="auto" w:sz="6" w:space="0"/>
              <w:right w:val="outset" w:color="auto" w:sz="6" w:space="0"/>
            </w:tcBorders>
            <w:noWrap w:val="0"/>
            <w:vAlign w:val="center"/>
          </w:tcPr>
          <w:p w14:paraId="7AC5943A">
            <w:pPr>
              <w:pStyle w:val="74"/>
              <w:rPr>
                <w:color w:val="auto"/>
                <w:highlight w:val="none"/>
              </w:rPr>
            </w:pPr>
          </w:p>
        </w:tc>
        <w:tc>
          <w:tcPr>
            <w:tcW w:w="973" w:type="dxa"/>
            <w:tcBorders>
              <w:top w:val="outset" w:color="auto" w:sz="6" w:space="0"/>
              <w:left w:val="outset" w:color="auto" w:sz="6" w:space="0"/>
              <w:bottom w:val="outset" w:color="auto" w:sz="6" w:space="0"/>
              <w:right w:val="outset" w:color="auto" w:sz="6" w:space="0"/>
            </w:tcBorders>
            <w:noWrap w:val="0"/>
            <w:vAlign w:val="center"/>
          </w:tcPr>
          <w:p w14:paraId="2FA9B58F">
            <w:pPr>
              <w:pStyle w:val="74"/>
              <w:rPr>
                <w:color w:val="auto"/>
                <w:highlight w:val="none"/>
              </w:rPr>
            </w:pPr>
          </w:p>
        </w:tc>
      </w:tr>
      <w:tr w14:paraId="66AA9B6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435" w:hRule="atLeast"/>
        </w:trPr>
        <w:tc>
          <w:tcPr>
            <w:tcW w:w="571" w:type="dxa"/>
            <w:vMerge w:val="continue"/>
            <w:tcBorders>
              <w:top w:val="outset" w:color="auto" w:sz="6" w:space="0"/>
              <w:left w:val="outset" w:color="auto" w:sz="6" w:space="0"/>
              <w:bottom w:val="outset" w:color="auto" w:sz="6" w:space="0"/>
              <w:right w:val="outset" w:color="auto" w:sz="6" w:space="0"/>
            </w:tcBorders>
            <w:noWrap w:val="0"/>
            <w:vAlign w:val="center"/>
          </w:tcPr>
          <w:p w14:paraId="4682C509">
            <w:pPr>
              <w:pStyle w:val="74"/>
              <w:rPr>
                <w:color w:val="auto"/>
                <w:highlight w:val="none"/>
              </w:rPr>
            </w:pPr>
          </w:p>
        </w:tc>
        <w:tc>
          <w:tcPr>
            <w:tcW w:w="694" w:type="dxa"/>
            <w:vMerge w:val="continue"/>
            <w:tcBorders>
              <w:top w:val="outset" w:color="auto" w:sz="6" w:space="0"/>
              <w:left w:val="outset" w:color="auto" w:sz="6" w:space="0"/>
              <w:bottom w:val="outset" w:color="auto" w:sz="6" w:space="0"/>
              <w:right w:val="outset" w:color="auto" w:sz="6" w:space="0"/>
            </w:tcBorders>
            <w:noWrap w:val="0"/>
            <w:vAlign w:val="center"/>
          </w:tcPr>
          <w:p w14:paraId="54B750F3">
            <w:pPr>
              <w:pStyle w:val="74"/>
              <w:jc w:val="left"/>
              <w:rPr>
                <w:rFonts w:hint="eastAsia" w:ascii="宋体" w:hAnsi="宋体" w:eastAsia="Times New Roman" w:cs="宋体"/>
                <w:color w:val="auto"/>
                <w:sz w:val="24"/>
                <w:highlight w:val="none"/>
                <w:lang w:val="en-US" w:eastAsia="zh-CN"/>
              </w:rPr>
            </w:pPr>
          </w:p>
        </w:tc>
        <w:tc>
          <w:tcPr>
            <w:tcW w:w="1613" w:type="dxa"/>
            <w:vMerge w:val="continue"/>
            <w:tcBorders>
              <w:left w:val="outset" w:color="auto" w:sz="6" w:space="0"/>
              <w:right w:val="outset" w:color="auto" w:sz="6" w:space="0"/>
            </w:tcBorders>
            <w:noWrap w:val="0"/>
            <w:vAlign w:val="center"/>
          </w:tcPr>
          <w:p w14:paraId="70227F34">
            <w:pPr>
              <w:pStyle w:val="74"/>
              <w:jc w:val="left"/>
              <w:rPr>
                <w:rFonts w:hint="eastAsia" w:ascii="宋体" w:hAnsi="宋体" w:eastAsia="Times New Roman" w:cs="宋体"/>
                <w:color w:val="auto"/>
                <w:sz w:val="24"/>
                <w:highlight w:val="none"/>
                <w:lang w:val="en-US" w:eastAsia="zh-CN"/>
              </w:rPr>
            </w:pPr>
          </w:p>
        </w:tc>
        <w:tc>
          <w:tcPr>
            <w:tcW w:w="4928" w:type="dxa"/>
            <w:tcBorders>
              <w:top w:val="outset" w:color="auto" w:sz="6" w:space="0"/>
              <w:left w:val="outset" w:color="auto" w:sz="6" w:space="0"/>
              <w:bottom w:val="outset" w:color="auto" w:sz="6" w:space="0"/>
              <w:right w:val="outset" w:color="auto" w:sz="6" w:space="0"/>
            </w:tcBorders>
            <w:noWrap w:val="0"/>
            <w:vAlign w:val="center"/>
          </w:tcPr>
          <w:p w14:paraId="248270F3">
            <w:pPr>
              <w:pStyle w:val="74"/>
              <w:jc w:val="left"/>
              <w:rPr>
                <w:rFonts w:hint="eastAsia" w:ascii="宋体" w:hAnsi="宋体" w:eastAsia="Times New Roman" w:cs="宋体"/>
                <w:color w:val="auto"/>
                <w:sz w:val="24"/>
                <w:highlight w:val="none"/>
                <w:lang w:val="en-US" w:eastAsia="zh-CN"/>
              </w:rPr>
            </w:pPr>
            <w:r>
              <w:rPr>
                <w:rFonts w:hint="eastAsia" w:ascii="宋体" w:hAnsi="宋体" w:eastAsia="Times New Roman" w:cs="宋体"/>
                <w:color w:val="auto"/>
                <w:sz w:val="24"/>
                <w:highlight w:val="none"/>
                <w:lang w:val="zh-CN" w:eastAsia="zh-CN"/>
              </w:rPr>
              <w:t>投标人</w:t>
            </w:r>
            <w:r>
              <w:rPr>
                <w:rFonts w:hint="eastAsia" w:ascii="宋体" w:hAnsi="宋体" w:eastAsia="Times New Roman" w:cs="宋体"/>
                <w:color w:val="auto"/>
                <w:sz w:val="24"/>
                <w:highlight w:val="none"/>
                <w:lang w:val="en-US" w:eastAsia="zh-CN"/>
              </w:rPr>
              <w:t>是否</w:t>
            </w:r>
            <w:r>
              <w:rPr>
                <w:rFonts w:hint="eastAsia" w:ascii="宋体" w:hAnsi="宋体" w:eastAsia="Times New Roman" w:cs="宋体"/>
                <w:color w:val="auto"/>
                <w:sz w:val="24"/>
                <w:highlight w:val="none"/>
                <w:lang w:val="zh-CN" w:eastAsia="zh-CN"/>
              </w:rPr>
              <w:t>按招标人提供的工程量清单填报价格；填写的项目编码、项目名称、项目特征、计量单位、工程量</w:t>
            </w:r>
            <w:r>
              <w:rPr>
                <w:rFonts w:hint="eastAsia" w:ascii="宋体" w:hAnsi="宋体" w:eastAsia="Times New Roman" w:cs="宋体"/>
                <w:color w:val="auto"/>
                <w:sz w:val="24"/>
                <w:highlight w:val="none"/>
                <w:lang w:val="en-US" w:eastAsia="zh-CN"/>
              </w:rPr>
              <w:t>是否</w:t>
            </w:r>
            <w:r>
              <w:rPr>
                <w:rFonts w:hint="eastAsia" w:ascii="宋体" w:hAnsi="宋体" w:eastAsia="Times New Roman" w:cs="宋体"/>
                <w:color w:val="auto"/>
                <w:sz w:val="24"/>
                <w:highlight w:val="none"/>
                <w:lang w:val="zh-CN" w:eastAsia="zh-CN"/>
              </w:rPr>
              <w:t>与招标人提供</w:t>
            </w:r>
            <w:r>
              <w:rPr>
                <w:rFonts w:hint="eastAsia" w:ascii="宋体" w:hAnsi="宋体" w:eastAsia="Times New Roman" w:cs="宋体"/>
                <w:color w:val="auto"/>
                <w:sz w:val="24"/>
                <w:highlight w:val="none"/>
                <w:lang w:val="en-US" w:eastAsia="zh-CN"/>
              </w:rPr>
              <w:t>的清单</w:t>
            </w:r>
            <w:r>
              <w:rPr>
                <w:rFonts w:hint="eastAsia" w:ascii="宋体" w:hAnsi="宋体" w:eastAsia="Times New Roman" w:cs="宋体"/>
                <w:color w:val="auto"/>
                <w:sz w:val="24"/>
                <w:highlight w:val="none"/>
                <w:lang w:val="zh-CN" w:eastAsia="zh-CN"/>
              </w:rPr>
              <w:t>一致。</w:t>
            </w:r>
          </w:p>
        </w:tc>
        <w:tc>
          <w:tcPr>
            <w:tcW w:w="1022" w:type="dxa"/>
            <w:tcBorders>
              <w:top w:val="outset" w:color="auto" w:sz="6" w:space="0"/>
              <w:left w:val="outset" w:color="auto" w:sz="6" w:space="0"/>
              <w:bottom w:val="outset" w:color="auto" w:sz="6" w:space="0"/>
              <w:right w:val="outset" w:color="auto" w:sz="6" w:space="0"/>
            </w:tcBorders>
            <w:noWrap w:val="0"/>
            <w:vAlign w:val="center"/>
          </w:tcPr>
          <w:p w14:paraId="5FE37DC7">
            <w:pPr>
              <w:pStyle w:val="74"/>
              <w:rPr>
                <w:color w:val="auto"/>
                <w:highlight w:val="none"/>
              </w:rPr>
            </w:pPr>
          </w:p>
        </w:tc>
        <w:tc>
          <w:tcPr>
            <w:tcW w:w="973" w:type="dxa"/>
            <w:tcBorders>
              <w:top w:val="outset" w:color="auto" w:sz="6" w:space="0"/>
              <w:left w:val="outset" w:color="auto" w:sz="6" w:space="0"/>
              <w:bottom w:val="outset" w:color="auto" w:sz="6" w:space="0"/>
              <w:right w:val="outset" w:color="auto" w:sz="6" w:space="0"/>
            </w:tcBorders>
            <w:noWrap w:val="0"/>
            <w:vAlign w:val="center"/>
          </w:tcPr>
          <w:p w14:paraId="6DC4A7D1">
            <w:pPr>
              <w:pStyle w:val="74"/>
              <w:rPr>
                <w:color w:val="auto"/>
                <w:highlight w:val="none"/>
              </w:rPr>
            </w:pPr>
          </w:p>
        </w:tc>
      </w:tr>
      <w:tr w14:paraId="345733E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461" w:hRule="atLeast"/>
        </w:trPr>
        <w:tc>
          <w:tcPr>
            <w:tcW w:w="571" w:type="dxa"/>
            <w:vMerge w:val="continue"/>
            <w:tcBorders>
              <w:top w:val="outset" w:color="auto" w:sz="6" w:space="0"/>
              <w:left w:val="outset" w:color="auto" w:sz="6" w:space="0"/>
              <w:bottom w:val="outset" w:color="auto" w:sz="6" w:space="0"/>
              <w:right w:val="outset" w:color="auto" w:sz="6" w:space="0"/>
            </w:tcBorders>
            <w:noWrap w:val="0"/>
            <w:vAlign w:val="center"/>
          </w:tcPr>
          <w:p w14:paraId="282312BD">
            <w:pPr>
              <w:pStyle w:val="74"/>
              <w:rPr>
                <w:color w:val="auto"/>
                <w:highlight w:val="none"/>
              </w:rPr>
            </w:pPr>
          </w:p>
        </w:tc>
        <w:tc>
          <w:tcPr>
            <w:tcW w:w="694" w:type="dxa"/>
            <w:vMerge w:val="continue"/>
            <w:tcBorders>
              <w:top w:val="outset" w:color="auto" w:sz="6" w:space="0"/>
              <w:left w:val="outset" w:color="auto" w:sz="6" w:space="0"/>
              <w:bottom w:val="outset" w:color="auto" w:sz="6" w:space="0"/>
              <w:right w:val="outset" w:color="auto" w:sz="6" w:space="0"/>
            </w:tcBorders>
            <w:noWrap w:val="0"/>
            <w:vAlign w:val="center"/>
          </w:tcPr>
          <w:p w14:paraId="5F38EF8B">
            <w:pPr>
              <w:pStyle w:val="74"/>
              <w:jc w:val="left"/>
              <w:rPr>
                <w:rFonts w:hint="eastAsia" w:ascii="宋体" w:hAnsi="宋体" w:eastAsia="Times New Roman" w:cs="宋体"/>
                <w:color w:val="auto"/>
                <w:sz w:val="24"/>
                <w:highlight w:val="none"/>
                <w:lang w:val="en-US" w:eastAsia="zh-CN"/>
              </w:rPr>
            </w:pPr>
          </w:p>
        </w:tc>
        <w:tc>
          <w:tcPr>
            <w:tcW w:w="1613" w:type="dxa"/>
            <w:vMerge w:val="continue"/>
            <w:tcBorders>
              <w:left w:val="outset" w:color="auto" w:sz="6" w:space="0"/>
              <w:bottom w:val="outset" w:color="auto" w:sz="6" w:space="0"/>
              <w:right w:val="outset" w:color="auto" w:sz="6" w:space="0"/>
            </w:tcBorders>
            <w:noWrap w:val="0"/>
            <w:vAlign w:val="center"/>
          </w:tcPr>
          <w:p w14:paraId="0724EA7E">
            <w:pPr>
              <w:pStyle w:val="74"/>
              <w:jc w:val="left"/>
              <w:rPr>
                <w:rFonts w:hint="default" w:ascii="宋体" w:hAnsi="宋体" w:eastAsia="Times New Roman" w:cs="宋体"/>
                <w:color w:val="auto"/>
                <w:sz w:val="24"/>
                <w:highlight w:val="none"/>
                <w:lang w:val="en-US" w:eastAsia="zh-CN"/>
              </w:rPr>
            </w:pPr>
          </w:p>
        </w:tc>
        <w:tc>
          <w:tcPr>
            <w:tcW w:w="4928" w:type="dxa"/>
            <w:tcBorders>
              <w:top w:val="outset" w:color="auto" w:sz="6" w:space="0"/>
              <w:left w:val="outset" w:color="auto" w:sz="6" w:space="0"/>
              <w:bottom w:val="outset" w:color="auto" w:sz="6" w:space="0"/>
              <w:right w:val="outset" w:color="auto" w:sz="6" w:space="0"/>
            </w:tcBorders>
            <w:noWrap w:val="0"/>
            <w:vAlign w:val="center"/>
          </w:tcPr>
          <w:p w14:paraId="2B36BAA8">
            <w:pPr>
              <w:pStyle w:val="74"/>
              <w:jc w:val="left"/>
              <w:rPr>
                <w:rFonts w:hint="eastAsia" w:ascii="宋体" w:hAnsi="宋体" w:eastAsia="Times New Roman" w:cs="宋体"/>
                <w:color w:val="auto"/>
                <w:sz w:val="24"/>
                <w:highlight w:val="none"/>
                <w:lang w:val="en-US" w:eastAsia="zh-CN"/>
              </w:rPr>
            </w:pPr>
            <w:r>
              <w:rPr>
                <w:rFonts w:hint="eastAsia" w:ascii="宋体" w:hAnsi="宋体" w:eastAsia="Times New Roman" w:cs="宋体"/>
                <w:color w:val="auto"/>
                <w:sz w:val="24"/>
                <w:highlight w:val="none"/>
                <w:lang w:val="zh-CN"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1022" w:type="dxa"/>
            <w:tcBorders>
              <w:top w:val="outset" w:color="auto" w:sz="6" w:space="0"/>
              <w:left w:val="outset" w:color="auto" w:sz="6" w:space="0"/>
              <w:bottom w:val="outset" w:color="auto" w:sz="6" w:space="0"/>
              <w:right w:val="outset" w:color="auto" w:sz="6" w:space="0"/>
            </w:tcBorders>
            <w:noWrap w:val="0"/>
            <w:vAlign w:val="center"/>
          </w:tcPr>
          <w:p w14:paraId="1FB6E864">
            <w:pPr>
              <w:pStyle w:val="74"/>
              <w:rPr>
                <w:color w:val="auto"/>
                <w:highlight w:val="none"/>
              </w:rPr>
            </w:pPr>
          </w:p>
        </w:tc>
        <w:tc>
          <w:tcPr>
            <w:tcW w:w="973" w:type="dxa"/>
            <w:tcBorders>
              <w:top w:val="outset" w:color="auto" w:sz="6" w:space="0"/>
              <w:left w:val="outset" w:color="auto" w:sz="6" w:space="0"/>
              <w:bottom w:val="outset" w:color="auto" w:sz="6" w:space="0"/>
              <w:right w:val="outset" w:color="auto" w:sz="6" w:space="0"/>
            </w:tcBorders>
            <w:noWrap w:val="0"/>
            <w:vAlign w:val="center"/>
          </w:tcPr>
          <w:p w14:paraId="0C9E05B9">
            <w:pPr>
              <w:pStyle w:val="74"/>
              <w:rPr>
                <w:color w:val="auto"/>
                <w:highlight w:val="none"/>
              </w:rPr>
            </w:pPr>
          </w:p>
        </w:tc>
      </w:tr>
      <w:tr w14:paraId="4D307F1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571" w:type="dxa"/>
            <w:vMerge w:val="continue"/>
            <w:tcBorders>
              <w:top w:val="outset" w:color="auto" w:sz="6" w:space="0"/>
              <w:left w:val="outset" w:color="auto" w:sz="6" w:space="0"/>
              <w:bottom w:val="outset" w:color="auto" w:sz="6" w:space="0"/>
              <w:right w:val="outset" w:color="auto" w:sz="6" w:space="0"/>
            </w:tcBorders>
            <w:noWrap w:val="0"/>
            <w:vAlign w:val="center"/>
          </w:tcPr>
          <w:p w14:paraId="61C26A10">
            <w:pPr>
              <w:pStyle w:val="74"/>
              <w:rPr>
                <w:color w:val="auto"/>
                <w:highlight w:val="none"/>
              </w:rPr>
            </w:pPr>
          </w:p>
        </w:tc>
        <w:tc>
          <w:tcPr>
            <w:tcW w:w="694" w:type="dxa"/>
            <w:vMerge w:val="continue"/>
            <w:tcBorders>
              <w:top w:val="outset" w:color="auto" w:sz="6" w:space="0"/>
              <w:left w:val="outset" w:color="auto" w:sz="6" w:space="0"/>
              <w:bottom w:val="outset" w:color="auto" w:sz="6" w:space="0"/>
              <w:right w:val="outset" w:color="auto" w:sz="6" w:space="0"/>
            </w:tcBorders>
            <w:noWrap w:val="0"/>
            <w:vAlign w:val="center"/>
          </w:tcPr>
          <w:p w14:paraId="4395D17A">
            <w:pPr>
              <w:pStyle w:val="74"/>
              <w:jc w:val="left"/>
              <w:rPr>
                <w:rFonts w:hint="eastAsia" w:ascii="宋体" w:hAnsi="宋体" w:eastAsia="Times New Roman" w:cs="宋体"/>
                <w:color w:val="auto"/>
                <w:sz w:val="24"/>
                <w:highlight w:val="none"/>
                <w:lang w:val="en-US" w:eastAsia="zh-CN"/>
              </w:rPr>
            </w:pPr>
          </w:p>
        </w:tc>
        <w:tc>
          <w:tcPr>
            <w:tcW w:w="1613" w:type="dxa"/>
            <w:vMerge w:val="restart"/>
            <w:tcBorders>
              <w:top w:val="outset" w:color="auto" w:sz="6" w:space="0"/>
              <w:left w:val="outset" w:color="auto" w:sz="6" w:space="0"/>
              <w:right w:val="outset" w:color="auto" w:sz="6" w:space="0"/>
            </w:tcBorders>
            <w:noWrap w:val="0"/>
            <w:vAlign w:val="center"/>
          </w:tcPr>
          <w:p w14:paraId="0692CC28">
            <w:pPr>
              <w:pStyle w:val="74"/>
              <w:jc w:val="center"/>
              <w:rPr>
                <w:rFonts w:hint="default" w:ascii="宋体" w:hAnsi="宋体" w:eastAsia="Times New Roman" w:cs="宋体"/>
                <w:color w:val="auto"/>
                <w:sz w:val="24"/>
                <w:highlight w:val="none"/>
                <w:lang w:val="en-US" w:eastAsia="zh-CN"/>
              </w:rPr>
            </w:pPr>
            <w:r>
              <w:rPr>
                <w:rFonts w:hint="eastAsia" w:ascii="宋体" w:hAnsi="宋体" w:eastAsia="Times New Roman" w:cs="宋体"/>
                <w:color w:val="auto"/>
                <w:sz w:val="24"/>
                <w:highlight w:val="none"/>
                <w:lang w:val="en-US" w:eastAsia="zh-CN"/>
              </w:rPr>
              <w:t>其它</w:t>
            </w:r>
          </w:p>
        </w:tc>
        <w:tc>
          <w:tcPr>
            <w:tcW w:w="4928" w:type="dxa"/>
            <w:tcBorders>
              <w:top w:val="outset" w:color="auto" w:sz="6" w:space="0"/>
              <w:left w:val="outset" w:color="auto" w:sz="6" w:space="0"/>
              <w:bottom w:val="outset" w:color="auto" w:sz="6" w:space="0"/>
              <w:right w:val="outset" w:color="auto" w:sz="6" w:space="0"/>
            </w:tcBorders>
            <w:noWrap w:val="0"/>
            <w:vAlign w:val="center"/>
          </w:tcPr>
          <w:p w14:paraId="5750E7BC">
            <w:pPr>
              <w:spacing w:line="240" w:lineRule="auto"/>
              <w:rPr>
                <w:rFonts w:hint="eastAsia"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highlight w:val="none"/>
                <w:lang w:val="zh-CN" w:eastAsia="zh-CN" w:bidi="ar-SA"/>
              </w:rPr>
              <w:t>在评标过程中，发现投标人以他人名义投标、串通投标、以行贿手段谋取成交或者以其他弄虚作假方式投标的；</w:t>
            </w:r>
          </w:p>
        </w:tc>
        <w:tc>
          <w:tcPr>
            <w:tcW w:w="1022" w:type="dxa"/>
            <w:tcBorders>
              <w:top w:val="outset" w:color="auto" w:sz="6" w:space="0"/>
              <w:left w:val="outset" w:color="auto" w:sz="6" w:space="0"/>
              <w:bottom w:val="outset" w:color="auto" w:sz="6" w:space="0"/>
              <w:right w:val="outset" w:color="auto" w:sz="6" w:space="0"/>
            </w:tcBorders>
            <w:noWrap w:val="0"/>
            <w:vAlign w:val="center"/>
          </w:tcPr>
          <w:p w14:paraId="5AAC2745">
            <w:pPr>
              <w:pStyle w:val="74"/>
              <w:rPr>
                <w:color w:val="auto"/>
                <w:highlight w:val="none"/>
              </w:rPr>
            </w:pPr>
          </w:p>
        </w:tc>
        <w:tc>
          <w:tcPr>
            <w:tcW w:w="973" w:type="dxa"/>
            <w:tcBorders>
              <w:top w:val="outset" w:color="auto" w:sz="6" w:space="0"/>
              <w:left w:val="outset" w:color="auto" w:sz="6" w:space="0"/>
              <w:bottom w:val="outset" w:color="auto" w:sz="6" w:space="0"/>
              <w:right w:val="outset" w:color="auto" w:sz="6" w:space="0"/>
            </w:tcBorders>
            <w:noWrap w:val="0"/>
            <w:vAlign w:val="center"/>
          </w:tcPr>
          <w:p w14:paraId="408A9196">
            <w:pPr>
              <w:pStyle w:val="74"/>
              <w:rPr>
                <w:color w:val="auto"/>
                <w:highlight w:val="none"/>
              </w:rPr>
            </w:pPr>
          </w:p>
        </w:tc>
      </w:tr>
      <w:tr w14:paraId="7BBD835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571" w:type="dxa"/>
            <w:vMerge w:val="continue"/>
            <w:tcBorders>
              <w:top w:val="outset" w:color="auto" w:sz="6" w:space="0"/>
              <w:left w:val="outset" w:color="auto" w:sz="6" w:space="0"/>
              <w:bottom w:val="outset" w:color="auto" w:sz="6" w:space="0"/>
              <w:right w:val="outset" w:color="auto" w:sz="6" w:space="0"/>
            </w:tcBorders>
            <w:noWrap w:val="0"/>
            <w:vAlign w:val="center"/>
          </w:tcPr>
          <w:p w14:paraId="762EECF9">
            <w:pPr>
              <w:pStyle w:val="74"/>
              <w:rPr>
                <w:color w:val="auto"/>
                <w:highlight w:val="none"/>
              </w:rPr>
            </w:pPr>
          </w:p>
        </w:tc>
        <w:tc>
          <w:tcPr>
            <w:tcW w:w="694" w:type="dxa"/>
            <w:vMerge w:val="continue"/>
            <w:tcBorders>
              <w:top w:val="outset" w:color="auto" w:sz="6" w:space="0"/>
              <w:left w:val="outset" w:color="auto" w:sz="6" w:space="0"/>
              <w:bottom w:val="outset" w:color="auto" w:sz="6" w:space="0"/>
              <w:right w:val="outset" w:color="auto" w:sz="6" w:space="0"/>
            </w:tcBorders>
            <w:noWrap w:val="0"/>
            <w:vAlign w:val="center"/>
          </w:tcPr>
          <w:p w14:paraId="0D33A65F">
            <w:pPr>
              <w:pStyle w:val="74"/>
              <w:jc w:val="left"/>
              <w:rPr>
                <w:rFonts w:hint="eastAsia" w:ascii="宋体" w:hAnsi="宋体" w:eastAsia="Times New Roman" w:cs="宋体"/>
                <w:color w:val="auto"/>
                <w:sz w:val="24"/>
                <w:highlight w:val="none"/>
                <w:lang w:val="en-US" w:eastAsia="zh-CN"/>
              </w:rPr>
            </w:pPr>
          </w:p>
        </w:tc>
        <w:tc>
          <w:tcPr>
            <w:tcW w:w="1613" w:type="dxa"/>
            <w:vMerge w:val="continue"/>
            <w:tcBorders>
              <w:left w:val="outset" w:color="auto" w:sz="6" w:space="0"/>
              <w:right w:val="outset" w:color="auto" w:sz="6" w:space="0"/>
            </w:tcBorders>
            <w:noWrap w:val="0"/>
            <w:vAlign w:val="center"/>
          </w:tcPr>
          <w:p w14:paraId="1D12F5DB">
            <w:pPr>
              <w:pStyle w:val="74"/>
              <w:jc w:val="center"/>
              <w:rPr>
                <w:rFonts w:hint="eastAsia" w:ascii="宋体" w:hAnsi="宋体" w:eastAsia="Times New Roman" w:cs="宋体"/>
                <w:color w:val="auto"/>
                <w:sz w:val="24"/>
                <w:highlight w:val="none"/>
                <w:lang w:val="en-US" w:eastAsia="zh-CN"/>
              </w:rPr>
            </w:pPr>
          </w:p>
        </w:tc>
        <w:tc>
          <w:tcPr>
            <w:tcW w:w="4928" w:type="dxa"/>
            <w:tcBorders>
              <w:top w:val="outset" w:color="auto" w:sz="6" w:space="0"/>
              <w:left w:val="outset" w:color="auto" w:sz="6" w:space="0"/>
              <w:bottom w:val="outset" w:color="auto" w:sz="6" w:space="0"/>
              <w:right w:val="outset" w:color="auto" w:sz="6" w:space="0"/>
            </w:tcBorders>
            <w:noWrap w:val="0"/>
            <w:vAlign w:val="center"/>
          </w:tcPr>
          <w:p w14:paraId="4232926D">
            <w:pPr>
              <w:spacing w:line="240" w:lineRule="auto"/>
              <w:rPr>
                <w:rFonts w:hint="eastAsia"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highlight w:val="none"/>
                <w:lang w:val="zh-CN" w:eastAsia="zh-CN" w:bidi="ar-SA"/>
              </w:rPr>
              <w:t>投标文件是否存在</w:t>
            </w:r>
            <w:r>
              <w:rPr>
                <w:rFonts w:hint="eastAsia" w:ascii="宋体" w:hAnsi="宋体" w:eastAsia="Times New Roman" w:cs="宋体"/>
                <w:color w:val="auto"/>
                <w:kern w:val="0"/>
                <w:sz w:val="24"/>
                <w:szCs w:val="24"/>
                <w:highlight w:val="none"/>
                <w:lang w:val="en-US" w:eastAsia="zh-CN" w:bidi="ar-SA"/>
              </w:rPr>
              <w:t>招标</w:t>
            </w:r>
            <w:r>
              <w:rPr>
                <w:rFonts w:hint="eastAsia" w:ascii="宋体" w:hAnsi="宋体" w:eastAsia="Times New Roman" w:cs="宋体"/>
                <w:color w:val="auto"/>
                <w:kern w:val="0"/>
                <w:sz w:val="24"/>
                <w:szCs w:val="24"/>
                <w:highlight w:val="none"/>
                <w:lang w:val="zh-CN" w:eastAsia="zh-CN" w:bidi="ar-SA"/>
              </w:rPr>
              <w:t>文件中规定的其它无效投标条款的；</w:t>
            </w:r>
          </w:p>
        </w:tc>
        <w:tc>
          <w:tcPr>
            <w:tcW w:w="1022" w:type="dxa"/>
            <w:tcBorders>
              <w:top w:val="outset" w:color="auto" w:sz="6" w:space="0"/>
              <w:left w:val="outset" w:color="auto" w:sz="6" w:space="0"/>
              <w:bottom w:val="outset" w:color="auto" w:sz="6" w:space="0"/>
              <w:right w:val="outset" w:color="auto" w:sz="6" w:space="0"/>
            </w:tcBorders>
            <w:noWrap w:val="0"/>
            <w:vAlign w:val="center"/>
          </w:tcPr>
          <w:p w14:paraId="54A90D92">
            <w:pPr>
              <w:pStyle w:val="74"/>
              <w:rPr>
                <w:color w:val="auto"/>
                <w:highlight w:val="none"/>
              </w:rPr>
            </w:pPr>
          </w:p>
        </w:tc>
        <w:tc>
          <w:tcPr>
            <w:tcW w:w="973" w:type="dxa"/>
            <w:tcBorders>
              <w:top w:val="outset" w:color="auto" w:sz="6" w:space="0"/>
              <w:left w:val="outset" w:color="auto" w:sz="6" w:space="0"/>
              <w:bottom w:val="outset" w:color="auto" w:sz="6" w:space="0"/>
              <w:right w:val="outset" w:color="auto" w:sz="6" w:space="0"/>
            </w:tcBorders>
            <w:noWrap w:val="0"/>
            <w:vAlign w:val="center"/>
          </w:tcPr>
          <w:p w14:paraId="5F8660E5">
            <w:pPr>
              <w:pStyle w:val="74"/>
              <w:rPr>
                <w:color w:val="auto"/>
                <w:highlight w:val="none"/>
              </w:rPr>
            </w:pPr>
          </w:p>
        </w:tc>
      </w:tr>
      <w:tr w14:paraId="28C8A49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571" w:type="dxa"/>
            <w:vMerge w:val="continue"/>
            <w:tcBorders>
              <w:top w:val="outset" w:color="auto" w:sz="6" w:space="0"/>
              <w:left w:val="outset" w:color="auto" w:sz="6" w:space="0"/>
              <w:bottom w:val="outset" w:color="auto" w:sz="6" w:space="0"/>
              <w:right w:val="outset" w:color="auto" w:sz="6" w:space="0"/>
            </w:tcBorders>
            <w:noWrap w:val="0"/>
            <w:vAlign w:val="center"/>
          </w:tcPr>
          <w:p w14:paraId="3317D111">
            <w:pPr>
              <w:pStyle w:val="74"/>
              <w:rPr>
                <w:color w:val="auto"/>
                <w:highlight w:val="none"/>
              </w:rPr>
            </w:pPr>
          </w:p>
        </w:tc>
        <w:tc>
          <w:tcPr>
            <w:tcW w:w="694" w:type="dxa"/>
            <w:vMerge w:val="continue"/>
            <w:tcBorders>
              <w:top w:val="outset" w:color="auto" w:sz="6" w:space="0"/>
              <w:left w:val="outset" w:color="auto" w:sz="6" w:space="0"/>
              <w:bottom w:val="outset" w:color="auto" w:sz="6" w:space="0"/>
              <w:right w:val="outset" w:color="auto" w:sz="6" w:space="0"/>
            </w:tcBorders>
            <w:noWrap w:val="0"/>
            <w:vAlign w:val="center"/>
          </w:tcPr>
          <w:p w14:paraId="40169B85">
            <w:pPr>
              <w:pStyle w:val="74"/>
              <w:jc w:val="left"/>
              <w:rPr>
                <w:rFonts w:hint="eastAsia" w:ascii="宋体" w:hAnsi="宋体" w:eastAsia="Times New Roman" w:cs="宋体"/>
                <w:color w:val="auto"/>
                <w:sz w:val="24"/>
                <w:highlight w:val="none"/>
                <w:lang w:val="en-US" w:eastAsia="zh-CN"/>
              </w:rPr>
            </w:pPr>
          </w:p>
        </w:tc>
        <w:tc>
          <w:tcPr>
            <w:tcW w:w="1613" w:type="dxa"/>
            <w:vMerge w:val="continue"/>
            <w:tcBorders>
              <w:left w:val="outset" w:color="auto" w:sz="6" w:space="0"/>
              <w:right w:val="outset" w:color="auto" w:sz="6" w:space="0"/>
            </w:tcBorders>
            <w:noWrap w:val="0"/>
            <w:vAlign w:val="center"/>
          </w:tcPr>
          <w:p w14:paraId="451A2953">
            <w:pPr>
              <w:pStyle w:val="74"/>
              <w:jc w:val="center"/>
              <w:rPr>
                <w:rFonts w:hint="eastAsia" w:ascii="宋体" w:hAnsi="宋体" w:eastAsia="Times New Roman" w:cs="宋体"/>
                <w:color w:val="auto"/>
                <w:sz w:val="24"/>
                <w:highlight w:val="none"/>
                <w:lang w:val="en-US" w:eastAsia="zh-CN"/>
              </w:rPr>
            </w:pPr>
          </w:p>
        </w:tc>
        <w:tc>
          <w:tcPr>
            <w:tcW w:w="4928" w:type="dxa"/>
            <w:tcBorders>
              <w:top w:val="outset" w:color="auto" w:sz="6" w:space="0"/>
              <w:left w:val="outset" w:color="auto" w:sz="6" w:space="0"/>
              <w:bottom w:val="outset" w:color="auto" w:sz="6" w:space="0"/>
              <w:right w:val="outset" w:color="auto" w:sz="6" w:space="0"/>
            </w:tcBorders>
            <w:noWrap w:val="0"/>
            <w:vAlign w:val="center"/>
          </w:tcPr>
          <w:p w14:paraId="2AB7FD4F">
            <w:pPr>
              <w:spacing w:line="240" w:lineRule="auto"/>
              <w:rPr>
                <w:rFonts w:hint="eastAsia"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highlight w:val="none"/>
                <w:lang w:val="zh-CN" w:eastAsia="zh-CN" w:bidi="ar-SA"/>
              </w:rPr>
              <w:t>投标文件是否</w:t>
            </w:r>
            <w:r>
              <w:rPr>
                <w:rFonts w:hint="eastAsia" w:ascii="宋体" w:hAnsi="宋体" w:eastAsia="Times New Roman" w:cs="宋体"/>
                <w:color w:val="auto"/>
                <w:kern w:val="0"/>
                <w:sz w:val="24"/>
                <w:szCs w:val="24"/>
                <w:highlight w:val="none"/>
                <w:lang w:val="en-US" w:eastAsia="zh-CN" w:bidi="ar-SA"/>
              </w:rPr>
              <w:t>存在</w:t>
            </w:r>
            <w:r>
              <w:rPr>
                <w:rFonts w:hint="eastAsia" w:ascii="宋体" w:hAnsi="宋体" w:eastAsia="Times New Roman" w:cs="宋体"/>
                <w:color w:val="auto"/>
                <w:kern w:val="0"/>
                <w:sz w:val="24"/>
                <w:szCs w:val="24"/>
                <w:highlight w:val="none"/>
                <w:lang w:val="zh-CN" w:eastAsia="zh-CN" w:bidi="ar-SA"/>
              </w:rPr>
              <w:t>不符合</w:t>
            </w:r>
            <w:r>
              <w:rPr>
                <w:rFonts w:hint="eastAsia" w:ascii="宋体" w:hAnsi="宋体" w:eastAsia="Times New Roman" w:cs="宋体"/>
                <w:color w:val="auto"/>
                <w:kern w:val="0"/>
                <w:sz w:val="24"/>
                <w:szCs w:val="24"/>
                <w:highlight w:val="none"/>
                <w:lang w:val="en-US" w:eastAsia="zh-CN" w:bidi="ar-SA"/>
              </w:rPr>
              <w:t>招标</w:t>
            </w:r>
            <w:r>
              <w:rPr>
                <w:rFonts w:hint="eastAsia" w:ascii="宋体" w:hAnsi="宋体" w:eastAsia="Times New Roman" w:cs="宋体"/>
                <w:color w:val="auto"/>
                <w:kern w:val="0"/>
                <w:sz w:val="24"/>
                <w:szCs w:val="24"/>
                <w:highlight w:val="none"/>
                <w:lang w:val="zh-CN" w:eastAsia="zh-CN" w:bidi="ar-SA"/>
              </w:rPr>
              <w:t>文件要求的</w:t>
            </w:r>
            <w:r>
              <w:rPr>
                <w:rFonts w:hint="eastAsia" w:ascii="宋体" w:hAnsi="宋体" w:eastAsia="Times New Roman" w:cs="宋体"/>
                <w:color w:val="auto"/>
                <w:kern w:val="0"/>
                <w:sz w:val="24"/>
                <w:szCs w:val="24"/>
                <w:highlight w:val="none"/>
                <w:lang w:val="en-US" w:eastAsia="zh-CN" w:bidi="ar-SA"/>
              </w:rPr>
              <w:t>其它实质性条款的</w:t>
            </w:r>
            <w:r>
              <w:rPr>
                <w:rFonts w:hint="eastAsia" w:ascii="宋体" w:hAnsi="宋体" w:eastAsia="Times New Roman" w:cs="宋体"/>
                <w:color w:val="auto"/>
                <w:kern w:val="0"/>
                <w:sz w:val="24"/>
                <w:szCs w:val="24"/>
                <w:highlight w:val="none"/>
                <w:lang w:val="zh-CN" w:eastAsia="zh-CN" w:bidi="ar-SA"/>
              </w:rPr>
              <w:t>；</w:t>
            </w:r>
          </w:p>
        </w:tc>
        <w:tc>
          <w:tcPr>
            <w:tcW w:w="1022" w:type="dxa"/>
            <w:tcBorders>
              <w:top w:val="outset" w:color="auto" w:sz="6" w:space="0"/>
              <w:left w:val="outset" w:color="auto" w:sz="6" w:space="0"/>
              <w:bottom w:val="outset" w:color="auto" w:sz="6" w:space="0"/>
              <w:right w:val="outset" w:color="auto" w:sz="6" w:space="0"/>
            </w:tcBorders>
            <w:noWrap w:val="0"/>
            <w:vAlign w:val="center"/>
          </w:tcPr>
          <w:p w14:paraId="25DBE1AD">
            <w:pPr>
              <w:pStyle w:val="74"/>
              <w:rPr>
                <w:color w:val="auto"/>
                <w:highlight w:val="none"/>
              </w:rPr>
            </w:pPr>
          </w:p>
        </w:tc>
        <w:tc>
          <w:tcPr>
            <w:tcW w:w="973" w:type="dxa"/>
            <w:tcBorders>
              <w:top w:val="outset" w:color="auto" w:sz="6" w:space="0"/>
              <w:left w:val="outset" w:color="auto" w:sz="6" w:space="0"/>
              <w:bottom w:val="outset" w:color="auto" w:sz="6" w:space="0"/>
              <w:right w:val="outset" w:color="auto" w:sz="6" w:space="0"/>
            </w:tcBorders>
            <w:noWrap w:val="0"/>
            <w:vAlign w:val="center"/>
          </w:tcPr>
          <w:p w14:paraId="3014F9EC">
            <w:pPr>
              <w:pStyle w:val="74"/>
              <w:rPr>
                <w:color w:val="auto"/>
                <w:highlight w:val="none"/>
              </w:rPr>
            </w:pPr>
          </w:p>
        </w:tc>
      </w:tr>
      <w:tr w14:paraId="670FDA2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571" w:type="dxa"/>
            <w:vMerge w:val="continue"/>
            <w:tcBorders>
              <w:top w:val="outset" w:color="auto" w:sz="6" w:space="0"/>
              <w:left w:val="outset" w:color="auto" w:sz="6" w:space="0"/>
              <w:bottom w:val="single" w:color="auto" w:sz="4" w:space="0"/>
              <w:right w:val="outset" w:color="auto" w:sz="6" w:space="0"/>
            </w:tcBorders>
            <w:noWrap w:val="0"/>
            <w:vAlign w:val="center"/>
          </w:tcPr>
          <w:p w14:paraId="2794396F">
            <w:pPr>
              <w:pStyle w:val="74"/>
              <w:rPr>
                <w:color w:val="auto"/>
                <w:highlight w:val="none"/>
              </w:rPr>
            </w:pPr>
          </w:p>
        </w:tc>
        <w:tc>
          <w:tcPr>
            <w:tcW w:w="694" w:type="dxa"/>
            <w:vMerge w:val="continue"/>
            <w:tcBorders>
              <w:top w:val="outset" w:color="auto" w:sz="6" w:space="0"/>
              <w:left w:val="outset" w:color="auto" w:sz="6" w:space="0"/>
              <w:bottom w:val="single" w:color="auto" w:sz="4" w:space="0"/>
              <w:right w:val="outset" w:color="auto" w:sz="6" w:space="0"/>
            </w:tcBorders>
            <w:noWrap w:val="0"/>
            <w:vAlign w:val="center"/>
          </w:tcPr>
          <w:p w14:paraId="173778EB">
            <w:pPr>
              <w:pStyle w:val="74"/>
              <w:jc w:val="left"/>
              <w:rPr>
                <w:rFonts w:hint="eastAsia" w:ascii="宋体" w:hAnsi="宋体" w:eastAsia="Times New Roman" w:cs="宋体"/>
                <w:color w:val="auto"/>
                <w:sz w:val="24"/>
                <w:highlight w:val="none"/>
                <w:lang w:val="en-US" w:eastAsia="zh-CN"/>
              </w:rPr>
            </w:pPr>
          </w:p>
        </w:tc>
        <w:tc>
          <w:tcPr>
            <w:tcW w:w="1613" w:type="dxa"/>
            <w:vMerge w:val="continue"/>
            <w:tcBorders>
              <w:left w:val="outset" w:color="auto" w:sz="6" w:space="0"/>
              <w:bottom w:val="single" w:color="auto" w:sz="4" w:space="0"/>
              <w:right w:val="outset" w:color="auto" w:sz="6" w:space="0"/>
            </w:tcBorders>
            <w:noWrap w:val="0"/>
            <w:vAlign w:val="center"/>
          </w:tcPr>
          <w:p w14:paraId="6E52A656">
            <w:pPr>
              <w:pStyle w:val="74"/>
              <w:jc w:val="center"/>
              <w:rPr>
                <w:rFonts w:hint="default" w:ascii="宋体" w:hAnsi="宋体" w:eastAsia="Times New Roman" w:cs="宋体"/>
                <w:color w:val="auto"/>
                <w:sz w:val="24"/>
                <w:highlight w:val="none"/>
                <w:lang w:val="en-US" w:eastAsia="zh-CN"/>
              </w:rPr>
            </w:pPr>
          </w:p>
        </w:tc>
        <w:tc>
          <w:tcPr>
            <w:tcW w:w="4928" w:type="dxa"/>
            <w:tcBorders>
              <w:top w:val="outset" w:color="auto" w:sz="6" w:space="0"/>
              <w:left w:val="outset" w:color="auto" w:sz="6" w:space="0"/>
              <w:bottom w:val="single" w:color="auto" w:sz="4" w:space="0"/>
              <w:right w:val="outset" w:color="auto" w:sz="6" w:space="0"/>
            </w:tcBorders>
            <w:noWrap w:val="0"/>
            <w:vAlign w:val="center"/>
          </w:tcPr>
          <w:p w14:paraId="4509BC4B">
            <w:pPr>
              <w:pStyle w:val="74"/>
              <w:jc w:val="left"/>
              <w:rPr>
                <w:rFonts w:hint="eastAsia" w:ascii="宋体" w:hAnsi="宋体" w:eastAsia="Times New Roman" w:cs="宋体"/>
                <w:color w:val="auto"/>
                <w:sz w:val="24"/>
                <w:highlight w:val="none"/>
                <w:lang w:val="en-US" w:eastAsia="zh-CN"/>
              </w:rPr>
            </w:pPr>
            <w:r>
              <w:rPr>
                <w:rFonts w:hint="eastAsia" w:ascii="宋体" w:hAnsi="宋体" w:eastAsia="Times New Roman" w:cs="宋体"/>
                <w:color w:val="auto"/>
                <w:sz w:val="24"/>
                <w:highlight w:val="none"/>
                <w:lang w:val="zh-CN" w:eastAsia="zh-CN"/>
              </w:rPr>
              <w:t>投标文件是否附有招标人不能接受的条件；</w:t>
            </w:r>
          </w:p>
        </w:tc>
        <w:tc>
          <w:tcPr>
            <w:tcW w:w="1022" w:type="dxa"/>
            <w:tcBorders>
              <w:top w:val="outset" w:color="auto" w:sz="6" w:space="0"/>
              <w:left w:val="outset" w:color="auto" w:sz="6" w:space="0"/>
              <w:bottom w:val="single" w:color="auto" w:sz="4" w:space="0"/>
              <w:right w:val="outset" w:color="auto" w:sz="6" w:space="0"/>
            </w:tcBorders>
            <w:noWrap w:val="0"/>
            <w:vAlign w:val="center"/>
          </w:tcPr>
          <w:p w14:paraId="70C32E6D">
            <w:pPr>
              <w:pStyle w:val="74"/>
              <w:rPr>
                <w:color w:val="auto"/>
                <w:highlight w:val="none"/>
              </w:rPr>
            </w:pPr>
          </w:p>
        </w:tc>
        <w:tc>
          <w:tcPr>
            <w:tcW w:w="973" w:type="dxa"/>
            <w:tcBorders>
              <w:top w:val="outset" w:color="auto" w:sz="6" w:space="0"/>
              <w:left w:val="outset" w:color="auto" w:sz="6" w:space="0"/>
              <w:bottom w:val="single" w:color="auto" w:sz="4" w:space="0"/>
              <w:right w:val="outset" w:color="auto" w:sz="6" w:space="0"/>
            </w:tcBorders>
            <w:noWrap w:val="0"/>
            <w:vAlign w:val="center"/>
          </w:tcPr>
          <w:p w14:paraId="16867E50">
            <w:pPr>
              <w:pStyle w:val="74"/>
              <w:rPr>
                <w:color w:val="auto"/>
                <w:highlight w:val="none"/>
              </w:rPr>
            </w:pPr>
          </w:p>
        </w:tc>
      </w:tr>
      <w:tr w14:paraId="3AF6A23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265" w:type="dxa"/>
            <w:gridSpan w:val="2"/>
            <w:tcBorders>
              <w:top w:val="single" w:color="auto" w:sz="4" w:space="0"/>
              <w:left w:val="outset" w:color="auto" w:sz="6" w:space="0"/>
              <w:bottom w:val="outset" w:color="auto" w:sz="6" w:space="0"/>
              <w:right w:val="outset" w:color="auto" w:sz="6" w:space="0"/>
            </w:tcBorders>
            <w:noWrap w:val="0"/>
            <w:vAlign w:val="center"/>
          </w:tcPr>
          <w:p w14:paraId="73F23869">
            <w:pPr>
              <w:spacing w:line="400" w:lineRule="exact"/>
              <w:jc w:val="center"/>
              <w:rPr>
                <w:rFonts w:hint="eastAsia"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highlight w:val="none"/>
                <w:lang w:val="zh-CN" w:eastAsia="zh-CN" w:bidi="ar-SA"/>
              </w:rPr>
              <w:t>说明</w:t>
            </w:r>
          </w:p>
        </w:tc>
        <w:tc>
          <w:tcPr>
            <w:tcW w:w="8536" w:type="dxa"/>
            <w:gridSpan w:val="4"/>
            <w:tcBorders>
              <w:top w:val="single" w:color="auto" w:sz="4" w:space="0"/>
              <w:left w:val="outset" w:color="auto" w:sz="6" w:space="0"/>
              <w:bottom w:val="outset" w:color="auto" w:sz="6" w:space="0"/>
              <w:right w:val="outset" w:color="auto" w:sz="6" w:space="0"/>
            </w:tcBorders>
            <w:noWrap w:val="0"/>
            <w:vAlign w:val="center"/>
          </w:tcPr>
          <w:p w14:paraId="7D9E68AB">
            <w:pPr>
              <w:spacing w:line="400" w:lineRule="exact"/>
              <w:rPr>
                <w:rFonts w:hint="eastAsia" w:ascii="宋体" w:hAnsi="宋体" w:eastAsia="Times New Roman" w:cs="宋体"/>
                <w:color w:val="auto"/>
                <w:kern w:val="0"/>
                <w:sz w:val="24"/>
                <w:szCs w:val="24"/>
                <w:highlight w:val="none"/>
                <w:lang w:val="zh-CN" w:eastAsia="zh-CN" w:bidi="ar-SA"/>
              </w:rPr>
            </w:pPr>
            <w:r>
              <w:rPr>
                <w:rFonts w:hint="eastAsia" w:ascii="宋体" w:hAnsi="宋体" w:eastAsia="Times New Roman" w:cs="宋体"/>
                <w:color w:val="auto"/>
                <w:kern w:val="0"/>
                <w:sz w:val="24"/>
                <w:szCs w:val="24"/>
                <w:highlight w:val="none"/>
                <w:lang w:val="zh-CN" w:eastAsia="zh-CN" w:bidi="ar-SA"/>
              </w:rPr>
              <w:t>每一项评审内容：通过打（√），不通过打（×）；</w:t>
            </w:r>
          </w:p>
          <w:p w14:paraId="7887BE82">
            <w:pPr>
              <w:spacing w:line="400" w:lineRule="exact"/>
              <w:rPr>
                <w:rFonts w:hint="eastAsia" w:ascii="宋体" w:hAnsi="宋体" w:eastAsia="Times New Roman" w:cs="宋体"/>
                <w:color w:val="auto"/>
                <w:kern w:val="0"/>
                <w:sz w:val="24"/>
                <w:szCs w:val="24"/>
                <w:highlight w:val="none"/>
                <w:lang w:val="zh-CN" w:eastAsia="zh-CN" w:bidi="ar-SA"/>
              </w:rPr>
            </w:pPr>
            <w:r>
              <w:rPr>
                <w:rFonts w:hint="eastAsia" w:ascii="宋体" w:hAnsi="宋体" w:eastAsia="Times New Roman" w:cs="宋体"/>
                <w:color w:val="auto"/>
                <w:kern w:val="0"/>
                <w:sz w:val="24"/>
                <w:szCs w:val="24"/>
                <w:highlight w:val="none"/>
                <w:lang w:val="zh-CN" w:eastAsia="zh-CN" w:bidi="ar-SA"/>
              </w:rPr>
              <w:t>审查最终结论：通过或不通过</w:t>
            </w:r>
          </w:p>
        </w:tc>
      </w:t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tbl>
    <w:p w14:paraId="2A3AEE85">
      <w:pPr>
        <w:rPr>
          <w:rFonts w:hint="eastAsia"/>
          <w:color w:val="auto"/>
          <w:highlight w:val="none"/>
        </w:rPr>
      </w:pPr>
    </w:p>
    <w:p w14:paraId="6BE2B575">
      <w:pPr>
        <w:rPr>
          <w:rFonts w:hint="eastAsia"/>
          <w:color w:val="auto"/>
          <w:highlight w:val="none"/>
        </w:rPr>
      </w:pPr>
    </w:p>
    <w:p w14:paraId="2359DE77">
      <w:pPr>
        <w:rPr>
          <w:rFonts w:hint="eastAsia"/>
          <w:color w:val="auto"/>
          <w:highlight w:val="none"/>
        </w:rPr>
      </w:pPr>
    </w:p>
    <w:p w14:paraId="75D48708">
      <w:pPr>
        <w:pStyle w:val="12"/>
        <w:spacing w:line="240" w:lineRule="auto"/>
        <w:ind w:firstLine="3092" w:firstLineChars="1100"/>
        <w:jc w:val="both"/>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商务技术、价格响应性评审表</w:t>
      </w:r>
    </w:p>
    <w:tbl>
      <w:tblPr>
        <w:tblStyle w:val="31"/>
        <w:tblW w:w="9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6513"/>
        <w:gridCol w:w="1059"/>
      </w:tblGrid>
      <w:tr w14:paraId="3D100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207" w:type="dxa"/>
            <w:gridSpan w:val="2"/>
            <w:noWrap w:val="0"/>
            <w:vAlign w:val="center"/>
          </w:tcPr>
          <w:p w14:paraId="796F35C2">
            <w:pPr>
              <w:pStyle w:val="74"/>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具体评分办法</w:t>
            </w:r>
          </w:p>
        </w:tc>
        <w:tc>
          <w:tcPr>
            <w:tcW w:w="1059" w:type="dxa"/>
            <w:noWrap w:val="0"/>
            <w:vAlign w:val="center"/>
          </w:tcPr>
          <w:p w14:paraId="7A3C0846">
            <w:pPr>
              <w:pStyle w:val="74"/>
              <w:jc w:val="center"/>
              <w:rPr>
                <w:rFonts w:hint="eastAsia" w:ascii="宋体" w:hAnsi="宋体" w:eastAsia="Times New Roman" w:cs="宋体"/>
                <w:b/>
                <w:bCs/>
                <w:color w:val="auto"/>
                <w:sz w:val="24"/>
                <w:highlight w:val="none"/>
                <w:lang w:val="en-US" w:eastAsia="zh-CN"/>
              </w:rPr>
            </w:pPr>
            <w:r>
              <w:rPr>
                <w:rFonts w:hint="eastAsia" w:ascii="宋体" w:hAnsi="宋体" w:eastAsia="Times New Roman" w:cs="宋体"/>
                <w:b/>
                <w:bCs/>
                <w:color w:val="auto"/>
                <w:sz w:val="24"/>
                <w:highlight w:val="none"/>
                <w:lang w:val="en-US" w:eastAsia="zh-CN"/>
              </w:rPr>
              <w:t>100分</w:t>
            </w:r>
          </w:p>
        </w:tc>
      </w:tr>
      <w:tr w14:paraId="0E5DE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207" w:type="dxa"/>
            <w:gridSpan w:val="2"/>
            <w:noWrap w:val="0"/>
            <w:vAlign w:val="center"/>
          </w:tcPr>
          <w:p w14:paraId="1FC1C6DF">
            <w:pPr>
              <w:widowControl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价格部分</w:t>
            </w:r>
          </w:p>
        </w:tc>
        <w:tc>
          <w:tcPr>
            <w:tcW w:w="1059" w:type="dxa"/>
            <w:noWrap w:val="0"/>
            <w:vAlign w:val="center"/>
          </w:tcPr>
          <w:p w14:paraId="259AF22E">
            <w:pPr>
              <w:widowControl w:val="0"/>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30分</w:t>
            </w:r>
          </w:p>
        </w:tc>
      </w:tr>
      <w:tr w14:paraId="534F9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trPr>
        <w:tc>
          <w:tcPr>
            <w:tcW w:w="1694" w:type="dxa"/>
            <w:noWrap w:val="0"/>
            <w:vAlign w:val="center"/>
          </w:tcPr>
          <w:p w14:paraId="321943A0">
            <w:pPr>
              <w:widowControl w:val="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价格</w:t>
            </w:r>
          </w:p>
          <w:p w14:paraId="5808F007">
            <w:pPr>
              <w:widowControl w:val="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部分</w:t>
            </w:r>
          </w:p>
          <w:p w14:paraId="6D093FEE">
            <w:pPr>
              <w:pStyle w:val="30"/>
              <w:ind w:left="420" w:firstLine="420"/>
              <w:jc w:val="left"/>
              <w:rPr>
                <w:rFonts w:hint="eastAsia"/>
                <w:color w:val="auto"/>
                <w:highlight w:val="none"/>
              </w:rPr>
            </w:pPr>
          </w:p>
        </w:tc>
        <w:tc>
          <w:tcPr>
            <w:tcW w:w="6513" w:type="dxa"/>
            <w:noWrap w:val="0"/>
            <w:vAlign w:val="center"/>
          </w:tcPr>
          <w:p w14:paraId="7503269D">
            <w:pPr>
              <w:widowControl w:val="0"/>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评</w:t>
            </w:r>
            <w:r>
              <w:rPr>
                <w:rFonts w:hint="eastAsia" w:ascii="宋体" w:hAnsi="宋体" w:eastAsia="宋体" w:cs="宋体"/>
                <w:color w:val="auto"/>
                <w:sz w:val="24"/>
                <w:szCs w:val="24"/>
                <w:highlight w:val="none"/>
              </w:rPr>
              <w:t>分办法：采用低价优先法计算，即满足磋商文件要求且价格最低的报价为评标基准价，其价格得分为满分。</w:t>
            </w:r>
          </w:p>
          <w:p w14:paraId="622B1137">
            <w:pPr>
              <w:widowControl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价格得分=（磋商基准价/磋商报价）×价格权值，如此类推，算出所有供应商的价格得分；</w:t>
            </w:r>
          </w:p>
          <w:p w14:paraId="00524B0F">
            <w:pPr>
              <w:widowControl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以最终有效报价作为计算报价；</w:t>
            </w:r>
          </w:p>
          <w:p w14:paraId="76C76D1E">
            <w:pPr>
              <w:widowControl w:val="0"/>
              <w:spacing w:line="360" w:lineRule="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本项目为专门面向</w:t>
            </w:r>
            <w:r>
              <w:rPr>
                <w:rFonts w:hint="eastAsia" w:ascii="宋体" w:hAnsi="宋体" w:eastAsia="宋体" w:cs="宋体"/>
                <w:color w:val="auto"/>
                <w:sz w:val="24"/>
                <w:szCs w:val="24"/>
                <w:highlight w:val="none"/>
                <w:lang w:val="en-US" w:eastAsia="zh-CN"/>
              </w:rPr>
              <w:t>中</w:t>
            </w:r>
            <w:r>
              <w:rPr>
                <w:rFonts w:hint="eastAsia" w:ascii="宋体" w:hAnsi="宋体" w:eastAsia="宋体" w:cs="宋体"/>
                <w:color w:val="auto"/>
                <w:sz w:val="24"/>
                <w:szCs w:val="24"/>
                <w:highlight w:val="none"/>
              </w:rPr>
              <w:t>小企业采购，不进行价格扣除评审。</w:t>
            </w:r>
          </w:p>
        </w:tc>
        <w:tc>
          <w:tcPr>
            <w:tcW w:w="1059" w:type="dxa"/>
            <w:noWrap w:val="0"/>
            <w:vAlign w:val="center"/>
          </w:tcPr>
          <w:p w14:paraId="72030C38">
            <w:pPr>
              <w:widowControl w:val="0"/>
              <w:spacing w:line="360" w:lineRule="auto"/>
              <w:ind w:firstLine="240" w:firstLineChars="100"/>
              <w:rPr>
                <w:rFonts w:hint="eastAsia" w:ascii="宋体" w:hAnsi="宋体" w:cs="宋体"/>
                <w:b/>
                <w:bCs/>
                <w:color w:val="auto"/>
                <w:sz w:val="24"/>
                <w:szCs w:val="24"/>
                <w:highlight w:val="none"/>
              </w:rPr>
            </w:pPr>
            <w:r>
              <w:rPr>
                <w:rStyle w:val="75"/>
                <w:rFonts w:hint="eastAsia" w:ascii="宋体" w:hAnsi="宋体" w:cs="宋体"/>
                <w:color w:val="auto"/>
                <w:sz w:val="24"/>
                <w:szCs w:val="24"/>
                <w:highlight w:val="none"/>
              </w:rPr>
              <w:t>30</w:t>
            </w:r>
          </w:p>
        </w:tc>
      </w:tr>
      <w:tr w14:paraId="4AE13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207" w:type="dxa"/>
            <w:gridSpan w:val="2"/>
            <w:noWrap w:val="0"/>
            <w:vAlign w:val="center"/>
          </w:tcPr>
          <w:p w14:paraId="47C20BCB">
            <w:pPr>
              <w:widowControl w:val="0"/>
              <w:spacing w:line="360" w:lineRule="auto"/>
              <w:ind w:firstLine="480" w:firstLineChars="200"/>
              <w:jc w:val="center"/>
              <w:rPr>
                <w:rFonts w:hint="eastAsia" w:ascii="宋体" w:hAnsi="宋体" w:cs="宋体"/>
                <w:b/>
                <w:bCs/>
                <w:color w:val="auto"/>
                <w:sz w:val="28"/>
                <w:szCs w:val="28"/>
                <w:highlight w:val="none"/>
              </w:rPr>
            </w:pPr>
            <w:r>
              <w:rPr>
                <w:rFonts w:hint="eastAsia" w:ascii="宋体" w:hAnsi="宋体" w:eastAsia="Times New Roman" w:cs="宋体"/>
                <w:b/>
                <w:bCs/>
                <w:color w:val="auto"/>
                <w:kern w:val="0"/>
                <w:sz w:val="24"/>
                <w:szCs w:val="24"/>
                <w:highlight w:val="none"/>
                <w:lang w:val="en-US" w:eastAsia="zh-CN" w:bidi="ar-SA"/>
              </w:rPr>
              <w:t>技术商务部分</w:t>
            </w:r>
          </w:p>
        </w:tc>
        <w:tc>
          <w:tcPr>
            <w:tcW w:w="1059" w:type="dxa"/>
            <w:noWrap w:val="0"/>
            <w:vAlign w:val="center"/>
          </w:tcPr>
          <w:p w14:paraId="10E9A22B">
            <w:pPr>
              <w:widowControl w:val="0"/>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4"/>
                <w:szCs w:val="24"/>
                <w:highlight w:val="none"/>
              </w:rPr>
              <w:t>70分</w:t>
            </w:r>
          </w:p>
        </w:tc>
      </w:tr>
      <w:tr w14:paraId="0C80D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266" w:type="dxa"/>
            <w:gridSpan w:val="3"/>
            <w:noWrap w:val="0"/>
            <w:vAlign w:val="center"/>
          </w:tcPr>
          <w:p w14:paraId="62E682FB">
            <w:pPr>
              <w:widowControl w:val="0"/>
              <w:spacing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rPr>
              <w:t>（一）商务部分</w:t>
            </w:r>
          </w:p>
        </w:tc>
      </w:tr>
      <w:tr w14:paraId="5D9B9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1694" w:type="dxa"/>
            <w:noWrap w:val="0"/>
            <w:vAlign w:val="center"/>
          </w:tcPr>
          <w:p w14:paraId="0B9A15AB">
            <w:pPr>
              <w:spacing w:line="240" w:lineRule="auto"/>
              <w:jc w:val="center"/>
              <w:rPr>
                <w:rFonts w:hint="eastAsia" w:ascii="宋体" w:hAnsi="宋体" w:eastAsia="Times New Roman" w:cs="宋体"/>
                <w:color w:val="auto"/>
                <w:kern w:val="0"/>
                <w:sz w:val="24"/>
                <w:szCs w:val="24"/>
                <w:highlight w:val="none"/>
                <w:lang w:val="zh-CN" w:eastAsia="zh-CN" w:bidi="ar-SA"/>
              </w:rPr>
            </w:pPr>
            <w:r>
              <w:rPr>
                <w:rFonts w:hint="eastAsia" w:ascii="宋体" w:hAnsi="宋体" w:eastAsia="Times New Roman" w:cs="宋体"/>
                <w:color w:val="auto"/>
                <w:kern w:val="0"/>
                <w:sz w:val="24"/>
                <w:szCs w:val="24"/>
                <w:highlight w:val="none"/>
                <w:lang w:val="zh-CN" w:eastAsia="zh-CN" w:bidi="ar-SA"/>
              </w:rPr>
              <w:t>企业业绩</w:t>
            </w:r>
          </w:p>
        </w:tc>
        <w:tc>
          <w:tcPr>
            <w:tcW w:w="6513" w:type="dxa"/>
            <w:noWrap w:val="0"/>
            <w:vAlign w:val="center"/>
          </w:tcPr>
          <w:p w14:paraId="1938C39F">
            <w:pPr>
              <w:spacing w:line="240" w:lineRule="auto"/>
              <w:jc w:val="left"/>
              <w:rPr>
                <w:rFonts w:hint="eastAsia" w:ascii="宋体" w:hAnsi="宋体" w:eastAsia="Times New Roman" w:cs="宋体"/>
                <w:color w:val="auto"/>
                <w:kern w:val="0"/>
                <w:sz w:val="24"/>
                <w:szCs w:val="24"/>
                <w:highlight w:val="none"/>
                <w:lang w:val="zh-CN" w:eastAsia="zh-CN" w:bidi="ar-SA"/>
              </w:rPr>
            </w:pPr>
            <w:r>
              <w:rPr>
                <w:rFonts w:hint="eastAsia" w:ascii="宋体" w:hAnsi="宋体" w:eastAsia="Times New Roman" w:cs="宋体"/>
                <w:color w:val="auto"/>
                <w:kern w:val="0"/>
                <w:sz w:val="24"/>
                <w:szCs w:val="24"/>
                <w:highlight w:val="none"/>
                <w:lang w:val="zh-CN" w:eastAsia="zh-CN" w:bidi="ar-SA"/>
              </w:rPr>
              <w:t>供应商提供近三年（2022年</w:t>
            </w:r>
            <w:r>
              <w:rPr>
                <w:rFonts w:hint="eastAsia" w:ascii="宋体" w:hAnsi="宋体" w:eastAsia="Times New Roman" w:cs="宋体"/>
                <w:color w:val="auto"/>
                <w:kern w:val="0"/>
                <w:sz w:val="24"/>
                <w:szCs w:val="24"/>
                <w:highlight w:val="none"/>
                <w:lang w:val="en-US" w:eastAsia="zh-CN" w:bidi="ar-SA"/>
              </w:rPr>
              <w:t>7</w:t>
            </w:r>
            <w:r>
              <w:rPr>
                <w:rFonts w:hint="eastAsia" w:ascii="宋体" w:hAnsi="宋体" w:eastAsia="Times New Roman" w:cs="宋体"/>
                <w:color w:val="auto"/>
                <w:kern w:val="0"/>
                <w:sz w:val="24"/>
                <w:szCs w:val="24"/>
                <w:highlight w:val="none"/>
                <w:lang w:val="zh-CN" w:eastAsia="zh-CN" w:bidi="ar-SA"/>
              </w:rPr>
              <w:t>月至今，以合同签订日期为准）完成的类似工程业绩，每提供一项业绩得2分，满分4分，不提供不得分；</w:t>
            </w:r>
          </w:p>
          <w:p w14:paraId="4E44F0E4">
            <w:pPr>
              <w:spacing w:line="240" w:lineRule="auto"/>
              <w:jc w:val="left"/>
              <w:rPr>
                <w:rFonts w:hint="eastAsia"/>
                <w:color w:val="auto"/>
                <w:highlight w:val="none"/>
                <w:lang w:val="zh-CN" w:eastAsia="zh-CN"/>
              </w:rPr>
            </w:pPr>
            <w:r>
              <w:rPr>
                <w:rFonts w:hint="eastAsia" w:ascii="宋体" w:hAnsi="宋体" w:eastAsia="Times New Roman" w:cs="宋体"/>
                <w:color w:val="auto"/>
                <w:kern w:val="0"/>
                <w:sz w:val="24"/>
                <w:szCs w:val="24"/>
                <w:highlight w:val="none"/>
                <w:lang w:val="zh-CN" w:eastAsia="zh-CN" w:bidi="ar-SA"/>
              </w:rPr>
              <w:t>提供以下资料的扫描件：中标通知书（或成交通知书）+合同协议书+工程接收证书（工程竣工验收证书）</w:t>
            </w:r>
          </w:p>
        </w:tc>
        <w:tc>
          <w:tcPr>
            <w:tcW w:w="1059" w:type="dxa"/>
            <w:noWrap w:val="0"/>
            <w:vAlign w:val="center"/>
          </w:tcPr>
          <w:p w14:paraId="34A6C28E">
            <w:pPr>
              <w:widowControl w:val="0"/>
              <w:spacing w:line="360" w:lineRule="auto"/>
              <w:jc w:val="center"/>
              <w:rPr>
                <w:rFonts w:ascii="宋体" w:hAnsi="宋体" w:cs="宋体"/>
                <w:b/>
                <w:bCs/>
                <w:color w:val="auto"/>
                <w:sz w:val="24"/>
                <w:szCs w:val="24"/>
                <w:highlight w:val="none"/>
              </w:rPr>
            </w:pPr>
            <w:r>
              <w:rPr>
                <w:rFonts w:hint="eastAsia" w:ascii="宋体" w:hAnsi="宋体" w:cs="宋体"/>
                <w:color w:val="auto"/>
                <w:sz w:val="24"/>
                <w:szCs w:val="24"/>
                <w:highlight w:val="none"/>
              </w:rPr>
              <w:t>4</w:t>
            </w:r>
          </w:p>
        </w:tc>
      </w:tr>
      <w:tr w14:paraId="17B98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1694" w:type="dxa"/>
            <w:noWrap w:val="0"/>
            <w:vAlign w:val="center"/>
          </w:tcPr>
          <w:p w14:paraId="31D028C6">
            <w:pPr>
              <w:pStyle w:val="26"/>
              <w:jc w:val="center"/>
              <w:rPr>
                <w:rFonts w:hint="eastAsia" w:ascii="宋体" w:hAnsi="宋体" w:eastAsia="Times New Roman" w:cs="宋体"/>
                <w:color w:val="auto"/>
                <w:kern w:val="0"/>
                <w:sz w:val="24"/>
                <w:szCs w:val="24"/>
                <w:highlight w:val="none"/>
                <w:lang w:val="zh-CN" w:eastAsia="zh-CN" w:bidi="ar-SA"/>
              </w:rPr>
            </w:pPr>
            <w:r>
              <w:rPr>
                <w:rFonts w:hint="eastAsia" w:ascii="宋体" w:hAnsi="宋体" w:eastAsia="Times New Roman" w:cs="宋体"/>
                <w:color w:val="auto"/>
                <w:kern w:val="0"/>
                <w:sz w:val="24"/>
                <w:szCs w:val="24"/>
                <w:highlight w:val="none"/>
                <w:lang w:val="zh-CN" w:eastAsia="zh-CN" w:bidi="ar-SA"/>
              </w:rPr>
              <w:t>项目</w:t>
            </w:r>
          </w:p>
          <w:p w14:paraId="251FD068">
            <w:pPr>
              <w:pStyle w:val="26"/>
              <w:jc w:val="center"/>
              <w:rPr>
                <w:rFonts w:hint="eastAsia"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highlight w:val="none"/>
                <w:lang w:val="zh-CN" w:eastAsia="zh-CN" w:bidi="ar-SA"/>
              </w:rPr>
              <w:t>管理人员</w:t>
            </w:r>
          </w:p>
        </w:tc>
        <w:tc>
          <w:tcPr>
            <w:tcW w:w="6513" w:type="dxa"/>
            <w:noWrap w:val="0"/>
            <w:vAlign w:val="center"/>
          </w:tcPr>
          <w:p w14:paraId="0B12EBD2">
            <w:pPr>
              <w:pStyle w:val="26"/>
              <w:rPr>
                <w:rFonts w:hint="eastAsia"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highlight w:val="none"/>
                <w:lang w:val="en-US" w:eastAsia="zh-CN" w:bidi="ar-SA"/>
              </w:rPr>
              <w:t>项目负责人（项目经理）、技术负责人、安全管理人员、质量管理人员、造价执业人员等岗位配备齐全，满足招标文件要求等方面进行评审（8分）</w:t>
            </w:r>
          </w:p>
        </w:tc>
        <w:tc>
          <w:tcPr>
            <w:tcW w:w="1059" w:type="dxa"/>
            <w:noWrap w:val="0"/>
            <w:vAlign w:val="center"/>
          </w:tcPr>
          <w:p w14:paraId="64D584B2">
            <w:pPr>
              <w:widowControl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r>
      <w:tr w14:paraId="65CC2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9266" w:type="dxa"/>
            <w:gridSpan w:val="3"/>
            <w:noWrap w:val="0"/>
            <w:vAlign w:val="center"/>
          </w:tcPr>
          <w:p w14:paraId="11104780">
            <w:pPr>
              <w:widowControl w:val="0"/>
              <w:spacing w:line="360" w:lineRule="auto"/>
              <w:jc w:val="center"/>
              <w:rPr>
                <w:rFonts w:hint="eastAsia" w:ascii="宋体" w:hAnsi="宋体" w:cs="宋体"/>
                <w:color w:val="auto"/>
                <w:sz w:val="24"/>
                <w:szCs w:val="24"/>
                <w:highlight w:val="none"/>
              </w:rPr>
            </w:pPr>
            <w:r>
              <w:rPr>
                <w:rFonts w:hint="eastAsia" w:ascii="宋体" w:hAnsi="宋体" w:cs="宋体"/>
                <w:b/>
                <w:bCs/>
                <w:color w:val="auto"/>
                <w:sz w:val="24"/>
                <w:szCs w:val="24"/>
                <w:highlight w:val="none"/>
              </w:rPr>
              <w:t>（二）技术部分</w:t>
            </w:r>
          </w:p>
        </w:tc>
      </w:tr>
      <w:tr w14:paraId="1F094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0" w:hRule="atLeast"/>
        </w:trPr>
        <w:tc>
          <w:tcPr>
            <w:tcW w:w="1694" w:type="dxa"/>
            <w:noWrap w:val="0"/>
            <w:vAlign w:val="center"/>
          </w:tcPr>
          <w:p w14:paraId="2DDAE32F">
            <w:pPr>
              <w:widowControl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施工方案</w:t>
            </w:r>
            <w:r>
              <w:rPr>
                <w:rFonts w:hint="eastAsia" w:ascii="宋体" w:hAnsi="宋体" w:cs="宋体"/>
                <w:color w:val="auto"/>
                <w:sz w:val="24"/>
                <w:szCs w:val="24"/>
                <w:highlight w:val="none"/>
                <w:lang w:val="en-US" w:eastAsia="zh-CN"/>
              </w:rPr>
              <w:t>及技术措施</w:t>
            </w:r>
          </w:p>
        </w:tc>
        <w:tc>
          <w:tcPr>
            <w:tcW w:w="6513" w:type="dxa"/>
            <w:noWrap w:val="0"/>
            <w:vAlign w:val="center"/>
          </w:tcPr>
          <w:p w14:paraId="59143420">
            <w:pPr>
              <w:pStyle w:val="8"/>
              <w:spacing w:line="24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①施工方案内容全面、科学合理、技术措施得当；②劳动力组织均衡，工序衔接合理符合施工特点，紧凑科学，注重效率；③机械设备配备齐全、完全满足工程需要且运行良好；④平面布置图科学合理；</w:t>
            </w:r>
          </w:p>
          <w:p w14:paraId="42A09C37">
            <w:pPr>
              <w:pStyle w:val="8"/>
              <w:spacing w:line="24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【以上内容每项5分，最高得20分】</w:t>
            </w:r>
          </w:p>
          <w:p w14:paraId="3BB575D5">
            <w:pPr>
              <w:pStyle w:val="8"/>
              <w:spacing w:line="24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（1）完全满足的，每项得5分；</w:t>
            </w:r>
          </w:p>
          <w:p w14:paraId="392B84C6">
            <w:pPr>
              <w:pStyle w:val="8"/>
              <w:spacing w:line="24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（2）基本满足的，每项得3.5分；</w:t>
            </w:r>
          </w:p>
          <w:p w14:paraId="1D265E17">
            <w:pPr>
              <w:pStyle w:val="8"/>
              <w:spacing w:line="24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（3）部分满足，存在缺陷（或错误/瑕疵）的，得2分；</w:t>
            </w:r>
          </w:p>
          <w:p w14:paraId="3882596D">
            <w:pPr>
              <w:widowControl w:val="0"/>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（4）不满足或未提供的，不得分。</w:t>
            </w:r>
          </w:p>
        </w:tc>
        <w:tc>
          <w:tcPr>
            <w:tcW w:w="1059" w:type="dxa"/>
            <w:noWrap w:val="0"/>
            <w:vAlign w:val="center"/>
          </w:tcPr>
          <w:p w14:paraId="1764DD7A">
            <w:pPr>
              <w:widowControl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r>
      <w:tr w14:paraId="712F1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694" w:type="dxa"/>
            <w:noWrap w:val="0"/>
            <w:vAlign w:val="center"/>
          </w:tcPr>
          <w:p w14:paraId="3BF37F6C">
            <w:pPr>
              <w:widowControl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确保工期的</w:t>
            </w:r>
          </w:p>
          <w:p w14:paraId="42ECBF31">
            <w:pPr>
              <w:widowControl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技术组织措施</w:t>
            </w:r>
          </w:p>
        </w:tc>
        <w:tc>
          <w:tcPr>
            <w:tcW w:w="6513" w:type="dxa"/>
            <w:noWrap w:val="0"/>
            <w:vAlign w:val="center"/>
          </w:tcPr>
          <w:p w14:paraId="3C33A889">
            <w:pPr>
              <w:pStyle w:val="8"/>
              <w:spacing w:line="240" w:lineRule="auto"/>
              <w:ind w:left="0" w:leftChars="0" w:firstLine="0"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①工期目标明确；②在空间和时间上做合理的统筹安排；③工期进度保障措施符合施工的科学规律；④施工总进度图科学合理；</w:t>
            </w:r>
          </w:p>
          <w:p w14:paraId="4A067F00">
            <w:pPr>
              <w:pStyle w:val="8"/>
              <w:spacing w:line="240" w:lineRule="auto"/>
              <w:ind w:left="0" w:leftChars="0" w:firstLine="0"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【以上内容满足一项得4分；最高得16分】</w:t>
            </w:r>
          </w:p>
          <w:p w14:paraId="464339C8">
            <w:pPr>
              <w:pStyle w:val="8"/>
              <w:spacing w:line="240" w:lineRule="auto"/>
              <w:ind w:left="0" w:leftChars="0" w:firstLine="0"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（1）完全满足的，每项得4分；</w:t>
            </w:r>
          </w:p>
          <w:p w14:paraId="30669432">
            <w:pPr>
              <w:pStyle w:val="8"/>
              <w:spacing w:line="240" w:lineRule="auto"/>
              <w:ind w:left="0" w:leftChars="0" w:firstLine="0"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（2）基本满足的，每项得3分；</w:t>
            </w:r>
          </w:p>
          <w:p w14:paraId="65FC02F1">
            <w:pPr>
              <w:pStyle w:val="8"/>
              <w:spacing w:line="240" w:lineRule="auto"/>
              <w:ind w:left="0" w:leftChars="0" w:firstLine="0"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（3）部分满足，但存在缺陷（或错误/瑕疵）的，得2分；</w:t>
            </w:r>
          </w:p>
          <w:p w14:paraId="4EE1B493">
            <w:pPr>
              <w:widowControl w:val="0"/>
              <w:rPr>
                <w:rFonts w:hint="eastAsia" w:ascii="宋体" w:hAnsi="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rPr>
              <w:t>（4）不满足或未提供的，不得分。</w:t>
            </w:r>
          </w:p>
        </w:tc>
        <w:tc>
          <w:tcPr>
            <w:tcW w:w="1059" w:type="dxa"/>
            <w:noWrap w:val="0"/>
            <w:vAlign w:val="center"/>
          </w:tcPr>
          <w:p w14:paraId="4DE8B9BE">
            <w:pPr>
              <w:widowControl w:val="0"/>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r>
      <w:tr w14:paraId="09C0A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1694" w:type="dxa"/>
            <w:noWrap w:val="0"/>
            <w:vAlign w:val="center"/>
          </w:tcPr>
          <w:p w14:paraId="6F8265DD">
            <w:pPr>
              <w:widowControl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确保工程质量</w:t>
            </w:r>
          </w:p>
          <w:p w14:paraId="2E9683CF">
            <w:pPr>
              <w:widowControl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的技术组织</w:t>
            </w:r>
          </w:p>
          <w:p w14:paraId="309CABC2">
            <w:pPr>
              <w:widowControl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措施</w:t>
            </w:r>
          </w:p>
        </w:tc>
        <w:tc>
          <w:tcPr>
            <w:tcW w:w="6513" w:type="dxa"/>
            <w:noWrap w:val="0"/>
            <w:vAlign w:val="center"/>
          </w:tcPr>
          <w:p w14:paraId="08F3894A">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①工程质量保障体系完整；②工程质量保证措施切实可行；③符合国家规定的强制性标准；④制定了质量通病的防治措施；</w:t>
            </w:r>
          </w:p>
          <w:p w14:paraId="3B18210A">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【以上内容满足一项得3分；最高得12分】</w:t>
            </w:r>
          </w:p>
          <w:p w14:paraId="1D5A0B6D">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（1）完全满足的，每项得3分；</w:t>
            </w:r>
          </w:p>
          <w:p w14:paraId="4E9E3695">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（2）基本满足的，每项得2分；</w:t>
            </w:r>
          </w:p>
          <w:p w14:paraId="61707556">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（3）部分满足，存在缺陷（或错误/瑕疵）的，得1分；</w:t>
            </w:r>
          </w:p>
          <w:p w14:paraId="1B077DF9">
            <w:pPr>
              <w:widowControl w:val="0"/>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eastAsia="zh-CN"/>
              </w:rPr>
              <w:t>（4）不满足或未提供的，不得分。</w:t>
            </w:r>
          </w:p>
        </w:tc>
        <w:tc>
          <w:tcPr>
            <w:tcW w:w="1059" w:type="dxa"/>
            <w:noWrap w:val="0"/>
            <w:vAlign w:val="center"/>
          </w:tcPr>
          <w:p w14:paraId="55ABBF9B">
            <w:pPr>
              <w:widowControl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r>
      <w:tr w14:paraId="3AFE8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1694" w:type="dxa"/>
            <w:noWrap w:val="0"/>
            <w:vAlign w:val="center"/>
          </w:tcPr>
          <w:p w14:paraId="404040FE">
            <w:pPr>
              <w:widowControl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安全管理体系与措施</w:t>
            </w:r>
          </w:p>
        </w:tc>
        <w:tc>
          <w:tcPr>
            <w:tcW w:w="6513" w:type="dxa"/>
            <w:noWrap w:val="0"/>
            <w:vAlign w:val="center"/>
          </w:tcPr>
          <w:p w14:paraId="6DA17737">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①安全管理目标明确；②安全生产管理小组健全，职责分工明确；③安全管理制度齐全。</w:t>
            </w:r>
          </w:p>
          <w:p w14:paraId="78DC9E4A">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【以上内容满足一项得2分；最高得6分】</w:t>
            </w:r>
          </w:p>
          <w:p w14:paraId="1DD16D90">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（1）完全满足的，每项得2分；</w:t>
            </w:r>
          </w:p>
          <w:p w14:paraId="71DE63A7">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（2）基本满足的，每项得1分；</w:t>
            </w:r>
          </w:p>
          <w:p w14:paraId="767527A4">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（3）部分满足，存在缺陷（或错误/瑕疵）的，得0.5分；</w:t>
            </w:r>
          </w:p>
          <w:p w14:paraId="23AA59B6">
            <w:pPr>
              <w:widowContro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（4）不满足或未提供的，不得分。</w:t>
            </w:r>
          </w:p>
        </w:tc>
        <w:tc>
          <w:tcPr>
            <w:tcW w:w="1059" w:type="dxa"/>
            <w:noWrap w:val="0"/>
            <w:vAlign w:val="center"/>
          </w:tcPr>
          <w:p w14:paraId="52519F6E">
            <w:pPr>
              <w:widowControl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r>
      <w:tr w14:paraId="4E597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694" w:type="dxa"/>
            <w:noWrap w:val="0"/>
            <w:vAlign w:val="center"/>
          </w:tcPr>
          <w:p w14:paraId="30A35F87">
            <w:pPr>
              <w:widowControl w:val="0"/>
              <w:rPr>
                <w:rFonts w:hint="eastAsia" w:ascii="宋体" w:hAnsi="宋体" w:cs="宋体"/>
                <w:color w:val="auto"/>
                <w:sz w:val="24"/>
                <w:szCs w:val="24"/>
                <w:highlight w:val="none"/>
              </w:rPr>
            </w:pPr>
            <w:r>
              <w:rPr>
                <w:rFonts w:hint="eastAsia" w:ascii="宋体" w:hAnsi="宋体" w:cs="宋体"/>
                <w:color w:val="auto"/>
                <w:sz w:val="24"/>
                <w:szCs w:val="24"/>
                <w:highlight w:val="none"/>
              </w:rPr>
              <w:t>确保文明施工</w:t>
            </w:r>
          </w:p>
          <w:p w14:paraId="52491DD3">
            <w:pPr>
              <w:widowControl w:val="0"/>
              <w:rPr>
                <w:rFonts w:hint="eastAsia" w:ascii="宋体" w:hAnsi="宋体" w:cs="宋体"/>
                <w:color w:val="auto"/>
                <w:sz w:val="24"/>
                <w:szCs w:val="24"/>
                <w:highlight w:val="none"/>
              </w:rPr>
            </w:pPr>
            <w:r>
              <w:rPr>
                <w:rFonts w:hint="eastAsia" w:ascii="宋体" w:hAnsi="宋体" w:cs="宋体"/>
                <w:color w:val="auto"/>
                <w:sz w:val="24"/>
                <w:szCs w:val="24"/>
                <w:highlight w:val="none"/>
              </w:rPr>
              <w:t>与环境保护的</w:t>
            </w:r>
          </w:p>
          <w:p w14:paraId="18305B73">
            <w:pPr>
              <w:widowControl w:val="0"/>
              <w:rPr>
                <w:rFonts w:hint="eastAsia" w:ascii="宋体" w:hAnsi="宋体" w:cs="宋体"/>
                <w:color w:val="auto"/>
                <w:sz w:val="24"/>
                <w:szCs w:val="24"/>
                <w:highlight w:val="none"/>
              </w:rPr>
            </w:pPr>
            <w:r>
              <w:rPr>
                <w:rFonts w:hint="eastAsia" w:ascii="宋体" w:hAnsi="宋体" w:cs="宋体"/>
                <w:color w:val="auto"/>
                <w:sz w:val="24"/>
                <w:szCs w:val="24"/>
                <w:highlight w:val="none"/>
              </w:rPr>
              <w:t>技术组织措施</w:t>
            </w:r>
          </w:p>
        </w:tc>
        <w:tc>
          <w:tcPr>
            <w:tcW w:w="6513" w:type="dxa"/>
            <w:noWrap w:val="0"/>
            <w:vAlign w:val="center"/>
          </w:tcPr>
          <w:p w14:paraId="28DBC507">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①文明施工措施得力，科学可行；②环境保护措施得力，科学可行；</w:t>
            </w:r>
          </w:p>
          <w:p w14:paraId="34FE3207">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【以上内容满足一项得2分；最高得4分】</w:t>
            </w:r>
          </w:p>
          <w:p w14:paraId="206F1641">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（1）完全满足的，每项得2分；</w:t>
            </w:r>
          </w:p>
          <w:p w14:paraId="3875CA4B">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（2）基本满足的，每项得1分；</w:t>
            </w:r>
          </w:p>
          <w:p w14:paraId="42E0D9FA">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（3）部分满足，存在缺陷（或错误/瑕疵）的，得0.5分；</w:t>
            </w:r>
          </w:p>
          <w:p w14:paraId="383CAB2E">
            <w:pPr>
              <w:widowControl w:val="0"/>
              <w:rPr>
                <w:rFonts w:ascii="宋体" w:hAnsi="宋体" w:cs="宋体"/>
                <w:color w:val="auto"/>
                <w:sz w:val="24"/>
                <w:szCs w:val="24"/>
                <w:highlight w:val="none"/>
              </w:rPr>
            </w:pPr>
            <w:r>
              <w:rPr>
                <w:rFonts w:hint="eastAsia" w:ascii="宋体" w:hAnsi="宋体" w:eastAsia="宋体" w:cs="宋体"/>
                <w:color w:val="auto"/>
                <w:sz w:val="24"/>
                <w:szCs w:val="24"/>
                <w:highlight w:val="none"/>
                <w:lang w:val="en-US" w:eastAsia="zh-CN"/>
              </w:rPr>
              <w:t>（4）不满足或未提供的，不得分。</w:t>
            </w:r>
          </w:p>
        </w:tc>
        <w:tc>
          <w:tcPr>
            <w:tcW w:w="1059" w:type="dxa"/>
            <w:noWrap w:val="0"/>
            <w:vAlign w:val="center"/>
          </w:tcPr>
          <w:p w14:paraId="7C8A7B85">
            <w:pPr>
              <w:widowControl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r>
      <w:tr w14:paraId="6FBCA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266" w:type="dxa"/>
            <w:gridSpan w:val="3"/>
            <w:noWrap w:val="0"/>
            <w:vAlign w:val="center"/>
          </w:tcPr>
          <w:p w14:paraId="20EF6C25">
            <w:pPr>
              <w:widowControl w:val="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说明：1.数据要求真实、可信，如出现虚假或不属实信息，则取消投标资格；</w:t>
            </w:r>
          </w:p>
          <w:p w14:paraId="701C1442">
            <w:pPr>
              <w:widowControl w:val="0"/>
              <w:ind w:firstLine="720" w:firstLineChars="3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2.评审项目不得为负分；</w:t>
            </w:r>
          </w:p>
          <w:p w14:paraId="472C893E">
            <w:pPr>
              <w:widowControl w:val="0"/>
              <w:ind w:firstLine="720" w:firstLineChars="300"/>
              <w:jc w:val="left"/>
              <w:rPr>
                <w:rStyle w:val="75"/>
                <w:rFonts w:hint="eastAsia" w:ascii="宋体" w:hAnsi="宋体" w:cs="宋体"/>
                <w:color w:val="auto"/>
                <w:sz w:val="24"/>
                <w:szCs w:val="24"/>
                <w:highlight w:val="none"/>
              </w:rPr>
            </w:pPr>
            <w:r>
              <w:rPr>
                <w:rFonts w:hint="eastAsia" w:ascii="宋体" w:hAnsi="宋体" w:cs="宋体"/>
                <w:color w:val="auto"/>
                <w:sz w:val="24"/>
                <w:szCs w:val="24"/>
                <w:highlight w:val="none"/>
              </w:rPr>
              <w:t>3.得分保留小数点后两位；</w:t>
            </w:r>
          </w:p>
        </w:tc>
      </w:tr>
    </w:tbl>
    <w:p w14:paraId="28D0FF08">
      <w:pPr>
        <w:spacing w:line="360" w:lineRule="auto"/>
        <w:ind w:right="561" w:rightChars="267" w:firstLine="480" w:firstLineChars="200"/>
        <w:jc w:val="left"/>
        <w:textAlignment w:val="baseline"/>
        <w:rPr>
          <w:rStyle w:val="75"/>
          <w:rFonts w:hint="eastAsia" w:ascii="宋体" w:hAnsi="宋体" w:eastAsia="宋体" w:cs="宋体"/>
          <w:color w:val="auto"/>
          <w:sz w:val="24"/>
          <w:szCs w:val="24"/>
          <w:highlight w:val="none"/>
          <w:lang w:val="zh-CN" w:eastAsia="zh-CN"/>
        </w:rPr>
      </w:pPr>
      <w:r>
        <w:rPr>
          <w:rStyle w:val="75"/>
          <w:rFonts w:hint="eastAsia" w:ascii="宋体" w:hAnsi="宋体" w:eastAsia="宋体" w:cs="宋体"/>
          <w:color w:val="auto"/>
          <w:sz w:val="24"/>
          <w:szCs w:val="24"/>
          <w:highlight w:val="none"/>
          <w:lang w:val="en-US" w:eastAsia="zh-CN"/>
        </w:rPr>
        <w:t>注：1.</w:t>
      </w:r>
      <w:r>
        <w:rPr>
          <w:rStyle w:val="75"/>
          <w:rFonts w:hint="eastAsia" w:ascii="宋体" w:hAnsi="宋体" w:eastAsia="宋体" w:cs="宋体"/>
          <w:color w:val="auto"/>
          <w:sz w:val="24"/>
          <w:szCs w:val="24"/>
          <w:highlight w:val="none"/>
          <w:lang w:val="zh-CN" w:eastAsia="zh-CN"/>
        </w:rPr>
        <w:t>评标委员会应当执行连续评标的原则完成全部评标工作。只有发生不可抗力导致评标工作无法继续时，评标活动方可暂停。发生评标暂停情况时，评标委员会应当封存全部</w:t>
      </w:r>
      <w:r>
        <w:rPr>
          <w:rStyle w:val="75"/>
          <w:rFonts w:hint="eastAsia" w:ascii="宋体" w:hAnsi="宋体" w:eastAsia="宋体" w:cs="宋体"/>
          <w:color w:val="auto"/>
          <w:sz w:val="24"/>
          <w:szCs w:val="24"/>
          <w:highlight w:val="none"/>
          <w:lang w:val="en-US" w:eastAsia="zh-CN"/>
        </w:rPr>
        <w:t>资料</w:t>
      </w:r>
      <w:r>
        <w:rPr>
          <w:rStyle w:val="75"/>
          <w:rFonts w:hint="eastAsia" w:ascii="宋体" w:hAnsi="宋体" w:eastAsia="宋体" w:cs="宋体"/>
          <w:color w:val="auto"/>
          <w:sz w:val="24"/>
          <w:szCs w:val="24"/>
          <w:highlight w:val="none"/>
          <w:lang w:val="zh-CN" w:eastAsia="zh-CN"/>
        </w:rPr>
        <w:t>，待不可抗力的影响结束且具备继续评标的条件时，由原评标委员会继续评标。</w:t>
      </w:r>
    </w:p>
    <w:p w14:paraId="4F86364A">
      <w:pPr>
        <w:spacing w:line="360" w:lineRule="auto"/>
        <w:ind w:right="561" w:rightChars="267" w:firstLine="480" w:firstLineChars="200"/>
        <w:jc w:val="left"/>
        <w:textAlignment w:val="baseline"/>
        <w:rPr>
          <w:rStyle w:val="75"/>
          <w:rFonts w:hint="eastAsia" w:ascii="宋体" w:hAnsi="宋体" w:eastAsia="宋体" w:cs="宋体"/>
          <w:color w:val="auto"/>
          <w:sz w:val="24"/>
          <w:szCs w:val="24"/>
          <w:highlight w:val="none"/>
          <w:lang w:val="zh-CN" w:eastAsia="zh-CN"/>
        </w:rPr>
      </w:pPr>
      <w:r>
        <w:rPr>
          <w:rStyle w:val="75"/>
          <w:rFonts w:hint="eastAsia" w:ascii="宋体" w:hAnsi="宋体" w:eastAsia="宋体" w:cs="宋体"/>
          <w:color w:val="auto"/>
          <w:sz w:val="24"/>
          <w:szCs w:val="24"/>
          <w:highlight w:val="none"/>
          <w:lang w:val="en-US" w:eastAsia="zh-CN"/>
        </w:rPr>
        <w:t>2.</w:t>
      </w:r>
      <w:r>
        <w:rPr>
          <w:rStyle w:val="75"/>
          <w:rFonts w:hint="eastAsia" w:ascii="宋体" w:hAnsi="宋体" w:eastAsia="宋体" w:cs="宋体"/>
          <w:color w:val="auto"/>
          <w:sz w:val="24"/>
          <w:szCs w:val="24"/>
          <w:highlight w:val="none"/>
          <w:lang w:val="zh-CN" w:eastAsia="zh-CN"/>
        </w:rPr>
        <w:t>除非发生下列情况之一，评标委员会成员不得在评标中途更换：(1)因不可抗拒的客观原因，不能到场或需在评标中途退出评标活动；(2)根据法律法规规定，某个或某几个评标委员会成员需要回避。退出评标的评标委员会成员，其已完成的评标行为无效。根据本招标文件规定的评标委员会成员产生方式另行确定替代者进行评标。</w:t>
      </w:r>
    </w:p>
    <w:p w14:paraId="732D8FDD">
      <w:pPr>
        <w:spacing w:line="360" w:lineRule="auto"/>
        <w:ind w:right="561" w:rightChars="267" w:firstLine="480" w:firstLineChars="200"/>
        <w:jc w:val="left"/>
        <w:textAlignment w:val="baseline"/>
        <w:rPr>
          <w:rStyle w:val="75"/>
          <w:rFonts w:hint="eastAsia" w:ascii="宋体" w:hAnsi="宋体" w:eastAsia="宋体" w:cs="宋体"/>
          <w:color w:val="auto"/>
          <w:sz w:val="24"/>
          <w:szCs w:val="24"/>
          <w:highlight w:val="none"/>
        </w:rPr>
      </w:pPr>
      <w:r>
        <w:rPr>
          <w:rStyle w:val="75"/>
          <w:rFonts w:hint="eastAsia" w:ascii="宋体" w:hAnsi="宋体" w:eastAsia="宋体" w:cs="宋体"/>
          <w:color w:val="auto"/>
          <w:sz w:val="24"/>
          <w:szCs w:val="24"/>
          <w:highlight w:val="none"/>
          <w:lang w:val="en-US" w:eastAsia="zh-CN"/>
        </w:rPr>
        <w:t>3.</w:t>
      </w:r>
      <w:r>
        <w:rPr>
          <w:rStyle w:val="75"/>
          <w:rFonts w:hint="eastAsia" w:ascii="宋体" w:hAnsi="宋体" w:eastAsia="宋体" w:cs="宋体"/>
          <w:color w:val="auto"/>
          <w:sz w:val="24"/>
          <w:szCs w:val="24"/>
          <w:highlight w:val="none"/>
          <w:lang w:val="zh-CN" w:eastAsia="zh-CN"/>
        </w:rPr>
        <w:t>在任何评标环节中，需评标委员会就某项评审结论做出表决的，由评标委员会全体成员按照少数服从多数的原则，以记名投票方式表决</w:t>
      </w:r>
      <w:r>
        <w:rPr>
          <w:rStyle w:val="75"/>
          <w:rFonts w:hint="eastAsia" w:ascii="宋体" w:hAnsi="宋体" w:eastAsia="宋体" w:cs="宋体"/>
          <w:color w:val="auto"/>
          <w:sz w:val="24"/>
          <w:szCs w:val="24"/>
          <w:highlight w:val="none"/>
          <w:lang w:val="en-US" w:eastAsia="zh-CN"/>
        </w:rPr>
        <w:t>.</w:t>
      </w:r>
    </w:p>
    <w:p w14:paraId="034E13C6">
      <w:pPr>
        <w:spacing w:line="360" w:lineRule="auto"/>
        <w:ind w:firstLine="482" w:firstLineChars="200"/>
        <w:jc w:val="left"/>
        <w:textAlignment w:val="baseline"/>
        <w:rPr>
          <w:rStyle w:val="75"/>
          <w:rFonts w:hint="eastAsia" w:ascii="宋体" w:hAnsi="宋体" w:cs="宋体"/>
          <w:b/>
          <w:bCs/>
          <w:color w:val="auto"/>
          <w:sz w:val="24"/>
          <w:szCs w:val="24"/>
          <w:highlight w:val="none"/>
        </w:rPr>
      </w:pPr>
      <w:r>
        <w:rPr>
          <w:rStyle w:val="75"/>
          <w:rFonts w:hint="eastAsia" w:ascii="宋体" w:hAnsi="宋体" w:cs="宋体"/>
          <w:b/>
          <w:bCs/>
          <w:color w:val="auto"/>
          <w:sz w:val="24"/>
          <w:szCs w:val="24"/>
          <w:highlight w:val="none"/>
          <w:lang w:val="en-US"/>
        </w:rPr>
        <w:t>3</w:t>
      </w:r>
      <w:r>
        <w:rPr>
          <w:rStyle w:val="75"/>
          <w:rFonts w:hint="eastAsia" w:ascii="宋体" w:hAnsi="宋体" w:cs="宋体"/>
          <w:b/>
          <w:bCs/>
          <w:color w:val="auto"/>
          <w:sz w:val="24"/>
          <w:szCs w:val="24"/>
          <w:highlight w:val="none"/>
        </w:rPr>
        <w:t>.评标原则：</w:t>
      </w:r>
    </w:p>
    <w:p w14:paraId="46F35B6D">
      <w:pPr>
        <w:spacing w:line="360" w:lineRule="auto"/>
        <w:ind w:firstLine="480" w:firstLineChars="200"/>
        <w:jc w:val="left"/>
        <w:textAlignment w:val="baseline"/>
        <w:rPr>
          <w:rStyle w:val="75"/>
          <w:rFonts w:hint="eastAsia" w:ascii="宋体" w:hAnsi="宋体" w:cs="宋体"/>
          <w:color w:val="auto"/>
          <w:sz w:val="24"/>
          <w:szCs w:val="24"/>
          <w:highlight w:val="none"/>
        </w:rPr>
      </w:pPr>
      <w:r>
        <w:rPr>
          <w:rStyle w:val="75"/>
          <w:rFonts w:hint="eastAsia" w:ascii="宋体" w:hAnsi="宋体" w:cs="宋体"/>
          <w:color w:val="auto"/>
          <w:sz w:val="24"/>
          <w:szCs w:val="24"/>
          <w:highlight w:val="none"/>
        </w:rPr>
        <w:t>（1）评标过程中应遵循公开、公平、公正、择优的原则；</w:t>
      </w:r>
    </w:p>
    <w:p w14:paraId="0C145114">
      <w:pPr>
        <w:spacing w:line="360" w:lineRule="auto"/>
        <w:ind w:firstLine="480" w:firstLineChars="200"/>
        <w:jc w:val="left"/>
        <w:textAlignment w:val="baseline"/>
        <w:rPr>
          <w:rStyle w:val="75"/>
          <w:rFonts w:hint="eastAsia" w:ascii="宋体" w:hAnsi="宋体" w:cs="宋体"/>
          <w:color w:val="auto"/>
          <w:sz w:val="24"/>
          <w:szCs w:val="24"/>
          <w:highlight w:val="none"/>
        </w:rPr>
      </w:pPr>
      <w:r>
        <w:rPr>
          <w:rStyle w:val="75"/>
          <w:rFonts w:hint="eastAsia" w:ascii="宋体" w:hAnsi="宋体" w:cs="宋体"/>
          <w:color w:val="auto"/>
          <w:sz w:val="24"/>
          <w:szCs w:val="24"/>
          <w:highlight w:val="none"/>
        </w:rPr>
        <w:t>（2）评标应同时维护</w:t>
      </w:r>
      <w:r>
        <w:rPr>
          <w:rStyle w:val="75"/>
          <w:rFonts w:hint="eastAsia" w:ascii="宋体" w:hAnsi="宋体" w:cs="宋体"/>
          <w:color w:val="auto"/>
          <w:sz w:val="24"/>
          <w:szCs w:val="24"/>
          <w:highlight w:val="none"/>
          <w:lang w:val="en-US"/>
        </w:rPr>
        <w:t>采购</w:t>
      </w:r>
      <w:r>
        <w:rPr>
          <w:rStyle w:val="75"/>
          <w:rFonts w:hint="eastAsia" w:ascii="宋体" w:hAnsi="宋体" w:cs="宋体"/>
          <w:color w:val="auto"/>
          <w:sz w:val="24"/>
          <w:szCs w:val="24"/>
          <w:highlight w:val="none"/>
        </w:rPr>
        <w:t>单位和投标单位的利益；</w:t>
      </w:r>
    </w:p>
    <w:p w14:paraId="59782AE1">
      <w:pPr>
        <w:spacing w:line="360" w:lineRule="auto"/>
        <w:ind w:firstLine="480" w:firstLineChars="200"/>
        <w:jc w:val="left"/>
        <w:textAlignment w:val="baseline"/>
        <w:rPr>
          <w:rStyle w:val="75"/>
          <w:rFonts w:hint="eastAsia" w:ascii="宋体" w:hAnsi="宋体" w:cs="宋体"/>
          <w:color w:val="auto"/>
          <w:sz w:val="24"/>
          <w:szCs w:val="24"/>
          <w:highlight w:val="none"/>
        </w:rPr>
      </w:pPr>
      <w:r>
        <w:rPr>
          <w:rStyle w:val="75"/>
          <w:rFonts w:hint="eastAsia" w:ascii="宋体" w:hAnsi="宋体" w:cs="宋体"/>
          <w:color w:val="auto"/>
          <w:sz w:val="24"/>
          <w:szCs w:val="24"/>
          <w:highlight w:val="none"/>
        </w:rPr>
        <w:t>（3）资格审查合格的投标企业，中标机会均等；</w:t>
      </w:r>
    </w:p>
    <w:p w14:paraId="45DB1A70">
      <w:pPr>
        <w:spacing w:line="360" w:lineRule="auto"/>
        <w:ind w:firstLine="480" w:firstLineChars="200"/>
        <w:jc w:val="left"/>
        <w:textAlignment w:val="baseline"/>
        <w:rPr>
          <w:rStyle w:val="75"/>
          <w:rFonts w:hint="eastAsia" w:ascii="宋体" w:hAnsi="宋体" w:cs="宋体"/>
          <w:color w:val="auto"/>
          <w:sz w:val="24"/>
          <w:szCs w:val="24"/>
          <w:highlight w:val="none"/>
        </w:rPr>
      </w:pPr>
      <w:r>
        <w:rPr>
          <w:rStyle w:val="75"/>
          <w:rFonts w:hint="eastAsia" w:ascii="宋体" w:hAnsi="宋体" w:cs="宋体"/>
          <w:color w:val="auto"/>
          <w:sz w:val="24"/>
          <w:szCs w:val="24"/>
          <w:highlight w:val="none"/>
        </w:rPr>
        <w:t>（4）评标人员不得私自泄露评标内容；</w:t>
      </w:r>
    </w:p>
    <w:p w14:paraId="37B9D8CB">
      <w:pPr>
        <w:spacing w:line="360" w:lineRule="auto"/>
        <w:ind w:firstLine="480" w:firstLineChars="200"/>
        <w:jc w:val="left"/>
        <w:textAlignment w:val="baseline"/>
        <w:rPr>
          <w:rStyle w:val="75"/>
          <w:rFonts w:hint="eastAsia" w:ascii="宋体" w:hAnsi="宋体" w:cs="宋体"/>
          <w:color w:val="auto"/>
          <w:sz w:val="24"/>
          <w:szCs w:val="24"/>
          <w:highlight w:val="none"/>
        </w:rPr>
      </w:pPr>
      <w:r>
        <w:rPr>
          <w:rStyle w:val="75"/>
          <w:rFonts w:hint="eastAsia" w:ascii="宋体" w:hAnsi="宋体" w:cs="宋体"/>
          <w:color w:val="auto"/>
          <w:sz w:val="24"/>
          <w:szCs w:val="24"/>
          <w:highlight w:val="none"/>
        </w:rPr>
        <w:t>（5）评标采取质量、性能、价格、服务综合比，少数服从多数；</w:t>
      </w:r>
    </w:p>
    <w:p w14:paraId="309B7B5B">
      <w:pPr>
        <w:spacing w:line="360" w:lineRule="auto"/>
        <w:ind w:firstLine="482" w:firstLineChars="200"/>
        <w:jc w:val="left"/>
        <w:textAlignment w:val="baseline"/>
        <w:rPr>
          <w:rStyle w:val="75"/>
          <w:rFonts w:hint="eastAsia" w:ascii="宋体" w:hAnsi="宋体" w:cs="宋体"/>
          <w:b/>
          <w:bCs/>
          <w:color w:val="auto"/>
          <w:sz w:val="24"/>
          <w:szCs w:val="24"/>
          <w:highlight w:val="none"/>
        </w:rPr>
      </w:pPr>
      <w:r>
        <w:rPr>
          <w:rStyle w:val="75"/>
          <w:rFonts w:hint="eastAsia" w:ascii="宋体" w:hAnsi="宋体" w:cs="宋体"/>
          <w:b/>
          <w:bCs/>
          <w:color w:val="auto"/>
          <w:sz w:val="24"/>
          <w:szCs w:val="24"/>
          <w:highlight w:val="none"/>
          <w:lang w:val="en-US"/>
        </w:rPr>
        <w:t>4</w:t>
      </w:r>
      <w:r>
        <w:rPr>
          <w:rStyle w:val="75"/>
          <w:rFonts w:hint="eastAsia" w:ascii="宋体" w:hAnsi="宋体" w:cs="宋体"/>
          <w:b/>
          <w:bCs/>
          <w:color w:val="auto"/>
          <w:sz w:val="24"/>
          <w:szCs w:val="24"/>
          <w:highlight w:val="none"/>
        </w:rPr>
        <w:t>.</w:t>
      </w:r>
      <w:r>
        <w:rPr>
          <w:rFonts w:hint="eastAsia" w:ascii="宋体" w:hAnsi="宋体" w:cs="宋体"/>
          <w:b/>
          <w:color w:val="auto"/>
          <w:sz w:val="24"/>
          <w:szCs w:val="24"/>
          <w:highlight w:val="none"/>
          <w:lang w:val="zh-CN"/>
        </w:rPr>
        <w:t>推荐原则</w:t>
      </w:r>
      <w:r>
        <w:rPr>
          <w:rFonts w:hint="eastAsia" w:ascii="宋体" w:hAnsi="宋体" w:cs="宋体"/>
          <w:b/>
          <w:color w:val="auto"/>
          <w:sz w:val="24"/>
          <w:szCs w:val="24"/>
          <w:highlight w:val="none"/>
        </w:rPr>
        <w:t>及定标原则</w:t>
      </w:r>
      <w:r>
        <w:rPr>
          <w:rStyle w:val="75"/>
          <w:rFonts w:hint="eastAsia" w:ascii="宋体" w:hAnsi="宋体" w:cs="宋体"/>
          <w:b/>
          <w:bCs/>
          <w:color w:val="auto"/>
          <w:sz w:val="24"/>
          <w:szCs w:val="24"/>
          <w:highlight w:val="none"/>
        </w:rPr>
        <w:t>：</w:t>
      </w:r>
    </w:p>
    <w:p w14:paraId="225305E8">
      <w:pPr>
        <w:spacing w:line="360" w:lineRule="auto"/>
        <w:ind w:firstLine="480" w:firstLineChars="200"/>
        <w:jc w:val="left"/>
        <w:textAlignment w:val="baseline"/>
        <w:rPr>
          <w:rStyle w:val="75"/>
          <w:rFonts w:hint="eastAsia" w:ascii="宋体" w:hAnsi="宋体" w:cs="宋体"/>
          <w:color w:val="auto"/>
          <w:sz w:val="24"/>
          <w:szCs w:val="24"/>
          <w:highlight w:val="none"/>
        </w:rPr>
      </w:pPr>
      <w:r>
        <w:rPr>
          <w:rStyle w:val="75"/>
          <w:rFonts w:hint="eastAsia" w:ascii="宋体" w:hAnsi="宋体" w:cs="宋体"/>
          <w:color w:val="auto"/>
          <w:sz w:val="24"/>
          <w:szCs w:val="24"/>
          <w:highlight w:val="none"/>
        </w:rPr>
        <w:t>（1）</w:t>
      </w:r>
      <w:r>
        <w:rPr>
          <w:rFonts w:hint="eastAsia" w:ascii="宋体" w:hAnsi="宋体" w:cs="宋体"/>
          <w:b/>
          <w:color w:val="auto"/>
          <w:sz w:val="24"/>
          <w:szCs w:val="24"/>
          <w:highlight w:val="none"/>
          <w:lang w:val="zh-CN"/>
        </w:rPr>
        <w:t>推荐原则：</w:t>
      </w:r>
      <w:r>
        <w:rPr>
          <w:rFonts w:hint="eastAsia" w:ascii="宋体" w:hAnsi="宋体" w:cs="宋体"/>
          <w:color w:val="auto"/>
          <w:sz w:val="24"/>
          <w:szCs w:val="24"/>
          <w:highlight w:val="none"/>
          <w:lang w:val="zh-CN"/>
        </w:rPr>
        <w:t>经磋商评标委员会综合评分</w:t>
      </w:r>
      <w:r>
        <w:rPr>
          <w:rFonts w:hint="eastAsia" w:ascii="宋体" w:hAnsi="宋体" w:cs="宋体"/>
          <w:color w:val="auto"/>
          <w:sz w:val="24"/>
          <w:szCs w:val="24"/>
          <w:highlight w:val="none"/>
        </w:rPr>
        <w:t>由高到低的顺序进行排序，综合得分最高为第一成交候选人，以此类推。</w:t>
      </w:r>
    </w:p>
    <w:p w14:paraId="5A52D323">
      <w:pPr>
        <w:spacing w:line="360" w:lineRule="auto"/>
        <w:ind w:firstLine="480" w:firstLineChars="200"/>
        <w:jc w:val="left"/>
        <w:textAlignment w:val="baseline"/>
        <w:rPr>
          <w:rFonts w:hint="eastAsia" w:ascii="宋体" w:hAnsi="宋体" w:cs="宋体"/>
          <w:color w:val="auto"/>
          <w:sz w:val="24"/>
          <w:szCs w:val="24"/>
          <w:highlight w:val="none"/>
          <w:lang w:val="zh-CN"/>
        </w:rPr>
      </w:pPr>
      <w:r>
        <w:rPr>
          <w:rStyle w:val="75"/>
          <w:rFonts w:hint="eastAsia" w:ascii="宋体" w:hAnsi="宋体" w:cs="宋体"/>
          <w:color w:val="auto"/>
          <w:sz w:val="24"/>
          <w:szCs w:val="24"/>
          <w:highlight w:val="none"/>
        </w:rPr>
        <w:t>（2）</w:t>
      </w:r>
      <w:r>
        <w:rPr>
          <w:rFonts w:hint="eastAsia" w:ascii="宋体" w:hAnsi="宋体" w:cs="宋体"/>
          <w:b/>
          <w:color w:val="auto"/>
          <w:sz w:val="24"/>
          <w:szCs w:val="24"/>
          <w:highlight w:val="none"/>
        </w:rPr>
        <w:t>定标原则：</w:t>
      </w:r>
      <w:r>
        <w:rPr>
          <w:rFonts w:hint="eastAsia" w:ascii="宋体" w:hAnsi="宋体" w:cs="宋体"/>
          <w:color w:val="auto"/>
          <w:sz w:val="24"/>
          <w:szCs w:val="24"/>
          <w:highlight w:val="none"/>
          <w:lang w:val="zh-CN"/>
        </w:rPr>
        <w:t>磋商小组根据综合评分由高到低的原则，以评审报告的形式将排序前三名的供应商推荐给采购人，由</w:t>
      </w:r>
      <w:r>
        <w:rPr>
          <w:rFonts w:hint="eastAsia" w:ascii="宋体" w:hAnsi="宋体" w:cs="宋体"/>
          <w:color w:val="auto"/>
          <w:sz w:val="24"/>
          <w:szCs w:val="24"/>
          <w:highlight w:val="none"/>
        </w:rPr>
        <w:t>得分最高为第一成交候选人</w:t>
      </w:r>
      <w:r>
        <w:rPr>
          <w:rFonts w:hint="eastAsia" w:ascii="宋体" w:hAnsi="宋体" w:cs="宋体"/>
          <w:color w:val="auto"/>
          <w:sz w:val="24"/>
          <w:szCs w:val="24"/>
          <w:highlight w:val="none"/>
          <w:lang w:val="zh-CN"/>
        </w:rPr>
        <w:t>。</w:t>
      </w:r>
    </w:p>
    <w:p w14:paraId="5FA2C25F">
      <w:pP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br w:type="page"/>
      </w:r>
    </w:p>
    <w:p w14:paraId="47F17D84">
      <w:pPr>
        <w:pStyle w:val="78"/>
        <w:ind w:firstLine="560"/>
        <w:rPr>
          <w:rStyle w:val="75"/>
          <w:rFonts w:hint="eastAsia" w:ascii="宋体" w:hAnsi="宋体" w:cs="宋体"/>
          <w:color w:val="auto"/>
          <w:sz w:val="28"/>
          <w:szCs w:val="28"/>
          <w:highlight w:val="none"/>
        </w:rPr>
      </w:pPr>
    </w:p>
    <w:p w14:paraId="74662656">
      <w:pPr>
        <w:pStyle w:val="78"/>
        <w:ind w:firstLine="560"/>
        <w:rPr>
          <w:rStyle w:val="75"/>
          <w:rFonts w:hint="eastAsia" w:ascii="宋体" w:hAnsi="宋体" w:cs="宋体"/>
          <w:color w:val="auto"/>
          <w:sz w:val="28"/>
          <w:szCs w:val="28"/>
          <w:highlight w:val="none"/>
        </w:rPr>
      </w:pPr>
    </w:p>
    <w:p w14:paraId="7B59D18A">
      <w:pPr>
        <w:pStyle w:val="78"/>
        <w:ind w:firstLine="560"/>
        <w:rPr>
          <w:rStyle w:val="75"/>
          <w:rFonts w:hint="eastAsia" w:ascii="宋体" w:hAnsi="宋体" w:cs="宋体"/>
          <w:color w:val="auto"/>
          <w:sz w:val="28"/>
          <w:szCs w:val="28"/>
          <w:highlight w:val="none"/>
        </w:rPr>
      </w:pPr>
    </w:p>
    <w:p w14:paraId="45D9D961">
      <w:pPr>
        <w:pStyle w:val="78"/>
        <w:ind w:firstLine="560"/>
        <w:rPr>
          <w:rStyle w:val="75"/>
          <w:rFonts w:hint="eastAsia" w:ascii="宋体" w:hAnsi="宋体" w:cs="宋体"/>
          <w:color w:val="auto"/>
          <w:sz w:val="28"/>
          <w:szCs w:val="28"/>
          <w:highlight w:val="none"/>
        </w:rPr>
      </w:pPr>
    </w:p>
    <w:p w14:paraId="25347D62">
      <w:pPr>
        <w:pStyle w:val="78"/>
        <w:ind w:firstLine="560"/>
        <w:rPr>
          <w:rStyle w:val="75"/>
          <w:rFonts w:hint="eastAsia" w:ascii="宋体" w:hAnsi="宋体" w:cs="宋体"/>
          <w:color w:val="auto"/>
          <w:sz w:val="28"/>
          <w:szCs w:val="28"/>
          <w:highlight w:val="none"/>
        </w:rPr>
      </w:pPr>
    </w:p>
    <w:p w14:paraId="6A3ABA72">
      <w:pPr>
        <w:pStyle w:val="78"/>
        <w:ind w:firstLine="560"/>
        <w:rPr>
          <w:rStyle w:val="75"/>
          <w:rFonts w:hint="eastAsia" w:ascii="宋体" w:hAnsi="宋体" w:cs="宋体"/>
          <w:color w:val="auto"/>
          <w:sz w:val="28"/>
          <w:szCs w:val="28"/>
          <w:highlight w:val="none"/>
        </w:rPr>
      </w:pPr>
    </w:p>
    <w:p w14:paraId="65F0B92A">
      <w:pPr>
        <w:pStyle w:val="78"/>
        <w:ind w:firstLine="560"/>
        <w:rPr>
          <w:rStyle w:val="75"/>
          <w:rFonts w:hint="eastAsia" w:ascii="宋体" w:hAnsi="宋体" w:cs="宋体"/>
          <w:color w:val="auto"/>
          <w:sz w:val="28"/>
          <w:szCs w:val="28"/>
          <w:highlight w:val="none"/>
        </w:rPr>
      </w:pPr>
    </w:p>
    <w:p w14:paraId="23B6314D">
      <w:pPr>
        <w:pStyle w:val="78"/>
        <w:ind w:firstLine="560"/>
        <w:rPr>
          <w:rStyle w:val="75"/>
          <w:rFonts w:hint="eastAsia" w:ascii="宋体" w:hAnsi="宋体" w:cs="宋体"/>
          <w:color w:val="auto"/>
          <w:sz w:val="28"/>
          <w:szCs w:val="28"/>
          <w:highlight w:val="none"/>
        </w:rPr>
      </w:pPr>
    </w:p>
    <w:p w14:paraId="50A803F3">
      <w:pPr>
        <w:pStyle w:val="78"/>
        <w:ind w:firstLine="560"/>
        <w:rPr>
          <w:rStyle w:val="75"/>
          <w:rFonts w:hint="eastAsia" w:ascii="宋体" w:hAnsi="宋体" w:cs="宋体"/>
          <w:color w:val="auto"/>
          <w:sz w:val="28"/>
          <w:szCs w:val="28"/>
          <w:highlight w:val="none"/>
        </w:rPr>
      </w:pPr>
    </w:p>
    <w:p w14:paraId="0D15A377">
      <w:pPr>
        <w:tabs>
          <w:tab w:val="left" w:pos="900"/>
        </w:tabs>
        <w:jc w:val="both"/>
        <w:rPr>
          <w:rFonts w:hint="eastAsia" w:ascii="宋体" w:hAnsi="宋体" w:eastAsia="宋体" w:cs="宋体"/>
          <w:b/>
          <w:bCs/>
          <w:color w:val="auto"/>
          <w:kern w:val="0"/>
          <w:sz w:val="30"/>
          <w:szCs w:val="30"/>
          <w:highlight w:val="none"/>
          <w:lang w:val="en-US" w:eastAsia="zh-CN" w:bidi="ar-SA"/>
        </w:rPr>
      </w:pPr>
      <w:bookmarkStart w:id="137" w:name="_Toc293736024"/>
      <w:bookmarkStart w:id="138" w:name="_Toc446599330"/>
      <w:bookmarkStart w:id="139" w:name="_Toc293739005"/>
      <w:bookmarkStart w:id="140" w:name="_Toc17352"/>
      <w:bookmarkStart w:id="141" w:name="_Toc293736067"/>
    </w:p>
    <w:p w14:paraId="3BF77304">
      <w:pPr>
        <w:pStyle w:val="77"/>
        <w:spacing w:line="360" w:lineRule="auto"/>
        <w:ind w:firstLine="2570" w:firstLineChars="800"/>
        <w:outlineLvl w:val="0"/>
        <w:rPr>
          <w:rFonts w:hint="default" w:hAnsi="宋体" w:eastAsia="宋体" w:cs="宋体"/>
          <w:b/>
          <w:color w:val="auto"/>
          <w:sz w:val="32"/>
          <w:szCs w:val="32"/>
          <w:highlight w:val="none"/>
          <w:lang w:val="en-US" w:eastAsia="zh-CN"/>
        </w:rPr>
      </w:pPr>
      <w:r>
        <w:rPr>
          <w:rFonts w:hint="eastAsia" w:hAnsi="宋体" w:cs="宋体"/>
          <w:b/>
          <w:color w:val="auto"/>
          <w:sz w:val="32"/>
          <w:szCs w:val="32"/>
          <w:highlight w:val="none"/>
        </w:rPr>
        <w:t>第</w:t>
      </w:r>
      <w:r>
        <w:rPr>
          <w:rFonts w:hint="eastAsia" w:hAnsi="宋体" w:cs="宋体"/>
          <w:b/>
          <w:color w:val="auto"/>
          <w:sz w:val="32"/>
          <w:szCs w:val="32"/>
          <w:highlight w:val="none"/>
          <w:lang w:val="en-US" w:eastAsia="zh-CN"/>
        </w:rPr>
        <w:t>六</w:t>
      </w:r>
      <w:r>
        <w:rPr>
          <w:rFonts w:hint="eastAsia" w:hAnsi="宋体" w:cs="宋体"/>
          <w:b/>
          <w:color w:val="auto"/>
          <w:sz w:val="32"/>
          <w:szCs w:val="32"/>
          <w:highlight w:val="none"/>
        </w:rPr>
        <w:t>章</w:t>
      </w:r>
      <w:r>
        <w:rPr>
          <w:rFonts w:hint="eastAsia" w:hAnsi="宋体" w:cs="宋体"/>
          <w:b/>
          <w:color w:val="auto"/>
          <w:sz w:val="32"/>
          <w:szCs w:val="32"/>
          <w:highlight w:val="none"/>
          <w:lang w:val="en-US" w:eastAsia="zh-CN"/>
        </w:rPr>
        <w:t>工程量清单（另附）</w:t>
      </w:r>
    </w:p>
    <w:p w14:paraId="76773B7A">
      <w:pPr>
        <w:tabs>
          <w:tab w:val="left" w:pos="900"/>
        </w:tabs>
        <w:jc w:val="center"/>
        <w:rPr>
          <w:rFonts w:hint="eastAsia" w:ascii="宋体" w:hAnsi="宋体" w:eastAsia="宋体" w:cs="宋体"/>
          <w:b/>
          <w:bCs/>
          <w:color w:val="auto"/>
          <w:kern w:val="0"/>
          <w:sz w:val="30"/>
          <w:szCs w:val="30"/>
          <w:highlight w:val="none"/>
          <w:lang w:val="en-US" w:eastAsia="zh-CN" w:bidi="ar-SA"/>
        </w:rPr>
      </w:pPr>
    </w:p>
    <w:p w14:paraId="0102F216">
      <w:pPr>
        <w:tabs>
          <w:tab w:val="left" w:pos="900"/>
        </w:tabs>
        <w:jc w:val="center"/>
        <w:rPr>
          <w:rFonts w:hint="eastAsia" w:ascii="宋体" w:hAnsi="宋体" w:eastAsia="宋体" w:cs="宋体"/>
          <w:b/>
          <w:bCs/>
          <w:color w:val="auto"/>
          <w:kern w:val="0"/>
          <w:sz w:val="30"/>
          <w:szCs w:val="30"/>
          <w:highlight w:val="none"/>
          <w:lang w:val="en-US" w:eastAsia="zh-CN" w:bidi="ar-SA"/>
        </w:rPr>
      </w:pPr>
    </w:p>
    <w:p w14:paraId="0D25BC6C">
      <w:pPr>
        <w:tabs>
          <w:tab w:val="left" w:pos="900"/>
        </w:tabs>
        <w:jc w:val="center"/>
        <w:rPr>
          <w:rFonts w:hint="eastAsia" w:ascii="宋体" w:hAnsi="宋体" w:eastAsia="宋体" w:cs="宋体"/>
          <w:b/>
          <w:bCs/>
          <w:color w:val="auto"/>
          <w:kern w:val="0"/>
          <w:sz w:val="30"/>
          <w:szCs w:val="30"/>
          <w:highlight w:val="none"/>
          <w:lang w:val="en-US" w:eastAsia="zh-CN" w:bidi="ar-SA"/>
        </w:rPr>
      </w:pPr>
    </w:p>
    <w:p w14:paraId="4B60DFBB">
      <w:pPr>
        <w:tabs>
          <w:tab w:val="left" w:pos="900"/>
        </w:tabs>
        <w:jc w:val="center"/>
        <w:rPr>
          <w:rFonts w:hint="eastAsia" w:ascii="宋体" w:hAnsi="宋体" w:eastAsia="宋体" w:cs="宋体"/>
          <w:b/>
          <w:bCs/>
          <w:color w:val="auto"/>
          <w:kern w:val="0"/>
          <w:sz w:val="30"/>
          <w:szCs w:val="30"/>
          <w:highlight w:val="none"/>
          <w:lang w:val="en-US" w:eastAsia="zh-CN" w:bidi="ar-SA"/>
        </w:rPr>
      </w:pPr>
    </w:p>
    <w:p w14:paraId="4BFE7708">
      <w:pPr>
        <w:jc w:val="center"/>
        <w:rPr>
          <w:rFonts w:hint="eastAsia"/>
          <w:b/>
          <w:bCs/>
          <w:color w:val="auto"/>
          <w:sz w:val="32"/>
          <w:highlight w:val="none"/>
        </w:rPr>
      </w:pPr>
    </w:p>
    <w:p w14:paraId="2B6B038F">
      <w:pPr>
        <w:pStyle w:val="8"/>
        <w:ind w:left="0" w:leftChars="0" w:firstLine="0" w:firstLineChars="0"/>
        <w:rPr>
          <w:rFonts w:hint="eastAsia"/>
          <w:b/>
          <w:bCs/>
          <w:color w:val="auto"/>
          <w:sz w:val="32"/>
          <w:highlight w:val="none"/>
        </w:rPr>
      </w:pPr>
    </w:p>
    <w:p w14:paraId="23DD20A9">
      <w:pPr>
        <w:rPr>
          <w:rFonts w:hint="eastAsia"/>
          <w:b/>
          <w:bCs/>
          <w:color w:val="auto"/>
          <w:sz w:val="32"/>
          <w:highlight w:val="none"/>
        </w:rPr>
      </w:pPr>
    </w:p>
    <w:p w14:paraId="1565E661">
      <w:pPr>
        <w:rPr>
          <w:rFonts w:hint="eastAsia"/>
          <w:b/>
          <w:bCs/>
          <w:color w:val="auto"/>
          <w:sz w:val="32"/>
          <w:highlight w:val="none"/>
        </w:rPr>
      </w:pPr>
    </w:p>
    <w:p w14:paraId="4F4F5B1D">
      <w:pPr>
        <w:rPr>
          <w:rFonts w:hint="eastAsia"/>
          <w:b/>
          <w:bCs/>
          <w:color w:val="auto"/>
          <w:sz w:val="32"/>
          <w:highlight w:val="none"/>
        </w:rPr>
      </w:pPr>
      <w:r>
        <w:rPr>
          <w:rFonts w:hint="eastAsia"/>
          <w:b/>
          <w:bCs/>
          <w:color w:val="auto"/>
          <w:sz w:val="32"/>
          <w:highlight w:val="none"/>
        </w:rPr>
        <w:br w:type="page"/>
      </w:r>
    </w:p>
    <w:p w14:paraId="2D0E4176">
      <w:pPr>
        <w:pStyle w:val="77"/>
        <w:spacing w:line="360" w:lineRule="auto"/>
        <w:ind w:left="0" w:leftChars="0" w:firstLine="2891" w:firstLineChars="900"/>
        <w:outlineLvl w:val="0"/>
        <w:rPr>
          <w:rFonts w:hint="eastAsia"/>
          <w:color w:val="auto"/>
          <w:highlight w:val="none"/>
        </w:rPr>
      </w:pPr>
      <w:bookmarkStart w:id="142" w:name="_Toc4674"/>
      <w:r>
        <w:rPr>
          <w:rFonts w:hint="eastAsia" w:hAnsi="宋体" w:cs="宋体"/>
          <w:b/>
          <w:color w:val="auto"/>
          <w:sz w:val="32"/>
          <w:szCs w:val="32"/>
          <w:highlight w:val="none"/>
        </w:rPr>
        <w:t>第七章合同格式及合同条款</w:t>
      </w:r>
      <w:bookmarkEnd w:id="142"/>
    </w:p>
    <w:bookmarkEnd w:id="137"/>
    <w:bookmarkEnd w:id="138"/>
    <w:bookmarkEnd w:id="139"/>
    <w:bookmarkEnd w:id="140"/>
    <w:bookmarkEnd w:id="141"/>
    <w:p w14:paraId="1E2A026E">
      <w:pPr>
        <w:widowControl/>
        <w:spacing w:line="360" w:lineRule="auto"/>
        <w:ind w:firstLine="562" w:firstLineChars="200"/>
        <w:jc w:val="center"/>
        <w:rPr>
          <w:rFonts w:hint="eastAsia" w:ascii="Courier New" w:hAnsi="Courier New" w:eastAsia="宋体" w:cs="Times New Roman"/>
          <w:b/>
          <w:bCs/>
          <w:color w:val="auto"/>
          <w:kern w:val="2"/>
          <w:sz w:val="28"/>
          <w:szCs w:val="28"/>
          <w:highlight w:val="none"/>
          <w:lang w:val="zh-CN" w:eastAsia="zh-CN" w:bidi="ar-SA"/>
        </w:rPr>
      </w:pPr>
      <w:bookmarkStart w:id="143" w:name="_Toc27742"/>
      <w:bookmarkStart w:id="144" w:name="_Toc387415849"/>
      <w:bookmarkStart w:id="145" w:name="_Toc53675245"/>
      <w:bookmarkStart w:id="146" w:name="_Toc54111878"/>
      <w:r>
        <w:rPr>
          <w:rFonts w:hint="eastAsia" w:ascii="Courier New" w:hAnsi="Courier New" w:eastAsia="宋体" w:cs="Times New Roman"/>
          <w:b/>
          <w:bCs/>
          <w:color w:val="auto"/>
          <w:kern w:val="2"/>
          <w:sz w:val="28"/>
          <w:szCs w:val="28"/>
          <w:highlight w:val="none"/>
          <w:lang w:val="en-US" w:eastAsia="zh-CN" w:bidi="ar-SA"/>
        </w:rPr>
        <w:t>合同</w:t>
      </w:r>
      <w:r>
        <w:rPr>
          <w:rFonts w:hint="eastAsia" w:ascii="Courier New" w:hAnsi="Courier New" w:eastAsia="宋体" w:cs="Times New Roman"/>
          <w:b/>
          <w:bCs/>
          <w:color w:val="auto"/>
          <w:kern w:val="2"/>
          <w:sz w:val="28"/>
          <w:szCs w:val="28"/>
          <w:highlight w:val="none"/>
          <w:lang w:val="zh-CN" w:eastAsia="zh-CN" w:bidi="ar-SA"/>
        </w:rPr>
        <w:t>协议书</w:t>
      </w:r>
      <w:bookmarkEnd w:id="143"/>
      <w:bookmarkEnd w:id="144"/>
    </w:p>
    <w:p w14:paraId="75CE2DDD">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发包人：</w:t>
      </w:r>
      <w:r>
        <w:rPr>
          <w:rFonts w:hint="eastAsia" w:ascii="Courier New" w:hAnsi="Courier New" w:eastAsia="宋体" w:cs="Times New Roman"/>
          <w:b w:val="0"/>
          <w:bCs w:val="0"/>
          <w:color w:val="auto"/>
          <w:kern w:val="2"/>
          <w:sz w:val="24"/>
          <w:szCs w:val="24"/>
          <w:highlight w:val="none"/>
          <w:u w:val="single"/>
          <w:lang w:val="zh-CN" w:eastAsia="zh-CN" w:bidi="ar-SA"/>
        </w:rPr>
        <w:t xml:space="preserve">                               </w:t>
      </w:r>
      <w:r>
        <w:rPr>
          <w:rFonts w:hint="eastAsia" w:ascii="Courier New" w:hAnsi="Courier New" w:eastAsia="宋体" w:cs="Times New Roman"/>
          <w:b w:val="0"/>
          <w:bCs w:val="0"/>
          <w:color w:val="auto"/>
          <w:kern w:val="2"/>
          <w:sz w:val="24"/>
          <w:szCs w:val="24"/>
          <w:highlight w:val="none"/>
          <w:lang w:val="zh-CN" w:eastAsia="zh-CN" w:bidi="ar-SA"/>
        </w:rPr>
        <w:t>（以下简称甲方）</w:t>
      </w:r>
    </w:p>
    <w:p w14:paraId="063E70E4">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承包人：</w:t>
      </w:r>
      <w:r>
        <w:rPr>
          <w:rFonts w:hint="eastAsia" w:ascii="Courier New" w:hAnsi="Courier New" w:eastAsia="宋体" w:cs="Times New Roman"/>
          <w:b w:val="0"/>
          <w:bCs w:val="0"/>
          <w:color w:val="auto"/>
          <w:kern w:val="2"/>
          <w:sz w:val="24"/>
          <w:szCs w:val="24"/>
          <w:highlight w:val="none"/>
          <w:u w:val="single"/>
          <w:lang w:val="zh-CN" w:eastAsia="zh-CN" w:bidi="ar-SA"/>
        </w:rPr>
        <w:t xml:space="preserve">                               </w:t>
      </w:r>
      <w:r>
        <w:rPr>
          <w:rFonts w:hint="eastAsia" w:ascii="Courier New" w:hAnsi="Courier New" w:eastAsia="宋体" w:cs="Times New Roman"/>
          <w:b w:val="0"/>
          <w:bCs w:val="0"/>
          <w:color w:val="auto"/>
          <w:kern w:val="2"/>
          <w:sz w:val="24"/>
          <w:szCs w:val="24"/>
          <w:highlight w:val="none"/>
          <w:lang w:val="zh-CN" w:eastAsia="zh-CN" w:bidi="ar-SA"/>
        </w:rPr>
        <w:t>（以下简称乙方）</w:t>
      </w:r>
    </w:p>
    <w:p w14:paraId="06AB30A7">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本合同根据水利部和国家工商行政管理局颁布的《水利水电土建工程施工合同示范文本》（GF-2000-0208），并结合我局工程实际情况编制，经甲乙双方协商，为明确双方的权利和义务关系特签订本合同，以便双方共同遵守。</w:t>
      </w:r>
    </w:p>
    <w:p w14:paraId="20AA63F9">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1、工程概况</w:t>
      </w:r>
    </w:p>
    <w:p w14:paraId="019CC1DA">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1.1、工程名称：</w:t>
      </w:r>
      <w:r>
        <w:rPr>
          <w:rFonts w:hint="eastAsia" w:ascii="Courier New" w:hAnsi="Courier New" w:eastAsia="宋体" w:cs="Times New Roman"/>
          <w:b w:val="0"/>
          <w:bCs w:val="0"/>
          <w:color w:val="auto"/>
          <w:kern w:val="2"/>
          <w:sz w:val="24"/>
          <w:szCs w:val="24"/>
          <w:highlight w:val="none"/>
          <w:u w:val="single"/>
          <w:lang w:val="zh-CN" w:eastAsia="zh-CN" w:bidi="ar-SA"/>
        </w:rPr>
        <w:t xml:space="preserve">                                        </w:t>
      </w:r>
    </w:p>
    <w:p w14:paraId="0C093D26">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1.2、工程地点：</w:t>
      </w:r>
      <w:r>
        <w:rPr>
          <w:rFonts w:hint="eastAsia" w:ascii="Courier New" w:hAnsi="Courier New" w:eastAsia="宋体" w:cs="Times New Roman"/>
          <w:b w:val="0"/>
          <w:bCs w:val="0"/>
          <w:color w:val="auto"/>
          <w:kern w:val="2"/>
          <w:sz w:val="24"/>
          <w:szCs w:val="24"/>
          <w:highlight w:val="none"/>
          <w:u w:val="single"/>
          <w:lang w:val="zh-CN" w:eastAsia="zh-CN" w:bidi="ar-SA"/>
        </w:rPr>
        <w:t xml:space="preserve">                                        </w:t>
      </w:r>
    </w:p>
    <w:p w14:paraId="243E60FE">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1.3、工程内容：</w:t>
      </w:r>
      <w:r>
        <w:rPr>
          <w:rFonts w:hint="eastAsia" w:ascii="Courier New" w:hAnsi="Courier New" w:eastAsia="宋体" w:cs="Times New Roman"/>
          <w:b w:val="0"/>
          <w:bCs w:val="0"/>
          <w:color w:val="auto"/>
          <w:kern w:val="2"/>
          <w:sz w:val="24"/>
          <w:szCs w:val="24"/>
          <w:highlight w:val="none"/>
          <w:u w:val="single"/>
          <w:lang w:val="zh-CN" w:eastAsia="zh-CN" w:bidi="ar-SA"/>
        </w:rPr>
        <w:t xml:space="preserve">                                        </w:t>
      </w:r>
    </w:p>
    <w:p w14:paraId="78F8C433">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1.4、承包范围：</w:t>
      </w:r>
    </w:p>
    <w:p w14:paraId="4E28B7B2">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1.4.1、</w:t>
      </w:r>
      <w:r>
        <w:rPr>
          <w:rFonts w:hint="eastAsia" w:ascii="Courier New" w:hAnsi="Courier New" w:eastAsia="宋体" w:cs="Times New Roman"/>
          <w:b w:val="0"/>
          <w:bCs w:val="0"/>
          <w:color w:val="auto"/>
          <w:kern w:val="2"/>
          <w:sz w:val="24"/>
          <w:szCs w:val="24"/>
          <w:highlight w:val="none"/>
          <w:u w:val="single"/>
          <w:lang w:val="zh-CN" w:eastAsia="zh-CN" w:bidi="ar-SA"/>
        </w:rPr>
        <w:t xml:space="preserve">                                                </w:t>
      </w:r>
    </w:p>
    <w:p w14:paraId="6C37EF79">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1.4.2、施工单位除完成主体工程内容外，还应完成主体工程附属的垃圾掩埋和场地平整等完工清场工作。</w:t>
      </w:r>
    </w:p>
    <w:p w14:paraId="42223D31">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2、合同文件的优先顺序</w:t>
      </w:r>
    </w:p>
    <w:p w14:paraId="453F9E69">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（1）承包合同（包括补充合同和协议）</w:t>
      </w:r>
    </w:p>
    <w:p w14:paraId="7423C800">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（2）中标通知书</w:t>
      </w:r>
    </w:p>
    <w:p w14:paraId="5C904806">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（3）投标报价书</w:t>
      </w:r>
    </w:p>
    <w:p w14:paraId="58B79B98">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（4）采购文件</w:t>
      </w:r>
    </w:p>
    <w:p w14:paraId="0642117F">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（5）图纸</w:t>
      </w:r>
    </w:p>
    <w:p w14:paraId="39402618">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（6）组成合同的其它文件。上列合同文件为一整体，代替了本合同签订前双方所签订的所有协议、会谈纪要以及相互承诺的一切文件。</w:t>
      </w:r>
    </w:p>
    <w:p w14:paraId="7BECD5F5">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3、合同使用的语言文字和适用法律</w:t>
      </w:r>
    </w:p>
    <w:p w14:paraId="6E650382">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3.1、本合同使用的语言文字为汉语。</w:t>
      </w:r>
    </w:p>
    <w:p w14:paraId="3B6ADA32">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3.2、本合同适用的法律包括国家法律、行政法规和水利部、自治区的规章及工程所在地的地方性法规和规章。</w:t>
      </w:r>
    </w:p>
    <w:p w14:paraId="5907AE54">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4、发包人的义务和责任</w:t>
      </w:r>
    </w:p>
    <w:p w14:paraId="39C2FD95">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4.1、发包人负责在本合同签定前向承包人提供施工图纸或工程设计方案；审查批复承包人的工程施工组织设计。</w:t>
      </w:r>
    </w:p>
    <w:p w14:paraId="7471E4A1">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4.2、发包人应按第14条的规定向承包人按时拨付工程款。</w:t>
      </w:r>
    </w:p>
    <w:p w14:paraId="59D6411A">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4.3、其它义务和责任：</w:t>
      </w:r>
    </w:p>
    <w:p w14:paraId="7922CEA8">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u w:val="single"/>
          <w:lang w:val="zh-CN" w:eastAsia="zh-CN" w:bidi="ar-SA"/>
        </w:rPr>
      </w:pPr>
      <w:r>
        <w:rPr>
          <w:rFonts w:hint="eastAsia" w:ascii="Courier New" w:hAnsi="Courier New" w:eastAsia="宋体" w:cs="Times New Roman"/>
          <w:b w:val="0"/>
          <w:bCs w:val="0"/>
          <w:color w:val="auto"/>
          <w:kern w:val="2"/>
          <w:sz w:val="24"/>
          <w:szCs w:val="24"/>
          <w:highlight w:val="none"/>
          <w:u w:val="single"/>
          <w:lang w:val="zh-CN" w:eastAsia="zh-CN" w:bidi="ar-SA"/>
        </w:rPr>
        <w:t xml:space="preserve">                                                            </w:t>
      </w:r>
    </w:p>
    <w:p w14:paraId="4D559909">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u w:val="single"/>
          <w:lang w:val="zh-CN" w:eastAsia="zh-CN" w:bidi="ar-SA"/>
        </w:rPr>
      </w:pPr>
      <w:r>
        <w:rPr>
          <w:rFonts w:hint="eastAsia" w:ascii="Courier New" w:hAnsi="Courier New" w:eastAsia="宋体" w:cs="Times New Roman"/>
          <w:b w:val="0"/>
          <w:bCs w:val="0"/>
          <w:color w:val="auto"/>
          <w:kern w:val="2"/>
          <w:sz w:val="24"/>
          <w:szCs w:val="24"/>
          <w:highlight w:val="none"/>
          <w:u w:val="single"/>
          <w:lang w:val="zh-CN" w:eastAsia="zh-CN" w:bidi="ar-SA"/>
        </w:rPr>
        <w:t xml:space="preserve">                                                            </w:t>
      </w:r>
    </w:p>
    <w:p w14:paraId="3ECAFF9A">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5、承包人的义务和责任</w:t>
      </w:r>
    </w:p>
    <w:p w14:paraId="5B5DE174">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5.1、乙方应在其负责的各项工作中遵守与本合同有关的法律、法规和规章，并保证甲方免于承担由于乙方违反上述法律、法规和规章的任何责任。</w:t>
      </w:r>
    </w:p>
    <w:p w14:paraId="633B2E92">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5.2、乙方应认真执行合同、发包人发出的与合同有关的任何指示内容（包括设计变更），严格按照合同中规定的内容和时间完成全部承包工作。除合同另有规定外，乙方应提供为完成本合同工作所需的劳务、材料、施工设备、工程设备和其它物品。</w:t>
      </w:r>
    </w:p>
    <w:p w14:paraId="00134F54">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5.3、乙方按工程设计或发包人要求编制施工方案和实施计划，并提交发包人审批。实施方案中应包含文明施工和科学管理措施，保证按国家有关规定文明施工。</w:t>
      </w:r>
    </w:p>
    <w:p w14:paraId="593DBF01">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5.4、乙方负责承包范围内所有工程及设施的保护工作。工程施工时做好工作现场地下管线和邻近建筑物或构筑物的保护，造成损坏承担一切费用。</w:t>
      </w:r>
    </w:p>
    <w:p w14:paraId="0FC35239">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u w:val="singl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5.5、其它：</w:t>
      </w:r>
      <w:r>
        <w:rPr>
          <w:rFonts w:hint="eastAsia" w:ascii="Courier New" w:hAnsi="Courier New" w:eastAsia="宋体" w:cs="Times New Roman"/>
          <w:b w:val="0"/>
          <w:bCs w:val="0"/>
          <w:color w:val="auto"/>
          <w:kern w:val="2"/>
          <w:sz w:val="24"/>
          <w:szCs w:val="24"/>
          <w:highlight w:val="none"/>
          <w:u w:val="single"/>
          <w:lang w:val="zh-CN" w:eastAsia="zh-CN" w:bidi="ar-SA"/>
        </w:rPr>
        <w:t xml:space="preserve">                                             </w:t>
      </w:r>
    </w:p>
    <w:p w14:paraId="5226BF8D">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6、联络</w:t>
      </w:r>
    </w:p>
    <w:p w14:paraId="11E0A9D3">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双方与合同有关的联络必须送达以下确定的甲乙双方工地负责人。</w:t>
      </w:r>
    </w:p>
    <w:p w14:paraId="36A87049">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甲方工地负责人：</w:t>
      </w:r>
      <w:r>
        <w:rPr>
          <w:rFonts w:hint="eastAsia" w:ascii="Courier New" w:hAnsi="Courier New" w:eastAsia="宋体" w:cs="Times New Roman"/>
          <w:b w:val="0"/>
          <w:bCs w:val="0"/>
          <w:color w:val="auto"/>
          <w:kern w:val="2"/>
          <w:sz w:val="24"/>
          <w:szCs w:val="24"/>
          <w:highlight w:val="none"/>
          <w:u w:val="single"/>
          <w:lang w:val="zh-CN" w:eastAsia="zh-CN" w:bidi="ar-SA"/>
        </w:rPr>
        <w:t xml:space="preserve">                    </w:t>
      </w:r>
      <w:r>
        <w:rPr>
          <w:rFonts w:hint="eastAsia" w:ascii="Courier New" w:hAnsi="Courier New" w:eastAsia="宋体" w:cs="Times New Roman"/>
          <w:b w:val="0"/>
          <w:bCs w:val="0"/>
          <w:color w:val="auto"/>
          <w:kern w:val="2"/>
          <w:sz w:val="24"/>
          <w:szCs w:val="24"/>
          <w:highlight w:val="none"/>
          <w:lang w:val="zh-CN" w:eastAsia="zh-CN" w:bidi="ar-SA"/>
        </w:rPr>
        <w:t>联系方式：</w:t>
      </w:r>
      <w:r>
        <w:rPr>
          <w:rFonts w:hint="eastAsia" w:ascii="Courier New" w:hAnsi="Courier New" w:eastAsia="宋体" w:cs="Times New Roman"/>
          <w:b w:val="0"/>
          <w:bCs w:val="0"/>
          <w:color w:val="auto"/>
          <w:kern w:val="2"/>
          <w:sz w:val="24"/>
          <w:szCs w:val="24"/>
          <w:highlight w:val="none"/>
          <w:u w:val="single"/>
          <w:lang w:val="zh-CN" w:eastAsia="zh-CN" w:bidi="ar-SA"/>
        </w:rPr>
        <w:t xml:space="preserve">          </w:t>
      </w:r>
    </w:p>
    <w:p w14:paraId="4E8DCF61">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乙方工地负责人：</w:t>
      </w:r>
      <w:r>
        <w:rPr>
          <w:rFonts w:hint="eastAsia" w:ascii="Courier New" w:hAnsi="Courier New" w:eastAsia="宋体" w:cs="Times New Roman"/>
          <w:b w:val="0"/>
          <w:bCs w:val="0"/>
          <w:color w:val="auto"/>
          <w:kern w:val="2"/>
          <w:sz w:val="24"/>
          <w:szCs w:val="24"/>
          <w:highlight w:val="none"/>
          <w:u w:val="single"/>
          <w:lang w:val="zh-CN" w:eastAsia="zh-CN" w:bidi="ar-SA"/>
        </w:rPr>
        <w:t xml:space="preserve">                    </w:t>
      </w:r>
      <w:r>
        <w:rPr>
          <w:rFonts w:hint="eastAsia" w:ascii="Courier New" w:hAnsi="Courier New" w:eastAsia="宋体" w:cs="Times New Roman"/>
          <w:b w:val="0"/>
          <w:bCs w:val="0"/>
          <w:color w:val="auto"/>
          <w:kern w:val="2"/>
          <w:sz w:val="24"/>
          <w:szCs w:val="24"/>
          <w:highlight w:val="none"/>
          <w:lang w:val="zh-CN" w:eastAsia="zh-CN" w:bidi="ar-SA"/>
        </w:rPr>
        <w:t>联系方式：</w:t>
      </w:r>
      <w:r>
        <w:rPr>
          <w:rFonts w:hint="eastAsia" w:ascii="Courier New" w:hAnsi="Courier New" w:eastAsia="宋体" w:cs="Times New Roman"/>
          <w:b w:val="0"/>
          <w:bCs w:val="0"/>
          <w:color w:val="auto"/>
          <w:kern w:val="2"/>
          <w:sz w:val="24"/>
          <w:szCs w:val="24"/>
          <w:highlight w:val="none"/>
          <w:u w:val="single"/>
          <w:lang w:val="zh-CN" w:eastAsia="zh-CN" w:bidi="ar-SA"/>
        </w:rPr>
        <w:t xml:space="preserve">          </w:t>
      </w:r>
    </w:p>
    <w:p w14:paraId="18C9111D">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如有工地负责人发生变更必须书面通知对方，变更后的人员应当一同前往对方处办理接洽交接等事宜。</w:t>
      </w:r>
    </w:p>
    <w:p w14:paraId="42393FBB">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6.1、与合同有关的通知、指示、要求、请求、同意、意见、确认、批准、证书、证明、图纸和决定等是双方联络和履行合同的凭证，均应以书面形式为准，并应送达给双方的工地负责人和办理签收手续。</w:t>
      </w:r>
    </w:p>
    <w:p w14:paraId="6C28ACA0">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6.2、上款所述的通知、指示、要求、请求、同意、意见、确认、批准、证书、证明和决定等来往函件均应按函件要求的期限及时发出和答复，不得无故扣压和拖延，亦不得无故拒收，否则由责任方对由此造成的后果负责。</w:t>
      </w:r>
    </w:p>
    <w:p w14:paraId="0234AC29">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6.3、双方也可通过电子邮件或传真的形式向对方送达。</w:t>
      </w:r>
    </w:p>
    <w:p w14:paraId="074880ED">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甲方电子邮件地址：</w:t>
      </w:r>
      <w:r>
        <w:rPr>
          <w:rFonts w:hint="eastAsia" w:ascii="Courier New" w:hAnsi="Courier New" w:eastAsia="宋体" w:cs="Times New Roman"/>
          <w:b w:val="0"/>
          <w:bCs w:val="0"/>
          <w:color w:val="auto"/>
          <w:kern w:val="2"/>
          <w:sz w:val="24"/>
          <w:szCs w:val="24"/>
          <w:highlight w:val="none"/>
          <w:u w:val="single"/>
          <w:lang w:val="zh-CN" w:eastAsia="zh-CN" w:bidi="ar-SA"/>
        </w:rPr>
        <w:t xml:space="preserve">                </w:t>
      </w:r>
      <w:r>
        <w:rPr>
          <w:rFonts w:hint="eastAsia" w:ascii="Courier New" w:hAnsi="Courier New" w:eastAsia="宋体" w:cs="Times New Roman"/>
          <w:b w:val="0"/>
          <w:bCs w:val="0"/>
          <w:color w:val="auto"/>
          <w:kern w:val="2"/>
          <w:sz w:val="24"/>
          <w:szCs w:val="24"/>
          <w:highlight w:val="none"/>
          <w:lang w:val="zh-CN" w:eastAsia="zh-CN" w:bidi="ar-SA"/>
        </w:rPr>
        <w:t>传真号码：</w:t>
      </w:r>
      <w:r>
        <w:rPr>
          <w:rFonts w:hint="eastAsia" w:ascii="Courier New" w:hAnsi="Courier New" w:eastAsia="宋体" w:cs="Times New Roman"/>
          <w:b w:val="0"/>
          <w:bCs w:val="0"/>
          <w:color w:val="auto"/>
          <w:kern w:val="2"/>
          <w:sz w:val="24"/>
          <w:szCs w:val="24"/>
          <w:highlight w:val="none"/>
          <w:u w:val="single"/>
          <w:lang w:val="zh-CN" w:eastAsia="zh-CN" w:bidi="ar-SA"/>
        </w:rPr>
        <w:t xml:space="preserve">           </w:t>
      </w:r>
    </w:p>
    <w:p w14:paraId="7F5D0DE6">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乙方电子邮件地址：</w:t>
      </w:r>
      <w:r>
        <w:rPr>
          <w:rFonts w:hint="eastAsia" w:ascii="Courier New" w:hAnsi="Courier New" w:eastAsia="宋体" w:cs="Times New Roman"/>
          <w:b w:val="0"/>
          <w:bCs w:val="0"/>
          <w:color w:val="auto"/>
          <w:kern w:val="2"/>
          <w:sz w:val="24"/>
          <w:szCs w:val="24"/>
          <w:highlight w:val="none"/>
          <w:u w:val="single"/>
          <w:lang w:val="zh-CN" w:eastAsia="zh-CN" w:bidi="ar-SA"/>
        </w:rPr>
        <w:t xml:space="preserve">                </w:t>
      </w:r>
      <w:r>
        <w:rPr>
          <w:rFonts w:hint="eastAsia" w:ascii="Courier New" w:hAnsi="Courier New" w:eastAsia="宋体" w:cs="Times New Roman"/>
          <w:b w:val="0"/>
          <w:bCs w:val="0"/>
          <w:color w:val="auto"/>
          <w:kern w:val="2"/>
          <w:sz w:val="24"/>
          <w:szCs w:val="24"/>
          <w:highlight w:val="none"/>
          <w:lang w:val="zh-CN" w:eastAsia="zh-CN" w:bidi="ar-SA"/>
        </w:rPr>
        <w:t>传真号码：</w:t>
      </w:r>
      <w:r>
        <w:rPr>
          <w:rFonts w:hint="eastAsia" w:ascii="Courier New" w:hAnsi="Courier New" w:eastAsia="宋体" w:cs="Times New Roman"/>
          <w:b w:val="0"/>
          <w:bCs w:val="0"/>
          <w:color w:val="auto"/>
          <w:kern w:val="2"/>
          <w:sz w:val="24"/>
          <w:szCs w:val="24"/>
          <w:highlight w:val="none"/>
          <w:u w:val="single"/>
          <w:lang w:val="zh-CN" w:eastAsia="zh-CN" w:bidi="ar-SA"/>
        </w:rPr>
        <w:t xml:space="preserve">           </w:t>
      </w:r>
    </w:p>
    <w:p w14:paraId="0AF139A5">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双方均有义务每个工作日查看电子邮箱或传真。</w:t>
      </w:r>
    </w:p>
    <w:p w14:paraId="775A5A7D">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7、转包和分包</w:t>
      </w:r>
    </w:p>
    <w:p w14:paraId="7F461115">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7.1、乙方不得将其承包的全部工程转包给第三人。未经甲方同意，乙方不得转移合同中的全部或部分义务也不得转让合同中的全部或部分权利。本合同乙方形成的债权不得转让。</w:t>
      </w:r>
    </w:p>
    <w:p w14:paraId="11A476A7">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7.2、未经本工程的甲方负责人同意，乙方不得将其承包的工程肢解后分包出去。即使是甲方负责人同意的部分分包工作，乙方应对其分包出去的工程以及分包人的任何工作和行为负全部责任，亦不能免除乙方按合同规定应负的责任。</w:t>
      </w:r>
    </w:p>
    <w:p w14:paraId="7E718C31">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8、材料和设备的提供</w:t>
      </w:r>
    </w:p>
    <w:p w14:paraId="6BF2676C">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8.1、原则上材料和设备由施工单位提供，若根据实际情况需要，工程中存在甲方指定供应来源的材料和设备，乙方应负责上述材料和设备的采购、验收、运输和保管，并承担上述工作所需的全部费用。</w:t>
      </w:r>
    </w:p>
    <w:p w14:paraId="6B574FB5">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本工程（有/无）甲方指定的材料和设备，甲方指定材料和设备是：</w:t>
      </w:r>
    </w:p>
    <w:p w14:paraId="4D4D8B73">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u w:val="single"/>
          <w:lang w:val="zh-CN" w:eastAsia="zh-CN" w:bidi="ar-SA"/>
        </w:rPr>
        <w:t xml:space="preserve">                                                            </w:t>
      </w:r>
    </w:p>
    <w:p w14:paraId="3838E635">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8.2、上述指定的供货厂家不能按供货协议规定的规格、数量、质量或时间要求提供材料和工程设备时，由发包人和承包人共同与供货厂家交涉，若由此导致费用增加和工期延误，应依据其原因由发包人和承包人分担各自的责任。</w:t>
      </w:r>
    </w:p>
    <w:p w14:paraId="7F26C2F4">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9、合同工期和工作进度</w:t>
      </w:r>
    </w:p>
    <w:p w14:paraId="153FBA70">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9.1、开工日期：</w:t>
      </w:r>
      <w:r>
        <w:rPr>
          <w:rFonts w:hint="eastAsia" w:ascii="Courier New" w:hAnsi="Courier New" w:eastAsia="宋体" w:cs="Times New Roman"/>
          <w:b w:val="0"/>
          <w:bCs w:val="0"/>
          <w:color w:val="auto"/>
          <w:kern w:val="2"/>
          <w:sz w:val="24"/>
          <w:szCs w:val="24"/>
          <w:highlight w:val="none"/>
          <w:u w:val="single"/>
          <w:lang w:val="zh-CN" w:eastAsia="zh-CN" w:bidi="ar-SA"/>
        </w:rPr>
        <w:t xml:space="preserve">     </w:t>
      </w:r>
      <w:r>
        <w:rPr>
          <w:rFonts w:hint="eastAsia" w:ascii="Courier New" w:hAnsi="Courier New" w:eastAsia="宋体" w:cs="Times New Roman"/>
          <w:b w:val="0"/>
          <w:bCs w:val="0"/>
          <w:color w:val="auto"/>
          <w:kern w:val="2"/>
          <w:sz w:val="24"/>
          <w:szCs w:val="24"/>
          <w:highlight w:val="none"/>
          <w:lang w:val="zh-CN" w:eastAsia="zh-CN" w:bidi="ar-SA"/>
        </w:rPr>
        <w:t>年</w:t>
      </w:r>
      <w:r>
        <w:rPr>
          <w:rFonts w:hint="eastAsia" w:ascii="Courier New" w:hAnsi="Courier New" w:eastAsia="宋体" w:cs="Times New Roman"/>
          <w:b w:val="0"/>
          <w:bCs w:val="0"/>
          <w:color w:val="auto"/>
          <w:kern w:val="2"/>
          <w:sz w:val="24"/>
          <w:szCs w:val="24"/>
          <w:highlight w:val="none"/>
          <w:u w:val="single"/>
          <w:lang w:val="zh-CN" w:eastAsia="zh-CN" w:bidi="ar-SA"/>
        </w:rPr>
        <w:t xml:space="preserve">   </w:t>
      </w:r>
      <w:r>
        <w:rPr>
          <w:rFonts w:hint="eastAsia" w:ascii="Courier New" w:hAnsi="Courier New" w:eastAsia="宋体" w:cs="Times New Roman"/>
          <w:b w:val="0"/>
          <w:bCs w:val="0"/>
          <w:color w:val="auto"/>
          <w:kern w:val="2"/>
          <w:sz w:val="24"/>
          <w:szCs w:val="24"/>
          <w:highlight w:val="none"/>
          <w:lang w:val="zh-CN" w:eastAsia="zh-CN" w:bidi="ar-SA"/>
        </w:rPr>
        <w:t>月</w:t>
      </w:r>
      <w:r>
        <w:rPr>
          <w:rFonts w:hint="eastAsia" w:ascii="Courier New" w:hAnsi="Courier New" w:eastAsia="宋体" w:cs="Times New Roman"/>
          <w:b w:val="0"/>
          <w:bCs w:val="0"/>
          <w:color w:val="auto"/>
          <w:kern w:val="2"/>
          <w:sz w:val="24"/>
          <w:szCs w:val="24"/>
          <w:highlight w:val="none"/>
          <w:u w:val="single"/>
          <w:lang w:val="zh-CN" w:eastAsia="zh-CN" w:bidi="ar-SA"/>
        </w:rPr>
        <w:t xml:space="preserve">   </w:t>
      </w:r>
      <w:r>
        <w:rPr>
          <w:rFonts w:hint="eastAsia" w:ascii="Courier New" w:hAnsi="Courier New" w:eastAsia="宋体" w:cs="Times New Roman"/>
          <w:b w:val="0"/>
          <w:bCs w:val="0"/>
          <w:color w:val="auto"/>
          <w:kern w:val="2"/>
          <w:sz w:val="24"/>
          <w:szCs w:val="24"/>
          <w:highlight w:val="none"/>
          <w:lang w:val="zh-CN" w:eastAsia="zh-CN" w:bidi="ar-SA"/>
        </w:rPr>
        <w:t>日，竣工日期：</w:t>
      </w:r>
      <w:r>
        <w:rPr>
          <w:rFonts w:hint="eastAsia" w:ascii="Courier New" w:hAnsi="Courier New" w:eastAsia="宋体" w:cs="Times New Roman"/>
          <w:b w:val="0"/>
          <w:bCs w:val="0"/>
          <w:color w:val="auto"/>
          <w:kern w:val="2"/>
          <w:sz w:val="24"/>
          <w:szCs w:val="24"/>
          <w:highlight w:val="none"/>
          <w:u w:val="single"/>
          <w:lang w:val="zh-CN" w:eastAsia="zh-CN" w:bidi="ar-SA"/>
        </w:rPr>
        <w:t xml:space="preserve">     </w:t>
      </w:r>
      <w:r>
        <w:rPr>
          <w:rFonts w:hint="eastAsia" w:ascii="Courier New" w:hAnsi="Courier New" w:eastAsia="宋体" w:cs="Times New Roman"/>
          <w:b w:val="0"/>
          <w:bCs w:val="0"/>
          <w:color w:val="auto"/>
          <w:kern w:val="2"/>
          <w:sz w:val="24"/>
          <w:szCs w:val="24"/>
          <w:highlight w:val="none"/>
          <w:lang w:val="zh-CN" w:eastAsia="zh-CN" w:bidi="ar-SA"/>
        </w:rPr>
        <w:t>年</w:t>
      </w:r>
      <w:r>
        <w:rPr>
          <w:rFonts w:hint="eastAsia" w:ascii="Courier New" w:hAnsi="Courier New" w:eastAsia="宋体" w:cs="Times New Roman"/>
          <w:b w:val="0"/>
          <w:bCs w:val="0"/>
          <w:color w:val="auto"/>
          <w:kern w:val="2"/>
          <w:sz w:val="24"/>
          <w:szCs w:val="24"/>
          <w:highlight w:val="none"/>
          <w:u w:val="single"/>
          <w:lang w:val="zh-CN" w:eastAsia="zh-CN" w:bidi="ar-SA"/>
        </w:rPr>
        <w:t xml:space="preserve">   </w:t>
      </w:r>
      <w:r>
        <w:rPr>
          <w:rFonts w:hint="eastAsia" w:ascii="Courier New" w:hAnsi="Courier New" w:eastAsia="宋体" w:cs="Times New Roman"/>
          <w:b w:val="0"/>
          <w:bCs w:val="0"/>
          <w:color w:val="auto"/>
          <w:kern w:val="2"/>
          <w:sz w:val="24"/>
          <w:szCs w:val="24"/>
          <w:highlight w:val="none"/>
          <w:lang w:val="zh-CN" w:eastAsia="zh-CN" w:bidi="ar-SA"/>
        </w:rPr>
        <w:t>月</w:t>
      </w:r>
      <w:r>
        <w:rPr>
          <w:rFonts w:hint="eastAsia" w:ascii="Courier New" w:hAnsi="Courier New" w:eastAsia="宋体" w:cs="Times New Roman"/>
          <w:b w:val="0"/>
          <w:bCs w:val="0"/>
          <w:color w:val="auto"/>
          <w:kern w:val="2"/>
          <w:sz w:val="24"/>
          <w:szCs w:val="24"/>
          <w:highlight w:val="none"/>
          <w:u w:val="single"/>
          <w:lang w:val="zh-CN" w:eastAsia="zh-CN" w:bidi="ar-SA"/>
        </w:rPr>
        <w:t xml:space="preserve">   </w:t>
      </w:r>
      <w:r>
        <w:rPr>
          <w:rFonts w:hint="eastAsia" w:ascii="Courier New" w:hAnsi="Courier New" w:eastAsia="宋体" w:cs="Times New Roman"/>
          <w:b w:val="0"/>
          <w:bCs w:val="0"/>
          <w:color w:val="auto"/>
          <w:kern w:val="2"/>
          <w:sz w:val="24"/>
          <w:szCs w:val="24"/>
          <w:highlight w:val="none"/>
          <w:lang w:val="zh-CN" w:eastAsia="zh-CN" w:bidi="ar-SA"/>
        </w:rPr>
        <w:t>日。</w:t>
      </w:r>
    </w:p>
    <w:p w14:paraId="5415088B">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9.2、全部工程的中间工程交工期限为：</w:t>
      </w:r>
    </w:p>
    <w:p w14:paraId="690FBDE7">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（1）</w:t>
      </w:r>
      <w:r>
        <w:rPr>
          <w:rFonts w:hint="eastAsia" w:ascii="Courier New" w:hAnsi="Courier New" w:eastAsia="宋体" w:cs="Times New Roman"/>
          <w:b w:val="0"/>
          <w:bCs w:val="0"/>
          <w:color w:val="auto"/>
          <w:kern w:val="2"/>
          <w:sz w:val="24"/>
          <w:szCs w:val="24"/>
          <w:highlight w:val="none"/>
          <w:u w:val="single"/>
          <w:lang w:val="zh-CN" w:eastAsia="zh-CN" w:bidi="ar-SA"/>
        </w:rPr>
        <w:t xml:space="preserve">                                                   </w:t>
      </w:r>
    </w:p>
    <w:p w14:paraId="3F403713">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（2）</w:t>
      </w:r>
      <w:r>
        <w:rPr>
          <w:rFonts w:hint="eastAsia" w:ascii="Courier New" w:hAnsi="Courier New" w:eastAsia="宋体" w:cs="Times New Roman"/>
          <w:b w:val="0"/>
          <w:bCs w:val="0"/>
          <w:color w:val="auto"/>
          <w:kern w:val="2"/>
          <w:sz w:val="24"/>
          <w:szCs w:val="24"/>
          <w:highlight w:val="none"/>
          <w:u w:val="single"/>
          <w:lang w:val="zh-CN" w:eastAsia="zh-CN" w:bidi="ar-SA"/>
        </w:rPr>
        <w:t xml:space="preserve">                                                   </w:t>
      </w:r>
    </w:p>
    <w:p w14:paraId="60C577FF">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（3）</w:t>
      </w:r>
      <w:r>
        <w:rPr>
          <w:rFonts w:hint="eastAsia" w:ascii="Courier New" w:hAnsi="Courier New" w:eastAsia="宋体" w:cs="Times New Roman"/>
          <w:b w:val="0"/>
          <w:bCs w:val="0"/>
          <w:color w:val="auto"/>
          <w:kern w:val="2"/>
          <w:sz w:val="24"/>
          <w:szCs w:val="24"/>
          <w:highlight w:val="none"/>
          <w:u w:val="single"/>
          <w:lang w:val="zh-CN" w:eastAsia="zh-CN" w:bidi="ar-SA"/>
        </w:rPr>
        <w:t xml:space="preserve">                                                   </w:t>
      </w:r>
    </w:p>
    <w:p w14:paraId="745B1A20">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9.3、延误开工。发包人未能按合同规定向承包人提供开工条件，承包人有权提出延长工期的要求，发包人应在收到承包人的要求后立即与承包人共同协商补救办法，由此增加的费用和工期延误由发包人承担。</w:t>
      </w:r>
    </w:p>
    <w:p w14:paraId="14B5E300">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9.4、暂停工作。发包人认为有必要时，可向承包人发出暂停全部或部分工程施工工作的指示，承包人应按发包人指示立即停止工作。不论由于何种原因引起的暂停工作，承包人应在暂停期间负责妥善保护工程和提供安全、质量保障。</w:t>
      </w:r>
    </w:p>
    <w:p w14:paraId="407A3B19">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当工程施工工作具备复工条件时，发包人应立即向承包人发出复工通知，承包人收到复工通知后，应在发包人指定的期限内复工。若承包人无故拖延和拒绝复工，由此增加的费用和工期延误责任由承包人承担。</w:t>
      </w:r>
    </w:p>
    <w:p w14:paraId="1C1A0FD5">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9.5、工期延误。发生以下情况造成工期延误时，经甲方确认，工期相应顺延。</w:t>
      </w:r>
    </w:p>
    <w:p w14:paraId="6DFFCEAA">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9.5.1、增加额外的工程项目，增加合同中的工作内容。</w:t>
      </w:r>
    </w:p>
    <w:p w14:paraId="250D8B77">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9.5.2、增加合同中关键项目的工程量超过25% 。</w:t>
      </w:r>
    </w:p>
    <w:p w14:paraId="588F244E">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9.5.3、改变合同中任何一项工作的标准或性质。</w:t>
      </w:r>
    </w:p>
    <w:p w14:paraId="240717D8">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9.5.4、异常恶劣的气候条件。</w:t>
      </w:r>
    </w:p>
    <w:p w14:paraId="2F0114EC">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9.5.5、合同中涉及的由发包人责任引起的工期延误。</w:t>
      </w:r>
    </w:p>
    <w:p w14:paraId="5167E029">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承包人在以上情况发生后，就延误的原因、项目内容、延期要求、修订的进度计划向发包人提出报告，经发包人审查确认答复。</w:t>
      </w:r>
    </w:p>
    <w:p w14:paraId="2A8EB811">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非上述原因造成的工期延误，由承包人承担责任，并支付</w:t>
      </w:r>
      <w:r>
        <w:rPr>
          <w:rFonts w:hint="eastAsia" w:ascii="Courier New" w:hAnsi="Courier New" w:eastAsia="宋体" w:cs="Times New Roman"/>
          <w:b w:val="0"/>
          <w:bCs w:val="0"/>
          <w:color w:val="auto"/>
          <w:kern w:val="2"/>
          <w:sz w:val="24"/>
          <w:szCs w:val="24"/>
          <w:highlight w:val="none"/>
          <w:u w:val="single"/>
          <w:lang w:val="zh-CN" w:eastAsia="zh-CN" w:bidi="ar-SA"/>
        </w:rPr>
        <w:t xml:space="preserve">    </w:t>
      </w:r>
      <w:r>
        <w:rPr>
          <w:rFonts w:hint="eastAsia" w:ascii="Courier New" w:hAnsi="Courier New" w:eastAsia="宋体" w:cs="Times New Roman"/>
          <w:b w:val="0"/>
          <w:bCs w:val="0"/>
          <w:color w:val="auto"/>
          <w:kern w:val="2"/>
          <w:sz w:val="24"/>
          <w:szCs w:val="24"/>
          <w:highlight w:val="none"/>
          <w:lang w:val="zh-CN" w:eastAsia="zh-CN" w:bidi="ar-SA"/>
        </w:rPr>
        <w:t>元/天的逾期完工违约金。</w:t>
      </w:r>
    </w:p>
    <w:p w14:paraId="344A55B6">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10、工程质量</w:t>
      </w:r>
    </w:p>
    <w:p w14:paraId="4D6E6164">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10.1、乙方应严格按照图纸和现行水利行业、相关专业规范的质量标准和甲方的要求进行施工，对工程使用的材料和工程设备以及工程所有部位的施工进行全过程的检查，每一阶段工程经验收合格后，方可进行下一道工序的施工。</w:t>
      </w:r>
    </w:p>
    <w:p w14:paraId="7714FE1E">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10.2、工程质量应当达到合同约定的质量标准，质量标准的评定以国家或行业的质量检验评定标准为依据。因承包人原因工程质量达不到约定的质量标准，承包人承担违约责任。</w:t>
      </w:r>
    </w:p>
    <w:p w14:paraId="61176D1E">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双方对工程质量有争议，由双方同意的工程质量检测机构鉴定，所需费用及因此造成的损失，由责任方承担。双方均有责任，由双方根据其责任分别承担。</w:t>
      </w:r>
    </w:p>
    <w:p w14:paraId="300FDF17">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本工程的工程质量要求达到</w:t>
      </w:r>
      <w:r>
        <w:rPr>
          <w:rFonts w:hint="eastAsia" w:ascii="Courier New" w:hAnsi="Courier New" w:eastAsia="宋体" w:cs="Times New Roman"/>
          <w:b w:val="0"/>
          <w:bCs w:val="0"/>
          <w:color w:val="auto"/>
          <w:kern w:val="2"/>
          <w:sz w:val="24"/>
          <w:szCs w:val="24"/>
          <w:highlight w:val="none"/>
          <w:u w:val="single"/>
          <w:lang w:val="zh-CN" w:eastAsia="zh-CN" w:bidi="ar-SA"/>
        </w:rPr>
        <w:t xml:space="preserve">           </w:t>
      </w:r>
      <w:r>
        <w:rPr>
          <w:rFonts w:hint="eastAsia" w:ascii="Courier New" w:hAnsi="Courier New" w:eastAsia="宋体" w:cs="Times New Roman"/>
          <w:b w:val="0"/>
          <w:bCs w:val="0"/>
          <w:color w:val="auto"/>
          <w:kern w:val="2"/>
          <w:sz w:val="24"/>
          <w:szCs w:val="24"/>
          <w:highlight w:val="none"/>
          <w:lang w:val="zh-CN" w:eastAsia="zh-CN" w:bidi="ar-SA"/>
        </w:rPr>
        <w:t>。</w:t>
      </w:r>
    </w:p>
    <w:p w14:paraId="6F37FDC1">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11、工程造价</w:t>
      </w:r>
    </w:p>
    <w:p w14:paraId="57E27E8B">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本工程合同价</w:t>
      </w:r>
      <w:r>
        <w:rPr>
          <w:rFonts w:hint="eastAsia" w:ascii="Courier New" w:hAnsi="Courier New" w:eastAsia="宋体" w:cs="Times New Roman"/>
          <w:b w:val="0"/>
          <w:bCs w:val="0"/>
          <w:color w:val="auto"/>
          <w:kern w:val="2"/>
          <w:sz w:val="24"/>
          <w:szCs w:val="24"/>
          <w:highlight w:val="none"/>
          <w:u w:val="single"/>
          <w:lang w:val="zh-CN" w:eastAsia="zh-CN" w:bidi="ar-SA"/>
        </w:rPr>
        <w:t xml:space="preserve">        </w:t>
      </w:r>
      <w:r>
        <w:rPr>
          <w:rFonts w:hint="eastAsia" w:ascii="Courier New" w:hAnsi="Courier New" w:eastAsia="宋体" w:cs="Times New Roman"/>
          <w:b w:val="0"/>
          <w:bCs w:val="0"/>
          <w:color w:val="auto"/>
          <w:kern w:val="2"/>
          <w:sz w:val="24"/>
          <w:szCs w:val="24"/>
          <w:highlight w:val="none"/>
          <w:lang w:val="zh-CN" w:eastAsia="zh-CN" w:bidi="ar-SA"/>
        </w:rPr>
        <w:t>元，为总价承包合同，报价见后附表。</w:t>
      </w:r>
    </w:p>
    <w:p w14:paraId="2AD08A04">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12、工程量的计量与完工结算</w:t>
      </w:r>
    </w:p>
    <w:p w14:paraId="6E2D33E9">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除非上面第11条确定是总承包工程，否则应按12.1、12.2条进行工程结算。</w:t>
      </w:r>
    </w:p>
    <w:p w14:paraId="6AB21E57">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12.1、本合同采购文件中所列出的工程量是合同估算工程量，最终的结算工程量应是经双方认证的实际完成的工程量。</w:t>
      </w:r>
    </w:p>
    <w:p w14:paraId="212C50AC">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12.2、工程结算应以甲乙双方最终认证的工程量和合同中的总价进行结算，若最终竣工决算时存在投标书没有的施工项目时，该项工程总价应按照现行相关定额进行总价分析，经甲乙双方认可后，进行完工结算。</w:t>
      </w:r>
    </w:p>
    <w:p w14:paraId="3E28A3F8">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13、文明施工</w:t>
      </w:r>
    </w:p>
    <w:p w14:paraId="5AF0C84C">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发包人统一管理本工程的文明施工工作，负责管理和协调全工地的治安保卫、施工安全和环境保护等有关文明施工事项。发包人对文明施工的统一管理和协调工作不免除承包人应负的责任。</w:t>
      </w:r>
    </w:p>
    <w:p w14:paraId="349BD5CF">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13.1、施工安全。</w:t>
      </w:r>
    </w:p>
    <w:p w14:paraId="2D6EB4AE">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13.1.1、发包人应负责统一管理本工程的施工作业安全以及消防、防汛和抗灾等工作。发包人应按有关法律、法规和规章以及本合同的有关规定，检查、监督施工安全工作的实施，承包人应认真执行监理人有关安全管理工作的指示。</w:t>
      </w:r>
    </w:p>
    <w:p w14:paraId="41B94881">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13.1.2、承包人应按合同规定履行其安全职责。承包人应设置必要的安全管理机构和配备专职的安全人员，加强对施工作业安全的管理，制定安全操作规程，配备必要的安全生产设施和劳动用具，并经常对其职工进行施工安全教育。承包人及承包人分包实施单位的人员发生伤亡的事故均由承包人负责并承担费用，如给发包人造成损失和影响，由承包人向发包人支付工程价款3％的违约金并赔偿损失，该违约金及损失发包方有权直接从合同价款中扣除。</w:t>
      </w:r>
    </w:p>
    <w:p w14:paraId="48F25A7D">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13.1.3、承包人应负责其管辖范围内的防汛和抗灾等工作，按发包人的指示，做好检查、汛情预报和安全渡汛工作。</w:t>
      </w:r>
    </w:p>
    <w:p w14:paraId="4E91D6EA">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13.2、环境保护</w:t>
      </w:r>
    </w:p>
    <w:p w14:paraId="3F045B1D">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13.2.1、承包人在施工过程中，应遵守有关环境保护的法律、法规和规章及本合同的有关规定，并应对其违反上述法律、法规和规章以及本合同规定所造成的环境破坏以及人员伤害和财产损失负责。</w:t>
      </w:r>
    </w:p>
    <w:p w14:paraId="2353A8E6">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13.2.2、承包人应做好施工弃渣的处理措施；对施工开挖的边坡及时进行支护和做好排水措施，避免由于施工造成的水土流失；注意保护饮用水源免受施工活动造成的污染；保持施工区和生活区的环境卫生，及时清除垃圾和废弃物。</w:t>
      </w:r>
    </w:p>
    <w:p w14:paraId="784E4636">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14、工程款的支付</w:t>
      </w:r>
    </w:p>
    <w:p w14:paraId="7102CBCA">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14.1工程款支付的条件：</w:t>
      </w:r>
    </w:p>
    <w:p w14:paraId="350F6532">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14.1.1、工程整体或付款部分验收合格；</w:t>
      </w:r>
    </w:p>
    <w:p w14:paraId="0F0C6847">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14.1.2、工程验收资料或付款部分工程签证资料齐全并报甲方；</w:t>
      </w:r>
    </w:p>
    <w:p w14:paraId="0837E9BB">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14.1.3、整体工程或付款部分工程发票已开具并报甲方。</w:t>
      </w:r>
    </w:p>
    <w:p w14:paraId="78F52AB0">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14.2工程款支付的方式：</w:t>
      </w:r>
    </w:p>
    <w:p w14:paraId="5AD3A328">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合同签订后支付合同总价30%的预付款，工程形象进度达到80%支付至合同总价的70%，竣工验收合格后支付至合同总价的97%，1年质保期满后支付剩余合同价款的3%。</w:t>
      </w:r>
    </w:p>
    <w:p w14:paraId="58AA5411">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15、变更</w:t>
      </w:r>
    </w:p>
    <w:p w14:paraId="3E1F2EEF">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15.1、变更的范围和内容：</w:t>
      </w:r>
    </w:p>
    <w:p w14:paraId="2FDE997C">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增加或减少合同中关键项目的工程量单价调整方式，增加项目按专用条款15.3原则计算单价，工程量清单中已有的项目工程量增加或减少，按合同单价执行。</w:t>
      </w:r>
    </w:p>
    <w:p w14:paraId="579E0A70">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15.2、变更程序：</w:t>
      </w:r>
    </w:p>
    <w:p w14:paraId="570AA734">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承包人未在约定时间内向监理人提交变更报价书，则监理人认为承包人放弃报价的权利；监理人或发包人可根据承包人提供的有关资料，书面通知承包人是否调整。承包人收到发包人发出的变更指示后必须按变更要求执行。没有发包人的指示，承包人不得擅自进行变更。</w:t>
      </w:r>
    </w:p>
    <w:p w14:paraId="513583B7">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15.3、变更的估价原则：</w:t>
      </w:r>
    </w:p>
    <w:p w14:paraId="38C45EAB">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变更项目单价在《工程量清单》中有类似项目单价可供参考时，采用类似单价，若发生本合同外新增项目且《工程量清单》中无类似项目单价可供参考时，承包人按投标报价或修正报价的单价的编制原则、方法及按承包人投标时的人工和材料、施工机械台时定额，工效水平，取费标准、下浮比例等，参考水利部水利工程预算定额或行业定额编制新增单价，报监理人审核，发包人批准后作为工程量结算单价，但最终经有关审计部门审定为准。</w:t>
      </w:r>
    </w:p>
    <w:p w14:paraId="47D38E0C">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由承包人违约必须做出的变更，因而增加的费用和工期延误，责任由承包人承担。</w:t>
      </w:r>
    </w:p>
    <w:p w14:paraId="626980B6">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16、争议</w:t>
      </w:r>
    </w:p>
    <w:p w14:paraId="702DBA8F">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发包人和承包人出现争议时，要求调解、仲裁或诉讼的，可采用以下方式解决：</w:t>
      </w:r>
    </w:p>
    <w:p w14:paraId="266B2475">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16.1、提请行业经济合同争议调解机构调解，对调解结果不能接受，或由于一方原因使调解结果无法执行，任何一方可提请仲裁或诉讼解决争议。</w:t>
      </w:r>
    </w:p>
    <w:p w14:paraId="4DA5E8CF">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16.2、签订仲裁协议或确定仲裁范围和仲裁机构。任何一方均可将争议提交16.3条约定的仲裁机构仲裁或向有管辖权的人民法院诉讼。</w:t>
      </w:r>
    </w:p>
    <w:p w14:paraId="4A971018">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16.3、本合同确定的仲裁机构是</w:t>
      </w:r>
      <w:r>
        <w:rPr>
          <w:rFonts w:hint="eastAsia" w:ascii="Courier New" w:hAnsi="Courier New" w:eastAsia="宋体" w:cs="Times New Roman"/>
          <w:b w:val="0"/>
          <w:bCs w:val="0"/>
          <w:color w:val="auto"/>
          <w:kern w:val="2"/>
          <w:sz w:val="24"/>
          <w:szCs w:val="24"/>
          <w:highlight w:val="none"/>
          <w:u w:val="single"/>
          <w:lang w:val="zh-CN" w:eastAsia="zh-CN" w:bidi="ar-SA"/>
        </w:rPr>
        <w:t xml:space="preserve">                     </w:t>
      </w:r>
      <w:r>
        <w:rPr>
          <w:rFonts w:hint="eastAsia" w:ascii="Courier New" w:hAnsi="Courier New" w:eastAsia="宋体" w:cs="Times New Roman"/>
          <w:b w:val="0"/>
          <w:bCs w:val="0"/>
          <w:color w:val="auto"/>
          <w:kern w:val="2"/>
          <w:sz w:val="24"/>
          <w:szCs w:val="24"/>
          <w:highlight w:val="none"/>
          <w:lang w:val="zh-CN" w:eastAsia="zh-CN" w:bidi="ar-SA"/>
        </w:rPr>
        <w:t>。</w:t>
      </w:r>
    </w:p>
    <w:p w14:paraId="0E738E13">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发生争议后，任何一方均不得以调解和仲裁或拆讼判决未果为借口拒绝或拖延合同约定进行的工作，双方都应继续履行合同。</w:t>
      </w:r>
    </w:p>
    <w:p w14:paraId="41FFC39A">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17、工程验收</w:t>
      </w:r>
    </w:p>
    <w:p w14:paraId="640FB876">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17.1、本工程的分部工程验收必须在分部工程完工后方可进行验收，由 监理单位 组成验收小组，按水利规范或相关规范进行验收。</w:t>
      </w:r>
    </w:p>
    <w:p w14:paraId="59EB9937">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17.2、工程竣工验收必须在整体工程竣工，并由乙方提出竣工资料和竣工验收申请报告后，由 建设单位 组成验收组织，按水利规范或相关规范、设计图纸和批准的工程内容进行验收。</w:t>
      </w:r>
    </w:p>
    <w:p w14:paraId="77827BEC">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18、工程保修与保修金</w:t>
      </w:r>
    </w:p>
    <w:p w14:paraId="61D46EB6">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本工程以暂留工程价款3%计</w:t>
      </w:r>
      <w:r>
        <w:rPr>
          <w:rFonts w:hint="eastAsia" w:ascii="Courier New" w:hAnsi="Courier New" w:eastAsia="宋体" w:cs="Times New Roman"/>
          <w:b w:val="0"/>
          <w:bCs w:val="0"/>
          <w:color w:val="auto"/>
          <w:kern w:val="2"/>
          <w:sz w:val="24"/>
          <w:szCs w:val="24"/>
          <w:highlight w:val="none"/>
          <w:u w:val="single"/>
          <w:lang w:val="zh-CN" w:eastAsia="zh-CN" w:bidi="ar-SA"/>
        </w:rPr>
        <w:t xml:space="preserve">        </w:t>
      </w:r>
      <w:r>
        <w:rPr>
          <w:rFonts w:hint="eastAsia" w:ascii="Courier New" w:hAnsi="Courier New" w:eastAsia="宋体" w:cs="Times New Roman"/>
          <w:b w:val="0"/>
          <w:bCs w:val="0"/>
          <w:color w:val="auto"/>
          <w:kern w:val="2"/>
          <w:sz w:val="24"/>
          <w:szCs w:val="24"/>
          <w:highlight w:val="none"/>
          <w:lang w:val="zh-CN" w:eastAsia="zh-CN" w:bidi="ar-SA"/>
        </w:rPr>
        <w:t>元作为保修金，本工程的整体保修期为</w:t>
      </w:r>
      <w:r>
        <w:rPr>
          <w:rFonts w:hint="eastAsia" w:ascii="Courier New" w:hAnsi="Courier New" w:eastAsia="宋体" w:cs="Times New Roman"/>
          <w:b w:val="0"/>
          <w:bCs w:val="0"/>
          <w:color w:val="auto"/>
          <w:kern w:val="2"/>
          <w:sz w:val="24"/>
          <w:szCs w:val="24"/>
          <w:highlight w:val="none"/>
          <w:u w:val="single"/>
          <w:lang w:val="zh-CN" w:eastAsia="zh-CN" w:bidi="ar-SA"/>
        </w:rPr>
        <w:t xml:space="preserve"> 1</w:t>
      </w:r>
      <w:r>
        <w:rPr>
          <w:rFonts w:hint="eastAsia" w:ascii="Courier New" w:hAnsi="Courier New" w:cs="Times New Roman"/>
          <w:b w:val="0"/>
          <w:bCs w:val="0"/>
          <w:color w:val="auto"/>
          <w:kern w:val="2"/>
          <w:sz w:val="24"/>
          <w:szCs w:val="24"/>
          <w:highlight w:val="none"/>
          <w:u w:val="single"/>
          <w:lang w:val="en-US" w:eastAsia="zh-CN" w:bidi="ar-SA"/>
        </w:rPr>
        <w:t>2个月</w:t>
      </w:r>
      <w:r>
        <w:rPr>
          <w:rFonts w:hint="eastAsia" w:ascii="Courier New" w:hAnsi="Courier New" w:eastAsia="宋体" w:cs="Times New Roman"/>
          <w:b w:val="0"/>
          <w:bCs w:val="0"/>
          <w:color w:val="auto"/>
          <w:kern w:val="2"/>
          <w:sz w:val="24"/>
          <w:szCs w:val="24"/>
          <w:highlight w:val="none"/>
          <w:lang w:val="zh-CN" w:eastAsia="zh-CN" w:bidi="ar-SA"/>
        </w:rPr>
        <w:t>，保修期内工程损坏由乙方自费修复，保修期满工程无损坏且树木全部成活，无息付清保修金。若乙方接到通知后</w:t>
      </w:r>
      <w:r>
        <w:rPr>
          <w:rFonts w:hint="eastAsia" w:ascii="Courier New" w:hAnsi="Courier New" w:eastAsia="宋体" w:cs="Times New Roman"/>
          <w:b w:val="0"/>
          <w:bCs w:val="0"/>
          <w:color w:val="auto"/>
          <w:kern w:val="2"/>
          <w:sz w:val="24"/>
          <w:szCs w:val="24"/>
          <w:highlight w:val="none"/>
          <w:u w:val="single"/>
          <w:lang w:val="zh-CN" w:eastAsia="zh-CN" w:bidi="ar-SA"/>
        </w:rPr>
        <w:t xml:space="preserve"> 10 </w:t>
      </w:r>
      <w:r>
        <w:rPr>
          <w:rFonts w:hint="eastAsia" w:ascii="Courier New" w:hAnsi="Courier New" w:eastAsia="宋体" w:cs="Times New Roman"/>
          <w:b w:val="0"/>
          <w:bCs w:val="0"/>
          <w:color w:val="auto"/>
          <w:kern w:val="2"/>
          <w:sz w:val="24"/>
          <w:szCs w:val="24"/>
          <w:highlight w:val="none"/>
          <w:lang w:val="zh-CN" w:eastAsia="zh-CN" w:bidi="ar-SA"/>
        </w:rPr>
        <w:t>日内不维修或维修不合格，甲方有权使用保修金自行修复。</w:t>
      </w:r>
    </w:p>
    <w:p w14:paraId="3FC97392">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19、双方违约责任</w:t>
      </w:r>
    </w:p>
    <w:p w14:paraId="066F2D67">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19.1、若甲方没有按照第14条的要求付款，逾期除支付签证应支付款额外，还应以签证应支付款额为基数按同期银行活期利率计算支付给乙方利息。</w:t>
      </w:r>
    </w:p>
    <w:p w14:paraId="120E2632">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19.2、若乙方没有按照第9条规定的时间按时进场施工和完工退场，则每逾期1天应承担</w:t>
      </w:r>
      <w:r>
        <w:rPr>
          <w:rFonts w:hint="eastAsia" w:ascii="Courier New" w:hAnsi="Courier New" w:eastAsia="宋体" w:cs="Times New Roman"/>
          <w:b w:val="0"/>
          <w:bCs w:val="0"/>
          <w:color w:val="auto"/>
          <w:kern w:val="2"/>
          <w:sz w:val="24"/>
          <w:szCs w:val="24"/>
          <w:highlight w:val="none"/>
          <w:u w:val="single"/>
          <w:lang w:val="zh-CN" w:eastAsia="zh-CN" w:bidi="ar-SA"/>
        </w:rPr>
        <w:t xml:space="preserve">        </w:t>
      </w:r>
      <w:r>
        <w:rPr>
          <w:rFonts w:hint="eastAsia" w:ascii="Courier New" w:hAnsi="Courier New" w:eastAsia="宋体" w:cs="Times New Roman"/>
          <w:b w:val="0"/>
          <w:bCs w:val="0"/>
          <w:color w:val="auto"/>
          <w:kern w:val="2"/>
          <w:sz w:val="24"/>
          <w:szCs w:val="24"/>
          <w:highlight w:val="none"/>
          <w:lang w:val="zh-CN" w:eastAsia="zh-CN" w:bidi="ar-SA"/>
        </w:rPr>
        <w:t>元的违约金。</w:t>
      </w:r>
    </w:p>
    <w:p w14:paraId="2CE8B05B">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19.3、甲方单方解除合同</w:t>
      </w:r>
    </w:p>
    <w:p w14:paraId="785015F6">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19.3.1、若出现以下任一种情形，甲方有权单方解除合同：</w:t>
      </w:r>
    </w:p>
    <w:p w14:paraId="2D224B02">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19.3.1.1、若乙方在施工中，出现重大质量事故或人身伤害事故，甲方发整改通知或停工通知责令整改，但乙方未按要求整改，甲方可书面通知乙方解除合同。</w:t>
      </w:r>
    </w:p>
    <w:p w14:paraId="3724B7F7">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19.3.1.2、若乙方未按批准的施工组织设计或合同要求的工期进行施工，造成工期延误，甲方书面通知责令追赶工期，但乙方未按要求按期完成，甲方可书面通知乙方解除合同。</w:t>
      </w:r>
    </w:p>
    <w:p w14:paraId="5DC03766">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19.3.2、整改所增加的费用，应由承包单位承担。解除合同前，需由16.3条确定的仲裁机构按照合同规定对乙方所完成的工程部分进行认证核定价格，甲方拨付相应款额后，经认证的工程和材料均归甲方所有。认证的价格中应扣除发包人因更换承包单位所造成的损失。</w:t>
      </w:r>
    </w:p>
    <w:p w14:paraId="28C978D7">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19.3.3、甲方单方解除合同后地上一切新增附着物除本合同另有规定外全部无偿归甲方所有，同时乙方必须48小时内全部撤离与合同有关现场，逾期撤离所有遗留物均视为放弃所有权，甲方有权按照垃圾、无价值物品任意处置，产生的一切损失均有乙方承担。</w:t>
      </w:r>
    </w:p>
    <w:p w14:paraId="06514418">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19.4、其它情形：</w:t>
      </w:r>
      <w:r>
        <w:rPr>
          <w:rFonts w:hint="eastAsia" w:ascii="Courier New" w:hAnsi="Courier New" w:eastAsia="宋体" w:cs="Times New Roman"/>
          <w:b w:val="0"/>
          <w:bCs w:val="0"/>
          <w:color w:val="auto"/>
          <w:kern w:val="2"/>
          <w:sz w:val="24"/>
          <w:szCs w:val="24"/>
          <w:highlight w:val="none"/>
          <w:u w:val="single"/>
          <w:lang w:val="zh-CN" w:eastAsia="zh-CN" w:bidi="ar-SA"/>
        </w:rPr>
        <w:t xml:space="preserve">                                        </w:t>
      </w:r>
    </w:p>
    <w:p w14:paraId="34B97273">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20、特别约定</w:t>
      </w:r>
    </w:p>
    <w:p w14:paraId="12BB7F36">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本合同中未提及的条款依照GF-2000-0208合同示范文本中的通用条款执行。GF-2000-0208合同示范文本由甲乙方自行依法获得，未获得不得成为对抗对方的免责事由，自行承担因此产生的一切责任和后果。</w:t>
      </w:r>
    </w:p>
    <w:p w14:paraId="6D056D85">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21附则</w:t>
      </w:r>
    </w:p>
    <w:p w14:paraId="152EE5F4">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21.1、本合同正本一式两份，双方各执一份，副本</w:t>
      </w:r>
      <w:r>
        <w:rPr>
          <w:rFonts w:hint="eastAsia" w:ascii="Courier New" w:hAnsi="Courier New" w:eastAsia="宋体" w:cs="Times New Roman"/>
          <w:b w:val="0"/>
          <w:bCs w:val="0"/>
          <w:color w:val="auto"/>
          <w:kern w:val="2"/>
          <w:sz w:val="24"/>
          <w:szCs w:val="24"/>
          <w:highlight w:val="none"/>
          <w:u w:val="single"/>
          <w:lang w:val="zh-CN" w:eastAsia="zh-CN" w:bidi="ar-SA"/>
        </w:rPr>
        <w:t xml:space="preserve"> 肆 </w:t>
      </w:r>
      <w:r>
        <w:rPr>
          <w:rFonts w:hint="eastAsia" w:ascii="Courier New" w:hAnsi="Courier New" w:eastAsia="宋体" w:cs="Times New Roman"/>
          <w:b w:val="0"/>
          <w:bCs w:val="0"/>
          <w:color w:val="auto"/>
          <w:kern w:val="2"/>
          <w:sz w:val="24"/>
          <w:szCs w:val="24"/>
          <w:highlight w:val="none"/>
          <w:lang w:val="zh-CN" w:eastAsia="zh-CN" w:bidi="ar-SA"/>
        </w:rPr>
        <w:t>份，其中发包人</w:t>
      </w:r>
      <w:r>
        <w:rPr>
          <w:rFonts w:hint="eastAsia" w:ascii="Courier New" w:hAnsi="Courier New" w:eastAsia="宋体" w:cs="Times New Roman"/>
          <w:b w:val="0"/>
          <w:bCs w:val="0"/>
          <w:color w:val="auto"/>
          <w:kern w:val="2"/>
          <w:sz w:val="24"/>
          <w:szCs w:val="24"/>
          <w:highlight w:val="none"/>
          <w:u w:val="single"/>
          <w:lang w:val="zh-CN" w:eastAsia="zh-CN" w:bidi="ar-SA"/>
        </w:rPr>
        <w:t xml:space="preserve"> </w:t>
      </w:r>
      <w:r>
        <w:rPr>
          <w:rFonts w:hint="eastAsia" w:ascii="Courier New" w:hAnsi="Courier New" w:cs="Times New Roman"/>
          <w:b w:val="0"/>
          <w:bCs w:val="0"/>
          <w:color w:val="auto"/>
          <w:kern w:val="2"/>
          <w:sz w:val="24"/>
          <w:szCs w:val="24"/>
          <w:highlight w:val="none"/>
          <w:u w:val="single"/>
          <w:lang w:val="en-US" w:eastAsia="zh-CN" w:bidi="ar-SA"/>
        </w:rPr>
        <w:t>贰</w:t>
      </w:r>
      <w:r>
        <w:rPr>
          <w:rFonts w:hint="eastAsia" w:ascii="Courier New" w:hAnsi="Courier New" w:eastAsia="宋体" w:cs="Times New Roman"/>
          <w:b w:val="0"/>
          <w:bCs w:val="0"/>
          <w:color w:val="auto"/>
          <w:kern w:val="2"/>
          <w:sz w:val="24"/>
          <w:szCs w:val="24"/>
          <w:highlight w:val="none"/>
          <w:u w:val="single"/>
          <w:lang w:val="zh-CN" w:eastAsia="zh-CN" w:bidi="ar-SA"/>
        </w:rPr>
        <w:t xml:space="preserve"> </w:t>
      </w:r>
      <w:r>
        <w:rPr>
          <w:rFonts w:hint="eastAsia" w:ascii="Courier New" w:hAnsi="Courier New" w:eastAsia="宋体" w:cs="Times New Roman"/>
          <w:b w:val="0"/>
          <w:bCs w:val="0"/>
          <w:color w:val="auto"/>
          <w:kern w:val="2"/>
          <w:sz w:val="24"/>
          <w:szCs w:val="24"/>
          <w:highlight w:val="none"/>
          <w:lang w:val="zh-CN" w:eastAsia="zh-CN" w:bidi="ar-SA"/>
        </w:rPr>
        <w:t>份，承包人</w:t>
      </w:r>
      <w:r>
        <w:rPr>
          <w:rFonts w:hint="eastAsia" w:ascii="Courier New" w:hAnsi="Courier New" w:eastAsia="宋体" w:cs="Times New Roman"/>
          <w:b w:val="0"/>
          <w:bCs w:val="0"/>
          <w:color w:val="auto"/>
          <w:kern w:val="2"/>
          <w:sz w:val="24"/>
          <w:szCs w:val="24"/>
          <w:highlight w:val="none"/>
          <w:u w:val="single"/>
          <w:lang w:val="zh-CN" w:eastAsia="zh-CN" w:bidi="ar-SA"/>
        </w:rPr>
        <w:t xml:space="preserve"> </w:t>
      </w:r>
      <w:r>
        <w:rPr>
          <w:rFonts w:hint="eastAsia" w:ascii="Courier New" w:hAnsi="Courier New" w:cs="Times New Roman"/>
          <w:b w:val="0"/>
          <w:bCs w:val="0"/>
          <w:color w:val="auto"/>
          <w:kern w:val="2"/>
          <w:sz w:val="24"/>
          <w:szCs w:val="24"/>
          <w:highlight w:val="none"/>
          <w:u w:val="single"/>
          <w:lang w:val="en-US" w:eastAsia="zh-CN" w:bidi="ar-SA"/>
        </w:rPr>
        <w:t>贰</w:t>
      </w:r>
      <w:r>
        <w:rPr>
          <w:rFonts w:hint="eastAsia" w:ascii="Courier New" w:hAnsi="Courier New" w:eastAsia="宋体" w:cs="Times New Roman"/>
          <w:b w:val="0"/>
          <w:bCs w:val="0"/>
          <w:color w:val="auto"/>
          <w:kern w:val="2"/>
          <w:sz w:val="24"/>
          <w:szCs w:val="24"/>
          <w:highlight w:val="none"/>
          <w:u w:val="single"/>
          <w:lang w:val="zh-CN" w:eastAsia="zh-CN" w:bidi="ar-SA"/>
        </w:rPr>
        <w:t xml:space="preserve"> </w:t>
      </w:r>
      <w:r>
        <w:rPr>
          <w:rFonts w:hint="eastAsia" w:ascii="Courier New" w:hAnsi="Courier New" w:eastAsia="宋体" w:cs="Times New Roman"/>
          <w:b w:val="0"/>
          <w:bCs w:val="0"/>
          <w:color w:val="auto"/>
          <w:kern w:val="2"/>
          <w:sz w:val="24"/>
          <w:szCs w:val="24"/>
          <w:highlight w:val="none"/>
          <w:lang w:val="zh-CN" w:eastAsia="zh-CN" w:bidi="ar-SA"/>
        </w:rPr>
        <w:t>份，正本和副本具有同等法律效力。</w:t>
      </w:r>
    </w:p>
    <w:p w14:paraId="00050DBC">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21.2、甲方和乙方的法定代表人或其委托代理人在协议书上签名并盖公章后，合同生效。</w:t>
      </w:r>
    </w:p>
    <w:p w14:paraId="69371A19">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合同签订地点：</w:t>
      </w:r>
    </w:p>
    <w:p w14:paraId="4B5AF952">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合同订立时间：</w:t>
      </w:r>
    </w:p>
    <w:p w14:paraId="3583D068">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 xml:space="preserve">发包人（公章）：                 承包人（公章）：             </w:t>
      </w:r>
    </w:p>
    <w:p w14:paraId="1A8E4192">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法定代表人（签章）：             法定代表人（签章）：</w:t>
      </w:r>
    </w:p>
    <w:p w14:paraId="36BF939C">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或授权代理人（签章）：           或授权代理人（签章）：</w:t>
      </w:r>
    </w:p>
    <w:p w14:paraId="1198AF21">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电话：                           电话：</w:t>
      </w:r>
    </w:p>
    <w:p w14:paraId="4EF22BBD">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地址：                           地址：</w:t>
      </w:r>
    </w:p>
    <w:p w14:paraId="1955B967">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开户银行：                       开户银行：</w:t>
      </w:r>
    </w:p>
    <w:p w14:paraId="69E2D549">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行号：                           行号：</w:t>
      </w:r>
    </w:p>
    <w:p w14:paraId="5796857D">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帐号：                           帐号：</w:t>
      </w:r>
    </w:p>
    <w:p w14:paraId="58C4CF2D">
      <w:pPr>
        <w:widowControl/>
        <w:spacing w:line="360" w:lineRule="auto"/>
        <w:ind w:firstLine="480" w:firstLineChars="200"/>
        <w:jc w:val="left"/>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t>注：合同签订双方可根据项目的具体要求进行修订，未尽事宜双方可协商进行补充。</w:t>
      </w:r>
    </w:p>
    <w:p w14:paraId="79E8EECF">
      <w:pPr>
        <w:rPr>
          <w:rFonts w:hint="eastAsia" w:ascii="Courier New" w:hAnsi="Courier New" w:eastAsia="宋体" w:cs="Times New Roman"/>
          <w:b w:val="0"/>
          <w:bCs w:val="0"/>
          <w:color w:val="auto"/>
          <w:kern w:val="2"/>
          <w:sz w:val="24"/>
          <w:szCs w:val="24"/>
          <w:highlight w:val="none"/>
          <w:lang w:val="zh-CN" w:eastAsia="zh-CN" w:bidi="ar-SA"/>
        </w:rPr>
      </w:pPr>
      <w:r>
        <w:rPr>
          <w:rFonts w:hint="eastAsia" w:ascii="Courier New" w:hAnsi="Courier New" w:eastAsia="宋体" w:cs="Times New Roman"/>
          <w:b w:val="0"/>
          <w:bCs w:val="0"/>
          <w:color w:val="auto"/>
          <w:kern w:val="2"/>
          <w:sz w:val="24"/>
          <w:szCs w:val="24"/>
          <w:highlight w:val="none"/>
          <w:lang w:val="zh-CN" w:eastAsia="zh-CN" w:bidi="ar-SA"/>
        </w:rPr>
        <w:br w:type="page"/>
      </w:r>
    </w:p>
    <w:p w14:paraId="2BB873DC">
      <w:pPr>
        <w:pStyle w:val="8"/>
        <w:rPr>
          <w:rFonts w:hint="eastAsia"/>
          <w:color w:val="auto"/>
          <w:lang w:val="zh-CN" w:eastAsia="zh-CN"/>
        </w:rPr>
      </w:pPr>
    </w:p>
    <w:bookmarkEnd w:id="145"/>
    <w:bookmarkEnd w:id="146"/>
    <w:p w14:paraId="5289A648">
      <w:pPr>
        <w:pStyle w:val="24"/>
        <w:ind w:left="0" w:leftChars="0" w:firstLine="0" w:firstLineChars="0"/>
        <w:jc w:val="center"/>
        <w:outlineLvl w:val="0"/>
        <w:rPr>
          <w:rFonts w:hint="default"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第八章、投标文件格式</w:t>
      </w:r>
    </w:p>
    <w:p w14:paraId="391EE4F0">
      <w:pPr>
        <w:jc w:val="both"/>
        <w:rPr>
          <w:rFonts w:hint="eastAsia" w:ascii="宋体" w:hAnsi="宋体"/>
          <w:b/>
          <w:color w:val="auto"/>
          <w:kern w:val="0"/>
          <w:highlight w:val="none"/>
        </w:rPr>
      </w:pPr>
    </w:p>
    <w:p w14:paraId="78A119DF">
      <w:pPr>
        <w:rPr>
          <w:rFonts w:hint="eastAsia" w:ascii="宋体" w:hAnsi="宋体"/>
          <w:color w:val="auto"/>
          <w:kern w:val="0"/>
          <w:highlight w:val="none"/>
        </w:rPr>
      </w:pPr>
    </w:p>
    <w:p w14:paraId="44CA15F1">
      <w:pPr>
        <w:spacing w:line="360" w:lineRule="auto"/>
        <w:textAlignment w:val="baseline"/>
        <w:rPr>
          <w:rStyle w:val="75"/>
          <w:rFonts w:hint="eastAsia" w:ascii="宋体" w:hAnsi="宋体" w:cs="宋体"/>
          <w:b/>
          <w:color w:val="auto"/>
          <w:sz w:val="28"/>
          <w:szCs w:val="28"/>
          <w:highlight w:val="none"/>
        </w:rPr>
      </w:pPr>
      <w:r>
        <w:rPr>
          <w:rStyle w:val="75"/>
          <w:rFonts w:hint="eastAsia" w:ascii="宋体" w:hAnsi="宋体" w:cs="宋体"/>
          <w:b/>
          <w:color w:val="auto"/>
          <w:sz w:val="28"/>
          <w:szCs w:val="28"/>
          <w:highlight w:val="none"/>
        </w:rPr>
        <w:t>1.竞争性磋商响应文件封面格式</w:t>
      </w:r>
    </w:p>
    <w:p w14:paraId="37B7EBD3">
      <w:pPr>
        <w:pStyle w:val="78"/>
        <w:ind w:firstLine="560"/>
        <w:rPr>
          <w:rStyle w:val="75"/>
          <w:rFonts w:hint="eastAsia" w:ascii="宋体" w:hAnsi="宋体" w:cs="宋体"/>
          <w:color w:val="auto"/>
          <w:sz w:val="28"/>
          <w:szCs w:val="28"/>
          <w:highlight w:val="none"/>
        </w:rPr>
      </w:pPr>
    </w:p>
    <w:p w14:paraId="2F6148B7">
      <w:pPr>
        <w:pStyle w:val="78"/>
        <w:ind w:firstLine="560"/>
        <w:rPr>
          <w:rStyle w:val="75"/>
          <w:rFonts w:hint="eastAsia" w:ascii="宋体" w:hAnsi="宋体" w:cs="宋体"/>
          <w:color w:val="auto"/>
          <w:sz w:val="28"/>
          <w:szCs w:val="28"/>
          <w:highlight w:val="none"/>
        </w:rPr>
      </w:pPr>
    </w:p>
    <w:p w14:paraId="334941A5">
      <w:pPr>
        <w:pStyle w:val="78"/>
        <w:ind w:left="0" w:leftChars="0" w:firstLine="0" w:firstLineChars="0"/>
        <w:rPr>
          <w:rStyle w:val="75"/>
          <w:rFonts w:hint="eastAsia" w:ascii="宋体" w:hAnsi="宋体" w:cs="宋体"/>
          <w:color w:val="auto"/>
          <w:sz w:val="28"/>
          <w:szCs w:val="28"/>
          <w:highlight w:val="none"/>
        </w:rPr>
      </w:pPr>
    </w:p>
    <w:p w14:paraId="32302CCC">
      <w:pPr>
        <w:pStyle w:val="78"/>
        <w:ind w:left="0" w:leftChars="0" w:firstLine="0" w:firstLineChars="0"/>
        <w:rPr>
          <w:rStyle w:val="75"/>
          <w:rFonts w:hint="eastAsia" w:ascii="宋体" w:hAnsi="宋体" w:cs="宋体"/>
          <w:color w:val="auto"/>
          <w:sz w:val="28"/>
          <w:szCs w:val="28"/>
          <w:highlight w:val="none"/>
        </w:rPr>
      </w:pPr>
    </w:p>
    <w:p w14:paraId="34C4815E">
      <w:pPr>
        <w:tabs>
          <w:tab w:val="left" w:pos="1140"/>
        </w:tabs>
        <w:snapToGrid w:val="0"/>
        <w:spacing w:line="360" w:lineRule="auto"/>
        <w:ind w:firstLine="1687" w:firstLineChars="600"/>
        <w:textAlignment w:val="baseline"/>
        <w:rPr>
          <w:rFonts w:hint="eastAsia" w:ascii="宋体" w:hAnsi="宋体" w:cs="宋体"/>
          <w:b/>
          <w:color w:val="auto"/>
          <w:sz w:val="28"/>
          <w:szCs w:val="28"/>
          <w:highlight w:val="none"/>
        </w:rPr>
      </w:pPr>
    </w:p>
    <w:p w14:paraId="5925A8EF">
      <w:pPr>
        <w:tabs>
          <w:tab w:val="left" w:pos="1140"/>
        </w:tabs>
        <w:snapToGrid w:val="0"/>
        <w:spacing w:line="360" w:lineRule="auto"/>
        <w:ind w:firstLine="2891" w:firstLineChars="600"/>
        <w:textAlignment w:val="baseline"/>
        <w:rPr>
          <w:rStyle w:val="75"/>
          <w:rFonts w:hint="eastAsia" w:ascii="宋体" w:hAnsi="宋体" w:cs="宋体"/>
          <w:b/>
          <w:bCs/>
          <w:color w:val="auto"/>
          <w:sz w:val="48"/>
          <w:szCs w:val="48"/>
          <w:highlight w:val="none"/>
        </w:rPr>
      </w:pPr>
      <w:r>
        <w:rPr>
          <w:rStyle w:val="75"/>
          <w:rFonts w:hint="eastAsia" w:ascii="宋体" w:hAnsi="宋体" w:cs="宋体"/>
          <w:b/>
          <w:bCs/>
          <w:color w:val="auto"/>
          <w:sz w:val="48"/>
          <w:szCs w:val="48"/>
          <w:highlight w:val="none"/>
        </w:rPr>
        <w:t xml:space="preserve">竞争性磋商响应文件 </w:t>
      </w:r>
    </w:p>
    <w:p w14:paraId="76269C8B">
      <w:pPr>
        <w:spacing w:line="360" w:lineRule="auto"/>
        <w:ind w:firstLine="964" w:firstLineChars="300"/>
        <w:jc w:val="center"/>
        <w:rPr>
          <w:rFonts w:hint="eastAsia" w:ascii="宋体" w:hAnsi="宋体" w:eastAsia="宋体" w:cs="宋体"/>
          <w:b/>
          <w:color w:val="auto"/>
          <w:sz w:val="32"/>
          <w:szCs w:val="31"/>
          <w:highlight w:val="none"/>
          <w:lang w:val="en-US" w:eastAsia="zh-CN"/>
        </w:rPr>
      </w:pPr>
      <w:r>
        <w:rPr>
          <w:rFonts w:hint="eastAsia" w:ascii="宋体" w:hAnsi="宋体" w:eastAsia="宋体" w:cs="宋体"/>
          <w:b/>
          <w:color w:val="auto"/>
          <w:sz w:val="32"/>
          <w:szCs w:val="31"/>
          <w:highlight w:val="none"/>
          <w:lang w:val="en-US" w:eastAsia="zh-CN"/>
        </w:rPr>
        <w:t>项目</w:t>
      </w:r>
      <w:r>
        <w:rPr>
          <w:rFonts w:hint="eastAsia" w:ascii="宋体" w:hAnsi="宋体" w:eastAsia="宋体" w:cs="宋体"/>
          <w:b/>
          <w:color w:val="auto"/>
          <w:sz w:val="32"/>
          <w:szCs w:val="31"/>
          <w:highlight w:val="none"/>
        </w:rPr>
        <w:t>编号：</w:t>
      </w:r>
      <w:r>
        <w:rPr>
          <w:rFonts w:hint="eastAsia" w:asciiTheme="minorEastAsia" w:hAnsiTheme="minorEastAsia" w:eastAsiaTheme="minorEastAsia" w:cstheme="minorEastAsia"/>
          <w:color w:val="auto"/>
          <w:sz w:val="33"/>
          <w:highlight w:val="none"/>
          <w:lang w:eastAsia="zh-CN"/>
        </w:rPr>
        <w:t>XJTGXM-2025014</w:t>
      </w:r>
    </w:p>
    <w:p w14:paraId="0369D2AB">
      <w:pPr>
        <w:pStyle w:val="45"/>
        <w:spacing w:line="480" w:lineRule="auto"/>
        <w:jc w:val="left"/>
        <w:rPr>
          <w:rFonts w:hint="eastAsia" w:ascii="宋体" w:hAnsi="宋体" w:eastAsia="宋体" w:cs="宋体"/>
          <w:b/>
          <w:color w:val="auto"/>
          <w:sz w:val="32"/>
          <w:szCs w:val="31"/>
          <w:highlight w:val="none"/>
          <w:lang w:eastAsia="zh-CN"/>
        </w:rPr>
      </w:pPr>
    </w:p>
    <w:p w14:paraId="755D79BB">
      <w:pPr>
        <w:pStyle w:val="78"/>
        <w:ind w:firstLine="560"/>
        <w:rPr>
          <w:rStyle w:val="75"/>
          <w:rFonts w:hint="eastAsia" w:ascii="宋体" w:hAnsi="宋体" w:cs="宋体"/>
          <w:color w:val="auto"/>
          <w:sz w:val="28"/>
          <w:szCs w:val="28"/>
          <w:highlight w:val="none"/>
        </w:rPr>
      </w:pPr>
    </w:p>
    <w:p w14:paraId="41424FA1">
      <w:pPr>
        <w:pStyle w:val="78"/>
        <w:ind w:firstLine="560"/>
        <w:rPr>
          <w:rStyle w:val="75"/>
          <w:rFonts w:hint="eastAsia" w:ascii="宋体" w:hAnsi="宋体" w:cs="宋体"/>
          <w:color w:val="auto"/>
          <w:sz w:val="28"/>
          <w:szCs w:val="28"/>
          <w:highlight w:val="none"/>
        </w:rPr>
      </w:pPr>
    </w:p>
    <w:p w14:paraId="71E0DF9C">
      <w:pPr>
        <w:pStyle w:val="78"/>
        <w:ind w:firstLine="560"/>
        <w:rPr>
          <w:rStyle w:val="75"/>
          <w:rFonts w:hint="eastAsia" w:ascii="宋体" w:hAnsi="宋体" w:cs="宋体"/>
          <w:color w:val="auto"/>
          <w:sz w:val="28"/>
          <w:szCs w:val="28"/>
          <w:highlight w:val="none"/>
        </w:rPr>
      </w:pPr>
    </w:p>
    <w:p w14:paraId="03942B4A">
      <w:pPr>
        <w:pStyle w:val="78"/>
        <w:ind w:firstLine="560"/>
        <w:rPr>
          <w:rStyle w:val="75"/>
          <w:rFonts w:hint="eastAsia" w:ascii="宋体" w:hAnsi="宋体" w:cs="宋体"/>
          <w:color w:val="auto"/>
          <w:sz w:val="28"/>
          <w:szCs w:val="28"/>
          <w:highlight w:val="none"/>
        </w:rPr>
      </w:pPr>
    </w:p>
    <w:p w14:paraId="772F475D">
      <w:pPr>
        <w:pStyle w:val="78"/>
        <w:ind w:firstLine="560"/>
        <w:rPr>
          <w:rStyle w:val="75"/>
          <w:rFonts w:hint="eastAsia" w:ascii="宋体" w:hAnsi="宋体" w:cs="宋体"/>
          <w:color w:val="auto"/>
          <w:sz w:val="28"/>
          <w:szCs w:val="28"/>
          <w:highlight w:val="none"/>
        </w:rPr>
      </w:pPr>
    </w:p>
    <w:p w14:paraId="0251A11C">
      <w:pPr>
        <w:tabs>
          <w:tab w:val="left" w:pos="1140"/>
        </w:tabs>
        <w:snapToGrid w:val="0"/>
        <w:spacing w:line="360" w:lineRule="auto"/>
        <w:ind w:firstLine="560" w:firstLineChars="200"/>
        <w:textAlignment w:val="baseline"/>
        <w:rPr>
          <w:rStyle w:val="75"/>
          <w:rFonts w:hint="eastAsia" w:ascii="宋体" w:hAnsi="宋体" w:cs="宋体"/>
          <w:color w:val="auto"/>
          <w:sz w:val="28"/>
          <w:szCs w:val="28"/>
          <w:highlight w:val="none"/>
        </w:rPr>
      </w:pPr>
    </w:p>
    <w:p w14:paraId="61467E8D">
      <w:pPr>
        <w:spacing w:line="480" w:lineRule="auto"/>
        <w:ind w:firstLine="560" w:firstLineChars="200"/>
        <w:textAlignment w:val="baseline"/>
        <w:rPr>
          <w:rStyle w:val="75"/>
          <w:rFonts w:hint="eastAsia" w:ascii="宋体" w:hAnsi="宋体" w:cs="宋体"/>
          <w:color w:val="auto"/>
          <w:sz w:val="28"/>
          <w:szCs w:val="28"/>
          <w:highlight w:val="none"/>
          <w:u w:val="single"/>
          <w:lang w:val="zh-CN"/>
        </w:rPr>
      </w:pPr>
      <w:r>
        <w:rPr>
          <w:rStyle w:val="75"/>
          <w:rFonts w:hint="eastAsia" w:ascii="宋体" w:hAnsi="宋体" w:cs="宋体"/>
          <w:color w:val="auto"/>
          <w:sz w:val="28"/>
          <w:szCs w:val="28"/>
          <w:highlight w:val="none"/>
          <w:lang w:val="zh-CN"/>
        </w:rPr>
        <w:t>项目名称：</w:t>
      </w:r>
      <w:r>
        <w:rPr>
          <w:rStyle w:val="75"/>
          <w:rFonts w:hint="eastAsia" w:ascii="宋体" w:hAnsi="宋体" w:cs="宋体"/>
          <w:color w:val="auto"/>
          <w:sz w:val="28"/>
          <w:szCs w:val="28"/>
          <w:highlight w:val="none"/>
          <w:u w:val="single" w:color="000000"/>
          <w:lang w:val="zh-CN"/>
        </w:rPr>
        <w:t xml:space="preserve">     </w:t>
      </w:r>
      <w:r>
        <w:rPr>
          <w:rStyle w:val="75"/>
          <w:rFonts w:hint="eastAsia" w:ascii="宋体" w:hAnsi="宋体" w:cs="宋体"/>
          <w:color w:val="auto"/>
          <w:sz w:val="28"/>
          <w:szCs w:val="28"/>
          <w:highlight w:val="none"/>
          <w:u w:val="single" w:color="000000"/>
        </w:rPr>
        <w:t xml:space="preserve">                       </w:t>
      </w:r>
      <w:r>
        <w:rPr>
          <w:rStyle w:val="75"/>
          <w:rFonts w:hint="eastAsia" w:ascii="宋体" w:hAnsi="宋体" w:cs="宋体"/>
          <w:color w:val="auto"/>
          <w:sz w:val="28"/>
          <w:szCs w:val="28"/>
          <w:highlight w:val="none"/>
          <w:u w:val="single" w:color="000000"/>
          <w:lang w:val="zh-CN"/>
        </w:rPr>
        <w:t xml:space="preserve">               </w:t>
      </w:r>
    </w:p>
    <w:p w14:paraId="49767951">
      <w:pPr>
        <w:spacing w:line="480" w:lineRule="auto"/>
        <w:ind w:firstLine="560" w:firstLineChars="200"/>
        <w:textAlignment w:val="baseline"/>
        <w:rPr>
          <w:rStyle w:val="75"/>
          <w:rFonts w:hint="eastAsia" w:ascii="宋体" w:hAnsi="宋体" w:cs="宋体"/>
          <w:color w:val="auto"/>
          <w:sz w:val="28"/>
          <w:szCs w:val="28"/>
          <w:highlight w:val="none"/>
          <w:lang w:val="zh-CN"/>
        </w:rPr>
      </w:pPr>
      <w:r>
        <w:rPr>
          <w:rStyle w:val="75"/>
          <w:rFonts w:hint="eastAsia" w:ascii="宋体" w:hAnsi="宋体" w:cs="宋体"/>
          <w:color w:val="auto"/>
          <w:sz w:val="28"/>
          <w:szCs w:val="28"/>
          <w:highlight w:val="none"/>
          <w:lang w:val="zh-CN"/>
        </w:rPr>
        <w:t>投标单位（</w:t>
      </w:r>
      <w:r>
        <w:rPr>
          <w:rStyle w:val="75"/>
          <w:rFonts w:hint="eastAsia" w:ascii="宋体" w:hAnsi="宋体" w:cs="宋体"/>
          <w:color w:val="auto"/>
          <w:sz w:val="28"/>
          <w:szCs w:val="28"/>
          <w:highlight w:val="none"/>
        </w:rPr>
        <w:t>盖章</w:t>
      </w:r>
      <w:r>
        <w:rPr>
          <w:rStyle w:val="75"/>
          <w:rFonts w:hint="eastAsia" w:ascii="宋体" w:hAnsi="宋体" w:cs="宋体"/>
          <w:color w:val="auto"/>
          <w:sz w:val="28"/>
          <w:szCs w:val="28"/>
          <w:highlight w:val="none"/>
          <w:lang w:val="zh-CN"/>
        </w:rPr>
        <w:t>）：</w:t>
      </w:r>
      <w:r>
        <w:rPr>
          <w:rStyle w:val="75"/>
          <w:rFonts w:hint="eastAsia" w:ascii="宋体" w:hAnsi="宋体" w:cs="宋体"/>
          <w:color w:val="auto"/>
          <w:sz w:val="28"/>
          <w:szCs w:val="28"/>
          <w:highlight w:val="none"/>
          <w:u w:val="single" w:color="000000"/>
        </w:rPr>
        <w:t xml:space="preserve">                  </w:t>
      </w:r>
      <w:r>
        <w:rPr>
          <w:rStyle w:val="75"/>
          <w:rFonts w:hint="eastAsia" w:ascii="宋体" w:hAnsi="宋体" w:cs="宋体"/>
          <w:color w:val="auto"/>
          <w:sz w:val="28"/>
          <w:szCs w:val="28"/>
          <w:highlight w:val="none"/>
          <w:u w:val="single" w:color="000000"/>
          <w:lang w:val="zh-CN"/>
        </w:rPr>
        <w:t xml:space="preserve">                 </w:t>
      </w:r>
    </w:p>
    <w:p w14:paraId="7132B2D5">
      <w:pPr>
        <w:spacing w:line="480" w:lineRule="auto"/>
        <w:ind w:firstLine="560" w:firstLineChars="200"/>
        <w:textAlignment w:val="baseline"/>
        <w:rPr>
          <w:rStyle w:val="75"/>
          <w:rFonts w:hint="eastAsia" w:ascii="宋体" w:hAnsi="宋体" w:cs="宋体"/>
          <w:color w:val="auto"/>
          <w:sz w:val="28"/>
          <w:szCs w:val="28"/>
          <w:highlight w:val="none"/>
        </w:rPr>
      </w:pPr>
      <w:r>
        <w:rPr>
          <w:rStyle w:val="75"/>
          <w:rFonts w:hint="eastAsia" w:ascii="宋体" w:hAnsi="宋体" w:cs="宋体"/>
          <w:color w:val="auto"/>
          <w:sz w:val="28"/>
          <w:szCs w:val="28"/>
          <w:highlight w:val="none"/>
        </w:rPr>
        <w:t>法定代表人或委托代理人（签字或盖章）：</w:t>
      </w:r>
      <w:r>
        <w:rPr>
          <w:rStyle w:val="75"/>
          <w:rFonts w:hint="eastAsia" w:ascii="宋体" w:hAnsi="宋体" w:cs="宋体"/>
          <w:color w:val="auto"/>
          <w:sz w:val="28"/>
          <w:szCs w:val="28"/>
          <w:highlight w:val="none"/>
          <w:u w:val="single" w:color="000000"/>
        </w:rPr>
        <w:t xml:space="preserve">               </w:t>
      </w:r>
    </w:p>
    <w:p w14:paraId="0990D721">
      <w:pPr>
        <w:spacing w:line="480" w:lineRule="auto"/>
        <w:ind w:firstLine="560" w:firstLineChars="200"/>
        <w:textAlignment w:val="baseline"/>
        <w:rPr>
          <w:rStyle w:val="75"/>
          <w:rFonts w:hint="eastAsia" w:ascii="宋体" w:hAnsi="宋体" w:cs="宋体"/>
          <w:color w:val="auto"/>
          <w:sz w:val="28"/>
          <w:szCs w:val="28"/>
          <w:highlight w:val="none"/>
        </w:rPr>
      </w:pPr>
      <w:r>
        <w:rPr>
          <w:rStyle w:val="75"/>
          <w:rFonts w:hint="eastAsia" w:ascii="宋体" w:hAnsi="宋体" w:cs="宋体"/>
          <w:color w:val="auto"/>
          <w:sz w:val="28"/>
          <w:szCs w:val="28"/>
          <w:highlight w:val="none"/>
        </w:rPr>
        <w:t>投标单位地址:</w:t>
      </w:r>
      <w:r>
        <w:rPr>
          <w:rStyle w:val="75"/>
          <w:rFonts w:hint="eastAsia" w:ascii="宋体" w:hAnsi="宋体" w:cs="宋体"/>
          <w:color w:val="auto"/>
          <w:sz w:val="28"/>
          <w:szCs w:val="28"/>
          <w:highlight w:val="none"/>
          <w:lang w:val="zh-CN"/>
        </w:rPr>
        <w:t xml:space="preserve">  </w:t>
      </w:r>
      <w:r>
        <w:rPr>
          <w:rStyle w:val="75"/>
          <w:rFonts w:hint="eastAsia" w:ascii="宋体" w:hAnsi="宋体" w:cs="宋体"/>
          <w:color w:val="auto"/>
          <w:sz w:val="28"/>
          <w:szCs w:val="28"/>
          <w:highlight w:val="none"/>
          <w:u w:val="single" w:color="000000"/>
        </w:rPr>
        <w:t xml:space="preserve">                  </w:t>
      </w:r>
      <w:r>
        <w:rPr>
          <w:rStyle w:val="75"/>
          <w:rFonts w:hint="eastAsia" w:ascii="宋体" w:hAnsi="宋体" w:cs="宋体"/>
          <w:color w:val="auto"/>
          <w:sz w:val="28"/>
          <w:szCs w:val="28"/>
          <w:highlight w:val="none"/>
          <w:u w:val="single" w:color="000000"/>
          <w:lang w:val="zh-CN"/>
        </w:rPr>
        <w:t xml:space="preserve">          </w:t>
      </w:r>
      <w:r>
        <w:rPr>
          <w:rStyle w:val="75"/>
          <w:rFonts w:hint="eastAsia" w:ascii="宋体" w:hAnsi="宋体" w:cs="宋体"/>
          <w:color w:val="auto"/>
          <w:sz w:val="28"/>
          <w:szCs w:val="28"/>
          <w:highlight w:val="none"/>
          <w:u w:val="single" w:color="000000"/>
        </w:rPr>
        <w:t xml:space="preserve">      </w:t>
      </w:r>
      <w:r>
        <w:rPr>
          <w:rStyle w:val="75"/>
          <w:rFonts w:hint="eastAsia" w:ascii="宋体" w:hAnsi="宋体" w:cs="宋体"/>
          <w:color w:val="auto"/>
          <w:sz w:val="28"/>
          <w:szCs w:val="28"/>
          <w:highlight w:val="none"/>
          <w:u w:val="single" w:color="000000"/>
          <w:lang w:val="zh-CN"/>
        </w:rPr>
        <w:t xml:space="preserve">  </w:t>
      </w:r>
      <w:r>
        <w:rPr>
          <w:rStyle w:val="75"/>
          <w:rFonts w:hint="eastAsia" w:ascii="宋体" w:hAnsi="宋体" w:cs="宋体"/>
          <w:color w:val="auto"/>
          <w:sz w:val="28"/>
          <w:szCs w:val="28"/>
          <w:highlight w:val="none"/>
          <w:u w:val="single" w:color="000000"/>
        </w:rPr>
        <w:t xml:space="preserve">  </w:t>
      </w:r>
    </w:p>
    <w:p w14:paraId="2689DC87">
      <w:pPr>
        <w:tabs>
          <w:tab w:val="left" w:pos="1140"/>
        </w:tabs>
        <w:snapToGrid w:val="0"/>
        <w:spacing w:line="360" w:lineRule="auto"/>
        <w:jc w:val="right"/>
        <w:textAlignment w:val="baseline"/>
        <w:rPr>
          <w:rStyle w:val="75"/>
          <w:rFonts w:hint="eastAsia" w:ascii="宋体" w:hAnsi="宋体" w:cs="宋体"/>
          <w:color w:val="auto"/>
          <w:sz w:val="28"/>
          <w:szCs w:val="28"/>
          <w:highlight w:val="none"/>
        </w:rPr>
      </w:pPr>
    </w:p>
    <w:p w14:paraId="5EE62979">
      <w:pPr>
        <w:tabs>
          <w:tab w:val="left" w:pos="1140"/>
        </w:tabs>
        <w:snapToGrid w:val="0"/>
        <w:spacing w:line="360" w:lineRule="auto"/>
        <w:jc w:val="right"/>
        <w:textAlignment w:val="baseline"/>
        <w:rPr>
          <w:rStyle w:val="75"/>
          <w:rFonts w:hint="eastAsia" w:ascii="宋体" w:hAnsi="宋体" w:cs="宋体"/>
          <w:color w:val="auto"/>
          <w:sz w:val="28"/>
          <w:szCs w:val="28"/>
          <w:highlight w:val="none"/>
        </w:rPr>
      </w:pPr>
      <w:r>
        <w:rPr>
          <w:rStyle w:val="75"/>
          <w:rFonts w:hint="eastAsia" w:ascii="宋体" w:hAnsi="宋体" w:cs="宋体"/>
          <w:color w:val="auto"/>
          <w:sz w:val="28"/>
          <w:szCs w:val="28"/>
          <w:highlight w:val="none"/>
        </w:rPr>
        <w:t>年    月    日</w:t>
      </w:r>
    </w:p>
    <w:p w14:paraId="59E235CB">
      <w:pPr>
        <w:rPr>
          <w:rStyle w:val="75"/>
          <w:rFonts w:hint="eastAsia" w:ascii="宋体" w:hAnsi="宋体" w:cs="宋体"/>
          <w:color w:val="auto"/>
          <w:sz w:val="28"/>
          <w:szCs w:val="28"/>
          <w:highlight w:val="none"/>
        </w:rPr>
      </w:pPr>
      <w:r>
        <w:rPr>
          <w:rStyle w:val="75"/>
          <w:rFonts w:hint="eastAsia" w:ascii="宋体" w:hAnsi="宋体" w:cs="宋体"/>
          <w:color w:val="auto"/>
          <w:sz w:val="28"/>
          <w:szCs w:val="28"/>
          <w:highlight w:val="none"/>
        </w:rPr>
        <w:br w:type="page"/>
      </w:r>
    </w:p>
    <w:p w14:paraId="22FA0C28">
      <w:pPr>
        <w:spacing w:line="360" w:lineRule="auto"/>
        <w:textAlignment w:val="baseline"/>
        <w:rPr>
          <w:rStyle w:val="75"/>
          <w:rFonts w:hint="eastAsia" w:ascii="宋体" w:hAnsi="宋体" w:cs="宋体"/>
          <w:b/>
          <w:color w:val="auto"/>
          <w:sz w:val="28"/>
          <w:szCs w:val="28"/>
          <w:highlight w:val="none"/>
        </w:rPr>
      </w:pPr>
      <w:r>
        <w:rPr>
          <w:rStyle w:val="75"/>
          <w:rFonts w:hint="eastAsia" w:ascii="宋体" w:hAnsi="宋体" w:cs="宋体"/>
          <w:b/>
          <w:color w:val="auto"/>
          <w:sz w:val="28"/>
          <w:szCs w:val="28"/>
          <w:highlight w:val="none"/>
        </w:rPr>
        <w:t>2.投标文件目录格式</w:t>
      </w:r>
    </w:p>
    <w:p w14:paraId="30F592C6">
      <w:pPr>
        <w:pStyle w:val="2"/>
        <w:rPr>
          <w:rFonts w:hint="eastAsia"/>
          <w:color w:val="auto"/>
          <w:highlight w:val="none"/>
        </w:rPr>
      </w:pPr>
    </w:p>
    <w:p w14:paraId="236DD4AE">
      <w:pPr>
        <w:spacing w:line="360" w:lineRule="auto"/>
        <w:jc w:val="center"/>
        <w:rPr>
          <w:rStyle w:val="75"/>
          <w:rFonts w:hint="eastAsia" w:ascii="宋体" w:hAnsi="宋体" w:cs="宋体"/>
          <w:color w:val="auto"/>
          <w:sz w:val="44"/>
          <w:szCs w:val="44"/>
          <w:highlight w:val="none"/>
        </w:rPr>
      </w:pPr>
      <w:r>
        <w:rPr>
          <w:rFonts w:hint="eastAsia" w:ascii="宋体" w:hAnsi="宋体" w:cs="宋体"/>
          <w:b/>
          <w:color w:val="auto"/>
          <w:sz w:val="44"/>
          <w:szCs w:val="44"/>
          <w:highlight w:val="none"/>
        </w:rPr>
        <w:t>目  录</w:t>
      </w:r>
    </w:p>
    <w:p w14:paraId="7C5EF994">
      <w:pPr>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一、投标函（格式附后）</w:t>
      </w:r>
    </w:p>
    <w:p w14:paraId="72374B7C">
      <w:pPr>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二、法定代表人身份证明或法人授权委托书（格式附后）</w:t>
      </w:r>
    </w:p>
    <w:p w14:paraId="4E1A9169">
      <w:pPr>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三、开标一览表（格式附后）</w:t>
      </w:r>
    </w:p>
    <w:p w14:paraId="3B0506D0">
      <w:pPr>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四、商务及技术偏离表（格式附后）</w:t>
      </w:r>
    </w:p>
    <w:p w14:paraId="326D046B">
      <w:pPr>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五、资格证明文件（具体要求详见采购文件）</w:t>
      </w:r>
    </w:p>
    <w:p w14:paraId="626F2C16">
      <w:pPr>
        <w:pStyle w:val="3"/>
        <w:ind w:firstLine="482" w:firstLineChars="200"/>
        <w:jc w:val="both"/>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①</w:t>
      </w:r>
      <w:r>
        <w:rPr>
          <w:rFonts w:hint="eastAsia" w:ascii="宋体" w:hAnsi="宋体" w:eastAsia="宋体" w:cs="宋体"/>
          <w:b/>
          <w:color w:val="auto"/>
          <w:sz w:val="24"/>
          <w:highlight w:val="none"/>
        </w:rPr>
        <w:t>符合《中华人民共和国政府采购法》第二十二条的相关规定</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②企业资格；③项目负责人资格；④信用查询；⑤投标保证金；⑥未组成联合投标；⑦其它要求；⑧企业声明函（格式附后）。</w:t>
      </w:r>
    </w:p>
    <w:p w14:paraId="59DDE72E">
      <w:pPr>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lang w:val="ru-RU" w:eastAsia="zh-CN"/>
        </w:rPr>
        <w:t>近三年</w:t>
      </w:r>
      <w:r>
        <w:rPr>
          <w:rFonts w:hint="eastAsia" w:ascii="宋体" w:hAnsi="宋体" w:eastAsia="宋体" w:cs="宋体"/>
          <w:color w:val="auto"/>
          <w:sz w:val="24"/>
          <w:szCs w:val="24"/>
          <w:highlight w:val="none"/>
          <w:lang w:val="en-US" w:eastAsia="zh-CN"/>
        </w:rPr>
        <w:t>企业类似业绩（格式附后）</w:t>
      </w:r>
    </w:p>
    <w:p w14:paraId="2A29B876">
      <w:pPr>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lang w:val="zh-CN" w:eastAsia="zh-CN"/>
        </w:rPr>
        <w:t>项目管理人员（</w:t>
      </w:r>
      <w:r>
        <w:rPr>
          <w:rFonts w:hint="eastAsia" w:ascii="宋体" w:hAnsi="宋体" w:eastAsia="宋体" w:cs="宋体"/>
          <w:color w:val="auto"/>
          <w:sz w:val="24"/>
          <w:szCs w:val="24"/>
          <w:highlight w:val="none"/>
          <w:lang w:val="en-US" w:eastAsia="zh-CN"/>
        </w:rPr>
        <w:t>格式附后</w:t>
      </w:r>
      <w:r>
        <w:rPr>
          <w:rFonts w:hint="eastAsia" w:ascii="宋体" w:hAnsi="宋体" w:eastAsia="宋体" w:cs="宋体"/>
          <w:color w:val="auto"/>
          <w:sz w:val="24"/>
          <w:szCs w:val="24"/>
          <w:highlight w:val="none"/>
          <w:lang w:val="zh-CN" w:eastAsia="zh-CN"/>
        </w:rPr>
        <w:t>）</w:t>
      </w:r>
    </w:p>
    <w:p w14:paraId="28E54574">
      <w:pPr>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八、施工组织设计（技术标）</w:t>
      </w:r>
    </w:p>
    <w:p w14:paraId="1BA2DCC3">
      <w:pPr>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（1）施工方案及技术措施</w:t>
      </w:r>
    </w:p>
    <w:p w14:paraId="17063917">
      <w:pPr>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（2）确保工期的技术组织措施</w:t>
      </w:r>
    </w:p>
    <w:p w14:paraId="2F71F52E">
      <w:pPr>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（3）确保工程质量的技术组织措施</w:t>
      </w:r>
    </w:p>
    <w:p w14:paraId="2DF9271E">
      <w:pPr>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（4）安全管理体系与措施</w:t>
      </w:r>
    </w:p>
    <w:p w14:paraId="3DE2EF0C">
      <w:pPr>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（5）确保文明施工与环境保护的技术组织措施</w:t>
      </w:r>
    </w:p>
    <w:p w14:paraId="63531523">
      <w:pPr>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九、投标预算（商务标）</w:t>
      </w:r>
    </w:p>
    <w:p w14:paraId="42D5F7C7">
      <w:pPr>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十、提供其它有利于磋商的资料</w:t>
      </w:r>
    </w:p>
    <w:p w14:paraId="0FE95BCC">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p>
    <w:p w14:paraId="29731FB4">
      <w:pPr>
        <w:pStyle w:val="2"/>
        <w:jc w:val="both"/>
        <w:rPr>
          <w:rFonts w:hint="default" w:eastAsia="宋体"/>
          <w:color w:val="auto"/>
          <w:sz w:val="28"/>
          <w:szCs w:val="28"/>
          <w:highlight w:val="none"/>
          <w:lang w:val="en-US" w:eastAsia="zh-CN"/>
        </w:rPr>
      </w:pPr>
      <w:r>
        <w:rPr>
          <w:rFonts w:hint="eastAsia"/>
          <w:color w:val="auto"/>
          <w:sz w:val="28"/>
          <w:szCs w:val="28"/>
          <w:highlight w:val="none"/>
          <w:lang w:val="en-US" w:eastAsia="zh-CN"/>
        </w:rPr>
        <w:t>一、投标函格式：</w:t>
      </w:r>
    </w:p>
    <w:p w14:paraId="0C3A5180">
      <w:pPr>
        <w:spacing w:line="440" w:lineRule="exact"/>
        <w:jc w:val="center"/>
        <w:rPr>
          <w:rFonts w:hint="eastAsia" w:ascii="宋体" w:hAnsi="宋体"/>
          <w:b/>
          <w:color w:val="auto"/>
          <w:kern w:val="0"/>
          <w:highlight w:val="none"/>
        </w:rPr>
      </w:pPr>
    </w:p>
    <w:p w14:paraId="27F4AD71">
      <w:pPr>
        <w:pStyle w:val="2"/>
        <w:keepLines/>
        <w:spacing w:line="360" w:lineRule="auto"/>
        <w:ind w:left="0" w:leftChars="0"/>
        <w:jc w:val="center"/>
        <w:rPr>
          <w:rFonts w:hint="eastAsia" w:ascii="Cambria" w:hAnsi="Cambria" w:eastAsia="宋体" w:cs="Times New Roman"/>
          <w:bCs/>
          <w:color w:val="auto"/>
          <w:kern w:val="44"/>
          <w:sz w:val="32"/>
          <w:szCs w:val="32"/>
          <w:highlight w:val="none"/>
          <w:lang w:val="en-US" w:eastAsia="zh-CN"/>
        </w:rPr>
      </w:pPr>
      <w:r>
        <w:rPr>
          <w:rFonts w:hint="eastAsia" w:ascii="Cambria" w:hAnsi="Cambria" w:eastAsia="宋体" w:cs="Times New Roman"/>
          <w:bCs/>
          <w:color w:val="auto"/>
          <w:kern w:val="44"/>
          <w:sz w:val="32"/>
          <w:szCs w:val="32"/>
          <w:highlight w:val="none"/>
          <w:lang w:val="en-US" w:eastAsia="zh-CN"/>
        </w:rPr>
        <w:t>投  标  函</w:t>
      </w:r>
    </w:p>
    <w:p w14:paraId="27212DFB">
      <w:pPr>
        <w:spacing w:line="360" w:lineRule="auto"/>
        <w:ind w:left="484" w:leftChars="1" w:hanging="482" w:hangingChars="20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                            </w:t>
      </w:r>
    </w:p>
    <w:p w14:paraId="14F4EB40">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1、根据已收到的</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工程的竞争性磋商文件，我单位经考察现场和研究贵方的竞争性磋商文件后，将接受该工程竞争性磋商文件中的各条款内容并且以</w:t>
      </w:r>
      <w:r>
        <w:rPr>
          <w:rFonts w:hint="eastAsia" w:ascii="宋体" w:hAnsi="宋体" w:eastAsia="宋体" w:cs="宋体"/>
          <w:color w:val="auto"/>
          <w:kern w:val="2"/>
          <w:sz w:val="24"/>
          <w:szCs w:val="24"/>
          <w:highlight w:val="none"/>
          <w:u w:val="single"/>
          <w:lang w:val="en-US" w:eastAsia="zh-CN" w:bidi="ar-SA"/>
        </w:rPr>
        <w:t xml:space="preserve">   （元）</w:t>
      </w:r>
      <w:r>
        <w:rPr>
          <w:rFonts w:hint="eastAsia" w:ascii="宋体" w:hAnsi="宋体" w:eastAsia="宋体" w:cs="宋体"/>
          <w:color w:val="auto"/>
          <w:kern w:val="2"/>
          <w:sz w:val="24"/>
          <w:szCs w:val="24"/>
          <w:highlight w:val="none"/>
          <w:lang w:val="en-US" w:eastAsia="zh-CN" w:bidi="ar-SA"/>
        </w:rPr>
        <w:t>的投标价格承包本招标范围内的工程。</w:t>
      </w:r>
    </w:p>
    <w:p w14:paraId="72572149">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2、如果我方中标，非业主原因，我方保证将在下列日期内组织施工：工期</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日历天，计划</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年</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月</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日开工，计划</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年</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月</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日竣工；</w:t>
      </w:r>
    </w:p>
    <w:p w14:paraId="1685635F">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r>
        <w:rPr>
          <w:rFonts w:hint="eastAsia" w:ascii="宋体" w:hAnsi="宋体" w:cs="宋体"/>
          <w:color w:val="auto"/>
          <w:sz w:val="24"/>
          <w:szCs w:val="24"/>
          <w:highlight w:val="none"/>
        </w:rPr>
        <w:t>我方承诺按照磋商文件要求</w:t>
      </w:r>
      <w:r>
        <w:rPr>
          <w:rFonts w:hint="eastAsia" w:ascii="宋体" w:hAnsi="宋体" w:cs="宋体"/>
          <w:color w:val="auto"/>
          <w:sz w:val="24"/>
          <w:szCs w:val="24"/>
          <w:highlight w:val="none"/>
          <w:lang w:val="en-US" w:eastAsia="zh-CN"/>
        </w:rPr>
        <w:t>进行施工</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质量要求为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建设地点为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承包方方式为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，质</w:t>
      </w:r>
      <w:r>
        <w:rPr>
          <w:rFonts w:hint="eastAsia" w:ascii="宋体" w:hAnsi="宋体" w:cs="宋体"/>
          <w:color w:val="auto"/>
          <w:sz w:val="24"/>
          <w:szCs w:val="24"/>
          <w:highlight w:val="none"/>
          <w:lang w:val="en-US" w:eastAsia="zh-CN"/>
        </w:rPr>
        <w:t>量保修期</w:t>
      </w:r>
      <w:r>
        <w:rPr>
          <w:rFonts w:hint="eastAsia" w:ascii="宋体" w:hAnsi="宋体" w:cs="宋体"/>
          <w:color w:val="auto"/>
          <w:sz w:val="24"/>
          <w:szCs w:val="24"/>
          <w:highlight w:val="none"/>
        </w:rPr>
        <w:t>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，质保金为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责任缺陷期为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，付款方式为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，磋商有效期为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，投标保证金为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lang w:eastAsia="zh-CN"/>
        </w:rPr>
        <w:t>。</w:t>
      </w:r>
    </w:p>
    <w:p w14:paraId="41871093">
      <w:pPr>
        <w:numPr>
          <w:ilvl w:val="0"/>
          <w:numId w:val="0"/>
        </w:num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4、如果我方中标，我方将按竞争性磋商文件规定的时间内签订承包合同。</w:t>
      </w:r>
    </w:p>
    <w:p w14:paraId="04EE4848">
      <w:pPr>
        <w:numPr>
          <w:ilvl w:val="0"/>
          <w:numId w:val="0"/>
        </w:numPr>
        <w:spacing w:line="360" w:lineRule="auto"/>
        <w:ind w:leftChars="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5、贵方的竞争性磋商文件、中标通知书（或成交通知书）、我方的投标文件将构成约束双方的合同一部分。</w:t>
      </w:r>
    </w:p>
    <w:p w14:paraId="056716D2">
      <w:pPr>
        <w:spacing w:line="360" w:lineRule="auto"/>
        <w:ind w:firstLine="42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6、如果我方未中标，贵方没有必要对我方做出任何解释和说明，我方将充分尊重和理解贵方的选择。</w:t>
      </w:r>
    </w:p>
    <w:p w14:paraId="727F7295">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7、我方愿意遵守国家有关规定和招标文件中规定的收费标准,承付中标服务费。</w:t>
      </w:r>
    </w:p>
    <w:p w14:paraId="05D00427">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8、其它承诺事宜： </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w:t>
      </w:r>
    </w:p>
    <w:p w14:paraId="4960CE5C">
      <w:pPr>
        <w:pStyle w:val="24"/>
        <w:rPr>
          <w:rFonts w:hint="default" w:ascii="宋体" w:hAnsi="宋体" w:eastAsia="宋体" w:cs="宋体"/>
          <w:color w:val="auto"/>
          <w:kern w:val="2"/>
          <w:sz w:val="24"/>
          <w:szCs w:val="24"/>
          <w:highlight w:val="none"/>
          <w:lang w:val="en-US" w:eastAsia="zh-CN" w:bidi="ar-SA"/>
        </w:rPr>
      </w:pPr>
    </w:p>
    <w:p w14:paraId="0C91C436">
      <w:pPr>
        <w:pStyle w:val="88"/>
        <w:rPr>
          <w:rFonts w:hint="default" w:ascii="宋体" w:hAnsi="宋体" w:eastAsia="宋体" w:cs="宋体"/>
          <w:color w:val="auto"/>
          <w:kern w:val="2"/>
          <w:sz w:val="24"/>
          <w:szCs w:val="24"/>
          <w:highlight w:val="none"/>
          <w:lang w:val="en-US" w:eastAsia="zh-CN" w:bidi="ar-SA"/>
        </w:rPr>
      </w:pPr>
    </w:p>
    <w:p w14:paraId="01EF28DC">
      <w:pPr>
        <w:rPr>
          <w:rFonts w:hint="eastAsia" w:ascii="宋体" w:hAnsi="宋体" w:eastAsia="宋体" w:cs="宋体"/>
          <w:color w:val="auto"/>
          <w:kern w:val="2"/>
          <w:sz w:val="24"/>
          <w:szCs w:val="24"/>
          <w:highlight w:val="none"/>
          <w:lang w:val="en-US" w:eastAsia="zh-CN" w:bidi="ar-SA"/>
        </w:rPr>
      </w:pPr>
    </w:p>
    <w:p w14:paraId="5F629805">
      <w:pPr>
        <w:numPr>
          <w:ilvl w:val="0"/>
          <w:numId w:val="0"/>
        </w:numPr>
        <w:spacing w:line="360" w:lineRule="auto"/>
        <w:ind w:leftChars="0" w:firstLine="1680" w:firstLineChars="7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投标单位（盖章）：</w:t>
      </w:r>
      <w:r>
        <w:rPr>
          <w:rFonts w:hint="eastAsia" w:ascii="宋体" w:hAnsi="宋体" w:eastAsia="宋体" w:cs="宋体"/>
          <w:color w:val="auto"/>
          <w:kern w:val="2"/>
          <w:sz w:val="24"/>
          <w:szCs w:val="24"/>
          <w:highlight w:val="none"/>
          <w:u w:val="single"/>
          <w:lang w:val="en-US" w:eastAsia="zh-CN" w:bidi="ar-SA"/>
        </w:rPr>
        <w:t xml:space="preserve">                                      </w:t>
      </w:r>
    </w:p>
    <w:p w14:paraId="7E51C48E">
      <w:pPr>
        <w:numPr>
          <w:ilvl w:val="0"/>
          <w:numId w:val="0"/>
        </w:numPr>
        <w:spacing w:line="360" w:lineRule="auto"/>
        <w:ind w:leftChars="0" w:firstLine="480" w:firstLineChars="200"/>
        <w:rPr>
          <w:rFonts w:hint="eastAsia" w:ascii="宋体" w:hAnsi="宋体" w:eastAsia="宋体" w:cs="宋体"/>
          <w:color w:val="auto"/>
          <w:kern w:val="2"/>
          <w:sz w:val="24"/>
          <w:szCs w:val="24"/>
          <w:highlight w:val="none"/>
          <w:lang w:val="en-US" w:eastAsia="zh-CN" w:bidi="ar-SA"/>
        </w:rPr>
      </w:pPr>
    </w:p>
    <w:p w14:paraId="44F72CD1">
      <w:pPr>
        <w:numPr>
          <w:ilvl w:val="0"/>
          <w:numId w:val="0"/>
        </w:numPr>
        <w:spacing w:line="360" w:lineRule="auto"/>
        <w:ind w:leftChars="0" w:firstLine="1680" w:firstLineChars="700"/>
        <w:rPr>
          <w:rFonts w:hint="default"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lang w:val="en-US" w:eastAsia="zh-CN" w:bidi="ar-SA"/>
        </w:rPr>
        <w:t>法定代表人或委托代理人（签字或盖章）：</w:t>
      </w:r>
      <w:r>
        <w:rPr>
          <w:rFonts w:hint="eastAsia" w:ascii="宋体" w:hAnsi="宋体" w:eastAsia="宋体" w:cs="宋体"/>
          <w:color w:val="auto"/>
          <w:kern w:val="2"/>
          <w:sz w:val="24"/>
          <w:szCs w:val="24"/>
          <w:highlight w:val="none"/>
          <w:u w:val="single"/>
          <w:lang w:val="en-US" w:eastAsia="zh-CN" w:bidi="ar-SA"/>
        </w:rPr>
        <w:t xml:space="preserve">                  </w:t>
      </w:r>
    </w:p>
    <w:p w14:paraId="335DA7FC">
      <w:pPr>
        <w:numPr>
          <w:ilvl w:val="0"/>
          <w:numId w:val="0"/>
        </w:numPr>
        <w:spacing w:line="360" w:lineRule="auto"/>
        <w:ind w:leftChars="0" w:firstLine="480" w:firstLineChars="200"/>
        <w:rPr>
          <w:rFonts w:hint="eastAsia" w:ascii="宋体" w:hAnsi="宋体" w:eastAsia="宋体" w:cs="宋体"/>
          <w:color w:val="auto"/>
          <w:kern w:val="2"/>
          <w:sz w:val="24"/>
          <w:szCs w:val="24"/>
          <w:highlight w:val="none"/>
          <w:lang w:val="en-US" w:eastAsia="zh-CN" w:bidi="ar-SA"/>
        </w:rPr>
      </w:pPr>
    </w:p>
    <w:p w14:paraId="7838BEC2">
      <w:pPr>
        <w:numPr>
          <w:ilvl w:val="0"/>
          <w:numId w:val="0"/>
        </w:numPr>
        <w:spacing w:line="360" w:lineRule="auto"/>
        <w:ind w:leftChars="0" w:firstLine="1680" w:firstLineChars="7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日  期：    年    月    日</w:t>
      </w:r>
    </w:p>
    <w:p w14:paraId="6A767E2A">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br w:type="page"/>
      </w:r>
    </w:p>
    <w:p w14:paraId="06A87820">
      <w:pPr>
        <w:pStyle w:val="8"/>
        <w:ind w:left="0" w:leftChars="0" w:firstLine="0" w:firstLineChars="0"/>
        <w:rPr>
          <w:rFonts w:hint="default" w:ascii="Cambria" w:hAnsi="Cambria" w:eastAsia="宋体" w:cs="Times New Roman"/>
          <w:b/>
          <w:bCs/>
          <w:color w:val="auto"/>
          <w:kern w:val="44"/>
          <w:sz w:val="28"/>
          <w:szCs w:val="28"/>
          <w:highlight w:val="none"/>
          <w:lang w:val="en-US" w:eastAsia="zh-CN" w:bidi="ar-SA"/>
        </w:rPr>
      </w:pPr>
      <w:r>
        <w:rPr>
          <w:rFonts w:hint="eastAsia" w:ascii="Cambria" w:hAnsi="Cambria" w:eastAsia="宋体" w:cs="Times New Roman"/>
          <w:b/>
          <w:bCs/>
          <w:color w:val="auto"/>
          <w:kern w:val="44"/>
          <w:sz w:val="28"/>
          <w:szCs w:val="28"/>
          <w:highlight w:val="none"/>
          <w:lang w:val="en-US" w:eastAsia="zh-CN" w:bidi="ar-SA"/>
        </w:rPr>
        <w:t>二、法定代表人身份证明或法人授权委托书格式：</w:t>
      </w:r>
    </w:p>
    <w:p w14:paraId="21A4232B">
      <w:pPr>
        <w:ind w:left="0" w:leftChars="0" w:firstLine="0" w:firstLineChars="0"/>
        <w:rPr>
          <w:rFonts w:hint="eastAsia" w:ascii="宋体" w:hAnsi="宋体"/>
          <w:b/>
          <w:color w:val="auto"/>
          <w:kern w:val="0"/>
          <w:highlight w:val="none"/>
        </w:rPr>
      </w:pPr>
    </w:p>
    <w:p w14:paraId="5FF9081A">
      <w:pPr>
        <w:pStyle w:val="89"/>
        <w:jc w:val="both"/>
        <w:outlineLvl w:val="9"/>
        <w:rPr>
          <w:rFonts w:hint="eastAsia" w:cs="宋体"/>
          <w:b w:val="0"/>
          <w:color w:val="auto"/>
          <w:sz w:val="28"/>
          <w:szCs w:val="28"/>
          <w:highlight w:val="none"/>
        </w:rPr>
      </w:pPr>
      <w:bookmarkStart w:id="147" w:name="_Toc480371721"/>
      <w:bookmarkStart w:id="148" w:name="_Toc480368595"/>
      <w:bookmarkStart w:id="149" w:name="_Toc480368653"/>
      <w:bookmarkStart w:id="150" w:name="_Toc480368424"/>
      <w:bookmarkStart w:id="151" w:name="_Toc15747"/>
      <w:bookmarkStart w:id="152" w:name="_Toc18505"/>
      <w:bookmarkStart w:id="153" w:name="_Toc30613"/>
    </w:p>
    <w:bookmarkEnd w:id="147"/>
    <w:bookmarkEnd w:id="148"/>
    <w:bookmarkEnd w:id="149"/>
    <w:bookmarkEnd w:id="150"/>
    <w:p w14:paraId="7B269251">
      <w:pPr>
        <w:pStyle w:val="2"/>
        <w:jc w:val="center"/>
        <w:rPr>
          <w:rFonts w:hint="eastAsia" w:ascii="宋体" w:hAnsi="宋体" w:cs="宋体"/>
          <w:color w:val="auto"/>
          <w:kern w:val="0"/>
          <w:sz w:val="28"/>
          <w:szCs w:val="28"/>
          <w:highlight w:val="none"/>
        </w:rPr>
      </w:pPr>
      <w:r>
        <w:rPr>
          <w:rFonts w:hint="eastAsia" w:eastAsia="宋体" w:cs="Times New Roman"/>
          <w:b/>
          <w:bCs/>
          <w:color w:val="auto"/>
          <w:highlight w:val="none"/>
          <w:lang w:val="en-US" w:eastAsia="zh-CN"/>
        </w:rPr>
        <w:t>法定代表人身份证明书</w:t>
      </w:r>
    </w:p>
    <w:p w14:paraId="57DE93F6">
      <w:pPr>
        <w:jc w:val="center"/>
        <w:rPr>
          <w:rFonts w:hint="eastAsia" w:ascii="宋体" w:hAnsi="宋体" w:cs="宋体"/>
          <w:color w:val="auto"/>
          <w:kern w:val="0"/>
          <w:sz w:val="28"/>
          <w:szCs w:val="28"/>
          <w:highlight w:val="none"/>
        </w:rPr>
      </w:pPr>
    </w:p>
    <w:p w14:paraId="0DCB1732">
      <w:pPr>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企业名称：</w:t>
      </w:r>
      <w:r>
        <w:rPr>
          <w:rFonts w:hint="eastAsia" w:ascii="宋体" w:hAnsi="宋体" w:cs="宋体"/>
          <w:color w:val="auto"/>
          <w:kern w:val="0"/>
          <w:sz w:val="24"/>
          <w:szCs w:val="24"/>
          <w:highlight w:val="none"/>
          <w:u w:val="single"/>
        </w:rPr>
        <w:t xml:space="preserve">                                                   </w:t>
      </w:r>
    </w:p>
    <w:p w14:paraId="20BCADA7">
      <w:pPr>
        <w:rPr>
          <w:rFonts w:hint="eastAsia" w:ascii="宋体" w:hAnsi="宋体" w:cs="宋体"/>
          <w:color w:val="auto"/>
          <w:kern w:val="0"/>
          <w:sz w:val="24"/>
          <w:szCs w:val="24"/>
          <w:highlight w:val="none"/>
          <w:u w:val="single"/>
        </w:rPr>
      </w:pPr>
    </w:p>
    <w:p w14:paraId="68CE78B4">
      <w:pPr>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企业类型：</w:t>
      </w:r>
      <w:r>
        <w:rPr>
          <w:rFonts w:hint="eastAsia" w:ascii="宋体" w:hAnsi="宋体" w:cs="宋体"/>
          <w:color w:val="auto"/>
          <w:kern w:val="0"/>
          <w:sz w:val="24"/>
          <w:szCs w:val="24"/>
          <w:highlight w:val="none"/>
          <w:u w:val="single"/>
        </w:rPr>
        <w:t xml:space="preserve">                                                   </w:t>
      </w:r>
    </w:p>
    <w:p w14:paraId="5EE3CB57">
      <w:pPr>
        <w:rPr>
          <w:rFonts w:hint="eastAsia" w:ascii="宋体" w:hAnsi="宋体" w:cs="宋体"/>
          <w:color w:val="auto"/>
          <w:kern w:val="0"/>
          <w:sz w:val="24"/>
          <w:szCs w:val="24"/>
          <w:highlight w:val="none"/>
        </w:rPr>
      </w:pPr>
    </w:p>
    <w:p w14:paraId="112819EB">
      <w:pPr>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地    址：</w:t>
      </w:r>
      <w:r>
        <w:rPr>
          <w:rFonts w:hint="eastAsia" w:ascii="宋体" w:hAnsi="宋体" w:cs="宋体"/>
          <w:color w:val="auto"/>
          <w:kern w:val="0"/>
          <w:sz w:val="24"/>
          <w:szCs w:val="24"/>
          <w:highlight w:val="none"/>
          <w:u w:val="single"/>
        </w:rPr>
        <w:t xml:space="preserve">                                                   </w:t>
      </w:r>
    </w:p>
    <w:p w14:paraId="372C17FB">
      <w:pPr>
        <w:rPr>
          <w:rFonts w:hint="eastAsia" w:ascii="宋体" w:hAnsi="宋体" w:cs="宋体"/>
          <w:color w:val="auto"/>
          <w:kern w:val="0"/>
          <w:sz w:val="24"/>
          <w:szCs w:val="24"/>
          <w:highlight w:val="none"/>
        </w:rPr>
      </w:pPr>
    </w:p>
    <w:p w14:paraId="3410283F">
      <w:pPr>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营业期限：</w:t>
      </w:r>
      <w:r>
        <w:rPr>
          <w:rFonts w:hint="eastAsia" w:ascii="宋体" w:hAnsi="宋体" w:cs="宋体"/>
          <w:color w:val="auto"/>
          <w:kern w:val="0"/>
          <w:sz w:val="24"/>
          <w:szCs w:val="24"/>
          <w:highlight w:val="none"/>
          <w:u w:val="single"/>
        </w:rPr>
        <w:t xml:space="preserve">                                                   </w:t>
      </w:r>
    </w:p>
    <w:p w14:paraId="0560C5CE">
      <w:pPr>
        <w:rPr>
          <w:rFonts w:hint="eastAsia" w:ascii="宋体" w:hAnsi="宋体" w:cs="宋体"/>
          <w:color w:val="auto"/>
          <w:kern w:val="0"/>
          <w:sz w:val="24"/>
          <w:szCs w:val="24"/>
          <w:highlight w:val="none"/>
        </w:rPr>
      </w:pPr>
    </w:p>
    <w:p w14:paraId="4D27DC30">
      <w:pPr>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成立时间：</w:t>
      </w:r>
      <w:r>
        <w:rPr>
          <w:rFonts w:hint="eastAsia" w:ascii="宋体" w:hAnsi="宋体" w:cs="宋体"/>
          <w:color w:val="auto"/>
          <w:kern w:val="0"/>
          <w:sz w:val="24"/>
          <w:szCs w:val="24"/>
          <w:highlight w:val="none"/>
          <w:u w:val="single"/>
        </w:rPr>
        <w:t xml:space="preserve">                                                   </w:t>
      </w:r>
    </w:p>
    <w:p w14:paraId="1FB4FC73">
      <w:pPr>
        <w:rPr>
          <w:rFonts w:hint="eastAsia" w:ascii="宋体" w:hAnsi="宋体" w:cs="宋体"/>
          <w:color w:val="auto"/>
          <w:kern w:val="0"/>
          <w:sz w:val="24"/>
          <w:szCs w:val="24"/>
          <w:highlight w:val="none"/>
          <w:u w:val="single"/>
        </w:rPr>
      </w:pPr>
    </w:p>
    <w:p w14:paraId="4C217B9A">
      <w:pPr>
        <w:spacing w:line="480" w:lineRule="auto"/>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法定代表人信息：</w:t>
      </w:r>
    </w:p>
    <w:p w14:paraId="10525AA5">
      <w:pPr>
        <w:spacing w:line="48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姓名：</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 xml:space="preserve">    性别：</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 xml:space="preserve"> ；       </w:t>
      </w:r>
    </w:p>
    <w:p w14:paraId="1F820F4C">
      <w:pPr>
        <w:spacing w:line="480" w:lineRule="auto"/>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年龄：</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 xml:space="preserve">    职务：</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 xml:space="preserve"> ；   </w:t>
      </w:r>
    </w:p>
    <w:p w14:paraId="4D0B2820">
      <w:pPr>
        <w:spacing w:line="48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系 </w:t>
      </w:r>
      <w:r>
        <w:rPr>
          <w:rFonts w:hint="eastAsia" w:ascii="宋体" w:hAnsi="宋体" w:cs="宋体"/>
          <w:color w:val="auto"/>
          <w:kern w:val="0"/>
          <w:sz w:val="24"/>
          <w:szCs w:val="24"/>
          <w:highlight w:val="none"/>
          <w:u w:val="single"/>
        </w:rPr>
        <w:t xml:space="preserve">         （投标人名称）               </w:t>
      </w:r>
      <w:r>
        <w:rPr>
          <w:rFonts w:hint="eastAsia" w:ascii="宋体" w:hAnsi="宋体" w:cs="宋体"/>
          <w:color w:val="auto"/>
          <w:kern w:val="0"/>
          <w:sz w:val="24"/>
          <w:szCs w:val="24"/>
          <w:highlight w:val="none"/>
        </w:rPr>
        <w:t>的法定代表人。</w:t>
      </w:r>
    </w:p>
    <w:p w14:paraId="740A72E9">
      <w:pPr>
        <w:rPr>
          <w:rFonts w:hint="eastAsia" w:ascii="宋体" w:hAnsi="宋体" w:cs="宋体"/>
          <w:color w:val="auto"/>
          <w:kern w:val="0"/>
          <w:sz w:val="24"/>
          <w:szCs w:val="24"/>
          <w:highlight w:val="none"/>
        </w:rPr>
      </w:pPr>
    </w:p>
    <w:p w14:paraId="110E76BB">
      <w:pP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特此证明。</w:t>
      </w:r>
    </w:p>
    <w:p w14:paraId="306C7930">
      <w:pPr>
        <w:rPr>
          <w:rFonts w:hint="eastAsia" w:ascii="宋体" w:hAnsi="宋体" w:cs="宋体"/>
          <w:color w:val="auto"/>
          <w:kern w:val="0"/>
          <w:sz w:val="24"/>
          <w:szCs w:val="24"/>
          <w:highlight w:val="none"/>
        </w:rPr>
      </w:pPr>
    </w:p>
    <w:p w14:paraId="35D80AB0">
      <w:pP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（附法定代表人身份证正反面）</w:t>
      </w:r>
    </w:p>
    <w:p w14:paraId="3D9ED726">
      <w:pPr>
        <w:rPr>
          <w:rFonts w:hint="eastAsia" w:ascii="宋体" w:hAnsi="宋体" w:cs="宋体"/>
          <w:color w:val="auto"/>
          <w:kern w:val="0"/>
          <w:sz w:val="24"/>
          <w:szCs w:val="24"/>
          <w:highlight w:val="none"/>
        </w:rPr>
      </w:pPr>
    </w:p>
    <w:p w14:paraId="3A28B6B3">
      <w:pPr>
        <w:pStyle w:val="2"/>
        <w:rPr>
          <w:rFonts w:hint="eastAsia"/>
          <w:color w:val="auto"/>
          <w:highlight w:val="none"/>
        </w:rPr>
      </w:pPr>
    </w:p>
    <w:p w14:paraId="5F3C11C2">
      <w:pPr>
        <w:rPr>
          <w:rFonts w:hint="eastAsia" w:ascii="宋体" w:hAnsi="宋体" w:cs="宋体"/>
          <w:color w:val="auto"/>
          <w:kern w:val="0"/>
          <w:sz w:val="24"/>
          <w:szCs w:val="24"/>
          <w:highlight w:val="none"/>
        </w:rPr>
      </w:pPr>
    </w:p>
    <w:p w14:paraId="590CB42B">
      <w:pPr>
        <w:wordWrap w:val="0"/>
        <w:spacing w:line="480" w:lineRule="auto"/>
        <w:jc w:val="right"/>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投标单位（盖章）：</w:t>
      </w:r>
      <w:r>
        <w:rPr>
          <w:rFonts w:hint="eastAsia" w:ascii="宋体" w:hAnsi="宋体" w:cs="宋体"/>
          <w:color w:val="auto"/>
          <w:kern w:val="0"/>
          <w:sz w:val="24"/>
          <w:szCs w:val="24"/>
          <w:highlight w:val="none"/>
          <w:u w:val="single"/>
        </w:rPr>
        <w:t xml:space="preserve">                      </w:t>
      </w:r>
    </w:p>
    <w:p w14:paraId="0D35E878">
      <w:pPr>
        <w:spacing w:line="480" w:lineRule="auto"/>
        <w:jc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en-US" w:eastAsia="zh-CN"/>
        </w:rPr>
        <w:t xml:space="preserve">    </w:t>
      </w:r>
    </w:p>
    <w:p w14:paraId="5AA0B005">
      <w:pPr>
        <w:spacing w:line="48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 xml:space="preserve"> 日    期：</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日</w:t>
      </w:r>
    </w:p>
    <w:p w14:paraId="13889D7B">
      <w:pP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br w:type="page"/>
      </w:r>
    </w:p>
    <w:p w14:paraId="2378C85C">
      <w:pPr>
        <w:jc w:val="center"/>
        <w:rPr>
          <w:rFonts w:hint="eastAsia" w:ascii="Cambria" w:hAnsi="Cambria" w:eastAsia="宋体" w:cs="Times New Roman"/>
          <w:b/>
          <w:bCs/>
          <w:color w:val="auto"/>
          <w:kern w:val="44"/>
          <w:sz w:val="32"/>
          <w:szCs w:val="44"/>
          <w:highlight w:val="none"/>
          <w:lang w:val="en-US" w:eastAsia="zh-CN" w:bidi="ar-SA"/>
        </w:rPr>
      </w:pPr>
      <w:r>
        <w:rPr>
          <w:rFonts w:hint="eastAsia" w:ascii="Cambria" w:hAnsi="Cambria" w:eastAsia="宋体" w:cs="Times New Roman"/>
          <w:b/>
          <w:bCs/>
          <w:color w:val="auto"/>
          <w:kern w:val="44"/>
          <w:sz w:val="32"/>
          <w:szCs w:val="44"/>
          <w:highlight w:val="none"/>
          <w:lang w:val="en-US" w:eastAsia="zh-CN" w:bidi="ar-SA"/>
        </w:rPr>
        <w:t>法人授权委托书</w:t>
      </w:r>
    </w:p>
    <w:p w14:paraId="20CF48AA">
      <w:pPr>
        <w:jc w:val="center"/>
        <w:rPr>
          <w:rFonts w:hint="eastAsia" w:ascii="宋体" w:hAnsi="宋体" w:cs="宋体"/>
          <w:b/>
          <w:color w:val="auto"/>
          <w:kern w:val="0"/>
          <w:sz w:val="28"/>
          <w:szCs w:val="28"/>
          <w:highlight w:val="none"/>
        </w:rPr>
      </w:pPr>
    </w:p>
    <w:p w14:paraId="22AAEF64">
      <w:pPr>
        <w:rPr>
          <w:rFonts w:hint="eastAsia" w:ascii="宋体" w:hAnsi="宋体" w:cs="宋体"/>
          <w:color w:val="auto"/>
          <w:kern w:val="0"/>
          <w:sz w:val="28"/>
          <w:szCs w:val="28"/>
          <w:highlight w:val="none"/>
        </w:rPr>
      </w:pPr>
    </w:p>
    <w:p w14:paraId="0DD955DE">
      <w:pPr>
        <w:spacing w:line="360" w:lineRule="auto"/>
        <w:ind w:firstLine="63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本授权委托书声明：我</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（姓名）系</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（投标人名称）的法定代表人，现授权委托</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（投标人名称）的</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（姓名）为我公司代理人，以本公司的名义参加</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（招标人）的</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招标工程的投标活动。代理人签署的投标文件和参加整个工程招标投标活动中所签署的一切文件和处理与之有关的一切事物，我均予以承认。</w:t>
      </w:r>
    </w:p>
    <w:p w14:paraId="559E1C94">
      <w:pPr>
        <w:spacing w:line="360" w:lineRule="auto"/>
        <w:rPr>
          <w:rFonts w:hint="eastAsia" w:ascii="宋体" w:hAnsi="宋体" w:cs="宋体"/>
          <w:color w:val="auto"/>
          <w:kern w:val="0"/>
          <w:sz w:val="24"/>
          <w:szCs w:val="24"/>
          <w:highlight w:val="none"/>
        </w:rPr>
      </w:pPr>
    </w:p>
    <w:p w14:paraId="0D5DFD7B">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代理人：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none"/>
        </w:rPr>
        <w:t xml:space="preserve"> </w:t>
      </w:r>
      <w:r>
        <w:rPr>
          <w:rFonts w:hint="eastAsia" w:ascii="宋体" w:hAnsi="宋体" w:cs="宋体"/>
          <w:color w:val="auto"/>
          <w:kern w:val="0"/>
          <w:sz w:val="24"/>
          <w:szCs w:val="24"/>
          <w:highlight w:val="none"/>
          <w:u w:val="none"/>
          <w:lang w:val="en-US" w:eastAsia="zh-CN"/>
        </w:rPr>
        <w:t xml:space="preserve"> </w:t>
      </w:r>
      <w:r>
        <w:rPr>
          <w:rFonts w:hint="eastAsia" w:ascii="宋体" w:hAnsi="宋体" w:cs="宋体"/>
          <w:color w:val="auto"/>
          <w:kern w:val="0"/>
          <w:sz w:val="24"/>
          <w:szCs w:val="24"/>
          <w:highlight w:val="none"/>
        </w:rPr>
        <w:t>性别：</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none"/>
        </w:rPr>
        <w:t xml:space="preserve"> </w:t>
      </w:r>
      <w:r>
        <w:rPr>
          <w:rFonts w:hint="eastAsia" w:ascii="宋体" w:hAnsi="宋体" w:cs="宋体"/>
          <w:color w:val="auto"/>
          <w:kern w:val="0"/>
          <w:sz w:val="24"/>
          <w:szCs w:val="24"/>
          <w:highlight w:val="none"/>
          <w:u w:val="none"/>
          <w:lang w:val="en-US" w:eastAsia="zh-CN"/>
        </w:rPr>
        <w:t xml:space="preserve">  </w:t>
      </w:r>
      <w:r>
        <w:rPr>
          <w:rFonts w:hint="eastAsia" w:ascii="宋体" w:hAnsi="宋体" w:cs="宋体"/>
          <w:color w:val="auto"/>
          <w:kern w:val="0"/>
          <w:sz w:val="24"/>
          <w:szCs w:val="24"/>
          <w:highlight w:val="none"/>
        </w:rPr>
        <w:t>年龄：</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 xml:space="preserve">  </w:t>
      </w:r>
    </w:p>
    <w:p w14:paraId="6E85C82A">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单  位：</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none"/>
        </w:rPr>
        <w:t xml:space="preserve"> </w:t>
      </w:r>
      <w:r>
        <w:rPr>
          <w:rFonts w:hint="eastAsia" w:ascii="宋体" w:hAnsi="宋体" w:cs="宋体"/>
          <w:color w:val="auto"/>
          <w:kern w:val="0"/>
          <w:sz w:val="24"/>
          <w:szCs w:val="24"/>
          <w:highlight w:val="none"/>
          <w:u w:val="none"/>
          <w:lang w:val="en-US" w:eastAsia="zh-CN"/>
        </w:rPr>
        <w:t xml:space="preserve"> </w:t>
      </w:r>
      <w:r>
        <w:rPr>
          <w:rFonts w:hint="eastAsia" w:ascii="宋体" w:hAnsi="宋体" w:cs="宋体"/>
          <w:color w:val="auto"/>
          <w:kern w:val="0"/>
          <w:sz w:val="24"/>
          <w:szCs w:val="24"/>
          <w:highlight w:val="none"/>
        </w:rPr>
        <w:t>部门：</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none"/>
        </w:rPr>
        <w:t xml:space="preserve"> </w:t>
      </w:r>
      <w:r>
        <w:rPr>
          <w:rFonts w:hint="eastAsia" w:ascii="宋体" w:hAnsi="宋体" w:cs="宋体"/>
          <w:color w:val="auto"/>
          <w:kern w:val="0"/>
          <w:sz w:val="24"/>
          <w:szCs w:val="24"/>
          <w:highlight w:val="none"/>
          <w:u w:val="none"/>
          <w:lang w:val="en-US" w:eastAsia="zh-CN"/>
        </w:rPr>
        <w:t xml:space="preserve">  </w:t>
      </w:r>
      <w:r>
        <w:rPr>
          <w:rFonts w:hint="eastAsia" w:ascii="宋体" w:hAnsi="宋体" w:cs="宋体"/>
          <w:color w:val="auto"/>
          <w:kern w:val="0"/>
          <w:sz w:val="24"/>
          <w:szCs w:val="24"/>
          <w:highlight w:val="none"/>
        </w:rPr>
        <w:t>职务：</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 xml:space="preserve">   </w:t>
      </w:r>
    </w:p>
    <w:p w14:paraId="241C1939">
      <w:pPr>
        <w:rPr>
          <w:rFonts w:hint="eastAsia" w:ascii="宋体" w:hAnsi="宋体" w:cs="宋体"/>
          <w:color w:val="auto"/>
          <w:kern w:val="0"/>
          <w:sz w:val="24"/>
          <w:szCs w:val="24"/>
          <w:highlight w:val="none"/>
        </w:rPr>
      </w:pPr>
    </w:p>
    <w:p w14:paraId="365DF60F">
      <w:pPr>
        <w:rPr>
          <w:rFonts w:hint="eastAsia" w:ascii="宋体" w:hAnsi="宋体" w:cs="宋体"/>
          <w:color w:val="auto"/>
          <w:kern w:val="0"/>
          <w:sz w:val="24"/>
          <w:szCs w:val="24"/>
          <w:highlight w:val="none"/>
        </w:rPr>
      </w:pPr>
    </w:p>
    <w:p w14:paraId="4F450A5D">
      <w:pPr>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代理人无转委权。特此委托。</w:t>
      </w:r>
    </w:p>
    <w:p w14:paraId="3DF108FF">
      <w:pPr>
        <w:rPr>
          <w:rFonts w:hint="eastAsia" w:ascii="宋体" w:hAnsi="宋体" w:cs="宋体"/>
          <w:color w:val="auto"/>
          <w:kern w:val="0"/>
          <w:sz w:val="24"/>
          <w:szCs w:val="24"/>
          <w:highlight w:val="none"/>
        </w:rPr>
      </w:pPr>
    </w:p>
    <w:p w14:paraId="0FDE61BE">
      <w:pPr>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（附法定代表人身份证正反面及代理人身份证正反面）</w:t>
      </w:r>
    </w:p>
    <w:p w14:paraId="69847177">
      <w:pPr>
        <w:rPr>
          <w:rFonts w:hint="eastAsia" w:ascii="宋体" w:hAnsi="宋体" w:cs="宋体"/>
          <w:color w:val="auto"/>
          <w:kern w:val="0"/>
          <w:sz w:val="24"/>
          <w:szCs w:val="24"/>
          <w:highlight w:val="none"/>
        </w:rPr>
      </w:pPr>
    </w:p>
    <w:p w14:paraId="5E950683">
      <w:pPr>
        <w:rPr>
          <w:rFonts w:hint="eastAsia" w:ascii="宋体" w:hAnsi="宋体" w:cs="宋体"/>
          <w:color w:val="auto"/>
          <w:kern w:val="0"/>
          <w:sz w:val="24"/>
          <w:szCs w:val="24"/>
          <w:highlight w:val="none"/>
        </w:rPr>
      </w:pPr>
    </w:p>
    <w:p w14:paraId="19FE1025">
      <w:pPr>
        <w:ind w:firstLine="1920" w:firstLineChars="8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投标单位（盖章）：</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 xml:space="preserve">     </w:t>
      </w:r>
    </w:p>
    <w:p w14:paraId="4F194F3B">
      <w:pPr>
        <w:rPr>
          <w:rFonts w:hint="eastAsia" w:ascii="宋体" w:hAnsi="宋体" w:cs="宋体"/>
          <w:color w:val="auto"/>
          <w:kern w:val="0"/>
          <w:sz w:val="24"/>
          <w:szCs w:val="24"/>
          <w:highlight w:val="none"/>
        </w:rPr>
      </w:pPr>
    </w:p>
    <w:p w14:paraId="42F93154">
      <w:pPr>
        <w:rPr>
          <w:rFonts w:hint="eastAsia" w:ascii="宋体" w:hAnsi="宋体" w:cs="宋体"/>
          <w:color w:val="auto"/>
          <w:kern w:val="0"/>
          <w:sz w:val="24"/>
          <w:szCs w:val="24"/>
          <w:highlight w:val="none"/>
        </w:rPr>
      </w:pPr>
    </w:p>
    <w:p w14:paraId="377FA424">
      <w:pPr>
        <w:ind w:firstLine="1920" w:firstLineChars="8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法定代表人（签字或盖章）：</w:t>
      </w:r>
      <w:r>
        <w:rPr>
          <w:rFonts w:hint="eastAsia" w:ascii="宋体" w:hAnsi="宋体" w:cs="宋体"/>
          <w:color w:val="auto"/>
          <w:kern w:val="0"/>
          <w:sz w:val="24"/>
          <w:szCs w:val="24"/>
          <w:highlight w:val="none"/>
          <w:u w:val="single"/>
        </w:rPr>
        <w:t xml:space="preserve">                         </w:t>
      </w:r>
    </w:p>
    <w:p w14:paraId="5A6D7A3D">
      <w:pPr>
        <w:pStyle w:val="24"/>
        <w:ind w:left="560" w:hanging="560"/>
        <w:rPr>
          <w:rFonts w:hint="eastAsia" w:ascii="宋体" w:hAnsi="宋体" w:cs="宋体"/>
          <w:color w:val="auto"/>
          <w:sz w:val="24"/>
          <w:szCs w:val="24"/>
          <w:highlight w:val="none"/>
        </w:rPr>
      </w:pPr>
    </w:p>
    <w:p w14:paraId="30A0DA26">
      <w:pPr>
        <w:pStyle w:val="24"/>
        <w:ind w:left="560" w:hanging="560"/>
        <w:rPr>
          <w:rFonts w:hint="eastAsia" w:ascii="宋体" w:hAnsi="宋体" w:cs="宋体"/>
          <w:color w:val="auto"/>
          <w:sz w:val="24"/>
          <w:szCs w:val="24"/>
          <w:highlight w:val="none"/>
        </w:rPr>
      </w:pPr>
    </w:p>
    <w:p w14:paraId="51903697">
      <w:pPr>
        <w:ind w:firstLine="1920" w:firstLineChars="8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委托代理人（签字或盖章）：</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 xml:space="preserve">       </w:t>
      </w:r>
    </w:p>
    <w:p w14:paraId="70B8CEC7">
      <w:pPr>
        <w:jc w:val="center"/>
        <w:rPr>
          <w:rFonts w:hint="eastAsia" w:ascii="宋体" w:hAnsi="宋体" w:cs="宋体"/>
          <w:color w:val="auto"/>
          <w:kern w:val="0"/>
          <w:sz w:val="24"/>
          <w:szCs w:val="24"/>
          <w:highlight w:val="none"/>
        </w:rPr>
      </w:pPr>
    </w:p>
    <w:p w14:paraId="50C87A6D">
      <w:pPr>
        <w:jc w:val="center"/>
        <w:rPr>
          <w:rFonts w:hint="eastAsia" w:ascii="宋体" w:hAnsi="宋体" w:cs="宋体"/>
          <w:b/>
          <w:color w:val="auto"/>
          <w:kern w:val="0"/>
          <w:sz w:val="24"/>
          <w:szCs w:val="24"/>
          <w:highlight w:val="none"/>
        </w:rPr>
      </w:pPr>
    </w:p>
    <w:p w14:paraId="571BE3FF">
      <w:pPr>
        <w:spacing w:before="120" w:beforeLines="50" w:after="120" w:afterLines="50" w:line="44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日</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期：</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日</w:t>
      </w:r>
    </w:p>
    <w:p w14:paraId="5516BC93">
      <w:pP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br w:type="page"/>
      </w:r>
    </w:p>
    <w:p w14:paraId="600C1C2B">
      <w:pPr>
        <w:spacing w:line="360" w:lineRule="auto"/>
        <w:jc w:val="both"/>
        <w:rPr>
          <w:rFonts w:hint="default" w:ascii="Cambria" w:hAnsi="Cambria" w:eastAsia="宋体" w:cs="Times New Roman"/>
          <w:b/>
          <w:bCs/>
          <w:color w:val="auto"/>
          <w:kern w:val="44"/>
          <w:sz w:val="28"/>
          <w:szCs w:val="28"/>
          <w:highlight w:val="none"/>
          <w:lang w:val="en-US" w:eastAsia="zh-CN" w:bidi="ar-SA"/>
        </w:rPr>
      </w:pPr>
      <w:r>
        <w:rPr>
          <w:rFonts w:hint="eastAsia" w:ascii="Cambria" w:hAnsi="Cambria" w:eastAsia="宋体" w:cs="Times New Roman"/>
          <w:b/>
          <w:bCs/>
          <w:color w:val="auto"/>
          <w:kern w:val="44"/>
          <w:sz w:val="28"/>
          <w:szCs w:val="28"/>
          <w:highlight w:val="none"/>
          <w:lang w:val="en-US" w:eastAsia="zh-CN" w:bidi="ar-SA"/>
        </w:rPr>
        <w:t>三、开标一览表格式：</w:t>
      </w:r>
    </w:p>
    <w:p w14:paraId="778C7FCF">
      <w:pPr>
        <w:spacing w:line="360" w:lineRule="auto"/>
        <w:jc w:val="center"/>
        <w:rPr>
          <w:rFonts w:hint="eastAsia" w:ascii="宋体" w:hAnsi="宋体" w:eastAsia="宋体" w:cs="宋体"/>
          <w:b/>
          <w:color w:val="auto"/>
          <w:sz w:val="36"/>
          <w:szCs w:val="36"/>
          <w:highlight w:val="none"/>
          <w:lang w:val="en-US" w:eastAsia="zh-CN"/>
        </w:rPr>
      </w:pPr>
    </w:p>
    <w:p w14:paraId="2006B216">
      <w:pPr>
        <w:pStyle w:val="2"/>
        <w:jc w:val="center"/>
        <w:rPr>
          <w:rFonts w:hint="eastAsia" w:ascii="宋体" w:hAnsi="宋体" w:eastAsia="宋体" w:cs="宋体"/>
          <w:color w:val="auto"/>
          <w:sz w:val="28"/>
          <w:szCs w:val="28"/>
          <w:highlight w:val="none"/>
        </w:rPr>
      </w:pPr>
      <w:r>
        <w:rPr>
          <w:rFonts w:hint="eastAsia" w:eastAsia="宋体" w:cs="Times New Roman"/>
          <w:b/>
          <w:bCs/>
          <w:color w:val="auto"/>
          <w:highlight w:val="none"/>
          <w:lang w:val="en-US" w:eastAsia="zh-CN"/>
        </w:rPr>
        <w:t>开标一览表</w:t>
      </w:r>
      <w:bookmarkEnd w:id="151"/>
      <w:bookmarkEnd w:id="152"/>
      <w:bookmarkEnd w:id="153"/>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6934"/>
      </w:tblGrid>
      <w:tr w14:paraId="3EEFF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1844" w:type="dxa"/>
            <w:tcBorders>
              <w:bottom w:val="single" w:color="auto" w:sz="4" w:space="0"/>
            </w:tcBorders>
            <w:noWrap w:val="0"/>
            <w:vAlign w:val="center"/>
          </w:tcPr>
          <w:p w14:paraId="54204A9D">
            <w:pPr>
              <w:pStyle w:val="90"/>
              <w:tabs>
                <w:tab w:val="left" w:pos="1337"/>
              </w:tabs>
              <w:spacing w:line="360" w:lineRule="auto"/>
              <w:jc w:val="center"/>
              <w:rPr>
                <w:rFonts w:hint="eastAsia" w:ascii="宋体" w:hAnsi="宋体" w:cs="宋体"/>
                <w:color w:val="auto"/>
                <w:sz w:val="24"/>
                <w:szCs w:val="24"/>
                <w:highlight w:val="none"/>
              </w:rPr>
            </w:pPr>
            <w:r>
              <w:rPr>
                <w:rFonts w:hint="eastAsia" w:ascii="宋体" w:hAnsi="宋体" w:cs="宋体"/>
                <w:bCs/>
                <w:color w:val="auto"/>
                <w:sz w:val="24"/>
                <w:szCs w:val="24"/>
                <w:highlight w:val="none"/>
              </w:rPr>
              <w:t>项目名称</w:t>
            </w:r>
          </w:p>
        </w:tc>
        <w:tc>
          <w:tcPr>
            <w:tcW w:w="6934" w:type="dxa"/>
            <w:tcBorders>
              <w:bottom w:val="single" w:color="auto" w:sz="4" w:space="0"/>
            </w:tcBorders>
            <w:noWrap w:val="0"/>
            <w:vAlign w:val="center"/>
          </w:tcPr>
          <w:p w14:paraId="5AA8C68B">
            <w:pPr>
              <w:pStyle w:val="90"/>
              <w:tabs>
                <w:tab w:val="left" w:pos="1337"/>
              </w:tabs>
              <w:spacing w:line="360" w:lineRule="auto"/>
              <w:rPr>
                <w:rFonts w:hint="eastAsia" w:ascii="宋体" w:hAnsi="宋体" w:cs="宋体"/>
                <w:bCs/>
                <w:color w:val="auto"/>
                <w:sz w:val="24"/>
                <w:szCs w:val="24"/>
                <w:highlight w:val="none"/>
              </w:rPr>
            </w:pPr>
          </w:p>
        </w:tc>
      </w:tr>
      <w:tr w14:paraId="70E47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844" w:type="dxa"/>
            <w:tcBorders>
              <w:bottom w:val="single" w:color="auto" w:sz="4" w:space="0"/>
            </w:tcBorders>
            <w:noWrap w:val="0"/>
            <w:vAlign w:val="center"/>
          </w:tcPr>
          <w:p w14:paraId="27CFBFD1">
            <w:pPr>
              <w:pStyle w:val="90"/>
              <w:tabs>
                <w:tab w:val="left" w:pos="1337"/>
              </w:tabs>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项目</w:t>
            </w:r>
            <w:r>
              <w:rPr>
                <w:rFonts w:hint="eastAsia" w:ascii="宋体" w:hAnsi="宋体" w:cs="宋体"/>
                <w:bCs/>
                <w:color w:val="auto"/>
                <w:sz w:val="24"/>
                <w:szCs w:val="24"/>
                <w:highlight w:val="none"/>
              </w:rPr>
              <w:t>编号</w:t>
            </w:r>
          </w:p>
        </w:tc>
        <w:tc>
          <w:tcPr>
            <w:tcW w:w="6934" w:type="dxa"/>
            <w:tcBorders>
              <w:bottom w:val="single" w:color="auto" w:sz="4" w:space="0"/>
            </w:tcBorders>
            <w:noWrap w:val="0"/>
            <w:vAlign w:val="center"/>
          </w:tcPr>
          <w:p w14:paraId="437D680D">
            <w:pPr>
              <w:pStyle w:val="90"/>
              <w:tabs>
                <w:tab w:val="left" w:pos="1337"/>
              </w:tabs>
              <w:spacing w:line="360" w:lineRule="auto"/>
              <w:rPr>
                <w:rFonts w:hint="eastAsia" w:ascii="宋体" w:hAnsi="宋体" w:cs="宋体"/>
                <w:color w:val="auto"/>
                <w:sz w:val="24"/>
                <w:szCs w:val="24"/>
                <w:highlight w:val="none"/>
                <w:u w:val="single"/>
              </w:rPr>
            </w:pPr>
          </w:p>
        </w:tc>
      </w:tr>
      <w:tr w14:paraId="04874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1844" w:type="dxa"/>
            <w:noWrap w:val="0"/>
            <w:vAlign w:val="center"/>
          </w:tcPr>
          <w:p w14:paraId="1D5A88F0">
            <w:pPr>
              <w:pStyle w:val="90"/>
              <w:tabs>
                <w:tab w:val="left" w:pos="1337"/>
              </w:tabs>
              <w:spacing w:line="360" w:lineRule="auto"/>
              <w:jc w:val="center"/>
              <w:rPr>
                <w:rFonts w:hint="eastAsia" w:ascii="宋体" w:hAnsi="宋体" w:cs="宋体"/>
                <w:color w:val="auto"/>
                <w:sz w:val="24"/>
                <w:szCs w:val="24"/>
                <w:highlight w:val="none"/>
              </w:rPr>
            </w:pPr>
            <w:r>
              <w:rPr>
                <w:rStyle w:val="75"/>
                <w:rFonts w:hint="eastAsia" w:ascii="宋体" w:hAnsi="宋体" w:cs="宋体"/>
                <w:color w:val="auto"/>
                <w:sz w:val="24"/>
                <w:szCs w:val="24"/>
                <w:highlight w:val="none"/>
              </w:rPr>
              <w:t>投标报价</w:t>
            </w:r>
          </w:p>
        </w:tc>
        <w:tc>
          <w:tcPr>
            <w:tcW w:w="6934" w:type="dxa"/>
            <w:noWrap w:val="0"/>
            <w:vAlign w:val="center"/>
          </w:tcPr>
          <w:p w14:paraId="77878429">
            <w:pPr>
              <w:pStyle w:val="90"/>
              <w:tabs>
                <w:tab w:val="left" w:pos="1337"/>
              </w:tabs>
              <w:spacing w:line="360" w:lineRule="auto"/>
              <w:jc w:val="both"/>
              <w:rPr>
                <w:rFonts w:hint="eastAsia" w:ascii="宋体" w:hAnsi="宋体" w:cs="宋体"/>
                <w:bCs/>
                <w:color w:val="auto"/>
                <w:sz w:val="24"/>
                <w:szCs w:val="24"/>
                <w:highlight w:val="none"/>
                <w:u w:val="single"/>
              </w:rPr>
            </w:pPr>
            <w:r>
              <w:rPr>
                <w:rFonts w:hint="eastAsia" w:ascii="宋体" w:hAnsi="宋体" w:cs="宋体"/>
                <w:color w:val="auto"/>
                <w:spacing w:val="6"/>
                <w:sz w:val="24"/>
                <w:szCs w:val="24"/>
                <w:highlight w:val="none"/>
              </w:rPr>
              <w:t xml:space="preserve">小写： </w:t>
            </w:r>
            <w:r>
              <w:rPr>
                <w:rFonts w:hint="eastAsia" w:ascii="宋体" w:hAnsi="宋体" w:cs="宋体"/>
                <w:color w:val="auto"/>
                <w:spacing w:val="6"/>
                <w:sz w:val="24"/>
                <w:szCs w:val="24"/>
                <w:highlight w:val="none"/>
                <w:u w:val="single"/>
              </w:rPr>
              <w:t xml:space="preserve">                         </w:t>
            </w:r>
          </w:p>
          <w:p w14:paraId="34222719">
            <w:pPr>
              <w:pStyle w:val="90"/>
              <w:tabs>
                <w:tab w:val="left" w:pos="1337"/>
              </w:tabs>
              <w:spacing w:line="360" w:lineRule="auto"/>
              <w:jc w:val="both"/>
              <w:rPr>
                <w:rFonts w:hint="eastAsia" w:ascii="宋体" w:hAnsi="宋体" w:cs="宋体"/>
                <w:color w:val="auto"/>
                <w:sz w:val="24"/>
                <w:szCs w:val="24"/>
                <w:highlight w:val="none"/>
              </w:rPr>
            </w:pPr>
            <w:r>
              <w:rPr>
                <w:rFonts w:hint="eastAsia" w:ascii="宋体" w:hAnsi="宋体" w:cs="宋体"/>
                <w:color w:val="auto"/>
                <w:spacing w:val="6"/>
                <w:sz w:val="24"/>
                <w:szCs w:val="24"/>
                <w:highlight w:val="none"/>
              </w:rPr>
              <w:t>大写：</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 xml:space="preserve"> </w:t>
            </w:r>
          </w:p>
        </w:tc>
      </w:tr>
      <w:tr w14:paraId="18823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844" w:type="dxa"/>
            <w:noWrap w:val="0"/>
            <w:vAlign w:val="center"/>
          </w:tcPr>
          <w:p w14:paraId="28B65075">
            <w:pPr>
              <w:pStyle w:val="90"/>
              <w:tabs>
                <w:tab w:val="left" w:pos="1337"/>
              </w:tabs>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质量要求</w:t>
            </w:r>
          </w:p>
        </w:tc>
        <w:tc>
          <w:tcPr>
            <w:tcW w:w="6934" w:type="dxa"/>
            <w:noWrap w:val="0"/>
            <w:vAlign w:val="center"/>
          </w:tcPr>
          <w:p w14:paraId="166DEBC9">
            <w:pPr>
              <w:pStyle w:val="90"/>
              <w:tabs>
                <w:tab w:val="left" w:pos="1337"/>
              </w:tabs>
              <w:spacing w:line="360" w:lineRule="auto"/>
              <w:rPr>
                <w:rFonts w:hint="eastAsia" w:ascii="宋体" w:hAnsi="宋体" w:cs="宋体"/>
                <w:color w:val="auto"/>
                <w:sz w:val="24"/>
                <w:szCs w:val="24"/>
                <w:highlight w:val="none"/>
                <w:u w:val="single"/>
              </w:rPr>
            </w:pPr>
          </w:p>
        </w:tc>
      </w:tr>
      <w:tr w14:paraId="31AFB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844" w:type="dxa"/>
            <w:noWrap w:val="0"/>
            <w:vAlign w:val="center"/>
          </w:tcPr>
          <w:p w14:paraId="5D1FD744">
            <w:pPr>
              <w:pStyle w:val="90"/>
              <w:tabs>
                <w:tab w:val="left" w:pos="1337"/>
              </w:tabs>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施工工期</w:t>
            </w:r>
          </w:p>
        </w:tc>
        <w:tc>
          <w:tcPr>
            <w:tcW w:w="6934" w:type="dxa"/>
            <w:noWrap w:val="0"/>
            <w:vAlign w:val="center"/>
          </w:tcPr>
          <w:p w14:paraId="1B88737B">
            <w:pPr>
              <w:pStyle w:val="90"/>
              <w:tabs>
                <w:tab w:val="left" w:pos="1337"/>
              </w:tabs>
              <w:spacing w:line="360" w:lineRule="auto"/>
              <w:rPr>
                <w:rFonts w:hint="eastAsia" w:ascii="宋体" w:hAnsi="宋体" w:cs="宋体"/>
                <w:color w:val="auto"/>
                <w:sz w:val="24"/>
                <w:szCs w:val="24"/>
                <w:highlight w:val="none"/>
                <w:u w:val="single"/>
              </w:rPr>
            </w:pPr>
          </w:p>
        </w:tc>
      </w:tr>
      <w:tr w14:paraId="37D98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844" w:type="dxa"/>
            <w:noWrap w:val="0"/>
            <w:vAlign w:val="center"/>
          </w:tcPr>
          <w:p w14:paraId="5FA56284">
            <w:pPr>
              <w:pStyle w:val="90"/>
              <w:tabs>
                <w:tab w:val="left" w:pos="1337"/>
              </w:tabs>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其它</w:t>
            </w:r>
          </w:p>
        </w:tc>
        <w:tc>
          <w:tcPr>
            <w:tcW w:w="6934" w:type="dxa"/>
            <w:noWrap w:val="0"/>
            <w:vAlign w:val="center"/>
          </w:tcPr>
          <w:p w14:paraId="1FB76B2F">
            <w:pPr>
              <w:pStyle w:val="90"/>
              <w:tabs>
                <w:tab w:val="left" w:pos="1337"/>
              </w:tabs>
              <w:spacing w:line="360" w:lineRule="auto"/>
              <w:rPr>
                <w:rFonts w:hint="eastAsia" w:ascii="宋体" w:hAnsi="宋体" w:cs="宋体"/>
                <w:color w:val="auto"/>
                <w:sz w:val="24"/>
                <w:szCs w:val="24"/>
                <w:highlight w:val="none"/>
                <w:u w:val="single"/>
              </w:rPr>
            </w:pPr>
          </w:p>
        </w:tc>
      </w:tr>
      <w:tr w14:paraId="46CE0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8778" w:type="dxa"/>
            <w:gridSpan w:val="2"/>
            <w:noWrap w:val="0"/>
            <w:vAlign w:val="center"/>
          </w:tcPr>
          <w:p w14:paraId="434A2340">
            <w:pPr>
              <w:pStyle w:val="90"/>
              <w:tabs>
                <w:tab w:val="left" w:pos="1337"/>
              </w:tabs>
              <w:spacing w:line="360" w:lineRule="auto"/>
              <w:rPr>
                <w:rFonts w:hint="eastAsia" w:ascii="宋体" w:hAnsi="宋体" w:cs="宋体"/>
                <w:color w:val="auto"/>
                <w:sz w:val="24"/>
                <w:szCs w:val="24"/>
                <w:highlight w:val="none"/>
              </w:rPr>
            </w:pPr>
            <w:r>
              <w:rPr>
                <w:rFonts w:hint="eastAsia" w:ascii="宋体" w:hAnsi="宋体" w:cs="宋体"/>
                <w:bCs/>
                <w:color w:val="auto"/>
                <w:sz w:val="24"/>
                <w:szCs w:val="24"/>
                <w:highlight w:val="none"/>
              </w:rPr>
              <w:t>备注：</w:t>
            </w:r>
          </w:p>
        </w:tc>
      </w:tr>
    </w:tbl>
    <w:p w14:paraId="6366B60F">
      <w:pPr>
        <w:pStyle w:val="90"/>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说明：1</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投标单位严格按照规定的格式填写</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任何有选择或有条件的投标报价或表中某一包填写多个报价，均将导致投标被拒绝</w:t>
      </w:r>
      <w:r>
        <w:rPr>
          <w:rFonts w:hint="eastAsia" w:ascii="宋体" w:hAnsi="宋体" w:cs="宋体"/>
          <w:color w:val="auto"/>
          <w:sz w:val="24"/>
          <w:szCs w:val="24"/>
          <w:highlight w:val="none"/>
          <w:lang w:eastAsia="zh-CN"/>
        </w:rPr>
        <w:t>；</w:t>
      </w:r>
    </w:p>
    <w:p w14:paraId="7D41EE9C">
      <w:pPr>
        <w:pStyle w:val="90"/>
        <w:spacing w:line="360" w:lineRule="auto"/>
        <w:ind w:left="1197" w:leftChars="570" w:firstLine="1680" w:firstLineChars="700"/>
        <w:rPr>
          <w:rFonts w:hint="eastAsia" w:ascii="宋体" w:hAnsi="宋体" w:cs="宋体"/>
          <w:color w:val="auto"/>
          <w:sz w:val="24"/>
          <w:szCs w:val="24"/>
          <w:highlight w:val="none"/>
        </w:rPr>
      </w:pPr>
    </w:p>
    <w:p w14:paraId="59E9CE42">
      <w:pPr>
        <w:pStyle w:val="90"/>
        <w:spacing w:line="360" w:lineRule="auto"/>
        <w:ind w:left="1197" w:leftChars="570" w:firstLine="1680" w:firstLineChars="700"/>
        <w:rPr>
          <w:rFonts w:hint="eastAsia" w:ascii="宋体" w:hAnsi="宋体" w:cs="宋体"/>
          <w:color w:val="auto"/>
          <w:sz w:val="24"/>
          <w:szCs w:val="24"/>
          <w:highlight w:val="none"/>
        </w:rPr>
      </w:pPr>
      <w:r>
        <w:rPr>
          <w:rFonts w:hint="eastAsia" w:ascii="宋体" w:hAnsi="宋体" w:cs="宋体"/>
          <w:color w:val="auto"/>
          <w:sz w:val="24"/>
          <w:szCs w:val="24"/>
          <w:highlight w:val="none"/>
        </w:rPr>
        <w:t>投标单位（盖章）：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p>
    <w:p w14:paraId="2897BC73">
      <w:pPr>
        <w:pStyle w:val="88"/>
        <w:ind w:firstLine="0"/>
        <w:rPr>
          <w:rFonts w:hint="eastAsia" w:ascii="宋体" w:hAnsi="宋体" w:cs="宋体"/>
          <w:color w:val="auto"/>
          <w:sz w:val="24"/>
          <w:szCs w:val="24"/>
          <w:highlight w:val="none"/>
        </w:rPr>
      </w:pPr>
    </w:p>
    <w:p w14:paraId="70918DC4">
      <w:pPr>
        <w:spacing w:line="500" w:lineRule="exact"/>
        <w:ind w:firstLine="1440" w:firstLineChars="6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法定代表人或委托代理人（签字或盖章）：</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 xml:space="preserve">     </w:t>
      </w:r>
    </w:p>
    <w:p w14:paraId="038E8F2C">
      <w:pPr>
        <w:rPr>
          <w:rFonts w:hint="eastAsia" w:ascii="宋体" w:hAnsi="宋体" w:cs="宋体"/>
          <w:color w:val="auto"/>
          <w:kern w:val="0"/>
          <w:sz w:val="24"/>
          <w:szCs w:val="24"/>
          <w:highlight w:val="none"/>
        </w:rPr>
      </w:pPr>
    </w:p>
    <w:p w14:paraId="3406B72A">
      <w:pPr>
        <w:wordWrap w:val="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w:t>
      </w:r>
    </w:p>
    <w:p w14:paraId="28B2E69E">
      <w:pPr>
        <w:wordWrap w:val="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 xml:space="preserve"> 日</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期：</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日</w:t>
      </w:r>
    </w:p>
    <w:p w14:paraId="194C037D">
      <w:pP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br w:type="page"/>
      </w:r>
    </w:p>
    <w:p w14:paraId="754BD42E">
      <w:pPr>
        <w:pStyle w:val="91"/>
        <w:spacing w:line="360" w:lineRule="auto"/>
        <w:jc w:val="both"/>
        <w:outlineLvl w:val="2"/>
        <w:rPr>
          <w:rFonts w:hint="eastAsia" w:ascii="Cambria" w:hAnsi="Cambria" w:eastAsia="宋体" w:cs="Times New Roman"/>
          <w:b/>
          <w:bCs/>
          <w:color w:val="auto"/>
          <w:kern w:val="44"/>
          <w:sz w:val="28"/>
          <w:szCs w:val="28"/>
          <w:highlight w:val="none"/>
          <w:lang w:val="en-US" w:eastAsia="zh-CN" w:bidi="ar-SA"/>
        </w:rPr>
      </w:pPr>
      <w:r>
        <w:rPr>
          <w:rFonts w:hint="eastAsia" w:ascii="Cambria" w:hAnsi="Cambria" w:eastAsia="宋体" w:cs="Times New Roman"/>
          <w:b/>
          <w:bCs/>
          <w:color w:val="auto"/>
          <w:kern w:val="44"/>
          <w:sz w:val="28"/>
          <w:szCs w:val="28"/>
          <w:highlight w:val="none"/>
          <w:lang w:val="en-US" w:eastAsia="zh-CN" w:bidi="ar-SA"/>
        </w:rPr>
        <w:t>四、商务及技术偏离表格式</w:t>
      </w:r>
    </w:p>
    <w:p w14:paraId="30A5CC81">
      <w:pPr>
        <w:pStyle w:val="91"/>
        <w:spacing w:line="360" w:lineRule="auto"/>
        <w:jc w:val="both"/>
        <w:outlineLvl w:val="2"/>
        <w:rPr>
          <w:rFonts w:hint="eastAsia" w:ascii="Cambria" w:hAnsi="Cambria" w:eastAsia="宋体" w:cs="Times New Roman"/>
          <w:b/>
          <w:bCs/>
          <w:color w:val="auto"/>
          <w:kern w:val="44"/>
          <w:sz w:val="28"/>
          <w:szCs w:val="28"/>
          <w:highlight w:val="none"/>
          <w:lang w:val="en-US" w:eastAsia="zh-CN" w:bidi="ar-SA"/>
        </w:rPr>
      </w:pPr>
    </w:p>
    <w:p w14:paraId="642AC040">
      <w:pPr>
        <w:pStyle w:val="91"/>
        <w:spacing w:line="360" w:lineRule="auto"/>
        <w:jc w:val="center"/>
        <w:outlineLvl w:val="2"/>
        <w:rPr>
          <w:rFonts w:hint="eastAsia" w:ascii="Cambria" w:hAnsi="Cambria" w:eastAsia="宋体" w:cs="Times New Roman"/>
          <w:b/>
          <w:bCs/>
          <w:color w:val="auto"/>
          <w:kern w:val="44"/>
          <w:sz w:val="32"/>
          <w:szCs w:val="44"/>
          <w:highlight w:val="none"/>
          <w:lang w:val="en-US" w:eastAsia="zh-CN" w:bidi="ar-SA"/>
        </w:rPr>
      </w:pPr>
      <w:r>
        <w:rPr>
          <w:rFonts w:hint="eastAsia" w:ascii="Cambria" w:hAnsi="Cambria" w:eastAsia="宋体" w:cs="Times New Roman"/>
          <w:b/>
          <w:bCs/>
          <w:color w:val="auto"/>
          <w:kern w:val="44"/>
          <w:sz w:val="32"/>
          <w:szCs w:val="44"/>
          <w:highlight w:val="none"/>
          <w:lang w:val="en-US" w:eastAsia="zh-CN" w:bidi="ar-SA"/>
        </w:rPr>
        <w:t>商务及技术偏离表</w:t>
      </w:r>
    </w:p>
    <w:p w14:paraId="22F25558">
      <w:pPr>
        <w:spacing w:line="360" w:lineRule="auto"/>
        <w:ind w:firstLine="630"/>
        <w:rPr>
          <w:rFonts w:hint="eastAsia" w:ascii="宋体" w:hAnsi="宋体" w:cs="宋体"/>
          <w:color w:val="auto"/>
          <w:kern w:val="0"/>
          <w:sz w:val="28"/>
          <w:szCs w:val="28"/>
          <w:highlight w:val="none"/>
        </w:rPr>
      </w:pPr>
    </w:p>
    <w:p w14:paraId="559B2926">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项目名称：</w:t>
      </w:r>
      <w:r>
        <w:rPr>
          <w:rFonts w:hint="eastAsia" w:ascii="宋体" w:hAnsi="宋体" w:cs="宋体"/>
          <w:color w:val="auto"/>
          <w:kern w:val="0"/>
          <w:sz w:val="24"/>
          <w:szCs w:val="24"/>
          <w:highlight w:val="none"/>
          <w:u w:val="single"/>
        </w:rPr>
        <w:t xml:space="preserve">                         </w:t>
      </w:r>
    </w:p>
    <w:p w14:paraId="4B260C4F">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项目</w:t>
      </w:r>
      <w:r>
        <w:rPr>
          <w:rFonts w:hint="eastAsia" w:ascii="宋体" w:hAnsi="宋体" w:cs="宋体"/>
          <w:color w:val="auto"/>
          <w:kern w:val="0"/>
          <w:sz w:val="24"/>
          <w:szCs w:val="24"/>
          <w:highlight w:val="none"/>
        </w:rPr>
        <w:t>编号：</w:t>
      </w:r>
      <w:r>
        <w:rPr>
          <w:rFonts w:hint="eastAsia" w:ascii="宋体" w:hAnsi="宋体" w:cs="宋体"/>
          <w:color w:val="auto"/>
          <w:kern w:val="0"/>
          <w:sz w:val="24"/>
          <w:szCs w:val="24"/>
          <w:highlight w:val="none"/>
          <w:u w:val="single"/>
        </w:rPr>
        <w:t xml:space="preserve">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2747"/>
        <w:gridCol w:w="3120"/>
        <w:gridCol w:w="1736"/>
      </w:tblGrid>
      <w:tr w14:paraId="07C1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144" w:type="dxa"/>
            <w:noWrap w:val="0"/>
            <w:vAlign w:val="bottom"/>
          </w:tcPr>
          <w:p w14:paraId="44A46834">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序号</w:t>
            </w:r>
          </w:p>
        </w:tc>
        <w:tc>
          <w:tcPr>
            <w:tcW w:w="2747" w:type="dxa"/>
            <w:noWrap w:val="0"/>
            <w:vAlign w:val="bottom"/>
          </w:tcPr>
          <w:p w14:paraId="35568498">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招标</w:t>
            </w:r>
            <w:r>
              <w:rPr>
                <w:rFonts w:hint="eastAsia" w:ascii="宋体" w:hAnsi="宋体" w:cs="宋体"/>
                <w:b/>
                <w:bCs/>
                <w:color w:val="auto"/>
                <w:kern w:val="0"/>
                <w:sz w:val="24"/>
                <w:szCs w:val="24"/>
                <w:highlight w:val="none"/>
              </w:rPr>
              <w:t>文件的条款</w:t>
            </w:r>
          </w:p>
        </w:tc>
        <w:tc>
          <w:tcPr>
            <w:tcW w:w="3120" w:type="dxa"/>
            <w:noWrap w:val="0"/>
            <w:vAlign w:val="bottom"/>
          </w:tcPr>
          <w:p w14:paraId="4F2E21B5">
            <w:pPr>
              <w:spacing w:line="360" w:lineRule="auto"/>
              <w:ind w:firstLine="241" w:firstLineChars="100"/>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投标</w:t>
            </w:r>
            <w:r>
              <w:rPr>
                <w:rFonts w:hint="eastAsia" w:ascii="宋体" w:hAnsi="宋体" w:cs="宋体"/>
                <w:b/>
                <w:bCs/>
                <w:color w:val="auto"/>
                <w:kern w:val="0"/>
                <w:sz w:val="24"/>
                <w:szCs w:val="24"/>
                <w:highlight w:val="none"/>
                <w:lang w:val="en-US" w:eastAsia="zh-CN"/>
              </w:rPr>
              <w:t>响应</w:t>
            </w:r>
            <w:r>
              <w:rPr>
                <w:rFonts w:hint="eastAsia" w:ascii="宋体" w:hAnsi="宋体" w:cs="宋体"/>
                <w:b/>
                <w:bCs/>
                <w:color w:val="auto"/>
                <w:kern w:val="0"/>
                <w:sz w:val="24"/>
                <w:szCs w:val="24"/>
                <w:highlight w:val="none"/>
              </w:rPr>
              <w:t>文件的条款</w:t>
            </w:r>
          </w:p>
        </w:tc>
        <w:tc>
          <w:tcPr>
            <w:tcW w:w="1736" w:type="dxa"/>
            <w:noWrap w:val="0"/>
            <w:vAlign w:val="bottom"/>
          </w:tcPr>
          <w:p w14:paraId="22131E74">
            <w:pPr>
              <w:spacing w:line="360" w:lineRule="auto"/>
              <w:ind w:firstLine="482" w:firstLineChars="200"/>
              <w:jc w:val="both"/>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说</w:t>
            </w:r>
            <w:r>
              <w:rPr>
                <w:rFonts w:hint="eastAsia" w:ascii="宋体" w:hAnsi="宋体" w:cs="宋体"/>
                <w:b/>
                <w:bCs/>
                <w:color w:val="auto"/>
                <w:kern w:val="0"/>
                <w:sz w:val="24"/>
                <w:szCs w:val="24"/>
                <w:highlight w:val="none"/>
                <w:lang w:val="en-US" w:eastAsia="zh-CN"/>
              </w:rPr>
              <w:t xml:space="preserve"> </w:t>
            </w:r>
            <w:r>
              <w:rPr>
                <w:rFonts w:hint="eastAsia" w:ascii="宋体" w:hAnsi="宋体" w:cs="宋体"/>
                <w:b/>
                <w:bCs/>
                <w:color w:val="auto"/>
                <w:kern w:val="0"/>
                <w:sz w:val="24"/>
                <w:szCs w:val="24"/>
                <w:highlight w:val="none"/>
              </w:rPr>
              <w:t>明</w:t>
            </w:r>
          </w:p>
        </w:tc>
      </w:tr>
      <w:tr w14:paraId="5B54E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1144" w:type="dxa"/>
            <w:noWrap w:val="0"/>
            <w:vAlign w:val="bottom"/>
          </w:tcPr>
          <w:p w14:paraId="40B7C964">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2747" w:type="dxa"/>
            <w:noWrap w:val="0"/>
            <w:vAlign w:val="center"/>
          </w:tcPr>
          <w:p w14:paraId="29595F65">
            <w:pPr>
              <w:spacing w:line="360" w:lineRule="auto"/>
              <w:ind w:firstLine="630"/>
              <w:jc w:val="center"/>
              <w:rPr>
                <w:rFonts w:hint="eastAsia" w:ascii="宋体" w:hAnsi="宋体" w:cs="宋体"/>
                <w:color w:val="auto"/>
                <w:kern w:val="0"/>
                <w:sz w:val="24"/>
                <w:szCs w:val="24"/>
                <w:highlight w:val="none"/>
              </w:rPr>
            </w:pPr>
          </w:p>
        </w:tc>
        <w:tc>
          <w:tcPr>
            <w:tcW w:w="3120" w:type="dxa"/>
            <w:noWrap w:val="0"/>
            <w:vAlign w:val="center"/>
          </w:tcPr>
          <w:p w14:paraId="11304174">
            <w:pPr>
              <w:spacing w:line="360" w:lineRule="auto"/>
              <w:ind w:firstLine="630"/>
              <w:jc w:val="center"/>
              <w:rPr>
                <w:rFonts w:hint="eastAsia" w:ascii="宋体" w:hAnsi="宋体" w:cs="宋体"/>
                <w:color w:val="auto"/>
                <w:kern w:val="0"/>
                <w:sz w:val="24"/>
                <w:szCs w:val="24"/>
                <w:highlight w:val="none"/>
              </w:rPr>
            </w:pPr>
          </w:p>
        </w:tc>
        <w:tc>
          <w:tcPr>
            <w:tcW w:w="1736" w:type="dxa"/>
            <w:noWrap w:val="0"/>
            <w:vAlign w:val="center"/>
          </w:tcPr>
          <w:p w14:paraId="042ED807">
            <w:pPr>
              <w:spacing w:line="360" w:lineRule="auto"/>
              <w:ind w:firstLine="630"/>
              <w:jc w:val="center"/>
              <w:rPr>
                <w:rFonts w:hint="eastAsia" w:ascii="宋体" w:hAnsi="宋体" w:cs="宋体"/>
                <w:color w:val="auto"/>
                <w:kern w:val="0"/>
                <w:sz w:val="24"/>
                <w:szCs w:val="24"/>
                <w:highlight w:val="none"/>
              </w:rPr>
            </w:pPr>
          </w:p>
        </w:tc>
      </w:tr>
      <w:tr w14:paraId="19ABE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144" w:type="dxa"/>
            <w:noWrap w:val="0"/>
            <w:vAlign w:val="bottom"/>
          </w:tcPr>
          <w:p w14:paraId="79121C0E">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2747" w:type="dxa"/>
            <w:noWrap w:val="0"/>
            <w:vAlign w:val="center"/>
          </w:tcPr>
          <w:p w14:paraId="074CE6DB">
            <w:pPr>
              <w:spacing w:line="360" w:lineRule="auto"/>
              <w:ind w:firstLine="630"/>
              <w:jc w:val="center"/>
              <w:rPr>
                <w:rFonts w:hint="eastAsia" w:ascii="宋体" w:hAnsi="宋体" w:cs="宋体"/>
                <w:color w:val="auto"/>
                <w:kern w:val="0"/>
                <w:sz w:val="24"/>
                <w:szCs w:val="24"/>
                <w:highlight w:val="none"/>
              </w:rPr>
            </w:pPr>
          </w:p>
        </w:tc>
        <w:tc>
          <w:tcPr>
            <w:tcW w:w="3120" w:type="dxa"/>
            <w:noWrap w:val="0"/>
            <w:vAlign w:val="center"/>
          </w:tcPr>
          <w:p w14:paraId="7F3C68D0">
            <w:pPr>
              <w:spacing w:line="360" w:lineRule="auto"/>
              <w:ind w:firstLine="630"/>
              <w:jc w:val="center"/>
              <w:rPr>
                <w:rFonts w:hint="eastAsia" w:ascii="宋体" w:hAnsi="宋体" w:cs="宋体"/>
                <w:color w:val="auto"/>
                <w:kern w:val="0"/>
                <w:sz w:val="24"/>
                <w:szCs w:val="24"/>
                <w:highlight w:val="none"/>
              </w:rPr>
            </w:pPr>
          </w:p>
        </w:tc>
        <w:tc>
          <w:tcPr>
            <w:tcW w:w="1736" w:type="dxa"/>
            <w:noWrap w:val="0"/>
            <w:vAlign w:val="center"/>
          </w:tcPr>
          <w:p w14:paraId="033E8FBC">
            <w:pPr>
              <w:spacing w:line="360" w:lineRule="auto"/>
              <w:ind w:firstLine="630"/>
              <w:jc w:val="center"/>
              <w:rPr>
                <w:rFonts w:hint="eastAsia" w:ascii="宋体" w:hAnsi="宋体" w:cs="宋体"/>
                <w:color w:val="auto"/>
                <w:kern w:val="0"/>
                <w:sz w:val="24"/>
                <w:szCs w:val="24"/>
                <w:highlight w:val="none"/>
              </w:rPr>
            </w:pPr>
          </w:p>
        </w:tc>
      </w:tr>
      <w:tr w14:paraId="519F0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144" w:type="dxa"/>
            <w:noWrap w:val="0"/>
            <w:vAlign w:val="bottom"/>
          </w:tcPr>
          <w:p w14:paraId="017F96B8">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2747" w:type="dxa"/>
            <w:noWrap w:val="0"/>
            <w:vAlign w:val="center"/>
          </w:tcPr>
          <w:p w14:paraId="163E8273">
            <w:pPr>
              <w:spacing w:line="360" w:lineRule="auto"/>
              <w:ind w:firstLine="630"/>
              <w:jc w:val="center"/>
              <w:rPr>
                <w:rFonts w:hint="eastAsia" w:ascii="宋体" w:hAnsi="宋体" w:cs="宋体"/>
                <w:color w:val="auto"/>
                <w:kern w:val="0"/>
                <w:sz w:val="24"/>
                <w:szCs w:val="24"/>
                <w:highlight w:val="none"/>
              </w:rPr>
            </w:pPr>
          </w:p>
        </w:tc>
        <w:tc>
          <w:tcPr>
            <w:tcW w:w="3120" w:type="dxa"/>
            <w:noWrap w:val="0"/>
            <w:vAlign w:val="center"/>
          </w:tcPr>
          <w:p w14:paraId="6E36A2F8">
            <w:pPr>
              <w:spacing w:line="360" w:lineRule="auto"/>
              <w:ind w:firstLine="630"/>
              <w:jc w:val="center"/>
              <w:rPr>
                <w:rFonts w:hint="eastAsia" w:ascii="宋体" w:hAnsi="宋体" w:cs="宋体"/>
                <w:color w:val="auto"/>
                <w:kern w:val="0"/>
                <w:sz w:val="24"/>
                <w:szCs w:val="24"/>
                <w:highlight w:val="none"/>
              </w:rPr>
            </w:pPr>
          </w:p>
        </w:tc>
        <w:tc>
          <w:tcPr>
            <w:tcW w:w="1736" w:type="dxa"/>
            <w:noWrap w:val="0"/>
            <w:vAlign w:val="center"/>
          </w:tcPr>
          <w:p w14:paraId="04B1E92E">
            <w:pPr>
              <w:spacing w:line="360" w:lineRule="auto"/>
              <w:ind w:firstLine="630"/>
              <w:jc w:val="center"/>
              <w:rPr>
                <w:rFonts w:hint="eastAsia" w:ascii="宋体" w:hAnsi="宋体" w:cs="宋体"/>
                <w:color w:val="auto"/>
                <w:kern w:val="0"/>
                <w:sz w:val="24"/>
                <w:szCs w:val="24"/>
                <w:highlight w:val="none"/>
              </w:rPr>
            </w:pPr>
          </w:p>
        </w:tc>
      </w:tr>
      <w:tr w14:paraId="488F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144" w:type="dxa"/>
            <w:noWrap w:val="0"/>
            <w:vAlign w:val="bottom"/>
          </w:tcPr>
          <w:p w14:paraId="629F3CF8">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w:t>
            </w:r>
          </w:p>
        </w:tc>
        <w:tc>
          <w:tcPr>
            <w:tcW w:w="2747" w:type="dxa"/>
            <w:noWrap w:val="0"/>
            <w:vAlign w:val="center"/>
          </w:tcPr>
          <w:p w14:paraId="78766419">
            <w:pPr>
              <w:spacing w:line="360" w:lineRule="auto"/>
              <w:ind w:firstLine="630"/>
              <w:jc w:val="center"/>
              <w:rPr>
                <w:rFonts w:hint="eastAsia" w:ascii="宋体" w:hAnsi="宋体" w:cs="宋体"/>
                <w:color w:val="auto"/>
                <w:kern w:val="0"/>
                <w:sz w:val="24"/>
                <w:szCs w:val="24"/>
                <w:highlight w:val="none"/>
              </w:rPr>
            </w:pPr>
          </w:p>
        </w:tc>
        <w:tc>
          <w:tcPr>
            <w:tcW w:w="3120" w:type="dxa"/>
            <w:noWrap w:val="0"/>
            <w:vAlign w:val="center"/>
          </w:tcPr>
          <w:p w14:paraId="20104460">
            <w:pPr>
              <w:spacing w:line="360" w:lineRule="auto"/>
              <w:ind w:firstLine="630"/>
              <w:jc w:val="center"/>
              <w:rPr>
                <w:rFonts w:hint="eastAsia" w:ascii="宋体" w:hAnsi="宋体" w:cs="宋体"/>
                <w:color w:val="auto"/>
                <w:kern w:val="0"/>
                <w:sz w:val="24"/>
                <w:szCs w:val="24"/>
                <w:highlight w:val="none"/>
              </w:rPr>
            </w:pPr>
          </w:p>
        </w:tc>
        <w:tc>
          <w:tcPr>
            <w:tcW w:w="1736" w:type="dxa"/>
            <w:noWrap w:val="0"/>
            <w:vAlign w:val="center"/>
          </w:tcPr>
          <w:p w14:paraId="7AF2333D">
            <w:pPr>
              <w:spacing w:line="360" w:lineRule="auto"/>
              <w:ind w:firstLine="630"/>
              <w:jc w:val="center"/>
              <w:rPr>
                <w:rFonts w:hint="eastAsia" w:ascii="宋体" w:hAnsi="宋体" w:cs="宋体"/>
                <w:color w:val="auto"/>
                <w:kern w:val="0"/>
                <w:sz w:val="24"/>
                <w:szCs w:val="24"/>
                <w:highlight w:val="none"/>
              </w:rPr>
            </w:pPr>
          </w:p>
        </w:tc>
      </w:tr>
      <w:tr w14:paraId="1FA52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1144" w:type="dxa"/>
            <w:noWrap w:val="0"/>
            <w:vAlign w:val="bottom"/>
          </w:tcPr>
          <w:p w14:paraId="7F78F070">
            <w:pPr>
              <w:pStyle w:val="41"/>
              <w:jc w:val="center"/>
              <w:rPr>
                <w:rFonts w:hint="eastAsia" w:hAnsi="宋体"/>
                <w:color w:val="auto"/>
                <w:sz w:val="24"/>
                <w:szCs w:val="24"/>
                <w:highlight w:val="none"/>
              </w:rPr>
            </w:pPr>
          </w:p>
          <w:p w14:paraId="1235DD67">
            <w:pPr>
              <w:pStyle w:val="41"/>
              <w:jc w:val="center"/>
              <w:rPr>
                <w:rFonts w:hint="default" w:hAnsi="宋体" w:eastAsia="宋体"/>
                <w:color w:val="auto"/>
                <w:sz w:val="24"/>
                <w:szCs w:val="24"/>
                <w:highlight w:val="none"/>
                <w:lang w:val="en-US" w:eastAsia="zh-CN"/>
              </w:rPr>
            </w:pPr>
            <w:r>
              <w:rPr>
                <w:rFonts w:hint="eastAsia"/>
                <w:color w:val="auto"/>
                <w:sz w:val="24"/>
                <w:szCs w:val="24"/>
                <w:highlight w:val="none"/>
                <w:lang w:val="en-US" w:eastAsia="zh-CN"/>
              </w:rPr>
              <w:t>......</w:t>
            </w:r>
          </w:p>
        </w:tc>
        <w:tc>
          <w:tcPr>
            <w:tcW w:w="2747" w:type="dxa"/>
            <w:noWrap w:val="0"/>
            <w:vAlign w:val="bottom"/>
          </w:tcPr>
          <w:p w14:paraId="540579D1">
            <w:pPr>
              <w:spacing w:line="360" w:lineRule="auto"/>
              <w:ind w:firstLine="630"/>
              <w:jc w:val="center"/>
              <w:rPr>
                <w:rFonts w:hint="eastAsia" w:ascii="宋体" w:hAnsi="宋体" w:cs="宋体"/>
                <w:color w:val="auto"/>
                <w:kern w:val="0"/>
                <w:sz w:val="24"/>
                <w:szCs w:val="24"/>
                <w:highlight w:val="none"/>
              </w:rPr>
            </w:pPr>
          </w:p>
        </w:tc>
        <w:tc>
          <w:tcPr>
            <w:tcW w:w="3120" w:type="dxa"/>
            <w:noWrap w:val="0"/>
            <w:vAlign w:val="bottom"/>
          </w:tcPr>
          <w:p w14:paraId="6A11B786">
            <w:pPr>
              <w:spacing w:line="360" w:lineRule="auto"/>
              <w:ind w:firstLine="630"/>
              <w:jc w:val="center"/>
              <w:rPr>
                <w:rFonts w:hint="eastAsia" w:ascii="宋体" w:hAnsi="宋体" w:cs="宋体"/>
                <w:color w:val="auto"/>
                <w:kern w:val="0"/>
                <w:sz w:val="24"/>
                <w:szCs w:val="24"/>
                <w:highlight w:val="none"/>
              </w:rPr>
            </w:pPr>
          </w:p>
        </w:tc>
        <w:tc>
          <w:tcPr>
            <w:tcW w:w="1736" w:type="dxa"/>
            <w:noWrap w:val="0"/>
            <w:vAlign w:val="bottom"/>
          </w:tcPr>
          <w:p w14:paraId="0B189238">
            <w:pPr>
              <w:spacing w:line="360" w:lineRule="auto"/>
              <w:ind w:firstLine="630"/>
              <w:jc w:val="center"/>
              <w:rPr>
                <w:rFonts w:hint="eastAsia" w:ascii="宋体" w:hAnsi="宋体" w:cs="宋体"/>
                <w:color w:val="auto"/>
                <w:kern w:val="0"/>
                <w:sz w:val="24"/>
                <w:szCs w:val="24"/>
                <w:highlight w:val="none"/>
              </w:rPr>
            </w:pPr>
          </w:p>
        </w:tc>
      </w:tr>
    </w:tbl>
    <w:p w14:paraId="64495DBE">
      <w:pPr>
        <w:spacing w:line="360" w:lineRule="auto"/>
        <w:ind w:firstLine="630"/>
        <w:rPr>
          <w:rFonts w:hint="eastAsia" w:ascii="宋体" w:hAnsi="宋体" w:cs="宋体"/>
          <w:color w:val="auto"/>
          <w:kern w:val="0"/>
          <w:sz w:val="24"/>
          <w:szCs w:val="24"/>
          <w:highlight w:val="none"/>
        </w:rPr>
      </w:pPr>
    </w:p>
    <w:p w14:paraId="1C482801">
      <w:pPr>
        <w:pStyle w:val="90"/>
        <w:spacing w:line="360" w:lineRule="auto"/>
        <w:ind w:left="1197" w:leftChars="570" w:firstLine="1680" w:firstLineChars="700"/>
        <w:rPr>
          <w:rFonts w:hint="eastAsia" w:ascii="宋体" w:hAnsi="宋体" w:cs="宋体"/>
          <w:color w:val="auto"/>
          <w:sz w:val="24"/>
          <w:szCs w:val="24"/>
          <w:highlight w:val="none"/>
        </w:rPr>
      </w:pPr>
      <w:r>
        <w:rPr>
          <w:rFonts w:hint="eastAsia" w:ascii="宋体" w:hAnsi="宋体" w:cs="宋体"/>
          <w:color w:val="auto"/>
          <w:sz w:val="24"/>
          <w:szCs w:val="24"/>
          <w:highlight w:val="none"/>
        </w:rPr>
        <w:t>投标单位（盖章）：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p>
    <w:p w14:paraId="046DCF00">
      <w:pPr>
        <w:pStyle w:val="88"/>
        <w:ind w:firstLine="0"/>
        <w:rPr>
          <w:rFonts w:hint="eastAsia" w:ascii="宋体" w:hAnsi="宋体" w:cs="宋体"/>
          <w:color w:val="auto"/>
          <w:sz w:val="24"/>
          <w:szCs w:val="24"/>
          <w:highlight w:val="none"/>
        </w:rPr>
      </w:pPr>
    </w:p>
    <w:p w14:paraId="4CABD4B1">
      <w:pPr>
        <w:spacing w:line="500" w:lineRule="exact"/>
        <w:ind w:firstLine="1440" w:firstLineChars="6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法定代表人或委托代理人（签字或盖章）：</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 xml:space="preserve">     </w:t>
      </w:r>
    </w:p>
    <w:p w14:paraId="424B376F">
      <w:pPr>
        <w:rPr>
          <w:rFonts w:hint="eastAsia" w:ascii="宋体" w:hAnsi="宋体" w:cs="宋体"/>
          <w:color w:val="auto"/>
          <w:kern w:val="0"/>
          <w:sz w:val="24"/>
          <w:szCs w:val="24"/>
          <w:highlight w:val="none"/>
        </w:rPr>
      </w:pPr>
    </w:p>
    <w:p w14:paraId="2E870D2B">
      <w:pPr>
        <w:wordWrap w:val="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w:t>
      </w:r>
    </w:p>
    <w:p w14:paraId="7DDD017D">
      <w:pPr>
        <w:wordWrap w:val="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 xml:space="preserve"> 日</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期：</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日</w:t>
      </w:r>
    </w:p>
    <w:p w14:paraId="4864437E">
      <w:pP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br w:type="page"/>
      </w:r>
    </w:p>
    <w:p w14:paraId="72CCD853">
      <w:pPr>
        <w:spacing w:line="360" w:lineRule="auto"/>
        <w:ind w:right="1002" w:rightChars="477"/>
        <w:jc w:val="left"/>
        <w:rPr>
          <w:rFonts w:hint="eastAsia" w:ascii="Times New Roman" w:hAnsi="Times New Roman" w:eastAsia="宋体" w:cs="Times New Roman"/>
          <w:b/>
          <w:color w:val="auto"/>
          <w:sz w:val="28"/>
          <w:szCs w:val="28"/>
          <w:highlight w:val="none"/>
        </w:rPr>
      </w:pPr>
      <w:r>
        <w:rPr>
          <w:rFonts w:hint="eastAsia" w:ascii="Times New Roman" w:hAnsi="Times New Roman" w:eastAsia="宋体" w:cs="Times New Roman"/>
          <w:b/>
          <w:color w:val="auto"/>
          <w:sz w:val="28"/>
          <w:szCs w:val="28"/>
          <w:highlight w:val="none"/>
          <w:lang w:val="en-US" w:eastAsia="zh-CN"/>
        </w:rPr>
        <w:t>五、</w:t>
      </w:r>
      <w:r>
        <w:rPr>
          <w:rFonts w:hint="eastAsia" w:ascii="Times New Roman" w:hAnsi="Times New Roman" w:eastAsia="宋体" w:cs="Times New Roman"/>
          <w:b/>
          <w:color w:val="auto"/>
          <w:sz w:val="28"/>
          <w:szCs w:val="28"/>
          <w:highlight w:val="none"/>
        </w:rPr>
        <w:t>声明函格式（中小微企业提供）</w:t>
      </w:r>
    </w:p>
    <w:p w14:paraId="51A695BC">
      <w:pPr>
        <w:pStyle w:val="78"/>
        <w:ind w:firstLine="560"/>
        <w:rPr>
          <w:rStyle w:val="75"/>
          <w:rFonts w:hint="eastAsia" w:ascii="宋体" w:hAnsi="宋体" w:cs="宋体"/>
          <w:color w:val="auto"/>
          <w:sz w:val="28"/>
          <w:szCs w:val="28"/>
          <w:highlight w:val="none"/>
        </w:rPr>
      </w:pPr>
    </w:p>
    <w:p w14:paraId="444CBDA5">
      <w:pPr>
        <w:spacing w:line="360" w:lineRule="auto"/>
        <w:ind w:right="1002" w:rightChars="477"/>
        <w:jc w:val="center"/>
        <w:rPr>
          <w:rFonts w:hint="eastAsia"/>
          <w:b/>
          <w:color w:val="auto"/>
          <w:sz w:val="28"/>
          <w:szCs w:val="28"/>
          <w:highlight w:val="none"/>
        </w:rPr>
      </w:pPr>
      <w:r>
        <w:rPr>
          <w:rFonts w:hint="eastAsia"/>
          <w:b/>
          <w:color w:val="auto"/>
          <w:sz w:val="28"/>
          <w:szCs w:val="28"/>
          <w:highlight w:val="none"/>
        </w:rPr>
        <w:t xml:space="preserve">    </w:t>
      </w:r>
      <w:r>
        <w:rPr>
          <w:rFonts w:hint="eastAsia"/>
          <w:b/>
          <w:color w:val="auto"/>
          <w:sz w:val="28"/>
          <w:szCs w:val="28"/>
          <w:highlight w:val="none"/>
          <w:lang w:eastAsia="zh-CN"/>
        </w:rPr>
        <w:t>（</w:t>
      </w:r>
      <w:r>
        <w:rPr>
          <w:rFonts w:hint="eastAsia"/>
          <w:b/>
          <w:color w:val="auto"/>
          <w:sz w:val="28"/>
          <w:szCs w:val="28"/>
          <w:highlight w:val="none"/>
          <w:lang w:val="en-US" w:eastAsia="zh-CN"/>
        </w:rPr>
        <w:t>1</w:t>
      </w:r>
      <w:r>
        <w:rPr>
          <w:rFonts w:hint="eastAsia"/>
          <w:b/>
          <w:color w:val="auto"/>
          <w:sz w:val="28"/>
          <w:szCs w:val="28"/>
          <w:highlight w:val="none"/>
          <w:lang w:eastAsia="zh-CN"/>
        </w:rPr>
        <w:t>）</w:t>
      </w:r>
      <w:r>
        <w:rPr>
          <w:b/>
          <w:color w:val="auto"/>
          <w:sz w:val="28"/>
          <w:szCs w:val="28"/>
          <w:highlight w:val="none"/>
        </w:rPr>
        <w:t>中小企业声明函（</w:t>
      </w:r>
      <w:r>
        <w:rPr>
          <w:rFonts w:hint="eastAsia"/>
          <w:b/>
          <w:color w:val="auto"/>
          <w:sz w:val="28"/>
          <w:szCs w:val="28"/>
          <w:highlight w:val="none"/>
        </w:rPr>
        <w:t>工程）</w:t>
      </w:r>
    </w:p>
    <w:p w14:paraId="5C3003BE">
      <w:pPr>
        <w:spacing w:line="360" w:lineRule="auto"/>
        <w:ind w:right="1002" w:rightChars="477"/>
        <w:jc w:val="center"/>
        <w:rPr>
          <w:b/>
          <w:color w:val="auto"/>
          <w:sz w:val="28"/>
          <w:szCs w:val="28"/>
          <w:highlight w:val="none"/>
        </w:rPr>
      </w:pPr>
    </w:p>
    <w:p w14:paraId="46194DD3">
      <w:pPr>
        <w:widowControl w:val="0"/>
        <w:spacing w:after="120" w:line="360" w:lineRule="auto"/>
        <w:ind w:firstLine="480" w:firstLineChars="200"/>
        <w:rPr>
          <w:rFonts w:ascii="宋体" w:hAnsi="宋体" w:cs="宋体"/>
          <w:color w:val="auto"/>
          <w:kern w:val="0"/>
          <w:sz w:val="24"/>
          <w:szCs w:val="24"/>
          <w:highlight w:val="none"/>
        </w:rPr>
      </w:pPr>
      <w:r>
        <w:rPr>
          <w:rFonts w:ascii="宋体" w:hAnsi="宋体" w:cs="宋体"/>
          <w:color w:val="auto"/>
          <w:kern w:val="0"/>
          <w:sz w:val="24"/>
          <w:szCs w:val="24"/>
          <w:highlight w:val="none"/>
        </w:rPr>
        <w:t>本公司（联合体）郑重声明，根据《政府采购促进中小企业发展管理办法》（财库）（2020）46号）的规定，本公司（联合体）参加（单位名称）</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的（项目名称）采购活动，工程的施工单位全部为符合政策的中小企业（或者服务全部由符合中小企业政策要求的中小企业承接）。相关企业（含联合体中的中小企业、签订分包意向协议的中小企业）的具体情况如下：</w:t>
      </w:r>
    </w:p>
    <w:p w14:paraId="3F39F9B2">
      <w:pPr>
        <w:widowControl w:val="0"/>
        <w:spacing w:after="120" w:line="360" w:lineRule="auto"/>
        <w:rPr>
          <w:rFonts w:ascii="宋体" w:hAnsi="宋体" w:cs="宋体"/>
          <w:color w:val="auto"/>
          <w:kern w:val="0"/>
          <w:sz w:val="24"/>
          <w:szCs w:val="24"/>
          <w:highlight w:val="none"/>
        </w:rPr>
      </w:pPr>
      <w:r>
        <w:rPr>
          <w:rFonts w:ascii="宋体" w:hAnsi="宋体" w:cs="宋体"/>
          <w:color w:val="auto"/>
          <w:kern w:val="0"/>
          <w:sz w:val="24"/>
          <w:szCs w:val="24"/>
          <w:highlight w:val="none"/>
        </w:rPr>
        <w:t>1.（标的名称）</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 xml:space="preserve"> ，属于（采购文件中明确的所属行业）</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 承建（承接）企业为（企业名称）</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，从业人员</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 xml:space="preserve"> 人，营业收入为</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万元，资产总额为</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万元 ，属于</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（中型企业、小型企业、微型企业）；</w:t>
      </w:r>
    </w:p>
    <w:p w14:paraId="27C623E2">
      <w:pPr>
        <w:widowControl w:val="0"/>
        <w:spacing w:after="120" w:line="360" w:lineRule="auto"/>
        <w:rPr>
          <w:rFonts w:ascii="宋体" w:hAnsi="宋体" w:cs="宋体"/>
          <w:color w:val="auto"/>
          <w:kern w:val="0"/>
          <w:sz w:val="24"/>
          <w:szCs w:val="24"/>
          <w:highlight w:val="none"/>
        </w:rPr>
      </w:pPr>
      <w:r>
        <w:rPr>
          <w:rFonts w:ascii="宋体" w:hAnsi="宋体" w:cs="宋体"/>
          <w:color w:val="auto"/>
          <w:kern w:val="0"/>
          <w:sz w:val="24"/>
          <w:szCs w:val="24"/>
          <w:highlight w:val="none"/>
        </w:rPr>
        <w:t>2.（标的名称）</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 xml:space="preserve"> ，属于（采购文件中明确的所属行业）</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 承建（承接）企业为（企业名称）</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，从业人员</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人，营业 收入为</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万元，资产总额为</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万元，属于</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 xml:space="preserve">（中型企业、小型企业、微型企业）； </w:t>
      </w:r>
    </w:p>
    <w:p w14:paraId="1619DD01">
      <w:pPr>
        <w:widowControl w:val="0"/>
        <w:spacing w:after="120" w:line="360" w:lineRule="auto"/>
        <w:rPr>
          <w:rFonts w:ascii="宋体" w:hAnsi="宋体" w:cs="宋体"/>
          <w:color w:val="auto"/>
          <w:kern w:val="0"/>
          <w:sz w:val="24"/>
          <w:szCs w:val="24"/>
          <w:highlight w:val="none"/>
        </w:rPr>
      </w:pPr>
      <w:r>
        <w:rPr>
          <w:rFonts w:ascii="宋体" w:hAnsi="宋体" w:cs="宋体"/>
          <w:color w:val="auto"/>
          <w:kern w:val="0"/>
          <w:sz w:val="24"/>
          <w:szCs w:val="24"/>
          <w:highlight w:val="none"/>
        </w:rPr>
        <w:t>……</w:t>
      </w:r>
    </w:p>
    <w:p w14:paraId="36EBA5E0">
      <w:pPr>
        <w:widowControl w:val="0"/>
        <w:spacing w:after="120" w:line="360" w:lineRule="auto"/>
        <w:ind w:firstLine="560"/>
        <w:rPr>
          <w:rFonts w:ascii="宋体" w:hAnsi="宋体" w:cs="宋体"/>
          <w:color w:val="auto"/>
          <w:kern w:val="0"/>
          <w:sz w:val="24"/>
          <w:szCs w:val="24"/>
          <w:highlight w:val="none"/>
        </w:rPr>
      </w:pPr>
      <w:r>
        <w:rPr>
          <w:rFonts w:ascii="宋体" w:hAnsi="宋体" w:cs="宋体"/>
          <w:color w:val="auto"/>
          <w:kern w:val="0"/>
          <w:sz w:val="24"/>
          <w:szCs w:val="24"/>
          <w:highlight w:val="none"/>
        </w:rPr>
        <w:t>以上企业，不属于大企业的分支机构，不存在控股股东为大企业的情形，也不存在与大企业的负责人为同一人的情形。本企业对上述声明内容的真实性负责。如有虚假，将依法承担相应责任。</w:t>
      </w:r>
    </w:p>
    <w:p w14:paraId="5B634A7E">
      <w:pPr>
        <w:widowControl w:val="0"/>
        <w:spacing w:after="120" w:line="360" w:lineRule="auto"/>
        <w:ind w:firstLine="3273" w:firstLineChars="1364"/>
        <w:rPr>
          <w:rFonts w:ascii="宋体" w:hAnsi="宋体" w:cs="宋体"/>
          <w:color w:val="auto"/>
          <w:kern w:val="0"/>
          <w:sz w:val="24"/>
          <w:szCs w:val="24"/>
          <w:highlight w:val="none"/>
        </w:rPr>
      </w:pPr>
      <w:r>
        <w:rPr>
          <w:rFonts w:ascii="宋体" w:hAnsi="宋体" w:cs="宋体"/>
          <w:color w:val="auto"/>
          <w:kern w:val="0"/>
          <w:sz w:val="24"/>
          <w:szCs w:val="24"/>
          <w:highlight w:val="none"/>
        </w:rPr>
        <w:t>企业名称（盖章）：</w:t>
      </w:r>
    </w:p>
    <w:p w14:paraId="57E02598">
      <w:pPr>
        <w:widowControl w:val="0"/>
        <w:spacing w:after="120" w:line="360" w:lineRule="auto"/>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日 期</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 xml:space="preserve">： </w:t>
      </w:r>
    </w:p>
    <w:p w14:paraId="202A8467">
      <w:pPr>
        <w:spacing w:line="360" w:lineRule="auto"/>
        <w:ind w:right="1002" w:rightChars="477"/>
        <w:jc w:val="center"/>
        <w:rPr>
          <w:rFonts w:hint="eastAsia" w:ascii="Times New Roman" w:hAnsi="Times New Roman" w:eastAsia="宋体" w:cs="Times New Roman"/>
          <w:b/>
          <w:color w:val="auto"/>
          <w:sz w:val="28"/>
          <w:szCs w:val="28"/>
          <w:highlight w:val="none"/>
          <w:lang w:eastAsia="zh-CN"/>
        </w:rPr>
      </w:pPr>
    </w:p>
    <w:p w14:paraId="65141756">
      <w:pPr>
        <w:widowControl/>
        <w:spacing w:line="40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备注：1、从业人员、营业收入、资产总额填报上一年度数据，无上一年度数据的新成立企业可不填报。</w:t>
      </w: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投标人为中小企业时需提供本声明函，并完整填写从业人员、营业收入、资产总额等内容。</w:t>
      </w:r>
    </w:p>
    <w:p w14:paraId="729F1A39">
      <w:pP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br w:type="page"/>
      </w:r>
    </w:p>
    <w:p w14:paraId="585A4FA4">
      <w:pPr>
        <w:spacing w:line="360" w:lineRule="auto"/>
        <w:ind w:right="1002" w:rightChars="477"/>
        <w:jc w:val="center"/>
        <w:rPr>
          <w:rFonts w:hint="eastAsia" w:ascii="Times New Roman" w:hAnsi="Times New Roman" w:eastAsia="宋体" w:cs="Times New Roman"/>
          <w:b/>
          <w:color w:val="auto"/>
          <w:sz w:val="28"/>
          <w:szCs w:val="28"/>
          <w:highlight w:val="none"/>
        </w:rPr>
      </w:pPr>
      <w:r>
        <w:rPr>
          <w:rFonts w:hint="eastAsia" w:ascii="Times New Roman" w:hAnsi="Times New Roman" w:eastAsia="宋体" w:cs="Times New Roman"/>
          <w:b/>
          <w:color w:val="auto"/>
          <w:sz w:val="28"/>
          <w:szCs w:val="28"/>
          <w:highlight w:val="none"/>
          <w:lang w:eastAsia="zh-CN"/>
        </w:rPr>
        <w:t>（</w:t>
      </w:r>
      <w:r>
        <w:rPr>
          <w:rFonts w:hint="eastAsia" w:ascii="Times New Roman" w:hAnsi="Times New Roman" w:eastAsia="宋体" w:cs="Times New Roman"/>
          <w:b/>
          <w:color w:val="auto"/>
          <w:sz w:val="28"/>
          <w:szCs w:val="28"/>
          <w:highlight w:val="none"/>
          <w:lang w:val="en-US" w:eastAsia="zh-CN"/>
        </w:rPr>
        <w:t>2</w:t>
      </w:r>
      <w:r>
        <w:rPr>
          <w:rFonts w:hint="eastAsia" w:ascii="Times New Roman" w:hAnsi="Times New Roman" w:eastAsia="宋体" w:cs="Times New Roman"/>
          <w:b/>
          <w:color w:val="auto"/>
          <w:sz w:val="28"/>
          <w:szCs w:val="28"/>
          <w:highlight w:val="none"/>
          <w:lang w:eastAsia="zh-CN"/>
        </w:rPr>
        <w:t>）</w:t>
      </w:r>
      <w:r>
        <w:rPr>
          <w:rFonts w:hint="eastAsia" w:ascii="Times New Roman" w:hAnsi="Times New Roman" w:eastAsia="宋体" w:cs="Times New Roman"/>
          <w:b/>
          <w:color w:val="auto"/>
          <w:sz w:val="28"/>
          <w:szCs w:val="28"/>
          <w:highlight w:val="none"/>
        </w:rPr>
        <w:t>监狱企业声明函</w:t>
      </w:r>
    </w:p>
    <w:p w14:paraId="0CF82590">
      <w:pPr>
        <w:keepNext w:val="0"/>
        <w:keepLines w:val="0"/>
        <w:pageBreakBefore w:val="0"/>
        <w:widowControl/>
        <w:kinsoku/>
        <w:wordWrap/>
        <w:overflowPunct/>
        <w:topLinePunct w:val="0"/>
        <w:bidi w:val="0"/>
        <w:snapToGrid/>
        <w:spacing w:line="360" w:lineRule="auto"/>
        <w:ind w:firstLine="3360" w:firstLineChars="14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(监狱企业适用)</w:t>
      </w:r>
    </w:p>
    <w:p w14:paraId="31D7FFC5">
      <w:pPr>
        <w:pStyle w:val="30"/>
        <w:tabs>
          <w:tab w:val="left" w:pos="720"/>
          <w:tab w:val="left" w:pos="900"/>
          <w:tab w:val="left" w:pos="1260"/>
          <w:tab w:val="left" w:pos="2160"/>
          <w:tab w:val="left" w:pos="2880"/>
          <w:tab w:val="left" w:pos="3600"/>
          <w:tab w:val="left" w:pos="4320"/>
          <w:tab w:val="left" w:pos="5040"/>
          <w:tab w:val="left" w:pos="5760"/>
        </w:tabs>
        <w:spacing w:line="360" w:lineRule="auto"/>
        <w:rPr>
          <w:rFonts w:hint="eastAsia" w:asciiTheme="minorEastAsia" w:hAnsiTheme="minorEastAsia" w:eastAsiaTheme="minorEastAsia" w:cstheme="minorEastAsia"/>
          <w:color w:val="auto"/>
          <w:sz w:val="24"/>
          <w:szCs w:val="24"/>
          <w:highlight w:val="none"/>
        </w:rPr>
      </w:pPr>
    </w:p>
    <w:p w14:paraId="1DEA26A4">
      <w:pPr>
        <w:spacing w:line="360" w:lineRule="auto"/>
        <w:ind w:firstLine="482" w:firstLineChars="200"/>
        <w:jc w:val="both"/>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监狱企业声明函【服务类，监狱企业如需享受优惠政策，还须另行提供省级以上监狱管理局、戒毒管理局（含新疆生产建设兵团）出具的监狱企业证明文件】</w:t>
      </w:r>
    </w:p>
    <w:p w14:paraId="3B4D98B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本投标人郑重声明，根据《财政部司法部关于政府采购支持监狱企业发展有关问题的通知》（财库〔2014〕68号）的规定，本投标人参加</w:t>
      </w:r>
      <w:r>
        <w:rPr>
          <w:rFonts w:hint="eastAsia" w:asciiTheme="minorEastAsia" w:hAnsiTheme="minorEastAsia" w:eastAsiaTheme="minorEastAsia" w:cstheme="minorEastAsia"/>
          <w:b/>
          <w:bCs/>
          <w:color w:val="auto"/>
          <w:sz w:val="24"/>
          <w:szCs w:val="24"/>
          <w:highlight w:val="none"/>
          <w:u w:val="single"/>
        </w:rPr>
        <w:t>（采购人名称）</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b/>
          <w:bCs/>
          <w:color w:val="auto"/>
          <w:sz w:val="24"/>
          <w:szCs w:val="24"/>
          <w:highlight w:val="none"/>
          <w:u w:val="single"/>
        </w:rPr>
        <w:t>（项目名称）</w:t>
      </w:r>
      <w:r>
        <w:rPr>
          <w:rFonts w:hint="eastAsia" w:asciiTheme="minorEastAsia" w:hAnsiTheme="minorEastAsia" w:eastAsiaTheme="minorEastAsia" w:cstheme="minorEastAsia"/>
          <w:color w:val="auto"/>
          <w:sz w:val="24"/>
          <w:szCs w:val="24"/>
          <w:highlight w:val="none"/>
        </w:rPr>
        <w:t>采购活动，服务全部由符合政策要求的监狱企业承接。相关监狱企业的具体情况如下：</w:t>
      </w:r>
    </w:p>
    <w:p w14:paraId="5E8B3B2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b/>
          <w:bCs/>
          <w:color w:val="auto"/>
          <w:sz w:val="24"/>
          <w:szCs w:val="24"/>
          <w:highlight w:val="none"/>
          <w:u w:val="single"/>
        </w:rPr>
        <w:t xml:space="preserve"> （标的名称）</w:t>
      </w:r>
      <w:r>
        <w:rPr>
          <w:rFonts w:hint="eastAsia" w:asciiTheme="minorEastAsia" w:hAnsiTheme="minorEastAsia" w:eastAsiaTheme="minorEastAsia" w:cstheme="minorEastAsia"/>
          <w:color w:val="auto"/>
          <w:sz w:val="24"/>
          <w:szCs w:val="24"/>
          <w:highlight w:val="none"/>
        </w:rPr>
        <w:t xml:space="preserve"> ，承接单位为</w:t>
      </w:r>
      <w:r>
        <w:rPr>
          <w:rFonts w:hint="eastAsia" w:asciiTheme="minorEastAsia" w:hAnsiTheme="minorEastAsia" w:eastAsiaTheme="minorEastAsia" w:cstheme="minorEastAsia"/>
          <w:b/>
          <w:bCs/>
          <w:color w:val="auto"/>
          <w:sz w:val="24"/>
          <w:szCs w:val="24"/>
          <w:highlight w:val="none"/>
          <w:u w:val="single"/>
        </w:rPr>
        <w:t>（企业名称）</w:t>
      </w:r>
      <w:r>
        <w:rPr>
          <w:rFonts w:hint="eastAsia" w:asciiTheme="minorEastAsia" w:hAnsiTheme="minorEastAsia" w:eastAsiaTheme="minorEastAsia" w:cstheme="minorEastAsia"/>
          <w:color w:val="auto"/>
          <w:sz w:val="24"/>
          <w:szCs w:val="24"/>
          <w:highlight w:val="none"/>
        </w:rPr>
        <w:t>，属于</w:t>
      </w:r>
      <w:r>
        <w:rPr>
          <w:rFonts w:hint="eastAsia" w:asciiTheme="minorEastAsia" w:hAnsiTheme="minorEastAsia" w:eastAsiaTheme="minorEastAsia" w:cstheme="minorEastAsia"/>
          <w:b/>
          <w:bCs/>
          <w:color w:val="auto"/>
          <w:sz w:val="24"/>
          <w:szCs w:val="24"/>
          <w:highlight w:val="none"/>
          <w:u w:val="single"/>
        </w:rPr>
        <w:t>监狱企业</w:t>
      </w:r>
      <w:r>
        <w:rPr>
          <w:rFonts w:hint="eastAsia" w:asciiTheme="minorEastAsia" w:hAnsiTheme="minorEastAsia" w:eastAsiaTheme="minorEastAsia" w:cstheme="minorEastAsia"/>
          <w:color w:val="auto"/>
          <w:sz w:val="24"/>
          <w:szCs w:val="24"/>
          <w:highlight w:val="none"/>
        </w:rPr>
        <w:t>；</w:t>
      </w:r>
    </w:p>
    <w:p w14:paraId="578166A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b/>
          <w:bCs/>
          <w:color w:val="auto"/>
          <w:sz w:val="24"/>
          <w:szCs w:val="24"/>
          <w:highlight w:val="none"/>
          <w:u w:val="single"/>
        </w:rPr>
        <w:t xml:space="preserve"> （标的名称）</w:t>
      </w:r>
      <w:r>
        <w:rPr>
          <w:rFonts w:hint="eastAsia" w:asciiTheme="minorEastAsia" w:hAnsiTheme="minorEastAsia" w:eastAsiaTheme="minorEastAsia" w:cstheme="minorEastAsia"/>
          <w:color w:val="auto"/>
          <w:sz w:val="24"/>
          <w:szCs w:val="24"/>
          <w:highlight w:val="none"/>
        </w:rPr>
        <w:t xml:space="preserve"> ，承接单位为</w:t>
      </w:r>
      <w:r>
        <w:rPr>
          <w:rFonts w:hint="eastAsia" w:asciiTheme="minorEastAsia" w:hAnsiTheme="minorEastAsia" w:eastAsiaTheme="minorEastAsia" w:cstheme="minorEastAsia"/>
          <w:b/>
          <w:bCs/>
          <w:color w:val="auto"/>
          <w:sz w:val="24"/>
          <w:szCs w:val="24"/>
          <w:highlight w:val="none"/>
          <w:u w:val="single"/>
        </w:rPr>
        <w:t>（企业名称）</w:t>
      </w:r>
      <w:r>
        <w:rPr>
          <w:rFonts w:hint="eastAsia" w:asciiTheme="minorEastAsia" w:hAnsiTheme="minorEastAsia" w:eastAsiaTheme="minorEastAsia" w:cstheme="minorEastAsia"/>
          <w:color w:val="auto"/>
          <w:sz w:val="24"/>
          <w:szCs w:val="24"/>
          <w:highlight w:val="none"/>
        </w:rPr>
        <w:t>，属于</w:t>
      </w:r>
      <w:r>
        <w:rPr>
          <w:rFonts w:hint="eastAsia" w:asciiTheme="minorEastAsia" w:hAnsiTheme="minorEastAsia" w:eastAsiaTheme="minorEastAsia" w:cstheme="minorEastAsia"/>
          <w:b/>
          <w:bCs/>
          <w:color w:val="auto"/>
          <w:sz w:val="24"/>
          <w:szCs w:val="24"/>
          <w:highlight w:val="none"/>
          <w:u w:val="single"/>
        </w:rPr>
        <w:t>监狱企业</w:t>
      </w:r>
      <w:r>
        <w:rPr>
          <w:rFonts w:hint="eastAsia" w:asciiTheme="minorEastAsia" w:hAnsiTheme="minorEastAsia" w:eastAsiaTheme="minorEastAsia" w:cstheme="minorEastAsia"/>
          <w:color w:val="auto"/>
          <w:sz w:val="24"/>
          <w:szCs w:val="24"/>
          <w:highlight w:val="none"/>
        </w:rPr>
        <w:t>。</w:t>
      </w:r>
    </w:p>
    <w:p w14:paraId="5B32F0F9">
      <w:pPr>
        <w:spacing w:line="360" w:lineRule="auto"/>
        <w:ind w:firstLine="480" w:firstLineChars="200"/>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7992B662">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本投标人对上述声明内容的真实性负责。如有虚假，将依法承担相应责任。</w:t>
      </w:r>
    </w:p>
    <w:p w14:paraId="4528FDA3">
      <w:pPr>
        <w:spacing w:line="360" w:lineRule="auto"/>
        <w:ind w:firstLine="480" w:firstLineChars="200"/>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附：省级以上监狱管理局、戒毒管理局（含新疆生产建设兵团）出具的监狱企业证明文件。</w:t>
      </w:r>
    </w:p>
    <w:p w14:paraId="63927E2D">
      <w:pPr>
        <w:keepNext w:val="0"/>
        <w:keepLines w:val="0"/>
        <w:pageBreakBefore w:val="0"/>
        <w:widowControl/>
        <w:kinsoku/>
        <w:wordWrap/>
        <w:overflowPunct/>
        <w:topLinePunct w:val="0"/>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725B88EB">
      <w:pPr>
        <w:keepNext w:val="0"/>
        <w:keepLines w:val="0"/>
        <w:pageBreakBefore w:val="0"/>
        <w:widowControl/>
        <w:kinsoku/>
        <w:wordWrap/>
        <w:overflowPunct/>
        <w:topLinePunct w:val="0"/>
        <w:bidi w:val="0"/>
        <w:snapToGrid/>
        <w:spacing w:line="360" w:lineRule="auto"/>
        <w:rPr>
          <w:rFonts w:hint="eastAsia" w:asciiTheme="minorEastAsia" w:hAnsiTheme="minorEastAsia" w:eastAsiaTheme="minorEastAsia" w:cstheme="minorEastAsia"/>
          <w:color w:val="auto"/>
          <w:sz w:val="24"/>
          <w:szCs w:val="24"/>
          <w:highlight w:val="none"/>
        </w:rPr>
      </w:pPr>
    </w:p>
    <w:p w14:paraId="3C043ED9">
      <w:pPr>
        <w:keepNext w:val="0"/>
        <w:keepLines w:val="0"/>
        <w:pageBreakBefore w:val="0"/>
        <w:widowControl/>
        <w:kinsoku/>
        <w:wordWrap/>
        <w:overflowPunct/>
        <w:topLinePunct w:val="0"/>
        <w:bidi w:val="0"/>
        <w:snapToGrid/>
        <w:spacing w:line="360" w:lineRule="auto"/>
        <w:ind w:firstLine="3600" w:firstLineChars="15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企业名称(盖公章)</w:t>
      </w:r>
      <w:r>
        <w:rPr>
          <w:rFonts w:hint="eastAsia" w:asciiTheme="minorEastAsia" w:hAnsiTheme="minorEastAsia" w:eastAsiaTheme="minorEastAsia" w:cstheme="minorEastAsia"/>
          <w:color w:val="auto"/>
          <w:sz w:val="24"/>
          <w:szCs w:val="24"/>
          <w:highlight w:val="none"/>
          <w:lang w:eastAsia="zh-CN"/>
        </w:rPr>
        <w:t>：</w:t>
      </w:r>
    </w:p>
    <w:p w14:paraId="3D43C3B2">
      <w:pPr>
        <w:keepNext w:val="0"/>
        <w:keepLines w:val="0"/>
        <w:pageBreakBefore w:val="0"/>
        <w:widowControl/>
        <w:kinsoku/>
        <w:wordWrap/>
        <w:overflowPunct/>
        <w:topLinePunct w:val="0"/>
        <w:bidi w:val="0"/>
        <w:snapToGrid/>
        <w:spacing w:line="360" w:lineRule="auto"/>
        <w:ind w:firstLine="3600" w:firstLineChars="15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法定代表人(负责人)或其授权代表(签字)</w:t>
      </w:r>
      <w:r>
        <w:rPr>
          <w:rFonts w:hint="eastAsia" w:asciiTheme="minorEastAsia" w:hAnsiTheme="minorEastAsia" w:eastAsiaTheme="minorEastAsia" w:cstheme="minorEastAsia"/>
          <w:color w:val="auto"/>
          <w:sz w:val="24"/>
          <w:szCs w:val="24"/>
          <w:highlight w:val="none"/>
          <w:lang w:eastAsia="zh-CN"/>
        </w:rPr>
        <w:t>：</w:t>
      </w:r>
    </w:p>
    <w:p w14:paraId="5350553E">
      <w:pPr>
        <w:keepNext w:val="0"/>
        <w:keepLines w:val="0"/>
        <w:pageBreakBefore w:val="0"/>
        <w:widowControl/>
        <w:kinsoku/>
        <w:wordWrap/>
        <w:overflowPunct/>
        <w:topLinePunct w:val="0"/>
        <w:bidi w:val="0"/>
        <w:snapToGrid/>
        <w:spacing w:line="360" w:lineRule="auto"/>
        <w:ind w:firstLine="3600" w:firstLineChars="15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日期</w:t>
      </w:r>
      <w:r>
        <w:rPr>
          <w:rFonts w:hint="eastAsia" w:asciiTheme="minorEastAsia" w:hAnsiTheme="minorEastAsia" w:eastAsiaTheme="minorEastAsia" w:cstheme="minorEastAsia"/>
          <w:color w:val="auto"/>
          <w:sz w:val="24"/>
          <w:szCs w:val="24"/>
          <w:highlight w:val="none"/>
          <w:lang w:eastAsia="zh-CN"/>
        </w:rPr>
        <w:t>：</w:t>
      </w:r>
    </w:p>
    <w:p w14:paraId="3874263B">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br w:type="page"/>
      </w:r>
    </w:p>
    <w:p w14:paraId="695144B6">
      <w:pPr>
        <w:spacing w:line="360" w:lineRule="auto"/>
        <w:ind w:right="1002" w:rightChars="477"/>
        <w:jc w:val="center"/>
        <w:rPr>
          <w:rFonts w:hint="eastAsia" w:ascii="Times New Roman" w:hAnsi="Times New Roman" w:eastAsia="宋体" w:cs="Times New Roman"/>
          <w:b/>
          <w:color w:val="auto"/>
          <w:sz w:val="28"/>
          <w:szCs w:val="28"/>
          <w:highlight w:val="none"/>
        </w:rPr>
      </w:pPr>
      <w:r>
        <w:rPr>
          <w:rFonts w:hint="eastAsia" w:ascii="Times New Roman" w:hAnsi="Times New Roman" w:eastAsia="宋体" w:cs="Times New Roman"/>
          <w:b/>
          <w:color w:val="auto"/>
          <w:sz w:val="28"/>
          <w:szCs w:val="28"/>
          <w:highlight w:val="none"/>
          <w:lang w:eastAsia="zh-CN"/>
        </w:rPr>
        <w:t>（</w:t>
      </w:r>
      <w:r>
        <w:rPr>
          <w:rFonts w:hint="eastAsia" w:ascii="Times New Roman" w:hAnsi="Times New Roman" w:eastAsia="宋体" w:cs="Times New Roman"/>
          <w:b/>
          <w:color w:val="auto"/>
          <w:sz w:val="28"/>
          <w:szCs w:val="28"/>
          <w:highlight w:val="none"/>
          <w:lang w:val="en-US" w:eastAsia="zh-CN"/>
        </w:rPr>
        <w:t>3</w:t>
      </w:r>
      <w:r>
        <w:rPr>
          <w:rFonts w:hint="eastAsia" w:ascii="Times New Roman" w:hAnsi="Times New Roman" w:eastAsia="宋体" w:cs="Times New Roman"/>
          <w:b/>
          <w:color w:val="auto"/>
          <w:sz w:val="28"/>
          <w:szCs w:val="28"/>
          <w:highlight w:val="none"/>
          <w:lang w:eastAsia="zh-CN"/>
        </w:rPr>
        <w:t>）</w:t>
      </w:r>
      <w:r>
        <w:rPr>
          <w:rFonts w:hint="eastAsia" w:ascii="Times New Roman" w:hAnsi="Times New Roman" w:eastAsia="宋体" w:cs="Times New Roman"/>
          <w:b/>
          <w:color w:val="auto"/>
          <w:sz w:val="28"/>
          <w:szCs w:val="28"/>
          <w:highlight w:val="none"/>
        </w:rPr>
        <w:t>残疾人福利性单位声明函</w:t>
      </w:r>
    </w:p>
    <w:p w14:paraId="4C66321E">
      <w:pPr>
        <w:widowControl/>
        <w:spacing w:line="360" w:lineRule="auto"/>
        <w:ind w:firstLine="480" w:firstLineChars="200"/>
        <w:rPr>
          <w:rFonts w:hint="eastAsia" w:asciiTheme="minorEastAsia" w:hAnsiTheme="minorEastAsia" w:eastAsiaTheme="minorEastAsia" w:cstheme="minorEastAsia"/>
          <w:color w:val="auto"/>
          <w:sz w:val="24"/>
          <w:szCs w:val="22"/>
          <w:highlight w:val="none"/>
        </w:rPr>
      </w:pPr>
    </w:p>
    <w:p w14:paraId="6E89EC3B">
      <w:pPr>
        <w:jc w:val="center"/>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残疾人福利性单位声明函</w:t>
      </w:r>
    </w:p>
    <w:p w14:paraId="48945B28">
      <w:pPr>
        <w:rPr>
          <w:rFonts w:hint="eastAsia" w:asciiTheme="minorEastAsia" w:hAnsiTheme="minorEastAsia" w:eastAsiaTheme="minorEastAsia" w:cstheme="minorEastAsia"/>
          <w:b/>
          <w:bCs/>
          <w:color w:val="auto"/>
          <w:highlight w:val="none"/>
        </w:rPr>
      </w:pPr>
    </w:p>
    <w:p w14:paraId="3E3C3F54">
      <w:pPr>
        <w:ind w:firstLine="480" w:firstLineChars="200"/>
        <w:rPr>
          <w:rFonts w:hint="eastAsia" w:asciiTheme="minorEastAsia" w:hAnsiTheme="minorEastAsia" w:eastAsiaTheme="minorEastAsia" w:cstheme="minorEastAsia"/>
          <w:color w:val="auto"/>
          <w:sz w:val="24"/>
          <w:szCs w:val="24"/>
          <w:highlight w:val="none"/>
        </w:rPr>
      </w:pPr>
    </w:p>
    <w:p w14:paraId="7D29EF3C">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本投标人郑重声明，根据《财政部民政部中国残疾人联合会关于促进残疾人就业政府采购政策的通知》（财库〔2017〕141 号）的规定，本投标人参加</w:t>
      </w:r>
      <w:r>
        <w:rPr>
          <w:rFonts w:hint="eastAsia" w:asciiTheme="minorEastAsia" w:hAnsiTheme="minorEastAsia" w:eastAsiaTheme="minorEastAsia" w:cstheme="minorEastAsia"/>
          <w:b/>
          <w:bCs/>
          <w:color w:val="auto"/>
          <w:sz w:val="24"/>
          <w:szCs w:val="24"/>
          <w:highlight w:val="none"/>
          <w:u w:val="single"/>
        </w:rPr>
        <w:t>（采购人名称）</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b/>
          <w:bCs/>
          <w:color w:val="auto"/>
          <w:sz w:val="24"/>
          <w:szCs w:val="24"/>
          <w:highlight w:val="none"/>
          <w:u w:val="single"/>
        </w:rPr>
        <w:t>（项目名称）</w:t>
      </w:r>
      <w:r>
        <w:rPr>
          <w:rFonts w:hint="eastAsia" w:asciiTheme="minorEastAsia" w:hAnsiTheme="minorEastAsia" w:eastAsiaTheme="minorEastAsia" w:cstheme="minorEastAsia"/>
          <w:color w:val="auto"/>
          <w:sz w:val="24"/>
          <w:szCs w:val="24"/>
          <w:highlight w:val="none"/>
        </w:rPr>
        <w:t>采购活动，服务全部由符合政策要求的残疾人福利性单位承接。相关残疾人福利性单位的具体情况如下：</w:t>
      </w:r>
    </w:p>
    <w:p w14:paraId="2CA8D54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b/>
          <w:bCs/>
          <w:color w:val="auto"/>
          <w:sz w:val="24"/>
          <w:szCs w:val="24"/>
          <w:highlight w:val="none"/>
          <w:u w:val="single"/>
        </w:rPr>
        <w:t xml:space="preserve"> （标的名称）</w:t>
      </w:r>
      <w:r>
        <w:rPr>
          <w:rFonts w:hint="eastAsia" w:asciiTheme="minorEastAsia" w:hAnsiTheme="minorEastAsia" w:eastAsiaTheme="minorEastAsia" w:cstheme="minorEastAsia"/>
          <w:color w:val="auto"/>
          <w:sz w:val="24"/>
          <w:szCs w:val="24"/>
          <w:highlight w:val="none"/>
        </w:rPr>
        <w:t xml:space="preserve"> ，承接企业为</w:t>
      </w:r>
      <w:r>
        <w:rPr>
          <w:rFonts w:hint="eastAsia" w:asciiTheme="minorEastAsia" w:hAnsiTheme="minorEastAsia" w:eastAsiaTheme="minorEastAsia" w:cstheme="minorEastAsia"/>
          <w:b/>
          <w:bCs/>
          <w:color w:val="auto"/>
          <w:sz w:val="24"/>
          <w:szCs w:val="24"/>
          <w:highlight w:val="none"/>
          <w:u w:val="single"/>
        </w:rPr>
        <w:t>（单位名称）</w:t>
      </w:r>
      <w:r>
        <w:rPr>
          <w:rFonts w:hint="eastAsia" w:asciiTheme="minorEastAsia" w:hAnsiTheme="minorEastAsia" w:eastAsiaTheme="minorEastAsia" w:cstheme="minorEastAsia"/>
          <w:color w:val="auto"/>
          <w:sz w:val="24"/>
          <w:szCs w:val="24"/>
          <w:highlight w:val="none"/>
        </w:rPr>
        <w:t>，属于</w:t>
      </w:r>
      <w:r>
        <w:rPr>
          <w:rFonts w:hint="eastAsia" w:asciiTheme="minorEastAsia" w:hAnsiTheme="minorEastAsia" w:eastAsiaTheme="minorEastAsia" w:cstheme="minorEastAsia"/>
          <w:b/>
          <w:bCs/>
          <w:color w:val="auto"/>
          <w:sz w:val="24"/>
          <w:szCs w:val="24"/>
          <w:highlight w:val="none"/>
          <w:u w:val="single"/>
        </w:rPr>
        <w:t>残疾人福利性单位</w:t>
      </w:r>
      <w:r>
        <w:rPr>
          <w:rFonts w:hint="eastAsia" w:asciiTheme="minorEastAsia" w:hAnsiTheme="minorEastAsia" w:eastAsiaTheme="minorEastAsia" w:cstheme="minorEastAsia"/>
          <w:color w:val="auto"/>
          <w:sz w:val="24"/>
          <w:szCs w:val="24"/>
          <w:highlight w:val="none"/>
        </w:rPr>
        <w:t>；</w:t>
      </w:r>
    </w:p>
    <w:p w14:paraId="1331688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b/>
          <w:bCs/>
          <w:color w:val="auto"/>
          <w:sz w:val="24"/>
          <w:szCs w:val="24"/>
          <w:highlight w:val="none"/>
          <w:u w:val="single"/>
        </w:rPr>
        <w:t xml:space="preserve"> （标的名称）</w:t>
      </w:r>
      <w:r>
        <w:rPr>
          <w:rFonts w:hint="eastAsia" w:asciiTheme="minorEastAsia" w:hAnsiTheme="minorEastAsia" w:eastAsiaTheme="minorEastAsia" w:cstheme="minorEastAsia"/>
          <w:color w:val="auto"/>
          <w:sz w:val="24"/>
          <w:szCs w:val="24"/>
          <w:highlight w:val="none"/>
        </w:rPr>
        <w:t xml:space="preserve"> ，承接企业为</w:t>
      </w:r>
      <w:r>
        <w:rPr>
          <w:rFonts w:hint="eastAsia" w:asciiTheme="minorEastAsia" w:hAnsiTheme="minorEastAsia" w:eastAsiaTheme="minorEastAsia" w:cstheme="minorEastAsia"/>
          <w:b/>
          <w:bCs/>
          <w:color w:val="auto"/>
          <w:sz w:val="24"/>
          <w:szCs w:val="24"/>
          <w:highlight w:val="none"/>
          <w:u w:val="single"/>
        </w:rPr>
        <w:t>（单位名称）</w:t>
      </w:r>
      <w:r>
        <w:rPr>
          <w:rFonts w:hint="eastAsia" w:asciiTheme="minorEastAsia" w:hAnsiTheme="minorEastAsia" w:eastAsiaTheme="minorEastAsia" w:cstheme="minorEastAsia"/>
          <w:color w:val="auto"/>
          <w:sz w:val="24"/>
          <w:szCs w:val="24"/>
          <w:highlight w:val="none"/>
        </w:rPr>
        <w:t>，属于</w:t>
      </w:r>
      <w:r>
        <w:rPr>
          <w:rFonts w:hint="eastAsia" w:asciiTheme="minorEastAsia" w:hAnsiTheme="minorEastAsia" w:eastAsiaTheme="minorEastAsia" w:cstheme="minorEastAsia"/>
          <w:b/>
          <w:bCs/>
          <w:color w:val="auto"/>
          <w:sz w:val="24"/>
          <w:szCs w:val="24"/>
          <w:highlight w:val="none"/>
          <w:u w:val="single"/>
        </w:rPr>
        <w:t>残疾人福利性单位</w:t>
      </w:r>
      <w:r>
        <w:rPr>
          <w:rFonts w:hint="eastAsia" w:asciiTheme="minorEastAsia" w:hAnsiTheme="minorEastAsia" w:eastAsiaTheme="minorEastAsia" w:cstheme="minorEastAsia"/>
          <w:color w:val="auto"/>
          <w:sz w:val="24"/>
          <w:szCs w:val="24"/>
          <w:highlight w:val="none"/>
        </w:rPr>
        <w:t>。</w:t>
      </w:r>
    </w:p>
    <w:p w14:paraId="3DE9B061">
      <w:pPr>
        <w:spacing w:line="360" w:lineRule="auto"/>
        <w:ind w:firstLine="480" w:firstLineChars="200"/>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5B4A033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本投标人已知悉《财政部民政部中国残疾人联合会关于促进残疾人就业政府采购政策的通知》（财库〔2017〕141 号）的规定，承诺提供的声明函内容是真实的，如提供声明函内容不实，则依法追究相关法律责任。</w:t>
      </w:r>
    </w:p>
    <w:p w14:paraId="6AA79B2D">
      <w:pPr>
        <w:pStyle w:val="12"/>
        <w:keepNext w:val="0"/>
        <w:keepLines w:val="0"/>
        <w:pageBreakBefore w:val="0"/>
        <w:kinsoku/>
        <w:wordWrap/>
        <w:overflowPunct/>
        <w:topLinePunct w:val="0"/>
        <w:bidi w:val="0"/>
        <w:snapToGrid/>
        <w:spacing w:line="360" w:lineRule="auto"/>
        <w:rPr>
          <w:rFonts w:hint="eastAsia" w:asciiTheme="minorEastAsia" w:hAnsiTheme="minorEastAsia" w:eastAsiaTheme="minorEastAsia" w:cstheme="minorEastAsia"/>
          <w:color w:val="auto"/>
          <w:sz w:val="24"/>
          <w:szCs w:val="24"/>
          <w:highlight w:val="none"/>
        </w:rPr>
      </w:pPr>
    </w:p>
    <w:p w14:paraId="72050444">
      <w:pPr>
        <w:keepNext w:val="0"/>
        <w:keepLines w:val="0"/>
        <w:pageBreakBefore w:val="0"/>
        <w:widowControl/>
        <w:kinsoku/>
        <w:wordWrap/>
        <w:overflowPunct/>
        <w:topLinePunct w:val="0"/>
        <w:bidi w:val="0"/>
        <w:snapToGrid/>
        <w:spacing w:line="360" w:lineRule="auto"/>
        <w:ind w:firstLine="3600" w:firstLineChars="15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企业名称(盖公章)</w:t>
      </w:r>
      <w:r>
        <w:rPr>
          <w:rFonts w:hint="eastAsia" w:asciiTheme="minorEastAsia" w:hAnsiTheme="minorEastAsia" w:eastAsiaTheme="minorEastAsia" w:cstheme="minorEastAsia"/>
          <w:color w:val="auto"/>
          <w:sz w:val="24"/>
          <w:szCs w:val="24"/>
          <w:highlight w:val="none"/>
          <w:lang w:eastAsia="zh-CN"/>
        </w:rPr>
        <w:t>：</w:t>
      </w:r>
    </w:p>
    <w:p w14:paraId="1EF81337">
      <w:pPr>
        <w:keepNext w:val="0"/>
        <w:keepLines w:val="0"/>
        <w:pageBreakBefore w:val="0"/>
        <w:widowControl/>
        <w:kinsoku/>
        <w:wordWrap/>
        <w:overflowPunct/>
        <w:topLinePunct w:val="0"/>
        <w:bidi w:val="0"/>
        <w:snapToGrid/>
        <w:spacing w:line="360" w:lineRule="auto"/>
        <w:ind w:firstLine="3600" w:firstLineChars="15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法定代表人(负责人)或其授权代表(签字)</w:t>
      </w:r>
      <w:r>
        <w:rPr>
          <w:rFonts w:hint="eastAsia" w:asciiTheme="minorEastAsia" w:hAnsiTheme="minorEastAsia" w:eastAsiaTheme="minorEastAsia" w:cstheme="minorEastAsia"/>
          <w:color w:val="auto"/>
          <w:sz w:val="24"/>
          <w:szCs w:val="24"/>
          <w:highlight w:val="none"/>
          <w:lang w:eastAsia="zh-CN"/>
        </w:rPr>
        <w:t>：</w:t>
      </w:r>
    </w:p>
    <w:p w14:paraId="6C1B492A">
      <w:pPr>
        <w:keepNext w:val="0"/>
        <w:keepLines w:val="0"/>
        <w:pageBreakBefore w:val="0"/>
        <w:widowControl/>
        <w:kinsoku/>
        <w:wordWrap/>
        <w:overflowPunct/>
        <w:topLinePunct w:val="0"/>
        <w:bidi w:val="0"/>
        <w:snapToGrid/>
        <w:spacing w:line="360" w:lineRule="auto"/>
        <w:ind w:firstLine="3600" w:firstLineChars="15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日期</w:t>
      </w:r>
      <w:r>
        <w:rPr>
          <w:rFonts w:hint="eastAsia" w:asciiTheme="minorEastAsia" w:hAnsiTheme="minorEastAsia" w:eastAsiaTheme="minorEastAsia" w:cstheme="minorEastAsia"/>
          <w:color w:val="auto"/>
          <w:sz w:val="24"/>
          <w:szCs w:val="24"/>
          <w:highlight w:val="none"/>
          <w:lang w:eastAsia="zh-CN"/>
        </w:rPr>
        <w:t>：</w:t>
      </w:r>
    </w:p>
    <w:p w14:paraId="21ACCEC1">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br w:type="page"/>
      </w:r>
    </w:p>
    <w:p w14:paraId="552D53AC">
      <w:pPr>
        <w:numPr>
          <w:ilvl w:val="0"/>
          <w:numId w:val="0"/>
        </w:numPr>
        <w:spacing w:line="360" w:lineRule="auto"/>
        <w:textAlignment w:val="baseline"/>
        <w:rPr>
          <w:rFonts w:hint="eastAsia" w:ascii="Cambria" w:hAnsi="Cambria" w:eastAsia="宋体" w:cs="Times New Roman"/>
          <w:b/>
          <w:bCs/>
          <w:color w:val="auto"/>
          <w:kern w:val="44"/>
          <w:sz w:val="28"/>
          <w:szCs w:val="28"/>
          <w:highlight w:val="none"/>
          <w:lang w:val="en-US" w:eastAsia="zh-CN" w:bidi="ar-SA"/>
        </w:rPr>
      </w:pPr>
      <w:r>
        <w:rPr>
          <w:rFonts w:hint="eastAsia" w:ascii="Cambria" w:hAnsi="Cambria" w:eastAsia="宋体" w:cs="Times New Roman"/>
          <w:b/>
          <w:bCs/>
          <w:color w:val="auto"/>
          <w:kern w:val="44"/>
          <w:sz w:val="28"/>
          <w:szCs w:val="28"/>
          <w:highlight w:val="none"/>
          <w:lang w:val="en-US" w:eastAsia="zh-CN" w:bidi="ar-SA"/>
        </w:rPr>
        <w:t>六、</w:t>
      </w:r>
      <w:r>
        <w:rPr>
          <w:rFonts w:hint="eastAsia" w:ascii="Cambria" w:hAnsi="Cambria" w:eastAsia="宋体" w:cs="Times New Roman"/>
          <w:b/>
          <w:bCs/>
          <w:color w:val="auto"/>
          <w:kern w:val="44"/>
          <w:sz w:val="28"/>
          <w:szCs w:val="28"/>
          <w:highlight w:val="none"/>
          <w:lang w:val="ru-RU" w:eastAsia="zh-CN" w:bidi="ar-SA"/>
        </w:rPr>
        <w:t>近三年</w:t>
      </w:r>
      <w:r>
        <w:rPr>
          <w:rFonts w:hint="eastAsia" w:ascii="Cambria" w:hAnsi="Cambria" w:eastAsia="宋体" w:cs="Times New Roman"/>
          <w:b/>
          <w:bCs/>
          <w:color w:val="auto"/>
          <w:kern w:val="44"/>
          <w:sz w:val="28"/>
          <w:szCs w:val="28"/>
          <w:highlight w:val="none"/>
          <w:lang w:val="en-US" w:eastAsia="zh-CN" w:bidi="ar-SA"/>
        </w:rPr>
        <w:t>企业类似项目业绩格式</w:t>
      </w:r>
    </w:p>
    <w:p w14:paraId="4D9B223E">
      <w:pPr>
        <w:jc w:val="center"/>
        <w:rPr>
          <w:rFonts w:hint="eastAsia" w:ascii="Cambria" w:hAnsi="Cambria" w:eastAsia="宋体" w:cs="Times New Roman"/>
          <w:b/>
          <w:bCs/>
          <w:color w:val="auto"/>
          <w:kern w:val="44"/>
          <w:sz w:val="28"/>
          <w:szCs w:val="28"/>
          <w:highlight w:val="none"/>
          <w:lang w:val="ru-RU" w:eastAsia="zh-CN" w:bidi="ar-SA"/>
        </w:rPr>
      </w:pPr>
    </w:p>
    <w:p w14:paraId="0A856257">
      <w:pPr>
        <w:jc w:val="center"/>
        <w:rPr>
          <w:rFonts w:hint="default"/>
          <w:color w:val="auto"/>
          <w:highlight w:val="none"/>
          <w:lang w:val="en-US"/>
        </w:rPr>
      </w:pPr>
      <w:r>
        <w:rPr>
          <w:rFonts w:hint="eastAsia" w:ascii="Cambria" w:hAnsi="Cambria" w:eastAsia="宋体" w:cs="Times New Roman"/>
          <w:b/>
          <w:bCs/>
          <w:color w:val="auto"/>
          <w:kern w:val="44"/>
          <w:sz w:val="28"/>
          <w:szCs w:val="28"/>
          <w:highlight w:val="none"/>
          <w:lang w:val="en-US" w:eastAsia="zh-CN" w:bidi="ar-SA"/>
        </w:rPr>
        <w:t xml:space="preserve">  </w:t>
      </w:r>
      <w:r>
        <w:rPr>
          <w:rFonts w:hint="eastAsia" w:ascii="Cambria" w:hAnsi="Cambria" w:eastAsia="宋体" w:cs="Times New Roman"/>
          <w:b/>
          <w:bCs/>
          <w:color w:val="auto"/>
          <w:kern w:val="44"/>
          <w:sz w:val="28"/>
          <w:szCs w:val="28"/>
          <w:highlight w:val="none"/>
          <w:lang w:val="ru-RU" w:eastAsia="zh-CN" w:bidi="ar-SA"/>
        </w:rPr>
        <w:t>近三年</w:t>
      </w:r>
      <w:r>
        <w:rPr>
          <w:rFonts w:hint="eastAsia" w:ascii="Cambria" w:hAnsi="Cambria" w:eastAsia="宋体" w:cs="Times New Roman"/>
          <w:b/>
          <w:bCs/>
          <w:color w:val="auto"/>
          <w:kern w:val="44"/>
          <w:sz w:val="28"/>
          <w:szCs w:val="28"/>
          <w:highlight w:val="none"/>
          <w:lang w:val="en-US" w:eastAsia="zh-CN" w:bidi="ar-SA"/>
        </w:rPr>
        <w:t>企业类似项目业绩表</w:t>
      </w:r>
    </w:p>
    <w:tbl>
      <w:tblPr>
        <w:tblStyle w:val="31"/>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5"/>
        <w:gridCol w:w="6483"/>
      </w:tblGrid>
      <w:tr w14:paraId="5C4FC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35" w:type="dxa"/>
            <w:noWrap w:val="0"/>
            <w:vAlign w:val="center"/>
          </w:tcPr>
          <w:p w14:paraId="431A8482">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项目名称</w:t>
            </w:r>
          </w:p>
        </w:tc>
        <w:tc>
          <w:tcPr>
            <w:tcW w:w="6483" w:type="dxa"/>
            <w:noWrap w:val="0"/>
            <w:vAlign w:val="center"/>
          </w:tcPr>
          <w:p w14:paraId="14102AB6">
            <w:pPr>
              <w:jc w:val="center"/>
              <w:rPr>
                <w:rFonts w:ascii="宋体" w:hAnsi="宋体"/>
                <w:color w:val="auto"/>
                <w:szCs w:val="21"/>
                <w:highlight w:val="none"/>
              </w:rPr>
            </w:pPr>
          </w:p>
        </w:tc>
      </w:tr>
      <w:tr w14:paraId="70B19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35" w:type="dxa"/>
            <w:noWrap w:val="0"/>
            <w:vAlign w:val="center"/>
          </w:tcPr>
          <w:p w14:paraId="6F8EF7B8">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项目所在地</w:t>
            </w:r>
          </w:p>
        </w:tc>
        <w:tc>
          <w:tcPr>
            <w:tcW w:w="6483" w:type="dxa"/>
            <w:noWrap w:val="0"/>
            <w:vAlign w:val="center"/>
          </w:tcPr>
          <w:p w14:paraId="703650EA">
            <w:pPr>
              <w:jc w:val="center"/>
              <w:rPr>
                <w:rFonts w:ascii="宋体" w:hAnsi="宋体"/>
                <w:color w:val="auto"/>
                <w:szCs w:val="21"/>
                <w:highlight w:val="none"/>
              </w:rPr>
            </w:pPr>
          </w:p>
        </w:tc>
      </w:tr>
      <w:tr w14:paraId="780C9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35" w:type="dxa"/>
            <w:noWrap w:val="0"/>
            <w:vAlign w:val="center"/>
          </w:tcPr>
          <w:p w14:paraId="44EB3C8F">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合同签订日期</w:t>
            </w:r>
          </w:p>
        </w:tc>
        <w:tc>
          <w:tcPr>
            <w:tcW w:w="6483" w:type="dxa"/>
            <w:noWrap w:val="0"/>
            <w:vAlign w:val="center"/>
          </w:tcPr>
          <w:p w14:paraId="39481882">
            <w:pPr>
              <w:jc w:val="center"/>
              <w:rPr>
                <w:rFonts w:ascii="宋体" w:hAnsi="宋体"/>
                <w:color w:val="auto"/>
                <w:szCs w:val="21"/>
                <w:highlight w:val="none"/>
              </w:rPr>
            </w:pPr>
          </w:p>
        </w:tc>
      </w:tr>
      <w:tr w14:paraId="1F36B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35" w:type="dxa"/>
            <w:noWrap w:val="0"/>
            <w:vAlign w:val="center"/>
          </w:tcPr>
          <w:p w14:paraId="742BEE16">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发包人名称</w:t>
            </w:r>
          </w:p>
        </w:tc>
        <w:tc>
          <w:tcPr>
            <w:tcW w:w="6483" w:type="dxa"/>
            <w:noWrap w:val="0"/>
            <w:vAlign w:val="center"/>
          </w:tcPr>
          <w:p w14:paraId="63023AFA">
            <w:pPr>
              <w:jc w:val="center"/>
              <w:rPr>
                <w:rFonts w:ascii="宋体" w:hAnsi="宋体"/>
                <w:color w:val="auto"/>
                <w:szCs w:val="21"/>
                <w:highlight w:val="none"/>
              </w:rPr>
            </w:pPr>
          </w:p>
        </w:tc>
      </w:tr>
      <w:tr w14:paraId="4CAE8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35" w:type="dxa"/>
            <w:noWrap w:val="0"/>
            <w:vAlign w:val="center"/>
          </w:tcPr>
          <w:p w14:paraId="3175B631">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发包人联系人及电话</w:t>
            </w:r>
          </w:p>
        </w:tc>
        <w:tc>
          <w:tcPr>
            <w:tcW w:w="6483" w:type="dxa"/>
            <w:noWrap w:val="0"/>
            <w:vAlign w:val="center"/>
          </w:tcPr>
          <w:p w14:paraId="0398CE5B">
            <w:pPr>
              <w:jc w:val="center"/>
              <w:rPr>
                <w:rFonts w:ascii="宋体" w:hAnsi="宋体"/>
                <w:color w:val="auto"/>
                <w:szCs w:val="21"/>
                <w:highlight w:val="none"/>
              </w:rPr>
            </w:pPr>
          </w:p>
        </w:tc>
      </w:tr>
      <w:tr w14:paraId="0BBA3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35" w:type="dxa"/>
            <w:noWrap w:val="0"/>
            <w:vAlign w:val="center"/>
          </w:tcPr>
          <w:p w14:paraId="0A39745B">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合同价格</w:t>
            </w:r>
          </w:p>
        </w:tc>
        <w:tc>
          <w:tcPr>
            <w:tcW w:w="6483" w:type="dxa"/>
            <w:noWrap w:val="0"/>
            <w:vAlign w:val="center"/>
          </w:tcPr>
          <w:p w14:paraId="4BE83E6B">
            <w:pPr>
              <w:jc w:val="center"/>
              <w:rPr>
                <w:rFonts w:ascii="宋体" w:hAnsi="宋体"/>
                <w:color w:val="auto"/>
                <w:szCs w:val="21"/>
                <w:highlight w:val="none"/>
              </w:rPr>
            </w:pPr>
          </w:p>
        </w:tc>
      </w:tr>
      <w:tr w14:paraId="4DF43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35" w:type="dxa"/>
            <w:noWrap w:val="0"/>
            <w:vAlign w:val="center"/>
          </w:tcPr>
          <w:p w14:paraId="28D07466">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开/竣工日期</w:t>
            </w:r>
          </w:p>
        </w:tc>
        <w:tc>
          <w:tcPr>
            <w:tcW w:w="6483" w:type="dxa"/>
            <w:noWrap w:val="0"/>
            <w:vAlign w:val="center"/>
          </w:tcPr>
          <w:p w14:paraId="3EC7A3E0">
            <w:pPr>
              <w:jc w:val="center"/>
              <w:rPr>
                <w:rFonts w:ascii="宋体" w:hAnsi="宋体"/>
                <w:color w:val="auto"/>
                <w:szCs w:val="21"/>
                <w:highlight w:val="none"/>
              </w:rPr>
            </w:pPr>
          </w:p>
        </w:tc>
      </w:tr>
      <w:tr w14:paraId="0E82F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35" w:type="dxa"/>
            <w:noWrap w:val="0"/>
            <w:vAlign w:val="center"/>
          </w:tcPr>
          <w:p w14:paraId="1834F867">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承担的工作</w:t>
            </w:r>
          </w:p>
        </w:tc>
        <w:tc>
          <w:tcPr>
            <w:tcW w:w="6483" w:type="dxa"/>
            <w:noWrap w:val="0"/>
            <w:vAlign w:val="center"/>
          </w:tcPr>
          <w:p w14:paraId="2C99DDDA">
            <w:pPr>
              <w:jc w:val="center"/>
              <w:rPr>
                <w:rFonts w:ascii="宋体" w:hAnsi="宋体"/>
                <w:color w:val="auto"/>
                <w:szCs w:val="21"/>
                <w:highlight w:val="none"/>
              </w:rPr>
            </w:pPr>
          </w:p>
        </w:tc>
      </w:tr>
      <w:tr w14:paraId="53CFD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35" w:type="dxa"/>
            <w:noWrap w:val="0"/>
            <w:vAlign w:val="center"/>
          </w:tcPr>
          <w:p w14:paraId="41F50F1F">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工程质量</w:t>
            </w:r>
          </w:p>
        </w:tc>
        <w:tc>
          <w:tcPr>
            <w:tcW w:w="6483" w:type="dxa"/>
            <w:noWrap w:val="0"/>
            <w:vAlign w:val="center"/>
          </w:tcPr>
          <w:p w14:paraId="720FF11D">
            <w:pPr>
              <w:jc w:val="center"/>
              <w:rPr>
                <w:rFonts w:ascii="宋体" w:hAnsi="宋体"/>
                <w:color w:val="auto"/>
                <w:szCs w:val="21"/>
                <w:highlight w:val="none"/>
              </w:rPr>
            </w:pPr>
          </w:p>
        </w:tc>
      </w:tr>
      <w:tr w14:paraId="29D80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35" w:type="dxa"/>
            <w:noWrap w:val="0"/>
            <w:vAlign w:val="center"/>
          </w:tcPr>
          <w:p w14:paraId="5D8860C7">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项目经理</w:t>
            </w:r>
          </w:p>
        </w:tc>
        <w:tc>
          <w:tcPr>
            <w:tcW w:w="6483" w:type="dxa"/>
            <w:noWrap w:val="0"/>
            <w:vAlign w:val="center"/>
          </w:tcPr>
          <w:p w14:paraId="243C4D38">
            <w:pPr>
              <w:jc w:val="center"/>
              <w:rPr>
                <w:rFonts w:ascii="宋体" w:hAnsi="宋体"/>
                <w:color w:val="auto"/>
                <w:szCs w:val="21"/>
                <w:highlight w:val="none"/>
              </w:rPr>
            </w:pPr>
          </w:p>
        </w:tc>
      </w:tr>
      <w:tr w14:paraId="15530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35" w:type="dxa"/>
            <w:noWrap w:val="0"/>
            <w:vAlign w:val="center"/>
          </w:tcPr>
          <w:p w14:paraId="3B77E06C">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总监理工程师及电话</w:t>
            </w:r>
          </w:p>
        </w:tc>
        <w:tc>
          <w:tcPr>
            <w:tcW w:w="6483" w:type="dxa"/>
            <w:noWrap w:val="0"/>
            <w:vAlign w:val="center"/>
          </w:tcPr>
          <w:p w14:paraId="15C031E4">
            <w:pPr>
              <w:jc w:val="center"/>
              <w:rPr>
                <w:rFonts w:ascii="宋体" w:hAnsi="宋体"/>
                <w:color w:val="auto"/>
                <w:szCs w:val="21"/>
                <w:highlight w:val="none"/>
              </w:rPr>
            </w:pPr>
          </w:p>
        </w:tc>
      </w:tr>
      <w:tr w14:paraId="7B18A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035" w:type="dxa"/>
            <w:noWrap w:val="0"/>
            <w:vAlign w:val="center"/>
          </w:tcPr>
          <w:p w14:paraId="4C9B729B">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项目描述</w:t>
            </w:r>
          </w:p>
        </w:tc>
        <w:tc>
          <w:tcPr>
            <w:tcW w:w="6483" w:type="dxa"/>
            <w:noWrap w:val="0"/>
            <w:vAlign w:val="center"/>
          </w:tcPr>
          <w:p w14:paraId="7E08BCEE">
            <w:pPr>
              <w:jc w:val="center"/>
              <w:rPr>
                <w:rFonts w:ascii="宋体" w:hAnsi="宋体"/>
                <w:color w:val="auto"/>
                <w:szCs w:val="21"/>
                <w:highlight w:val="none"/>
              </w:rPr>
            </w:pPr>
          </w:p>
        </w:tc>
      </w:tr>
      <w:tr w14:paraId="2D2EA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35" w:type="dxa"/>
            <w:noWrap w:val="0"/>
            <w:vAlign w:val="center"/>
          </w:tcPr>
          <w:p w14:paraId="4ED30154">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备注</w:t>
            </w:r>
          </w:p>
        </w:tc>
        <w:tc>
          <w:tcPr>
            <w:tcW w:w="6483" w:type="dxa"/>
            <w:noWrap w:val="0"/>
            <w:vAlign w:val="center"/>
          </w:tcPr>
          <w:p w14:paraId="2E0A93E6">
            <w:pPr>
              <w:jc w:val="center"/>
              <w:rPr>
                <w:rFonts w:ascii="宋体" w:hAnsi="宋体"/>
                <w:color w:val="auto"/>
                <w:szCs w:val="21"/>
                <w:highlight w:val="none"/>
              </w:rPr>
            </w:pPr>
          </w:p>
        </w:tc>
      </w:tr>
    </w:tbl>
    <w:p w14:paraId="53248EAB">
      <w:pPr>
        <w:spacing w:line="500" w:lineRule="exact"/>
        <w:rPr>
          <w:rFonts w:hint="eastAsia" w:ascii="宋体" w:hAnsi="宋体"/>
          <w:bCs/>
          <w:color w:val="auto"/>
          <w:sz w:val="24"/>
          <w:szCs w:val="21"/>
          <w:highlight w:val="none"/>
        </w:rPr>
      </w:pPr>
      <w:r>
        <w:rPr>
          <w:rFonts w:hint="eastAsia" w:ascii="宋体" w:hAnsi="宋体" w:eastAsia="宋体" w:cs="宋体"/>
          <w:color w:val="auto"/>
          <w:sz w:val="24"/>
          <w:szCs w:val="24"/>
          <w:highlight w:val="none"/>
        </w:rPr>
        <w:t>说明：近三年（2022年4月至今，以合同签订日期为准）</w:t>
      </w:r>
      <w:r>
        <w:rPr>
          <w:rFonts w:hint="eastAsia" w:ascii="宋体" w:hAnsi="宋体" w:eastAsia="Times New Roman" w:cs="宋体"/>
          <w:color w:val="auto"/>
          <w:kern w:val="0"/>
          <w:sz w:val="24"/>
          <w:szCs w:val="24"/>
          <w:highlight w:val="none"/>
          <w:lang w:val="en-US" w:eastAsia="zh-CN" w:bidi="ar-SA"/>
        </w:rPr>
        <w:t>完成的</w:t>
      </w:r>
      <w:r>
        <w:rPr>
          <w:rFonts w:hint="eastAsia" w:ascii="宋体" w:hAnsi="宋体" w:eastAsia="Times New Roman" w:cs="宋体"/>
          <w:color w:val="auto"/>
          <w:kern w:val="0"/>
          <w:sz w:val="24"/>
          <w:szCs w:val="24"/>
          <w:highlight w:val="none"/>
          <w:lang w:val="zh-CN" w:eastAsia="zh-CN" w:bidi="ar-SA"/>
        </w:rPr>
        <w:t>类似工程业绩</w:t>
      </w:r>
      <w:r>
        <w:rPr>
          <w:rFonts w:hint="eastAsia" w:ascii="宋体" w:hAnsi="宋体" w:eastAsia="Times New Roman" w:cs="宋体"/>
          <w:color w:val="auto"/>
          <w:kern w:val="0"/>
          <w:sz w:val="24"/>
          <w:szCs w:val="24"/>
          <w:highlight w:val="none"/>
          <w:lang w:val="en-US" w:eastAsia="zh-CN" w:bidi="ar-SA"/>
        </w:rPr>
        <w:t>；</w:t>
      </w:r>
      <w:r>
        <w:rPr>
          <w:rFonts w:hint="eastAsia" w:ascii="宋体" w:hAnsi="宋体"/>
          <w:bCs/>
          <w:color w:val="auto"/>
          <w:sz w:val="24"/>
          <w:szCs w:val="21"/>
          <w:highlight w:val="none"/>
        </w:rPr>
        <w:t>本表后附中标通知书</w:t>
      </w:r>
      <w:r>
        <w:rPr>
          <w:rFonts w:hint="eastAsia" w:ascii="宋体" w:hAnsi="宋体"/>
          <w:bCs/>
          <w:color w:val="auto"/>
          <w:sz w:val="24"/>
          <w:szCs w:val="21"/>
          <w:highlight w:val="none"/>
          <w:lang w:eastAsia="zh-CN"/>
        </w:rPr>
        <w:t>（</w:t>
      </w:r>
      <w:r>
        <w:rPr>
          <w:rFonts w:hint="eastAsia" w:ascii="宋体" w:hAnsi="宋体"/>
          <w:bCs/>
          <w:color w:val="auto"/>
          <w:sz w:val="24"/>
          <w:szCs w:val="21"/>
          <w:highlight w:val="none"/>
          <w:lang w:val="en-US" w:eastAsia="zh-CN"/>
        </w:rPr>
        <w:t>或成交通知书</w:t>
      </w:r>
      <w:r>
        <w:rPr>
          <w:rFonts w:hint="eastAsia" w:ascii="宋体" w:hAnsi="宋体"/>
          <w:bCs/>
          <w:color w:val="auto"/>
          <w:sz w:val="24"/>
          <w:szCs w:val="21"/>
          <w:highlight w:val="none"/>
          <w:lang w:eastAsia="zh-CN"/>
        </w:rPr>
        <w:t>）</w:t>
      </w:r>
      <w:r>
        <w:rPr>
          <w:rFonts w:hint="eastAsia" w:ascii="宋体" w:hAnsi="宋体"/>
          <w:bCs/>
          <w:color w:val="auto"/>
          <w:sz w:val="24"/>
          <w:szCs w:val="21"/>
          <w:highlight w:val="none"/>
          <w:lang w:val="en-US" w:eastAsia="zh-CN"/>
        </w:rPr>
        <w:t>+</w:t>
      </w:r>
      <w:r>
        <w:rPr>
          <w:rFonts w:hint="eastAsia" w:ascii="宋体" w:hAnsi="宋体"/>
          <w:bCs/>
          <w:color w:val="auto"/>
          <w:sz w:val="24"/>
          <w:szCs w:val="21"/>
          <w:highlight w:val="none"/>
        </w:rPr>
        <w:t>合同协议书</w:t>
      </w:r>
      <w:r>
        <w:rPr>
          <w:rFonts w:hint="eastAsia" w:ascii="宋体" w:hAnsi="宋体"/>
          <w:bCs/>
          <w:color w:val="auto"/>
          <w:sz w:val="24"/>
          <w:szCs w:val="21"/>
          <w:highlight w:val="none"/>
          <w:lang w:val="en-US" w:eastAsia="zh-CN"/>
        </w:rPr>
        <w:t>+</w:t>
      </w:r>
      <w:r>
        <w:rPr>
          <w:rFonts w:hint="eastAsia" w:ascii="宋体" w:hAnsi="宋体"/>
          <w:bCs/>
          <w:color w:val="auto"/>
          <w:sz w:val="24"/>
          <w:szCs w:val="21"/>
          <w:highlight w:val="none"/>
        </w:rPr>
        <w:t>工程接收证书（工程竣工验收证书）的等原件扫描件</w:t>
      </w:r>
      <w:r>
        <w:rPr>
          <w:rFonts w:hint="eastAsia" w:ascii="宋体" w:hAnsi="宋体"/>
          <w:bCs/>
          <w:color w:val="auto"/>
          <w:sz w:val="24"/>
          <w:szCs w:val="21"/>
          <w:highlight w:val="none"/>
          <w:lang w:eastAsia="zh-CN"/>
        </w:rPr>
        <w:t>；</w:t>
      </w:r>
      <w:r>
        <w:rPr>
          <w:rFonts w:hint="eastAsia" w:ascii="宋体" w:hAnsi="宋体"/>
          <w:bCs/>
          <w:color w:val="auto"/>
          <w:sz w:val="24"/>
          <w:szCs w:val="21"/>
          <w:highlight w:val="none"/>
        </w:rPr>
        <w:t>每张表格只填写一个项目，并标明序号。</w:t>
      </w:r>
    </w:p>
    <w:p w14:paraId="397852EF">
      <w:pPr>
        <w:spacing w:line="500" w:lineRule="exact"/>
        <w:rPr>
          <w:rFonts w:hint="eastAsia" w:ascii="宋体" w:hAnsi="宋体"/>
          <w:bCs/>
          <w:color w:val="auto"/>
          <w:sz w:val="24"/>
          <w:szCs w:val="21"/>
          <w:highlight w:val="none"/>
          <w:lang w:val="en-US" w:eastAsia="zh-CN"/>
        </w:rPr>
      </w:pPr>
    </w:p>
    <w:p w14:paraId="3FBC7BDB">
      <w:pPr>
        <w:pStyle w:val="90"/>
        <w:spacing w:line="360" w:lineRule="auto"/>
        <w:ind w:left="1197" w:leftChars="570" w:firstLine="1680" w:firstLineChars="700"/>
        <w:rPr>
          <w:rFonts w:hint="eastAsia" w:ascii="宋体" w:hAnsi="宋体" w:cs="宋体"/>
          <w:color w:val="auto"/>
          <w:sz w:val="24"/>
          <w:szCs w:val="24"/>
          <w:highlight w:val="none"/>
        </w:rPr>
      </w:pPr>
      <w:r>
        <w:rPr>
          <w:rFonts w:hint="eastAsia" w:ascii="宋体" w:hAnsi="宋体" w:cs="宋体"/>
          <w:color w:val="auto"/>
          <w:sz w:val="24"/>
          <w:szCs w:val="24"/>
          <w:highlight w:val="none"/>
        </w:rPr>
        <w:t>投标单位（盖章）：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p>
    <w:p w14:paraId="4EA0E689">
      <w:pPr>
        <w:spacing w:line="500" w:lineRule="exact"/>
        <w:ind w:firstLine="1440" w:firstLineChars="6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法定代表人或委托代理人（签字或盖章）：</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 xml:space="preserve">     </w:t>
      </w:r>
    </w:p>
    <w:p w14:paraId="3CDC1619">
      <w:pPr>
        <w:rPr>
          <w:rFonts w:hint="eastAsia" w:ascii="宋体" w:hAnsi="宋体" w:cs="宋体"/>
          <w:color w:val="auto"/>
          <w:kern w:val="0"/>
          <w:sz w:val="24"/>
          <w:szCs w:val="24"/>
          <w:highlight w:val="none"/>
        </w:rPr>
      </w:pPr>
    </w:p>
    <w:p w14:paraId="18446EAF">
      <w:pPr>
        <w:wordWrap w:val="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 xml:space="preserve"> 日</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期：</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日</w:t>
      </w:r>
    </w:p>
    <w:p w14:paraId="46F8E1F0">
      <w:pP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br w:type="page"/>
      </w:r>
    </w:p>
    <w:p w14:paraId="5D9CE2E0">
      <w:pPr>
        <w:rPr>
          <w:rFonts w:hint="eastAsia"/>
          <w:color w:val="auto"/>
          <w:highlight w:val="none"/>
        </w:rPr>
      </w:pPr>
    </w:p>
    <w:p w14:paraId="14743FB7">
      <w:pPr>
        <w:pStyle w:val="2"/>
        <w:jc w:val="left"/>
        <w:rPr>
          <w:rFonts w:hint="default" w:ascii="Cambria" w:hAnsi="Cambria" w:eastAsia="宋体" w:cs="Times New Roman"/>
          <w:b/>
          <w:bCs/>
          <w:color w:val="auto"/>
          <w:kern w:val="44"/>
          <w:sz w:val="28"/>
          <w:szCs w:val="28"/>
          <w:highlight w:val="none"/>
          <w:lang w:val="en-US" w:eastAsia="zh-CN" w:bidi="ar-SA"/>
        </w:rPr>
      </w:pPr>
      <w:r>
        <w:rPr>
          <w:rFonts w:hint="eastAsia" w:eastAsia="宋体" w:cs="Times New Roman"/>
          <w:b/>
          <w:bCs/>
          <w:color w:val="auto"/>
          <w:kern w:val="44"/>
          <w:sz w:val="28"/>
          <w:szCs w:val="28"/>
          <w:highlight w:val="none"/>
          <w:lang w:val="en-US" w:eastAsia="zh-CN" w:bidi="ar-SA"/>
        </w:rPr>
        <w:t>七、</w:t>
      </w:r>
      <w:r>
        <w:rPr>
          <w:rFonts w:hint="eastAsia" w:ascii="Cambria" w:hAnsi="Cambria" w:eastAsia="宋体" w:cs="Times New Roman"/>
          <w:b/>
          <w:bCs/>
          <w:color w:val="auto"/>
          <w:kern w:val="44"/>
          <w:sz w:val="28"/>
          <w:szCs w:val="28"/>
          <w:highlight w:val="none"/>
          <w:lang w:val="en-US" w:eastAsia="zh-CN" w:bidi="ar-SA"/>
        </w:rPr>
        <w:t>项目管理人员格式</w:t>
      </w:r>
      <w:r>
        <w:rPr>
          <w:rFonts w:hint="eastAsia" w:eastAsia="宋体" w:cs="Times New Roman"/>
          <w:b/>
          <w:bCs/>
          <w:color w:val="auto"/>
          <w:kern w:val="44"/>
          <w:sz w:val="28"/>
          <w:szCs w:val="28"/>
          <w:highlight w:val="none"/>
          <w:lang w:val="en-US" w:eastAsia="zh-CN" w:bidi="ar-SA"/>
        </w:rPr>
        <w:t>：</w:t>
      </w:r>
    </w:p>
    <w:p w14:paraId="39AE1C03">
      <w:pPr>
        <w:rPr>
          <w:rFonts w:hint="eastAsia"/>
          <w:color w:val="auto"/>
          <w:highlight w:val="none"/>
        </w:rPr>
      </w:pPr>
    </w:p>
    <w:p w14:paraId="7DB21245">
      <w:pPr>
        <w:jc w:val="center"/>
        <w:rPr>
          <w:rFonts w:hint="eastAsia" w:ascii="Cambria" w:hAnsi="Cambria" w:eastAsia="宋体" w:cs="Times New Roman"/>
          <w:b/>
          <w:bCs/>
          <w:color w:val="auto"/>
          <w:kern w:val="44"/>
          <w:sz w:val="28"/>
          <w:szCs w:val="28"/>
          <w:highlight w:val="none"/>
          <w:lang w:val="en-US" w:eastAsia="zh-CN" w:bidi="ar-SA"/>
        </w:rPr>
      </w:pPr>
      <w:bookmarkStart w:id="154" w:name="_Toc10705"/>
      <w:r>
        <w:rPr>
          <w:rFonts w:hint="eastAsia" w:ascii="Cambria" w:hAnsi="Cambria" w:eastAsia="宋体" w:cs="Times New Roman"/>
          <w:b/>
          <w:bCs/>
          <w:color w:val="auto"/>
          <w:kern w:val="44"/>
          <w:sz w:val="28"/>
          <w:szCs w:val="28"/>
          <w:highlight w:val="none"/>
          <w:lang w:val="en-US" w:eastAsia="zh-CN" w:bidi="ar-SA"/>
        </w:rPr>
        <w:t>（一）</w:t>
      </w:r>
      <w:r>
        <w:rPr>
          <w:rFonts w:hint="eastAsia" w:ascii="Cambria" w:hAnsi="Cambria" w:eastAsia="宋体" w:cs="Times New Roman"/>
          <w:b/>
          <w:bCs/>
          <w:color w:val="auto"/>
          <w:kern w:val="44"/>
          <w:sz w:val="28"/>
          <w:szCs w:val="28"/>
          <w:highlight w:val="none"/>
          <w:lang w:val="en-US" w:eastAsia="en-US" w:bidi="ar-SA"/>
        </w:rPr>
        <w:t>项目管理机构组成表</w:t>
      </w:r>
      <w:bookmarkEnd w:id="154"/>
    </w:p>
    <w:tbl>
      <w:tblPr>
        <w:tblStyle w:val="31"/>
        <w:tblW w:w="9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027"/>
        <w:gridCol w:w="960"/>
        <w:gridCol w:w="1347"/>
        <w:gridCol w:w="893"/>
        <w:gridCol w:w="1080"/>
        <w:gridCol w:w="933"/>
        <w:gridCol w:w="1430"/>
        <w:gridCol w:w="742"/>
      </w:tblGrid>
      <w:tr w14:paraId="22571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vMerge w:val="restart"/>
            <w:noWrap w:val="0"/>
            <w:vAlign w:val="center"/>
          </w:tcPr>
          <w:p w14:paraId="298C3640">
            <w:pPr>
              <w:spacing w:line="440" w:lineRule="exact"/>
              <w:jc w:val="center"/>
              <w:rPr>
                <w:rFonts w:ascii="宋体" w:hAnsi="宋体"/>
                <w:color w:val="auto"/>
                <w:sz w:val="24"/>
                <w:szCs w:val="24"/>
                <w:highlight w:val="none"/>
              </w:rPr>
            </w:pPr>
            <w:r>
              <w:rPr>
                <w:rFonts w:ascii="宋体" w:hAnsi="宋体"/>
                <w:color w:val="auto"/>
                <w:sz w:val="24"/>
                <w:szCs w:val="24"/>
                <w:highlight w:val="none"/>
              </w:rPr>
              <w:t>职务</w:t>
            </w:r>
          </w:p>
        </w:tc>
        <w:tc>
          <w:tcPr>
            <w:tcW w:w="1027" w:type="dxa"/>
            <w:vMerge w:val="restart"/>
            <w:noWrap w:val="0"/>
            <w:vAlign w:val="center"/>
          </w:tcPr>
          <w:p w14:paraId="6EC25449">
            <w:pPr>
              <w:spacing w:line="440" w:lineRule="exact"/>
              <w:jc w:val="center"/>
              <w:rPr>
                <w:rFonts w:ascii="宋体" w:hAnsi="宋体"/>
                <w:color w:val="auto"/>
                <w:sz w:val="24"/>
                <w:szCs w:val="24"/>
                <w:highlight w:val="none"/>
              </w:rPr>
            </w:pPr>
            <w:r>
              <w:rPr>
                <w:rFonts w:ascii="宋体" w:hAnsi="宋体"/>
                <w:color w:val="auto"/>
                <w:sz w:val="24"/>
                <w:szCs w:val="24"/>
                <w:highlight w:val="none"/>
              </w:rPr>
              <w:t>姓名</w:t>
            </w:r>
          </w:p>
        </w:tc>
        <w:tc>
          <w:tcPr>
            <w:tcW w:w="960" w:type="dxa"/>
            <w:vMerge w:val="restart"/>
            <w:noWrap w:val="0"/>
            <w:vAlign w:val="center"/>
          </w:tcPr>
          <w:p w14:paraId="7562859F">
            <w:pPr>
              <w:spacing w:line="440" w:lineRule="exact"/>
              <w:jc w:val="center"/>
              <w:rPr>
                <w:rFonts w:ascii="宋体" w:hAnsi="宋体"/>
                <w:color w:val="auto"/>
                <w:sz w:val="24"/>
                <w:szCs w:val="24"/>
                <w:highlight w:val="none"/>
              </w:rPr>
            </w:pPr>
            <w:r>
              <w:rPr>
                <w:rFonts w:ascii="宋体" w:hAnsi="宋体"/>
                <w:color w:val="auto"/>
                <w:sz w:val="24"/>
                <w:szCs w:val="24"/>
                <w:highlight w:val="none"/>
              </w:rPr>
              <w:t>职称</w:t>
            </w:r>
          </w:p>
        </w:tc>
        <w:tc>
          <w:tcPr>
            <w:tcW w:w="5683" w:type="dxa"/>
            <w:gridSpan w:val="5"/>
            <w:noWrap w:val="0"/>
            <w:vAlign w:val="center"/>
          </w:tcPr>
          <w:p w14:paraId="2546E36A">
            <w:pPr>
              <w:spacing w:line="440" w:lineRule="exact"/>
              <w:jc w:val="center"/>
              <w:rPr>
                <w:rFonts w:ascii="宋体" w:hAnsi="宋体"/>
                <w:color w:val="auto"/>
                <w:sz w:val="24"/>
                <w:szCs w:val="24"/>
                <w:highlight w:val="none"/>
              </w:rPr>
            </w:pPr>
            <w:r>
              <w:rPr>
                <w:rFonts w:ascii="宋体" w:hAnsi="宋体"/>
                <w:color w:val="auto"/>
                <w:sz w:val="24"/>
                <w:szCs w:val="24"/>
                <w:highlight w:val="none"/>
              </w:rPr>
              <w:t>执业或职业资格证明</w:t>
            </w:r>
          </w:p>
        </w:tc>
        <w:tc>
          <w:tcPr>
            <w:tcW w:w="742" w:type="dxa"/>
            <w:vMerge w:val="restart"/>
            <w:noWrap w:val="0"/>
            <w:vAlign w:val="center"/>
          </w:tcPr>
          <w:p w14:paraId="5DAE8CB4">
            <w:pPr>
              <w:spacing w:line="440" w:lineRule="exact"/>
              <w:jc w:val="center"/>
              <w:rPr>
                <w:rFonts w:ascii="宋体" w:hAnsi="宋体"/>
                <w:color w:val="auto"/>
                <w:sz w:val="24"/>
                <w:szCs w:val="24"/>
                <w:highlight w:val="none"/>
              </w:rPr>
            </w:pPr>
            <w:r>
              <w:rPr>
                <w:rFonts w:ascii="宋体" w:hAnsi="宋体"/>
                <w:color w:val="auto"/>
                <w:sz w:val="24"/>
                <w:szCs w:val="24"/>
                <w:highlight w:val="none"/>
              </w:rPr>
              <w:t>备注</w:t>
            </w:r>
          </w:p>
        </w:tc>
      </w:tr>
      <w:tr w14:paraId="1EC83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24" w:type="dxa"/>
            <w:vMerge w:val="continue"/>
            <w:noWrap w:val="0"/>
            <w:vAlign w:val="center"/>
          </w:tcPr>
          <w:p w14:paraId="0EEB957B">
            <w:pPr>
              <w:spacing w:line="440" w:lineRule="exact"/>
              <w:jc w:val="center"/>
              <w:rPr>
                <w:rFonts w:ascii="宋体" w:hAnsi="宋体"/>
                <w:color w:val="auto"/>
                <w:sz w:val="24"/>
                <w:szCs w:val="24"/>
                <w:highlight w:val="none"/>
              </w:rPr>
            </w:pPr>
          </w:p>
        </w:tc>
        <w:tc>
          <w:tcPr>
            <w:tcW w:w="1027" w:type="dxa"/>
            <w:vMerge w:val="continue"/>
            <w:noWrap w:val="0"/>
            <w:vAlign w:val="center"/>
          </w:tcPr>
          <w:p w14:paraId="1DD39162">
            <w:pPr>
              <w:spacing w:line="440" w:lineRule="exact"/>
              <w:jc w:val="center"/>
              <w:rPr>
                <w:rFonts w:ascii="宋体" w:hAnsi="宋体"/>
                <w:color w:val="auto"/>
                <w:sz w:val="24"/>
                <w:szCs w:val="24"/>
                <w:highlight w:val="none"/>
              </w:rPr>
            </w:pPr>
          </w:p>
        </w:tc>
        <w:tc>
          <w:tcPr>
            <w:tcW w:w="960" w:type="dxa"/>
            <w:vMerge w:val="continue"/>
            <w:noWrap w:val="0"/>
            <w:vAlign w:val="center"/>
          </w:tcPr>
          <w:p w14:paraId="3A979BB4">
            <w:pPr>
              <w:spacing w:line="440" w:lineRule="exact"/>
              <w:jc w:val="center"/>
              <w:rPr>
                <w:rFonts w:ascii="宋体" w:hAnsi="宋体"/>
                <w:color w:val="auto"/>
                <w:sz w:val="24"/>
                <w:szCs w:val="24"/>
                <w:highlight w:val="none"/>
              </w:rPr>
            </w:pPr>
          </w:p>
        </w:tc>
        <w:tc>
          <w:tcPr>
            <w:tcW w:w="1347" w:type="dxa"/>
            <w:noWrap w:val="0"/>
            <w:vAlign w:val="center"/>
          </w:tcPr>
          <w:p w14:paraId="5B7438DE">
            <w:pPr>
              <w:spacing w:line="440" w:lineRule="exact"/>
              <w:jc w:val="center"/>
              <w:rPr>
                <w:rFonts w:ascii="宋体" w:hAnsi="宋体"/>
                <w:color w:val="auto"/>
                <w:sz w:val="24"/>
                <w:szCs w:val="24"/>
                <w:highlight w:val="none"/>
              </w:rPr>
            </w:pPr>
            <w:r>
              <w:rPr>
                <w:rFonts w:ascii="宋体" w:hAnsi="宋体"/>
                <w:color w:val="auto"/>
                <w:sz w:val="24"/>
                <w:szCs w:val="24"/>
                <w:highlight w:val="none"/>
              </w:rPr>
              <w:t>证书名称</w:t>
            </w:r>
          </w:p>
        </w:tc>
        <w:tc>
          <w:tcPr>
            <w:tcW w:w="893" w:type="dxa"/>
            <w:noWrap w:val="0"/>
            <w:vAlign w:val="center"/>
          </w:tcPr>
          <w:p w14:paraId="16C3A204">
            <w:pPr>
              <w:spacing w:line="440" w:lineRule="exact"/>
              <w:jc w:val="center"/>
              <w:rPr>
                <w:rFonts w:ascii="宋体" w:hAnsi="宋体"/>
                <w:color w:val="auto"/>
                <w:sz w:val="24"/>
                <w:szCs w:val="24"/>
                <w:highlight w:val="none"/>
              </w:rPr>
            </w:pPr>
            <w:r>
              <w:rPr>
                <w:rFonts w:ascii="宋体" w:hAnsi="宋体"/>
                <w:color w:val="auto"/>
                <w:sz w:val="24"/>
                <w:szCs w:val="24"/>
                <w:highlight w:val="none"/>
              </w:rPr>
              <w:t>级别</w:t>
            </w:r>
          </w:p>
        </w:tc>
        <w:tc>
          <w:tcPr>
            <w:tcW w:w="1080" w:type="dxa"/>
            <w:noWrap w:val="0"/>
            <w:vAlign w:val="center"/>
          </w:tcPr>
          <w:p w14:paraId="3A6C27ED">
            <w:pPr>
              <w:spacing w:line="440" w:lineRule="exact"/>
              <w:jc w:val="center"/>
              <w:rPr>
                <w:rFonts w:ascii="宋体" w:hAnsi="宋体"/>
                <w:color w:val="auto"/>
                <w:sz w:val="24"/>
                <w:szCs w:val="24"/>
                <w:highlight w:val="none"/>
              </w:rPr>
            </w:pPr>
            <w:r>
              <w:rPr>
                <w:rFonts w:ascii="宋体" w:hAnsi="宋体"/>
                <w:color w:val="auto"/>
                <w:sz w:val="24"/>
                <w:szCs w:val="24"/>
                <w:highlight w:val="none"/>
              </w:rPr>
              <w:t>证号</w:t>
            </w:r>
          </w:p>
        </w:tc>
        <w:tc>
          <w:tcPr>
            <w:tcW w:w="933" w:type="dxa"/>
            <w:noWrap w:val="0"/>
            <w:vAlign w:val="center"/>
          </w:tcPr>
          <w:p w14:paraId="59271AA8">
            <w:pPr>
              <w:spacing w:line="440" w:lineRule="exact"/>
              <w:jc w:val="center"/>
              <w:rPr>
                <w:rFonts w:ascii="宋体" w:hAnsi="宋体"/>
                <w:color w:val="auto"/>
                <w:sz w:val="24"/>
                <w:szCs w:val="24"/>
                <w:highlight w:val="none"/>
              </w:rPr>
            </w:pPr>
            <w:r>
              <w:rPr>
                <w:rFonts w:ascii="宋体" w:hAnsi="宋体"/>
                <w:color w:val="auto"/>
                <w:sz w:val="24"/>
                <w:szCs w:val="24"/>
                <w:highlight w:val="none"/>
              </w:rPr>
              <w:t>专业</w:t>
            </w:r>
          </w:p>
        </w:tc>
        <w:tc>
          <w:tcPr>
            <w:tcW w:w="1430" w:type="dxa"/>
            <w:noWrap w:val="0"/>
            <w:vAlign w:val="center"/>
          </w:tcPr>
          <w:p w14:paraId="507E6F4C">
            <w:pPr>
              <w:spacing w:line="440" w:lineRule="exact"/>
              <w:ind w:right="109" w:rightChars="52"/>
              <w:jc w:val="center"/>
              <w:rPr>
                <w:rFonts w:ascii="宋体" w:hAnsi="宋体"/>
                <w:color w:val="auto"/>
                <w:sz w:val="24"/>
                <w:szCs w:val="24"/>
                <w:highlight w:val="none"/>
              </w:rPr>
            </w:pPr>
            <w:r>
              <w:rPr>
                <w:rFonts w:ascii="宋体" w:hAnsi="宋体"/>
                <w:color w:val="auto"/>
                <w:sz w:val="24"/>
                <w:szCs w:val="24"/>
                <w:highlight w:val="none"/>
              </w:rPr>
              <w:t>养老保险</w:t>
            </w:r>
          </w:p>
        </w:tc>
        <w:tc>
          <w:tcPr>
            <w:tcW w:w="742" w:type="dxa"/>
            <w:vMerge w:val="continue"/>
            <w:noWrap w:val="0"/>
            <w:vAlign w:val="center"/>
          </w:tcPr>
          <w:p w14:paraId="76769193">
            <w:pPr>
              <w:spacing w:line="440" w:lineRule="exact"/>
              <w:jc w:val="center"/>
              <w:rPr>
                <w:rFonts w:ascii="宋体" w:hAnsi="宋体"/>
                <w:color w:val="auto"/>
                <w:sz w:val="24"/>
                <w:szCs w:val="24"/>
                <w:highlight w:val="none"/>
              </w:rPr>
            </w:pPr>
          </w:p>
        </w:tc>
      </w:tr>
      <w:tr w14:paraId="14C0D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shd w:val="clear" w:color="auto" w:fill="auto"/>
            <w:noWrap w:val="0"/>
            <w:vAlign w:val="center"/>
          </w:tcPr>
          <w:p w14:paraId="301E038E">
            <w:pPr>
              <w:widowControl/>
              <w:snapToGrid w:val="0"/>
              <w:spacing w:line="290" w:lineRule="atLeast"/>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项目经理</w:t>
            </w:r>
          </w:p>
        </w:tc>
        <w:tc>
          <w:tcPr>
            <w:tcW w:w="1027" w:type="dxa"/>
            <w:noWrap w:val="0"/>
            <w:vAlign w:val="center"/>
          </w:tcPr>
          <w:p w14:paraId="42CFE081">
            <w:pPr>
              <w:spacing w:line="440" w:lineRule="exact"/>
              <w:jc w:val="center"/>
              <w:rPr>
                <w:rFonts w:ascii="宋体" w:hAnsi="宋体"/>
                <w:color w:val="auto"/>
                <w:szCs w:val="21"/>
                <w:highlight w:val="none"/>
              </w:rPr>
            </w:pPr>
          </w:p>
        </w:tc>
        <w:tc>
          <w:tcPr>
            <w:tcW w:w="960" w:type="dxa"/>
            <w:noWrap w:val="0"/>
            <w:vAlign w:val="center"/>
          </w:tcPr>
          <w:p w14:paraId="7D302CD8">
            <w:pPr>
              <w:spacing w:line="440" w:lineRule="exact"/>
              <w:jc w:val="center"/>
              <w:rPr>
                <w:rFonts w:ascii="宋体" w:hAnsi="宋体"/>
                <w:color w:val="auto"/>
                <w:szCs w:val="21"/>
                <w:highlight w:val="none"/>
              </w:rPr>
            </w:pPr>
          </w:p>
        </w:tc>
        <w:tc>
          <w:tcPr>
            <w:tcW w:w="1347" w:type="dxa"/>
            <w:noWrap w:val="0"/>
            <w:vAlign w:val="center"/>
          </w:tcPr>
          <w:p w14:paraId="424A1A27">
            <w:pPr>
              <w:spacing w:line="440" w:lineRule="exact"/>
              <w:jc w:val="center"/>
              <w:rPr>
                <w:rFonts w:ascii="宋体" w:hAnsi="宋体"/>
                <w:color w:val="auto"/>
                <w:szCs w:val="21"/>
                <w:highlight w:val="none"/>
              </w:rPr>
            </w:pPr>
          </w:p>
        </w:tc>
        <w:tc>
          <w:tcPr>
            <w:tcW w:w="893" w:type="dxa"/>
            <w:noWrap w:val="0"/>
            <w:vAlign w:val="center"/>
          </w:tcPr>
          <w:p w14:paraId="5729E3DA">
            <w:pPr>
              <w:spacing w:line="440" w:lineRule="exact"/>
              <w:jc w:val="center"/>
              <w:rPr>
                <w:rFonts w:ascii="宋体" w:hAnsi="宋体"/>
                <w:color w:val="auto"/>
                <w:szCs w:val="21"/>
                <w:highlight w:val="none"/>
              </w:rPr>
            </w:pPr>
          </w:p>
        </w:tc>
        <w:tc>
          <w:tcPr>
            <w:tcW w:w="1080" w:type="dxa"/>
            <w:noWrap w:val="0"/>
            <w:vAlign w:val="center"/>
          </w:tcPr>
          <w:p w14:paraId="52F73F9B">
            <w:pPr>
              <w:spacing w:line="440" w:lineRule="exact"/>
              <w:jc w:val="center"/>
              <w:rPr>
                <w:rFonts w:ascii="宋体" w:hAnsi="宋体"/>
                <w:color w:val="auto"/>
                <w:szCs w:val="21"/>
                <w:highlight w:val="none"/>
              </w:rPr>
            </w:pPr>
          </w:p>
        </w:tc>
        <w:tc>
          <w:tcPr>
            <w:tcW w:w="933" w:type="dxa"/>
            <w:noWrap w:val="0"/>
            <w:vAlign w:val="center"/>
          </w:tcPr>
          <w:p w14:paraId="60D17BD7">
            <w:pPr>
              <w:spacing w:line="440" w:lineRule="exact"/>
              <w:jc w:val="center"/>
              <w:rPr>
                <w:rFonts w:ascii="宋体" w:hAnsi="宋体"/>
                <w:color w:val="auto"/>
                <w:szCs w:val="21"/>
                <w:highlight w:val="none"/>
              </w:rPr>
            </w:pPr>
          </w:p>
        </w:tc>
        <w:tc>
          <w:tcPr>
            <w:tcW w:w="1430" w:type="dxa"/>
            <w:noWrap w:val="0"/>
            <w:vAlign w:val="center"/>
          </w:tcPr>
          <w:p w14:paraId="49452103">
            <w:pPr>
              <w:spacing w:line="440" w:lineRule="exact"/>
              <w:jc w:val="center"/>
              <w:rPr>
                <w:rFonts w:ascii="宋体" w:hAnsi="宋体"/>
                <w:color w:val="auto"/>
                <w:szCs w:val="21"/>
                <w:highlight w:val="none"/>
              </w:rPr>
            </w:pPr>
          </w:p>
        </w:tc>
        <w:tc>
          <w:tcPr>
            <w:tcW w:w="742" w:type="dxa"/>
            <w:noWrap w:val="0"/>
            <w:vAlign w:val="center"/>
          </w:tcPr>
          <w:p w14:paraId="42F4C64F">
            <w:pPr>
              <w:spacing w:line="440" w:lineRule="exact"/>
              <w:jc w:val="center"/>
              <w:rPr>
                <w:rFonts w:ascii="宋体" w:hAnsi="宋体"/>
                <w:color w:val="auto"/>
                <w:szCs w:val="21"/>
                <w:highlight w:val="none"/>
              </w:rPr>
            </w:pPr>
          </w:p>
        </w:tc>
      </w:tr>
      <w:tr w14:paraId="186C1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shd w:val="clear" w:color="auto" w:fill="auto"/>
            <w:noWrap w:val="0"/>
            <w:vAlign w:val="center"/>
          </w:tcPr>
          <w:p w14:paraId="0B25A7B3">
            <w:pPr>
              <w:widowControl/>
              <w:snapToGrid w:val="0"/>
              <w:spacing w:line="290" w:lineRule="atLeas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color w:val="auto"/>
                <w:highlight w:val="none"/>
              </w:rPr>
              <w:t>技术负责人</w:t>
            </w:r>
          </w:p>
        </w:tc>
        <w:tc>
          <w:tcPr>
            <w:tcW w:w="1027" w:type="dxa"/>
            <w:noWrap w:val="0"/>
            <w:vAlign w:val="center"/>
          </w:tcPr>
          <w:p w14:paraId="0BEB84C4">
            <w:pPr>
              <w:spacing w:line="440" w:lineRule="exact"/>
              <w:jc w:val="center"/>
              <w:rPr>
                <w:rFonts w:ascii="宋体" w:hAnsi="宋体"/>
                <w:color w:val="auto"/>
                <w:szCs w:val="21"/>
                <w:highlight w:val="none"/>
              </w:rPr>
            </w:pPr>
          </w:p>
        </w:tc>
        <w:tc>
          <w:tcPr>
            <w:tcW w:w="960" w:type="dxa"/>
            <w:noWrap w:val="0"/>
            <w:vAlign w:val="center"/>
          </w:tcPr>
          <w:p w14:paraId="0C150F60">
            <w:pPr>
              <w:spacing w:line="440" w:lineRule="exact"/>
              <w:jc w:val="center"/>
              <w:rPr>
                <w:rFonts w:ascii="宋体" w:hAnsi="宋体"/>
                <w:color w:val="auto"/>
                <w:szCs w:val="21"/>
                <w:highlight w:val="none"/>
              </w:rPr>
            </w:pPr>
          </w:p>
        </w:tc>
        <w:tc>
          <w:tcPr>
            <w:tcW w:w="1347" w:type="dxa"/>
            <w:noWrap w:val="0"/>
            <w:vAlign w:val="center"/>
          </w:tcPr>
          <w:p w14:paraId="77647261">
            <w:pPr>
              <w:spacing w:line="440" w:lineRule="exact"/>
              <w:jc w:val="center"/>
              <w:rPr>
                <w:rFonts w:ascii="宋体" w:hAnsi="宋体"/>
                <w:color w:val="auto"/>
                <w:szCs w:val="21"/>
                <w:highlight w:val="none"/>
              </w:rPr>
            </w:pPr>
          </w:p>
        </w:tc>
        <w:tc>
          <w:tcPr>
            <w:tcW w:w="893" w:type="dxa"/>
            <w:noWrap w:val="0"/>
            <w:vAlign w:val="center"/>
          </w:tcPr>
          <w:p w14:paraId="685FA701">
            <w:pPr>
              <w:spacing w:line="440" w:lineRule="exact"/>
              <w:jc w:val="center"/>
              <w:rPr>
                <w:rFonts w:ascii="宋体" w:hAnsi="宋体"/>
                <w:color w:val="auto"/>
                <w:szCs w:val="21"/>
                <w:highlight w:val="none"/>
              </w:rPr>
            </w:pPr>
          </w:p>
        </w:tc>
        <w:tc>
          <w:tcPr>
            <w:tcW w:w="1080" w:type="dxa"/>
            <w:noWrap w:val="0"/>
            <w:vAlign w:val="center"/>
          </w:tcPr>
          <w:p w14:paraId="2FD4AC7D">
            <w:pPr>
              <w:spacing w:line="440" w:lineRule="exact"/>
              <w:jc w:val="center"/>
              <w:rPr>
                <w:rFonts w:ascii="宋体" w:hAnsi="宋体"/>
                <w:color w:val="auto"/>
                <w:szCs w:val="21"/>
                <w:highlight w:val="none"/>
              </w:rPr>
            </w:pPr>
          </w:p>
        </w:tc>
        <w:tc>
          <w:tcPr>
            <w:tcW w:w="933" w:type="dxa"/>
            <w:noWrap w:val="0"/>
            <w:vAlign w:val="center"/>
          </w:tcPr>
          <w:p w14:paraId="67811B90">
            <w:pPr>
              <w:spacing w:line="440" w:lineRule="exact"/>
              <w:jc w:val="center"/>
              <w:rPr>
                <w:rFonts w:ascii="宋体" w:hAnsi="宋体"/>
                <w:color w:val="auto"/>
                <w:szCs w:val="21"/>
                <w:highlight w:val="none"/>
              </w:rPr>
            </w:pPr>
          </w:p>
        </w:tc>
        <w:tc>
          <w:tcPr>
            <w:tcW w:w="1430" w:type="dxa"/>
            <w:noWrap w:val="0"/>
            <w:vAlign w:val="center"/>
          </w:tcPr>
          <w:p w14:paraId="21DA351A">
            <w:pPr>
              <w:spacing w:line="440" w:lineRule="exact"/>
              <w:jc w:val="center"/>
              <w:rPr>
                <w:rFonts w:ascii="宋体" w:hAnsi="宋体"/>
                <w:color w:val="auto"/>
                <w:szCs w:val="21"/>
                <w:highlight w:val="none"/>
              </w:rPr>
            </w:pPr>
          </w:p>
        </w:tc>
        <w:tc>
          <w:tcPr>
            <w:tcW w:w="742" w:type="dxa"/>
            <w:noWrap w:val="0"/>
            <w:vAlign w:val="center"/>
          </w:tcPr>
          <w:p w14:paraId="39718048">
            <w:pPr>
              <w:spacing w:line="440" w:lineRule="exact"/>
              <w:jc w:val="center"/>
              <w:rPr>
                <w:rFonts w:ascii="宋体" w:hAnsi="宋体"/>
                <w:color w:val="auto"/>
                <w:szCs w:val="21"/>
                <w:highlight w:val="none"/>
              </w:rPr>
            </w:pPr>
          </w:p>
        </w:tc>
      </w:tr>
      <w:tr w14:paraId="00511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shd w:val="clear" w:color="auto" w:fill="auto"/>
            <w:noWrap w:val="0"/>
            <w:vAlign w:val="center"/>
          </w:tcPr>
          <w:p w14:paraId="05BA2C5A">
            <w:pPr>
              <w:widowControl/>
              <w:snapToGrid w:val="0"/>
              <w:spacing w:line="290" w:lineRule="atLeast"/>
              <w:jc w:val="center"/>
              <w:rPr>
                <w:rFonts w:ascii="宋体" w:hAnsi="宋体" w:eastAsia="宋体" w:cs="宋体"/>
                <w:bCs/>
                <w:color w:val="auto"/>
                <w:kern w:val="2"/>
                <w:sz w:val="21"/>
                <w:szCs w:val="21"/>
                <w:highlight w:val="none"/>
                <w:lang w:val="en-US" w:eastAsia="zh-CN" w:bidi="ar-SA"/>
              </w:rPr>
            </w:pPr>
            <w:r>
              <w:rPr>
                <w:rFonts w:hint="eastAsia" w:ascii="宋体" w:hAnsi="宋体" w:cs="宋体"/>
                <w:color w:val="auto"/>
                <w:highlight w:val="none"/>
              </w:rPr>
              <w:t>安全管理人员</w:t>
            </w:r>
          </w:p>
        </w:tc>
        <w:tc>
          <w:tcPr>
            <w:tcW w:w="1027" w:type="dxa"/>
            <w:noWrap w:val="0"/>
            <w:vAlign w:val="top"/>
          </w:tcPr>
          <w:p w14:paraId="2B5D678C">
            <w:pPr>
              <w:spacing w:line="440" w:lineRule="exact"/>
              <w:jc w:val="center"/>
              <w:rPr>
                <w:rFonts w:ascii="宋体" w:hAnsi="宋体"/>
                <w:color w:val="auto"/>
                <w:szCs w:val="21"/>
                <w:highlight w:val="none"/>
              </w:rPr>
            </w:pPr>
          </w:p>
        </w:tc>
        <w:tc>
          <w:tcPr>
            <w:tcW w:w="960" w:type="dxa"/>
            <w:noWrap w:val="0"/>
            <w:vAlign w:val="top"/>
          </w:tcPr>
          <w:p w14:paraId="489AB36A">
            <w:pPr>
              <w:spacing w:line="440" w:lineRule="exact"/>
              <w:jc w:val="center"/>
              <w:rPr>
                <w:rFonts w:ascii="宋体" w:hAnsi="宋体"/>
                <w:color w:val="auto"/>
                <w:szCs w:val="21"/>
                <w:highlight w:val="none"/>
              </w:rPr>
            </w:pPr>
          </w:p>
        </w:tc>
        <w:tc>
          <w:tcPr>
            <w:tcW w:w="1347" w:type="dxa"/>
            <w:noWrap w:val="0"/>
            <w:vAlign w:val="top"/>
          </w:tcPr>
          <w:p w14:paraId="5D35703D">
            <w:pPr>
              <w:spacing w:line="440" w:lineRule="exact"/>
              <w:jc w:val="center"/>
              <w:rPr>
                <w:rFonts w:ascii="宋体" w:hAnsi="宋体"/>
                <w:color w:val="auto"/>
                <w:szCs w:val="21"/>
                <w:highlight w:val="none"/>
              </w:rPr>
            </w:pPr>
          </w:p>
        </w:tc>
        <w:tc>
          <w:tcPr>
            <w:tcW w:w="893" w:type="dxa"/>
            <w:noWrap w:val="0"/>
            <w:vAlign w:val="top"/>
          </w:tcPr>
          <w:p w14:paraId="59FA9CBF">
            <w:pPr>
              <w:spacing w:line="440" w:lineRule="exact"/>
              <w:jc w:val="center"/>
              <w:rPr>
                <w:rFonts w:ascii="宋体" w:hAnsi="宋体"/>
                <w:color w:val="auto"/>
                <w:szCs w:val="21"/>
                <w:highlight w:val="none"/>
              </w:rPr>
            </w:pPr>
          </w:p>
        </w:tc>
        <w:tc>
          <w:tcPr>
            <w:tcW w:w="1080" w:type="dxa"/>
            <w:noWrap w:val="0"/>
            <w:vAlign w:val="top"/>
          </w:tcPr>
          <w:p w14:paraId="612545FF">
            <w:pPr>
              <w:spacing w:line="440" w:lineRule="exact"/>
              <w:jc w:val="center"/>
              <w:rPr>
                <w:rFonts w:ascii="宋体" w:hAnsi="宋体"/>
                <w:color w:val="auto"/>
                <w:szCs w:val="21"/>
                <w:highlight w:val="none"/>
              </w:rPr>
            </w:pPr>
          </w:p>
        </w:tc>
        <w:tc>
          <w:tcPr>
            <w:tcW w:w="933" w:type="dxa"/>
            <w:noWrap w:val="0"/>
            <w:vAlign w:val="top"/>
          </w:tcPr>
          <w:p w14:paraId="33ABA223">
            <w:pPr>
              <w:spacing w:line="440" w:lineRule="exact"/>
              <w:jc w:val="center"/>
              <w:rPr>
                <w:rFonts w:ascii="宋体" w:hAnsi="宋体"/>
                <w:color w:val="auto"/>
                <w:szCs w:val="21"/>
                <w:highlight w:val="none"/>
              </w:rPr>
            </w:pPr>
          </w:p>
        </w:tc>
        <w:tc>
          <w:tcPr>
            <w:tcW w:w="1430" w:type="dxa"/>
            <w:noWrap w:val="0"/>
            <w:vAlign w:val="top"/>
          </w:tcPr>
          <w:p w14:paraId="7EB5A463">
            <w:pPr>
              <w:spacing w:line="440" w:lineRule="exact"/>
              <w:jc w:val="center"/>
              <w:rPr>
                <w:rFonts w:ascii="宋体" w:hAnsi="宋体"/>
                <w:color w:val="auto"/>
                <w:szCs w:val="21"/>
                <w:highlight w:val="none"/>
              </w:rPr>
            </w:pPr>
          </w:p>
        </w:tc>
        <w:tc>
          <w:tcPr>
            <w:tcW w:w="742" w:type="dxa"/>
            <w:noWrap w:val="0"/>
            <w:vAlign w:val="top"/>
          </w:tcPr>
          <w:p w14:paraId="43DB365D">
            <w:pPr>
              <w:spacing w:line="440" w:lineRule="exact"/>
              <w:jc w:val="center"/>
              <w:rPr>
                <w:rFonts w:ascii="宋体" w:hAnsi="宋体"/>
                <w:color w:val="auto"/>
                <w:szCs w:val="21"/>
                <w:highlight w:val="none"/>
              </w:rPr>
            </w:pPr>
          </w:p>
        </w:tc>
      </w:tr>
      <w:tr w14:paraId="68DA4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shd w:val="clear" w:color="auto" w:fill="auto"/>
            <w:noWrap w:val="0"/>
            <w:vAlign w:val="center"/>
          </w:tcPr>
          <w:p w14:paraId="5DF96C81">
            <w:pPr>
              <w:widowControl/>
              <w:snapToGrid w:val="0"/>
              <w:spacing w:line="290" w:lineRule="atLeast"/>
              <w:jc w:val="center"/>
              <w:rPr>
                <w:rFonts w:ascii="宋体" w:hAnsi="宋体" w:eastAsia="宋体" w:cs="宋体"/>
                <w:bCs/>
                <w:color w:val="auto"/>
                <w:kern w:val="2"/>
                <w:sz w:val="21"/>
                <w:szCs w:val="21"/>
                <w:highlight w:val="none"/>
                <w:lang w:val="en-US" w:eastAsia="zh-CN" w:bidi="ar-SA"/>
              </w:rPr>
            </w:pPr>
            <w:r>
              <w:rPr>
                <w:rFonts w:hint="eastAsia" w:ascii="宋体" w:hAnsi="宋体" w:cs="宋体"/>
                <w:color w:val="auto"/>
                <w:highlight w:val="none"/>
              </w:rPr>
              <w:t>质量管理人员</w:t>
            </w:r>
          </w:p>
        </w:tc>
        <w:tc>
          <w:tcPr>
            <w:tcW w:w="1027" w:type="dxa"/>
            <w:noWrap w:val="0"/>
            <w:vAlign w:val="top"/>
          </w:tcPr>
          <w:p w14:paraId="331AAF86">
            <w:pPr>
              <w:spacing w:line="440" w:lineRule="exact"/>
              <w:jc w:val="center"/>
              <w:rPr>
                <w:rFonts w:ascii="宋体" w:hAnsi="宋体"/>
                <w:color w:val="auto"/>
                <w:szCs w:val="21"/>
                <w:highlight w:val="none"/>
              </w:rPr>
            </w:pPr>
          </w:p>
        </w:tc>
        <w:tc>
          <w:tcPr>
            <w:tcW w:w="960" w:type="dxa"/>
            <w:noWrap w:val="0"/>
            <w:vAlign w:val="top"/>
          </w:tcPr>
          <w:p w14:paraId="1FC629B5">
            <w:pPr>
              <w:spacing w:line="440" w:lineRule="exact"/>
              <w:jc w:val="center"/>
              <w:rPr>
                <w:rFonts w:ascii="宋体" w:hAnsi="宋体"/>
                <w:color w:val="auto"/>
                <w:szCs w:val="21"/>
                <w:highlight w:val="none"/>
              </w:rPr>
            </w:pPr>
          </w:p>
        </w:tc>
        <w:tc>
          <w:tcPr>
            <w:tcW w:w="1347" w:type="dxa"/>
            <w:noWrap w:val="0"/>
            <w:vAlign w:val="top"/>
          </w:tcPr>
          <w:p w14:paraId="756F1241">
            <w:pPr>
              <w:spacing w:line="440" w:lineRule="exact"/>
              <w:jc w:val="center"/>
              <w:rPr>
                <w:rFonts w:ascii="宋体" w:hAnsi="宋体"/>
                <w:color w:val="auto"/>
                <w:szCs w:val="21"/>
                <w:highlight w:val="none"/>
              </w:rPr>
            </w:pPr>
          </w:p>
        </w:tc>
        <w:tc>
          <w:tcPr>
            <w:tcW w:w="893" w:type="dxa"/>
            <w:noWrap w:val="0"/>
            <w:vAlign w:val="top"/>
          </w:tcPr>
          <w:p w14:paraId="6A1CE35F">
            <w:pPr>
              <w:spacing w:line="440" w:lineRule="exact"/>
              <w:jc w:val="center"/>
              <w:rPr>
                <w:rFonts w:ascii="宋体" w:hAnsi="宋体"/>
                <w:color w:val="auto"/>
                <w:szCs w:val="21"/>
                <w:highlight w:val="none"/>
              </w:rPr>
            </w:pPr>
          </w:p>
        </w:tc>
        <w:tc>
          <w:tcPr>
            <w:tcW w:w="1080" w:type="dxa"/>
            <w:noWrap w:val="0"/>
            <w:vAlign w:val="top"/>
          </w:tcPr>
          <w:p w14:paraId="57F22250">
            <w:pPr>
              <w:spacing w:line="440" w:lineRule="exact"/>
              <w:jc w:val="center"/>
              <w:rPr>
                <w:rFonts w:ascii="宋体" w:hAnsi="宋体"/>
                <w:color w:val="auto"/>
                <w:szCs w:val="21"/>
                <w:highlight w:val="none"/>
              </w:rPr>
            </w:pPr>
          </w:p>
        </w:tc>
        <w:tc>
          <w:tcPr>
            <w:tcW w:w="933" w:type="dxa"/>
            <w:noWrap w:val="0"/>
            <w:vAlign w:val="top"/>
          </w:tcPr>
          <w:p w14:paraId="6891FA6B">
            <w:pPr>
              <w:spacing w:line="440" w:lineRule="exact"/>
              <w:jc w:val="center"/>
              <w:rPr>
                <w:rFonts w:ascii="宋体" w:hAnsi="宋体"/>
                <w:color w:val="auto"/>
                <w:szCs w:val="21"/>
                <w:highlight w:val="none"/>
              </w:rPr>
            </w:pPr>
          </w:p>
        </w:tc>
        <w:tc>
          <w:tcPr>
            <w:tcW w:w="1430" w:type="dxa"/>
            <w:noWrap w:val="0"/>
            <w:vAlign w:val="top"/>
          </w:tcPr>
          <w:p w14:paraId="2E00916F">
            <w:pPr>
              <w:spacing w:line="440" w:lineRule="exact"/>
              <w:jc w:val="center"/>
              <w:rPr>
                <w:rFonts w:ascii="宋体" w:hAnsi="宋体"/>
                <w:color w:val="auto"/>
                <w:szCs w:val="21"/>
                <w:highlight w:val="none"/>
              </w:rPr>
            </w:pPr>
          </w:p>
        </w:tc>
        <w:tc>
          <w:tcPr>
            <w:tcW w:w="742" w:type="dxa"/>
            <w:noWrap w:val="0"/>
            <w:vAlign w:val="top"/>
          </w:tcPr>
          <w:p w14:paraId="6DFF4FFA">
            <w:pPr>
              <w:spacing w:line="440" w:lineRule="exact"/>
              <w:jc w:val="center"/>
              <w:rPr>
                <w:rFonts w:ascii="宋体" w:hAnsi="宋体"/>
                <w:color w:val="auto"/>
                <w:szCs w:val="21"/>
                <w:highlight w:val="none"/>
              </w:rPr>
            </w:pPr>
          </w:p>
        </w:tc>
      </w:tr>
      <w:tr w14:paraId="04B66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shd w:val="clear" w:color="auto" w:fill="auto"/>
            <w:noWrap w:val="0"/>
            <w:vAlign w:val="center"/>
          </w:tcPr>
          <w:p w14:paraId="65DFAC39">
            <w:pPr>
              <w:widowControl/>
              <w:snapToGrid w:val="0"/>
              <w:spacing w:line="290" w:lineRule="atLeast"/>
              <w:jc w:val="center"/>
              <w:rPr>
                <w:rFonts w:ascii="宋体" w:hAnsi="宋体" w:eastAsia="宋体" w:cs="宋体"/>
                <w:bCs/>
                <w:color w:val="auto"/>
                <w:kern w:val="2"/>
                <w:sz w:val="21"/>
                <w:szCs w:val="21"/>
                <w:highlight w:val="none"/>
                <w:lang w:val="en-US" w:eastAsia="zh-CN" w:bidi="ar-SA"/>
              </w:rPr>
            </w:pPr>
            <w:r>
              <w:rPr>
                <w:rFonts w:hint="eastAsia" w:ascii="宋体" w:hAnsi="宋体" w:cs="宋体"/>
                <w:color w:val="auto"/>
                <w:highlight w:val="none"/>
              </w:rPr>
              <w:t>造价执业人员</w:t>
            </w:r>
          </w:p>
        </w:tc>
        <w:tc>
          <w:tcPr>
            <w:tcW w:w="1027" w:type="dxa"/>
            <w:noWrap w:val="0"/>
            <w:vAlign w:val="top"/>
          </w:tcPr>
          <w:p w14:paraId="78D67A41">
            <w:pPr>
              <w:spacing w:line="440" w:lineRule="exact"/>
              <w:jc w:val="center"/>
              <w:rPr>
                <w:rFonts w:ascii="宋体" w:hAnsi="宋体"/>
                <w:color w:val="auto"/>
                <w:szCs w:val="21"/>
                <w:highlight w:val="none"/>
              </w:rPr>
            </w:pPr>
          </w:p>
        </w:tc>
        <w:tc>
          <w:tcPr>
            <w:tcW w:w="960" w:type="dxa"/>
            <w:noWrap w:val="0"/>
            <w:vAlign w:val="top"/>
          </w:tcPr>
          <w:p w14:paraId="1A9B4DFC">
            <w:pPr>
              <w:spacing w:line="440" w:lineRule="exact"/>
              <w:jc w:val="center"/>
              <w:rPr>
                <w:rFonts w:ascii="宋体" w:hAnsi="宋体"/>
                <w:color w:val="auto"/>
                <w:szCs w:val="21"/>
                <w:highlight w:val="none"/>
              </w:rPr>
            </w:pPr>
          </w:p>
        </w:tc>
        <w:tc>
          <w:tcPr>
            <w:tcW w:w="1347" w:type="dxa"/>
            <w:noWrap w:val="0"/>
            <w:vAlign w:val="top"/>
          </w:tcPr>
          <w:p w14:paraId="39538560">
            <w:pPr>
              <w:spacing w:line="440" w:lineRule="exact"/>
              <w:jc w:val="center"/>
              <w:rPr>
                <w:rFonts w:ascii="宋体" w:hAnsi="宋体"/>
                <w:color w:val="auto"/>
                <w:szCs w:val="21"/>
                <w:highlight w:val="none"/>
              </w:rPr>
            </w:pPr>
          </w:p>
        </w:tc>
        <w:tc>
          <w:tcPr>
            <w:tcW w:w="893" w:type="dxa"/>
            <w:noWrap w:val="0"/>
            <w:vAlign w:val="top"/>
          </w:tcPr>
          <w:p w14:paraId="4732D075">
            <w:pPr>
              <w:spacing w:line="440" w:lineRule="exact"/>
              <w:jc w:val="center"/>
              <w:rPr>
                <w:rFonts w:ascii="宋体" w:hAnsi="宋体"/>
                <w:color w:val="auto"/>
                <w:szCs w:val="21"/>
                <w:highlight w:val="none"/>
              </w:rPr>
            </w:pPr>
          </w:p>
        </w:tc>
        <w:tc>
          <w:tcPr>
            <w:tcW w:w="1080" w:type="dxa"/>
            <w:noWrap w:val="0"/>
            <w:vAlign w:val="top"/>
          </w:tcPr>
          <w:p w14:paraId="54EB4521">
            <w:pPr>
              <w:spacing w:line="440" w:lineRule="exact"/>
              <w:jc w:val="center"/>
              <w:rPr>
                <w:rFonts w:ascii="宋体" w:hAnsi="宋体"/>
                <w:color w:val="auto"/>
                <w:szCs w:val="21"/>
                <w:highlight w:val="none"/>
              </w:rPr>
            </w:pPr>
          </w:p>
        </w:tc>
        <w:tc>
          <w:tcPr>
            <w:tcW w:w="933" w:type="dxa"/>
            <w:noWrap w:val="0"/>
            <w:vAlign w:val="top"/>
          </w:tcPr>
          <w:p w14:paraId="6A9AAF19">
            <w:pPr>
              <w:spacing w:line="440" w:lineRule="exact"/>
              <w:jc w:val="center"/>
              <w:rPr>
                <w:rFonts w:ascii="宋体" w:hAnsi="宋体"/>
                <w:color w:val="auto"/>
                <w:szCs w:val="21"/>
                <w:highlight w:val="none"/>
              </w:rPr>
            </w:pPr>
          </w:p>
        </w:tc>
        <w:tc>
          <w:tcPr>
            <w:tcW w:w="1430" w:type="dxa"/>
            <w:noWrap w:val="0"/>
            <w:vAlign w:val="top"/>
          </w:tcPr>
          <w:p w14:paraId="662720BE">
            <w:pPr>
              <w:spacing w:line="440" w:lineRule="exact"/>
              <w:jc w:val="center"/>
              <w:rPr>
                <w:rFonts w:ascii="宋体" w:hAnsi="宋体"/>
                <w:color w:val="auto"/>
                <w:szCs w:val="21"/>
                <w:highlight w:val="none"/>
              </w:rPr>
            </w:pPr>
          </w:p>
        </w:tc>
        <w:tc>
          <w:tcPr>
            <w:tcW w:w="742" w:type="dxa"/>
            <w:noWrap w:val="0"/>
            <w:vAlign w:val="top"/>
          </w:tcPr>
          <w:p w14:paraId="0AAFB041">
            <w:pPr>
              <w:spacing w:line="440" w:lineRule="exact"/>
              <w:jc w:val="center"/>
              <w:rPr>
                <w:rFonts w:ascii="宋体" w:hAnsi="宋体"/>
                <w:color w:val="auto"/>
                <w:szCs w:val="21"/>
                <w:highlight w:val="none"/>
              </w:rPr>
            </w:pPr>
          </w:p>
        </w:tc>
      </w:tr>
      <w:tr w14:paraId="7FA5E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shd w:val="clear" w:color="auto" w:fill="auto"/>
            <w:noWrap w:val="0"/>
            <w:vAlign w:val="center"/>
          </w:tcPr>
          <w:p w14:paraId="49E488F1">
            <w:pPr>
              <w:widowControl/>
              <w:snapToGrid w:val="0"/>
              <w:spacing w:line="290" w:lineRule="atLeast"/>
              <w:jc w:val="center"/>
              <w:rPr>
                <w:rFonts w:ascii="宋体" w:hAnsi="宋体" w:eastAsia="宋体" w:cs="宋体"/>
                <w:bCs/>
                <w:color w:val="auto"/>
                <w:kern w:val="2"/>
                <w:sz w:val="21"/>
                <w:szCs w:val="21"/>
                <w:highlight w:val="none"/>
                <w:lang w:val="en-US" w:eastAsia="zh-CN" w:bidi="ar-SA"/>
              </w:rPr>
            </w:pPr>
            <w:r>
              <w:rPr>
                <w:rFonts w:hint="eastAsia" w:ascii="宋体" w:hAnsi="宋体" w:cs="宋体"/>
                <w:color w:val="auto"/>
                <w:szCs w:val="21"/>
                <w:highlight w:val="none"/>
              </w:rPr>
              <w:t>其他人员</w:t>
            </w:r>
          </w:p>
        </w:tc>
        <w:tc>
          <w:tcPr>
            <w:tcW w:w="1027" w:type="dxa"/>
            <w:noWrap w:val="0"/>
            <w:vAlign w:val="top"/>
          </w:tcPr>
          <w:p w14:paraId="21EC0E2E">
            <w:pPr>
              <w:spacing w:line="440" w:lineRule="exact"/>
              <w:jc w:val="center"/>
              <w:rPr>
                <w:rFonts w:ascii="宋体" w:hAnsi="宋体"/>
                <w:color w:val="auto"/>
                <w:szCs w:val="21"/>
                <w:highlight w:val="none"/>
              </w:rPr>
            </w:pPr>
          </w:p>
        </w:tc>
        <w:tc>
          <w:tcPr>
            <w:tcW w:w="960" w:type="dxa"/>
            <w:noWrap w:val="0"/>
            <w:vAlign w:val="top"/>
          </w:tcPr>
          <w:p w14:paraId="69C76990">
            <w:pPr>
              <w:spacing w:line="440" w:lineRule="exact"/>
              <w:jc w:val="center"/>
              <w:rPr>
                <w:rFonts w:ascii="宋体" w:hAnsi="宋体"/>
                <w:color w:val="auto"/>
                <w:szCs w:val="21"/>
                <w:highlight w:val="none"/>
              </w:rPr>
            </w:pPr>
          </w:p>
        </w:tc>
        <w:tc>
          <w:tcPr>
            <w:tcW w:w="1347" w:type="dxa"/>
            <w:noWrap w:val="0"/>
            <w:vAlign w:val="top"/>
          </w:tcPr>
          <w:p w14:paraId="58EBCC7E">
            <w:pPr>
              <w:spacing w:line="440" w:lineRule="exact"/>
              <w:jc w:val="center"/>
              <w:rPr>
                <w:rFonts w:ascii="宋体" w:hAnsi="宋体"/>
                <w:color w:val="auto"/>
                <w:szCs w:val="21"/>
                <w:highlight w:val="none"/>
              </w:rPr>
            </w:pPr>
          </w:p>
        </w:tc>
        <w:tc>
          <w:tcPr>
            <w:tcW w:w="893" w:type="dxa"/>
            <w:noWrap w:val="0"/>
            <w:vAlign w:val="top"/>
          </w:tcPr>
          <w:p w14:paraId="20CC60D4">
            <w:pPr>
              <w:spacing w:line="440" w:lineRule="exact"/>
              <w:jc w:val="center"/>
              <w:rPr>
                <w:rFonts w:ascii="宋体" w:hAnsi="宋体"/>
                <w:color w:val="auto"/>
                <w:szCs w:val="21"/>
                <w:highlight w:val="none"/>
              </w:rPr>
            </w:pPr>
          </w:p>
        </w:tc>
        <w:tc>
          <w:tcPr>
            <w:tcW w:w="1080" w:type="dxa"/>
            <w:noWrap w:val="0"/>
            <w:vAlign w:val="top"/>
          </w:tcPr>
          <w:p w14:paraId="22FF4C85">
            <w:pPr>
              <w:spacing w:line="440" w:lineRule="exact"/>
              <w:jc w:val="center"/>
              <w:rPr>
                <w:rFonts w:ascii="宋体" w:hAnsi="宋体"/>
                <w:color w:val="auto"/>
                <w:szCs w:val="21"/>
                <w:highlight w:val="none"/>
              </w:rPr>
            </w:pPr>
          </w:p>
        </w:tc>
        <w:tc>
          <w:tcPr>
            <w:tcW w:w="933" w:type="dxa"/>
            <w:noWrap w:val="0"/>
            <w:vAlign w:val="top"/>
          </w:tcPr>
          <w:p w14:paraId="709A5D02">
            <w:pPr>
              <w:spacing w:line="440" w:lineRule="exact"/>
              <w:jc w:val="center"/>
              <w:rPr>
                <w:rFonts w:ascii="宋体" w:hAnsi="宋体"/>
                <w:color w:val="auto"/>
                <w:szCs w:val="21"/>
                <w:highlight w:val="none"/>
              </w:rPr>
            </w:pPr>
          </w:p>
        </w:tc>
        <w:tc>
          <w:tcPr>
            <w:tcW w:w="1430" w:type="dxa"/>
            <w:noWrap w:val="0"/>
            <w:vAlign w:val="top"/>
          </w:tcPr>
          <w:p w14:paraId="29649AD1">
            <w:pPr>
              <w:spacing w:line="440" w:lineRule="exact"/>
              <w:jc w:val="center"/>
              <w:rPr>
                <w:rFonts w:ascii="宋体" w:hAnsi="宋体"/>
                <w:color w:val="auto"/>
                <w:szCs w:val="21"/>
                <w:highlight w:val="none"/>
              </w:rPr>
            </w:pPr>
          </w:p>
        </w:tc>
        <w:tc>
          <w:tcPr>
            <w:tcW w:w="742" w:type="dxa"/>
            <w:noWrap w:val="0"/>
            <w:vAlign w:val="top"/>
          </w:tcPr>
          <w:p w14:paraId="5C23C671">
            <w:pPr>
              <w:spacing w:line="440" w:lineRule="exact"/>
              <w:jc w:val="center"/>
              <w:rPr>
                <w:rFonts w:ascii="宋体" w:hAnsi="宋体"/>
                <w:color w:val="auto"/>
                <w:szCs w:val="21"/>
                <w:highlight w:val="none"/>
              </w:rPr>
            </w:pPr>
          </w:p>
        </w:tc>
      </w:tr>
      <w:tr w14:paraId="18E87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noWrap w:val="0"/>
            <w:vAlign w:val="center"/>
          </w:tcPr>
          <w:p w14:paraId="53A6DDE0">
            <w:pPr>
              <w:jc w:val="center"/>
              <w:rPr>
                <w:rFonts w:ascii="宋体" w:hAnsi="宋体"/>
                <w:bCs/>
                <w:color w:val="auto"/>
                <w:szCs w:val="21"/>
                <w:highlight w:val="none"/>
              </w:rPr>
            </w:pPr>
          </w:p>
        </w:tc>
        <w:tc>
          <w:tcPr>
            <w:tcW w:w="1027" w:type="dxa"/>
            <w:noWrap w:val="0"/>
            <w:vAlign w:val="top"/>
          </w:tcPr>
          <w:p w14:paraId="6DDFBA35">
            <w:pPr>
              <w:spacing w:line="440" w:lineRule="exact"/>
              <w:jc w:val="center"/>
              <w:rPr>
                <w:rFonts w:ascii="宋体" w:hAnsi="宋体"/>
                <w:color w:val="auto"/>
                <w:szCs w:val="21"/>
                <w:highlight w:val="none"/>
              </w:rPr>
            </w:pPr>
          </w:p>
        </w:tc>
        <w:tc>
          <w:tcPr>
            <w:tcW w:w="960" w:type="dxa"/>
            <w:noWrap w:val="0"/>
            <w:vAlign w:val="top"/>
          </w:tcPr>
          <w:p w14:paraId="6FF1752F">
            <w:pPr>
              <w:spacing w:line="440" w:lineRule="exact"/>
              <w:jc w:val="center"/>
              <w:rPr>
                <w:rFonts w:ascii="宋体" w:hAnsi="宋体"/>
                <w:color w:val="auto"/>
                <w:szCs w:val="21"/>
                <w:highlight w:val="none"/>
              </w:rPr>
            </w:pPr>
          </w:p>
        </w:tc>
        <w:tc>
          <w:tcPr>
            <w:tcW w:w="1347" w:type="dxa"/>
            <w:noWrap w:val="0"/>
            <w:vAlign w:val="top"/>
          </w:tcPr>
          <w:p w14:paraId="5B78ECB7">
            <w:pPr>
              <w:spacing w:line="440" w:lineRule="exact"/>
              <w:jc w:val="center"/>
              <w:rPr>
                <w:rFonts w:ascii="宋体" w:hAnsi="宋体"/>
                <w:color w:val="auto"/>
                <w:szCs w:val="21"/>
                <w:highlight w:val="none"/>
              </w:rPr>
            </w:pPr>
          </w:p>
        </w:tc>
        <w:tc>
          <w:tcPr>
            <w:tcW w:w="893" w:type="dxa"/>
            <w:noWrap w:val="0"/>
            <w:vAlign w:val="top"/>
          </w:tcPr>
          <w:p w14:paraId="53FFDB75">
            <w:pPr>
              <w:spacing w:line="440" w:lineRule="exact"/>
              <w:jc w:val="center"/>
              <w:rPr>
                <w:rFonts w:ascii="宋体" w:hAnsi="宋体"/>
                <w:color w:val="auto"/>
                <w:szCs w:val="21"/>
                <w:highlight w:val="none"/>
              </w:rPr>
            </w:pPr>
          </w:p>
        </w:tc>
        <w:tc>
          <w:tcPr>
            <w:tcW w:w="1080" w:type="dxa"/>
            <w:noWrap w:val="0"/>
            <w:vAlign w:val="top"/>
          </w:tcPr>
          <w:p w14:paraId="7BFE854F">
            <w:pPr>
              <w:spacing w:line="440" w:lineRule="exact"/>
              <w:jc w:val="center"/>
              <w:rPr>
                <w:rFonts w:ascii="宋体" w:hAnsi="宋体"/>
                <w:color w:val="auto"/>
                <w:szCs w:val="21"/>
                <w:highlight w:val="none"/>
              </w:rPr>
            </w:pPr>
          </w:p>
        </w:tc>
        <w:tc>
          <w:tcPr>
            <w:tcW w:w="933" w:type="dxa"/>
            <w:noWrap w:val="0"/>
            <w:vAlign w:val="top"/>
          </w:tcPr>
          <w:p w14:paraId="1EAE4F0C">
            <w:pPr>
              <w:spacing w:line="440" w:lineRule="exact"/>
              <w:jc w:val="center"/>
              <w:rPr>
                <w:rFonts w:ascii="宋体" w:hAnsi="宋体"/>
                <w:color w:val="auto"/>
                <w:szCs w:val="21"/>
                <w:highlight w:val="none"/>
              </w:rPr>
            </w:pPr>
          </w:p>
        </w:tc>
        <w:tc>
          <w:tcPr>
            <w:tcW w:w="1430" w:type="dxa"/>
            <w:noWrap w:val="0"/>
            <w:vAlign w:val="top"/>
          </w:tcPr>
          <w:p w14:paraId="6D92BC72">
            <w:pPr>
              <w:spacing w:line="440" w:lineRule="exact"/>
              <w:jc w:val="center"/>
              <w:rPr>
                <w:rFonts w:ascii="宋体" w:hAnsi="宋体"/>
                <w:color w:val="auto"/>
                <w:szCs w:val="21"/>
                <w:highlight w:val="none"/>
              </w:rPr>
            </w:pPr>
          </w:p>
        </w:tc>
        <w:tc>
          <w:tcPr>
            <w:tcW w:w="742" w:type="dxa"/>
            <w:noWrap w:val="0"/>
            <w:vAlign w:val="top"/>
          </w:tcPr>
          <w:p w14:paraId="55E2C09E">
            <w:pPr>
              <w:spacing w:line="440" w:lineRule="exact"/>
              <w:jc w:val="center"/>
              <w:rPr>
                <w:rFonts w:ascii="宋体" w:hAnsi="宋体"/>
                <w:color w:val="auto"/>
                <w:szCs w:val="21"/>
                <w:highlight w:val="none"/>
              </w:rPr>
            </w:pPr>
          </w:p>
        </w:tc>
      </w:tr>
      <w:tr w14:paraId="5F1BC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noWrap w:val="0"/>
            <w:vAlign w:val="center"/>
          </w:tcPr>
          <w:p w14:paraId="416D8CEF">
            <w:pPr>
              <w:jc w:val="center"/>
              <w:rPr>
                <w:rFonts w:ascii="宋体" w:hAnsi="宋体"/>
                <w:bCs/>
                <w:color w:val="auto"/>
                <w:szCs w:val="21"/>
                <w:highlight w:val="none"/>
              </w:rPr>
            </w:pPr>
          </w:p>
        </w:tc>
        <w:tc>
          <w:tcPr>
            <w:tcW w:w="1027" w:type="dxa"/>
            <w:noWrap w:val="0"/>
            <w:vAlign w:val="top"/>
          </w:tcPr>
          <w:p w14:paraId="0E417D8A">
            <w:pPr>
              <w:spacing w:line="440" w:lineRule="exact"/>
              <w:jc w:val="center"/>
              <w:rPr>
                <w:rFonts w:ascii="宋体" w:hAnsi="宋体"/>
                <w:color w:val="auto"/>
                <w:szCs w:val="21"/>
                <w:highlight w:val="none"/>
              </w:rPr>
            </w:pPr>
          </w:p>
        </w:tc>
        <w:tc>
          <w:tcPr>
            <w:tcW w:w="960" w:type="dxa"/>
            <w:noWrap w:val="0"/>
            <w:vAlign w:val="top"/>
          </w:tcPr>
          <w:p w14:paraId="1693793E">
            <w:pPr>
              <w:spacing w:line="440" w:lineRule="exact"/>
              <w:jc w:val="center"/>
              <w:rPr>
                <w:rFonts w:ascii="宋体" w:hAnsi="宋体"/>
                <w:color w:val="auto"/>
                <w:szCs w:val="21"/>
                <w:highlight w:val="none"/>
              </w:rPr>
            </w:pPr>
          </w:p>
        </w:tc>
        <w:tc>
          <w:tcPr>
            <w:tcW w:w="1347" w:type="dxa"/>
            <w:noWrap w:val="0"/>
            <w:vAlign w:val="top"/>
          </w:tcPr>
          <w:p w14:paraId="338FEE12">
            <w:pPr>
              <w:spacing w:line="440" w:lineRule="exact"/>
              <w:jc w:val="center"/>
              <w:rPr>
                <w:rFonts w:ascii="宋体" w:hAnsi="宋体"/>
                <w:color w:val="auto"/>
                <w:szCs w:val="21"/>
                <w:highlight w:val="none"/>
              </w:rPr>
            </w:pPr>
          </w:p>
        </w:tc>
        <w:tc>
          <w:tcPr>
            <w:tcW w:w="893" w:type="dxa"/>
            <w:noWrap w:val="0"/>
            <w:vAlign w:val="top"/>
          </w:tcPr>
          <w:p w14:paraId="1F2B7460">
            <w:pPr>
              <w:spacing w:line="440" w:lineRule="exact"/>
              <w:jc w:val="center"/>
              <w:rPr>
                <w:rFonts w:ascii="宋体" w:hAnsi="宋体"/>
                <w:color w:val="auto"/>
                <w:szCs w:val="21"/>
                <w:highlight w:val="none"/>
              </w:rPr>
            </w:pPr>
          </w:p>
        </w:tc>
        <w:tc>
          <w:tcPr>
            <w:tcW w:w="1080" w:type="dxa"/>
            <w:noWrap w:val="0"/>
            <w:vAlign w:val="top"/>
          </w:tcPr>
          <w:p w14:paraId="1BFC53F9">
            <w:pPr>
              <w:spacing w:line="440" w:lineRule="exact"/>
              <w:jc w:val="center"/>
              <w:rPr>
                <w:rFonts w:ascii="宋体" w:hAnsi="宋体"/>
                <w:color w:val="auto"/>
                <w:szCs w:val="21"/>
                <w:highlight w:val="none"/>
              </w:rPr>
            </w:pPr>
          </w:p>
        </w:tc>
        <w:tc>
          <w:tcPr>
            <w:tcW w:w="933" w:type="dxa"/>
            <w:noWrap w:val="0"/>
            <w:vAlign w:val="top"/>
          </w:tcPr>
          <w:p w14:paraId="5DE472D8">
            <w:pPr>
              <w:spacing w:line="440" w:lineRule="exact"/>
              <w:jc w:val="center"/>
              <w:rPr>
                <w:rFonts w:ascii="宋体" w:hAnsi="宋体"/>
                <w:color w:val="auto"/>
                <w:szCs w:val="21"/>
                <w:highlight w:val="none"/>
              </w:rPr>
            </w:pPr>
          </w:p>
        </w:tc>
        <w:tc>
          <w:tcPr>
            <w:tcW w:w="1430" w:type="dxa"/>
            <w:noWrap w:val="0"/>
            <w:vAlign w:val="top"/>
          </w:tcPr>
          <w:p w14:paraId="366239DC">
            <w:pPr>
              <w:spacing w:line="440" w:lineRule="exact"/>
              <w:jc w:val="center"/>
              <w:rPr>
                <w:rFonts w:ascii="宋体" w:hAnsi="宋体"/>
                <w:color w:val="auto"/>
                <w:szCs w:val="21"/>
                <w:highlight w:val="none"/>
              </w:rPr>
            </w:pPr>
          </w:p>
        </w:tc>
        <w:tc>
          <w:tcPr>
            <w:tcW w:w="742" w:type="dxa"/>
            <w:noWrap w:val="0"/>
            <w:vAlign w:val="top"/>
          </w:tcPr>
          <w:p w14:paraId="44F5B136">
            <w:pPr>
              <w:spacing w:line="440" w:lineRule="exact"/>
              <w:jc w:val="center"/>
              <w:rPr>
                <w:rFonts w:ascii="宋体" w:hAnsi="宋体"/>
                <w:color w:val="auto"/>
                <w:szCs w:val="21"/>
                <w:highlight w:val="none"/>
              </w:rPr>
            </w:pPr>
          </w:p>
        </w:tc>
      </w:tr>
      <w:tr w14:paraId="2EB46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noWrap w:val="0"/>
            <w:vAlign w:val="center"/>
          </w:tcPr>
          <w:p w14:paraId="49DF9FB8">
            <w:pPr>
              <w:jc w:val="center"/>
              <w:rPr>
                <w:rFonts w:ascii="宋体" w:hAnsi="宋体"/>
                <w:bCs/>
                <w:color w:val="auto"/>
                <w:szCs w:val="21"/>
                <w:highlight w:val="none"/>
              </w:rPr>
            </w:pPr>
          </w:p>
        </w:tc>
        <w:tc>
          <w:tcPr>
            <w:tcW w:w="1027" w:type="dxa"/>
            <w:noWrap w:val="0"/>
            <w:vAlign w:val="top"/>
          </w:tcPr>
          <w:p w14:paraId="31AF1A97">
            <w:pPr>
              <w:spacing w:line="440" w:lineRule="exact"/>
              <w:jc w:val="center"/>
              <w:rPr>
                <w:rFonts w:ascii="宋体" w:hAnsi="宋体"/>
                <w:color w:val="auto"/>
                <w:szCs w:val="21"/>
                <w:highlight w:val="none"/>
              </w:rPr>
            </w:pPr>
          </w:p>
        </w:tc>
        <w:tc>
          <w:tcPr>
            <w:tcW w:w="960" w:type="dxa"/>
            <w:noWrap w:val="0"/>
            <w:vAlign w:val="top"/>
          </w:tcPr>
          <w:p w14:paraId="38FD054B">
            <w:pPr>
              <w:spacing w:line="440" w:lineRule="exact"/>
              <w:jc w:val="center"/>
              <w:rPr>
                <w:rFonts w:ascii="宋体" w:hAnsi="宋体"/>
                <w:color w:val="auto"/>
                <w:szCs w:val="21"/>
                <w:highlight w:val="none"/>
              </w:rPr>
            </w:pPr>
          </w:p>
        </w:tc>
        <w:tc>
          <w:tcPr>
            <w:tcW w:w="1347" w:type="dxa"/>
            <w:noWrap w:val="0"/>
            <w:vAlign w:val="top"/>
          </w:tcPr>
          <w:p w14:paraId="5631A795">
            <w:pPr>
              <w:spacing w:line="440" w:lineRule="exact"/>
              <w:jc w:val="center"/>
              <w:rPr>
                <w:rFonts w:ascii="宋体" w:hAnsi="宋体"/>
                <w:color w:val="auto"/>
                <w:szCs w:val="21"/>
                <w:highlight w:val="none"/>
              </w:rPr>
            </w:pPr>
          </w:p>
        </w:tc>
        <w:tc>
          <w:tcPr>
            <w:tcW w:w="893" w:type="dxa"/>
            <w:noWrap w:val="0"/>
            <w:vAlign w:val="top"/>
          </w:tcPr>
          <w:p w14:paraId="2A794B6E">
            <w:pPr>
              <w:spacing w:line="440" w:lineRule="exact"/>
              <w:jc w:val="center"/>
              <w:rPr>
                <w:rFonts w:ascii="宋体" w:hAnsi="宋体"/>
                <w:color w:val="auto"/>
                <w:szCs w:val="21"/>
                <w:highlight w:val="none"/>
              </w:rPr>
            </w:pPr>
          </w:p>
        </w:tc>
        <w:tc>
          <w:tcPr>
            <w:tcW w:w="1080" w:type="dxa"/>
            <w:noWrap w:val="0"/>
            <w:vAlign w:val="top"/>
          </w:tcPr>
          <w:p w14:paraId="094AFB25">
            <w:pPr>
              <w:spacing w:line="440" w:lineRule="exact"/>
              <w:jc w:val="center"/>
              <w:rPr>
                <w:rFonts w:ascii="宋体" w:hAnsi="宋体"/>
                <w:color w:val="auto"/>
                <w:szCs w:val="21"/>
                <w:highlight w:val="none"/>
              </w:rPr>
            </w:pPr>
          </w:p>
        </w:tc>
        <w:tc>
          <w:tcPr>
            <w:tcW w:w="933" w:type="dxa"/>
            <w:noWrap w:val="0"/>
            <w:vAlign w:val="top"/>
          </w:tcPr>
          <w:p w14:paraId="477F5F4F">
            <w:pPr>
              <w:spacing w:line="440" w:lineRule="exact"/>
              <w:jc w:val="center"/>
              <w:rPr>
                <w:rFonts w:ascii="宋体" w:hAnsi="宋体"/>
                <w:color w:val="auto"/>
                <w:szCs w:val="21"/>
                <w:highlight w:val="none"/>
              </w:rPr>
            </w:pPr>
          </w:p>
        </w:tc>
        <w:tc>
          <w:tcPr>
            <w:tcW w:w="1430" w:type="dxa"/>
            <w:noWrap w:val="0"/>
            <w:vAlign w:val="top"/>
          </w:tcPr>
          <w:p w14:paraId="14E8DE13">
            <w:pPr>
              <w:spacing w:line="440" w:lineRule="exact"/>
              <w:jc w:val="center"/>
              <w:rPr>
                <w:rFonts w:ascii="宋体" w:hAnsi="宋体"/>
                <w:color w:val="auto"/>
                <w:szCs w:val="21"/>
                <w:highlight w:val="none"/>
              </w:rPr>
            </w:pPr>
          </w:p>
        </w:tc>
        <w:tc>
          <w:tcPr>
            <w:tcW w:w="742" w:type="dxa"/>
            <w:noWrap w:val="0"/>
            <w:vAlign w:val="top"/>
          </w:tcPr>
          <w:p w14:paraId="2297CE92">
            <w:pPr>
              <w:spacing w:line="440" w:lineRule="exact"/>
              <w:jc w:val="center"/>
              <w:rPr>
                <w:rFonts w:ascii="宋体" w:hAnsi="宋体"/>
                <w:color w:val="auto"/>
                <w:szCs w:val="21"/>
                <w:highlight w:val="none"/>
              </w:rPr>
            </w:pPr>
          </w:p>
        </w:tc>
      </w:tr>
      <w:tr w14:paraId="64F86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noWrap w:val="0"/>
            <w:vAlign w:val="center"/>
          </w:tcPr>
          <w:p w14:paraId="20B997F9">
            <w:pPr>
              <w:jc w:val="center"/>
              <w:rPr>
                <w:rFonts w:ascii="宋体" w:hAnsi="宋体"/>
                <w:bCs/>
                <w:color w:val="auto"/>
                <w:szCs w:val="21"/>
                <w:highlight w:val="none"/>
              </w:rPr>
            </w:pPr>
          </w:p>
        </w:tc>
        <w:tc>
          <w:tcPr>
            <w:tcW w:w="1027" w:type="dxa"/>
            <w:noWrap w:val="0"/>
            <w:vAlign w:val="top"/>
          </w:tcPr>
          <w:p w14:paraId="5F6E9FD1">
            <w:pPr>
              <w:spacing w:line="440" w:lineRule="exact"/>
              <w:jc w:val="center"/>
              <w:rPr>
                <w:rFonts w:ascii="宋体" w:hAnsi="宋体"/>
                <w:color w:val="auto"/>
                <w:szCs w:val="21"/>
                <w:highlight w:val="none"/>
              </w:rPr>
            </w:pPr>
          </w:p>
        </w:tc>
        <w:tc>
          <w:tcPr>
            <w:tcW w:w="960" w:type="dxa"/>
            <w:noWrap w:val="0"/>
            <w:vAlign w:val="top"/>
          </w:tcPr>
          <w:p w14:paraId="6389C754">
            <w:pPr>
              <w:spacing w:line="440" w:lineRule="exact"/>
              <w:jc w:val="center"/>
              <w:rPr>
                <w:rFonts w:ascii="宋体" w:hAnsi="宋体"/>
                <w:color w:val="auto"/>
                <w:szCs w:val="21"/>
                <w:highlight w:val="none"/>
              </w:rPr>
            </w:pPr>
          </w:p>
        </w:tc>
        <w:tc>
          <w:tcPr>
            <w:tcW w:w="1347" w:type="dxa"/>
            <w:noWrap w:val="0"/>
            <w:vAlign w:val="top"/>
          </w:tcPr>
          <w:p w14:paraId="0C66D1AE">
            <w:pPr>
              <w:spacing w:line="440" w:lineRule="exact"/>
              <w:jc w:val="center"/>
              <w:rPr>
                <w:rFonts w:ascii="宋体" w:hAnsi="宋体"/>
                <w:color w:val="auto"/>
                <w:szCs w:val="21"/>
                <w:highlight w:val="none"/>
              </w:rPr>
            </w:pPr>
          </w:p>
        </w:tc>
        <w:tc>
          <w:tcPr>
            <w:tcW w:w="893" w:type="dxa"/>
            <w:noWrap w:val="0"/>
            <w:vAlign w:val="top"/>
          </w:tcPr>
          <w:p w14:paraId="4D4695CD">
            <w:pPr>
              <w:spacing w:line="440" w:lineRule="exact"/>
              <w:jc w:val="center"/>
              <w:rPr>
                <w:rFonts w:ascii="宋体" w:hAnsi="宋体"/>
                <w:color w:val="auto"/>
                <w:szCs w:val="21"/>
                <w:highlight w:val="none"/>
              </w:rPr>
            </w:pPr>
          </w:p>
        </w:tc>
        <w:tc>
          <w:tcPr>
            <w:tcW w:w="1080" w:type="dxa"/>
            <w:noWrap w:val="0"/>
            <w:vAlign w:val="top"/>
          </w:tcPr>
          <w:p w14:paraId="5AF24C01">
            <w:pPr>
              <w:spacing w:line="440" w:lineRule="exact"/>
              <w:jc w:val="center"/>
              <w:rPr>
                <w:rFonts w:ascii="宋体" w:hAnsi="宋体"/>
                <w:color w:val="auto"/>
                <w:szCs w:val="21"/>
                <w:highlight w:val="none"/>
              </w:rPr>
            </w:pPr>
          </w:p>
        </w:tc>
        <w:tc>
          <w:tcPr>
            <w:tcW w:w="933" w:type="dxa"/>
            <w:noWrap w:val="0"/>
            <w:vAlign w:val="top"/>
          </w:tcPr>
          <w:p w14:paraId="57C280C5">
            <w:pPr>
              <w:spacing w:line="440" w:lineRule="exact"/>
              <w:jc w:val="center"/>
              <w:rPr>
                <w:rFonts w:ascii="宋体" w:hAnsi="宋体"/>
                <w:color w:val="auto"/>
                <w:szCs w:val="21"/>
                <w:highlight w:val="none"/>
              </w:rPr>
            </w:pPr>
          </w:p>
        </w:tc>
        <w:tc>
          <w:tcPr>
            <w:tcW w:w="1430" w:type="dxa"/>
            <w:noWrap w:val="0"/>
            <w:vAlign w:val="top"/>
          </w:tcPr>
          <w:p w14:paraId="3D2CB071">
            <w:pPr>
              <w:spacing w:line="440" w:lineRule="exact"/>
              <w:jc w:val="center"/>
              <w:rPr>
                <w:rFonts w:ascii="宋体" w:hAnsi="宋体"/>
                <w:color w:val="auto"/>
                <w:szCs w:val="21"/>
                <w:highlight w:val="none"/>
              </w:rPr>
            </w:pPr>
          </w:p>
        </w:tc>
        <w:tc>
          <w:tcPr>
            <w:tcW w:w="742" w:type="dxa"/>
            <w:noWrap w:val="0"/>
            <w:vAlign w:val="top"/>
          </w:tcPr>
          <w:p w14:paraId="293613C7">
            <w:pPr>
              <w:spacing w:line="440" w:lineRule="exact"/>
              <w:jc w:val="center"/>
              <w:rPr>
                <w:rFonts w:ascii="宋体" w:hAnsi="宋体"/>
                <w:color w:val="auto"/>
                <w:szCs w:val="21"/>
                <w:highlight w:val="none"/>
              </w:rPr>
            </w:pPr>
          </w:p>
        </w:tc>
      </w:tr>
      <w:tr w14:paraId="744F2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noWrap w:val="0"/>
            <w:vAlign w:val="center"/>
          </w:tcPr>
          <w:p w14:paraId="601552DC">
            <w:pPr>
              <w:spacing w:line="440" w:lineRule="exact"/>
              <w:jc w:val="center"/>
              <w:rPr>
                <w:rFonts w:ascii="宋体" w:hAnsi="宋体"/>
                <w:bCs/>
                <w:color w:val="auto"/>
                <w:szCs w:val="21"/>
                <w:highlight w:val="none"/>
              </w:rPr>
            </w:pPr>
          </w:p>
        </w:tc>
        <w:tc>
          <w:tcPr>
            <w:tcW w:w="1027" w:type="dxa"/>
            <w:noWrap w:val="0"/>
            <w:vAlign w:val="top"/>
          </w:tcPr>
          <w:p w14:paraId="06867DFF">
            <w:pPr>
              <w:spacing w:line="440" w:lineRule="exact"/>
              <w:jc w:val="center"/>
              <w:rPr>
                <w:rFonts w:ascii="宋体" w:hAnsi="宋体"/>
                <w:color w:val="auto"/>
                <w:szCs w:val="21"/>
                <w:highlight w:val="none"/>
              </w:rPr>
            </w:pPr>
          </w:p>
        </w:tc>
        <w:tc>
          <w:tcPr>
            <w:tcW w:w="960" w:type="dxa"/>
            <w:noWrap w:val="0"/>
            <w:vAlign w:val="top"/>
          </w:tcPr>
          <w:p w14:paraId="645658F0">
            <w:pPr>
              <w:spacing w:line="440" w:lineRule="exact"/>
              <w:jc w:val="center"/>
              <w:rPr>
                <w:rFonts w:ascii="宋体" w:hAnsi="宋体"/>
                <w:color w:val="auto"/>
                <w:szCs w:val="21"/>
                <w:highlight w:val="none"/>
              </w:rPr>
            </w:pPr>
          </w:p>
        </w:tc>
        <w:tc>
          <w:tcPr>
            <w:tcW w:w="1347" w:type="dxa"/>
            <w:noWrap w:val="0"/>
            <w:vAlign w:val="top"/>
          </w:tcPr>
          <w:p w14:paraId="0ADA64A4">
            <w:pPr>
              <w:spacing w:line="440" w:lineRule="exact"/>
              <w:jc w:val="center"/>
              <w:rPr>
                <w:rFonts w:ascii="宋体" w:hAnsi="宋体"/>
                <w:color w:val="auto"/>
                <w:szCs w:val="21"/>
                <w:highlight w:val="none"/>
              </w:rPr>
            </w:pPr>
          </w:p>
        </w:tc>
        <w:tc>
          <w:tcPr>
            <w:tcW w:w="893" w:type="dxa"/>
            <w:noWrap w:val="0"/>
            <w:vAlign w:val="top"/>
          </w:tcPr>
          <w:p w14:paraId="6A6701FB">
            <w:pPr>
              <w:spacing w:line="440" w:lineRule="exact"/>
              <w:jc w:val="center"/>
              <w:rPr>
                <w:rFonts w:ascii="宋体" w:hAnsi="宋体"/>
                <w:color w:val="auto"/>
                <w:szCs w:val="21"/>
                <w:highlight w:val="none"/>
              </w:rPr>
            </w:pPr>
          </w:p>
        </w:tc>
        <w:tc>
          <w:tcPr>
            <w:tcW w:w="1080" w:type="dxa"/>
            <w:noWrap w:val="0"/>
            <w:vAlign w:val="top"/>
          </w:tcPr>
          <w:p w14:paraId="113B95CF">
            <w:pPr>
              <w:spacing w:line="440" w:lineRule="exact"/>
              <w:jc w:val="center"/>
              <w:rPr>
                <w:rFonts w:ascii="宋体" w:hAnsi="宋体"/>
                <w:color w:val="auto"/>
                <w:szCs w:val="21"/>
                <w:highlight w:val="none"/>
              </w:rPr>
            </w:pPr>
          </w:p>
        </w:tc>
        <w:tc>
          <w:tcPr>
            <w:tcW w:w="933" w:type="dxa"/>
            <w:noWrap w:val="0"/>
            <w:vAlign w:val="top"/>
          </w:tcPr>
          <w:p w14:paraId="6FB37D5A">
            <w:pPr>
              <w:spacing w:line="440" w:lineRule="exact"/>
              <w:jc w:val="center"/>
              <w:rPr>
                <w:rFonts w:ascii="宋体" w:hAnsi="宋体"/>
                <w:color w:val="auto"/>
                <w:szCs w:val="21"/>
                <w:highlight w:val="none"/>
              </w:rPr>
            </w:pPr>
          </w:p>
        </w:tc>
        <w:tc>
          <w:tcPr>
            <w:tcW w:w="1430" w:type="dxa"/>
            <w:noWrap w:val="0"/>
            <w:vAlign w:val="top"/>
          </w:tcPr>
          <w:p w14:paraId="43A13AC5">
            <w:pPr>
              <w:spacing w:line="440" w:lineRule="exact"/>
              <w:jc w:val="center"/>
              <w:rPr>
                <w:rFonts w:ascii="宋体" w:hAnsi="宋体"/>
                <w:color w:val="auto"/>
                <w:szCs w:val="21"/>
                <w:highlight w:val="none"/>
              </w:rPr>
            </w:pPr>
          </w:p>
        </w:tc>
        <w:tc>
          <w:tcPr>
            <w:tcW w:w="742" w:type="dxa"/>
            <w:noWrap w:val="0"/>
            <w:vAlign w:val="top"/>
          </w:tcPr>
          <w:p w14:paraId="390CF5D3">
            <w:pPr>
              <w:spacing w:line="440" w:lineRule="exact"/>
              <w:jc w:val="center"/>
              <w:rPr>
                <w:rFonts w:ascii="宋体" w:hAnsi="宋体"/>
                <w:color w:val="auto"/>
                <w:szCs w:val="21"/>
                <w:highlight w:val="none"/>
              </w:rPr>
            </w:pPr>
          </w:p>
        </w:tc>
      </w:tr>
      <w:tr w14:paraId="42392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noWrap w:val="0"/>
            <w:vAlign w:val="top"/>
          </w:tcPr>
          <w:p w14:paraId="62E99019">
            <w:pPr>
              <w:spacing w:line="440" w:lineRule="exact"/>
              <w:jc w:val="center"/>
              <w:rPr>
                <w:rFonts w:ascii="宋体" w:hAnsi="宋体"/>
                <w:color w:val="auto"/>
                <w:szCs w:val="21"/>
                <w:highlight w:val="none"/>
              </w:rPr>
            </w:pPr>
          </w:p>
        </w:tc>
        <w:tc>
          <w:tcPr>
            <w:tcW w:w="1027" w:type="dxa"/>
            <w:noWrap w:val="0"/>
            <w:vAlign w:val="top"/>
          </w:tcPr>
          <w:p w14:paraId="18D82888">
            <w:pPr>
              <w:spacing w:line="440" w:lineRule="exact"/>
              <w:jc w:val="center"/>
              <w:rPr>
                <w:rFonts w:ascii="宋体" w:hAnsi="宋体"/>
                <w:color w:val="auto"/>
                <w:szCs w:val="21"/>
                <w:highlight w:val="none"/>
              </w:rPr>
            </w:pPr>
          </w:p>
        </w:tc>
        <w:tc>
          <w:tcPr>
            <w:tcW w:w="960" w:type="dxa"/>
            <w:noWrap w:val="0"/>
            <w:vAlign w:val="top"/>
          </w:tcPr>
          <w:p w14:paraId="0B10FCC0">
            <w:pPr>
              <w:spacing w:line="440" w:lineRule="exact"/>
              <w:jc w:val="center"/>
              <w:rPr>
                <w:rFonts w:ascii="宋体" w:hAnsi="宋体"/>
                <w:color w:val="auto"/>
                <w:szCs w:val="21"/>
                <w:highlight w:val="none"/>
              </w:rPr>
            </w:pPr>
          </w:p>
        </w:tc>
        <w:tc>
          <w:tcPr>
            <w:tcW w:w="1347" w:type="dxa"/>
            <w:noWrap w:val="0"/>
            <w:vAlign w:val="top"/>
          </w:tcPr>
          <w:p w14:paraId="3B036C3F">
            <w:pPr>
              <w:spacing w:line="440" w:lineRule="exact"/>
              <w:jc w:val="center"/>
              <w:rPr>
                <w:rFonts w:ascii="宋体" w:hAnsi="宋体"/>
                <w:color w:val="auto"/>
                <w:szCs w:val="21"/>
                <w:highlight w:val="none"/>
              </w:rPr>
            </w:pPr>
          </w:p>
        </w:tc>
        <w:tc>
          <w:tcPr>
            <w:tcW w:w="893" w:type="dxa"/>
            <w:noWrap w:val="0"/>
            <w:vAlign w:val="top"/>
          </w:tcPr>
          <w:p w14:paraId="0DCEED59">
            <w:pPr>
              <w:spacing w:line="440" w:lineRule="exact"/>
              <w:jc w:val="center"/>
              <w:rPr>
                <w:rFonts w:ascii="宋体" w:hAnsi="宋体"/>
                <w:color w:val="auto"/>
                <w:szCs w:val="21"/>
                <w:highlight w:val="none"/>
              </w:rPr>
            </w:pPr>
          </w:p>
        </w:tc>
        <w:tc>
          <w:tcPr>
            <w:tcW w:w="1080" w:type="dxa"/>
            <w:noWrap w:val="0"/>
            <w:vAlign w:val="top"/>
          </w:tcPr>
          <w:p w14:paraId="48776FC2">
            <w:pPr>
              <w:spacing w:line="440" w:lineRule="exact"/>
              <w:jc w:val="center"/>
              <w:rPr>
                <w:rFonts w:ascii="宋体" w:hAnsi="宋体"/>
                <w:color w:val="auto"/>
                <w:szCs w:val="21"/>
                <w:highlight w:val="none"/>
              </w:rPr>
            </w:pPr>
          </w:p>
        </w:tc>
        <w:tc>
          <w:tcPr>
            <w:tcW w:w="933" w:type="dxa"/>
            <w:noWrap w:val="0"/>
            <w:vAlign w:val="top"/>
          </w:tcPr>
          <w:p w14:paraId="437ECE8D">
            <w:pPr>
              <w:spacing w:line="440" w:lineRule="exact"/>
              <w:jc w:val="center"/>
              <w:rPr>
                <w:rFonts w:ascii="宋体" w:hAnsi="宋体"/>
                <w:color w:val="auto"/>
                <w:szCs w:val="21"/>
                <w:highlight w:val="none"/>
              </w:rPr>
            </w:pPr>
          </w:p>
        </w:tc>
        <w:tc>
          <w:tcPr>
            <w:tcW w:w="1430" w:type="dxa"/>
            <w:noWrap w:val="0"/>
            <w:vAlign w:val="top"/>
          </w:tcPr>
          <w:p w14:paraId="56F5E018">
            <w:pPr>
              <w:spacing w:line="440" w:lineRule="exact"/>
              <w:jc w:val="center"/>
              <w:rPr>
                <w:rFonts w:ascii="宋体" w:hAnsi="宋体"/>
                <w:color w:val="auto"/>
                <w:szCs w:val="21"/>
                <w:highlight w:val="none"/>
              </w:rPr>
            </w:pPr>
          </w:p>
        </w:tc>
        <w:tc>
          <w:tcPr>
            <w:tcW w:w="742" w:type="dxa"/>
            <w:noWrap w:val="0"/>
            <w:vAlign w:val="top"/>
          </w:tcPr>
          <w:p w14:paraId="49E3BDEC">
            <w:pPr>
              <w:spacing w:line="440" w:lineRule="exact"/>
              <w:jc w:val="center"/>
              <w:rPr>
                <w:rFonts w:ascii="宋体" w:hAnsi="宋体"/>
                <w:color w:val="auto"/>
                <w:szCs w:val="21"/>
                <w:highlight w:val="none"/>
              </w:rPr>
            </w:pPr>
          </w:p>
        </w:tc>
      </w:tr>
      <w:tr w14:paraId="376FA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noWrap w:val="0"/>
            <w:vAlign w:val="top"/>
          </w:tcPr>
          <w:p w14:paraId="215FEACC">
            <w:pPr>
              <w:spacing w:line="440" w:lineRule="exact"/>
              <w:jc w:val="center"/>
              <w:rPr>
                <w:rFonts w:ascii="宋体" w:hAnsi="宋体"/>
                <w:color w:val="auto"/>
                <w:szCs w:val="21"/>
                <w:highlight w:val="none"/>
              </w:rPr>
            </w:pPr>
          </w:p>
        </w:tc>
        <w:tc>
          <w:tcPr>
            <w:tcW w:w="1027" w:type="dxa"/>
            <w:noWrap w:val="0"/>
            <w:vAlign w:val="top"/>
          </w:tcPr>
          <w:p w14:paraId="7B996BB5">
            <w:pPr>
              <w:spacing w:line="440" w:lineRule="exact"/>
              <w:jc w:val="center"/>
              <w:rPr>
                <w:rFonts w:ascii="宋体" w:hAnsi="宋体"/>
                <w:color w:val="auto"/>
                <w:szCs w:val="21"/>
                <w:highlight w:val="none"/>
              </w:rPr>
            </w:pPr>
          </w:p>
        </w:tc>
        <w:tc>
          <w:tcPr>
            <w:tcW w:w="960" w:type="dxa"/>
            <w:noWrap w:val="0"/>
            <w:vAlign w:val="top"/>
          </w:tcPr>
          <w:p w14:paraId="466C75DD">
            <w:pPr>
              <w:spacing w:line="440" w:lineRule="exact"/>
              <w:jc w:val="center"/>
              <w:rPr>
                <w:rFonts w:ascii="宋体" w:hAnsi="宋体"/>
                <w:color w:val="auto"/>
                <w:szCs w:val="21"/>
                <w:highlight w:val="none"/>
              </w:rPr>
            </w:pPr>
          </w:p>
        </w:tc>
        <w:tc>
          <w:tcPr>
            <w:tcW w:w="1347" w:type="dxa"/>
            <w:noWrap w:val="0"/>
            <w:vAlign w:val="top"/>
          </w:tcPr>
          <w:p w14:paraId="4D563D66">
            <w:pPr>
              <w:spacing w:line="440" w:lineRule="exact"/>
              <w:jc w:val="center"/>
              <w:rPr>
                <w:rFonts w:ascii="宋体" w:hAnsi="宋体"/>
                <w:color w:val="auto"/>
                <w:szCs w:val="21"/>
                <w:highlight w:val="none"/>
              </w:rPr>
            </w:pPr>
          </w:p>
        </w:tc>
        <w:tc>
          <w:tcPr>
            <w:tcW w:w="893" w:type="dxa"/>
            <w:noWrap w:val="0"/>
            <w:vAlign w:val="top"/>
          </w:tcPr>
          <w:p w14:paraId="47EDED84">
            <w:pPr>
              <w:spacing w:line="440" w:lineRule="exact"/>
              <w:jc w:val="center"/>
              <w:rPr>
                <w:rFonts w:ascii="宋体" w:hAnsi="宋体"/>
                <w:color w:val="auto"/>
                <w:szCs w:val="21"/>
                <w:highlight w:val="none"/>
              </w:rPr>
            </w:pPr>
          </w:p>
        </w:tc>
        <w:tc>
          <w:tcPr>
            <w:tcW w:w="1080" w:type="dxa"/>
            <w:noWrap w:val="0"/>
            <w:vAlign w:val="top"/>
          </w:tcPr>
          <w:p w14:paraId="1E6D4A63">
            <w:pPr>
              <w:spacing w:line="440" w:lineRule="exact"/>
              <w:jc w:val="center"/>
              <w:rPr>
                <w:rFonts w:ascii="宋体" w:hAnsi="宋体"/>
                <w:color w:val="auto"/>
                <w:szCs w:val="21"/>
                <w:highlight w:val="none"/>
              </w:rPr>
            </w:pPr>
          </w:p>
        </w:tc>
        <w:tc>
          <w:tcPr>
            <w:tcW w:w="933" w:type="dxa"/>
            <w:noWrap w:val="0"/>
            <w:vAlign w:val="top"/>
          </w:tcPr>
          <w:p w14:paraId="4A3628E2">
            <w:pPr>
              <w:spacing w:line="440" w:lineRule="exact"/>
              <w:jc w:val="center"/>
              <w:rPr>
                <w:rFonts w:ascii="宋体" w:hAnsi="宋体"/>
                <w:color w:val="auto"/>
                <w:szCs w:val="21"/>
                <w:highlight w:val="none"/>
              </w:rPr>
            </w:pPr>
          </w:p>
        </w:tc>
        <w:tc>
          <w:tcPr>
            <w:tcW w:w="1430" w:type="dxa"/>
            <w:noWrap w:val="0"/>
            <w:vAlign w:val="top"/>
          </w:tcPr>
          <w:p w14:paraId="1F3B62D3">
            <w:pPr>
              <w:spacing w:line="440" w:lineRule="exact"/>
              <w:jc w:val="center"/>
              <w:rPr>
                <w:rFonts w:ascii="宋体" w:hAnsi="宋体"/>
                <w:color w:val="auto"/>
                <w:szCs w:val="21"/>
                <w:highlight w:val="none"/>
              </w:rPr>
            </w:pPr>
          </w:p>
        </w:tc>
        <w:tc>
          <w:tcPr>
            <w:tcW w:w="742" w:type="dxa"/>
            <w:noWrap w:val="0"/>
            <w:vAlign w:val="top"/>
          </w:tcPr>
          <w:p w14:paraId="68C9794F">
            <w:pPr>
              <w:spacing w:line="440" w:lineRule="exact"/>
              <w:jc w:val="center"/>
              <w:rPr>
                <w:rFonts w:ascii="宋体" w:hAnsi="宋体"/>
                <w:color w:val="auto"/>
                <w:szCs w:val="21"/>
                <w:highlight w:val="none"/>
              </w:rPr>
            </w:pPr>
          </w:p>
        </w:tc>
      </w:tr>
      <w:tr w14:paraId="7A2C4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noWrap w:val="0"/>
            <w:vAlign w:val="top"/>
          </w:tcPr>
          <w:p w14:paraId="5DCE5D27">
            <w:pPr>
              <w:spacing w:line="440" w:lineRule="exact"/>
              <w:jc w:val="center"/>
              <w:rPr>
                <w:rFonts w:ascii="宋体" w:hAnsi="宋体"/>
                <w:color w:val="auto"/>
                <w:szCs w:val="21"/>
                <w:highlight w:val="none"/>
              </w:rPr>
            </w:pPr>
          </w:p>
        </w:tc>
        <w:tc>
          <w:tcPr>
            <w:tcW w:w="1027" w:type="dxa"/>
            <w:noWrap w:val="0"/>
            <w:vAlign w:val="top"/>
          </w:tcPr>
          <w:p w14:paraId="448FD316">
            <w:pPr>
              <w:spacing w:line="440" w:lineRule="exact"/>
              <w:jc w:val="center"/>
              <w:rPr>
                <w:rFonts w:ascii="宋体" w:hAnsi="宋体"/>
                <w:color w:val="auto"/>
                <w:szCs w:val="21"/>
                <w:highlight w:val="none"/>
              </w:rPr>
            </w:pPr>
          </w:p>
        </w:tc>
        <w:tc>
          <w:tcPr>
            <w:tcW w:w="960" w:type="dxa"/>
            <w:noWrap w:val="0"/>
            <w:vAlign w:val="top"/>
          </w:tcPr>
          <w:p w14:paraId="4D1575CB">
            <w:pPr>
              <w:spacing w:line="440" w:lineRule="exact"/>
              <w:jc w:val="center"/>
              <w:rPr>
                <w:rFonts w:ascii="宋体" w:hAnsi="宋体"/>
                <w:color w:val="auto"/>
                <w:szCs w:val="21"/>
                <w:highlight w:val="none"/>
              </w:rPr>
            </w:pPr>
          </w:p>
        </w:tc>
        <w:tc>
          <w:tcPr>
            <w:tcW w:w="1347" w:type="dxa"/>
            <w:noWrap w:val="0"/>
            <w:vAlign w:val="top"/>
          </w:tcPr>
          <w:p w14:paraId="13ABB431">
            <w:pPr>
              <w:spacing w:line="440" w:lineRule="exact"/>
              <w:jc w:val="center"/>
              <w:rPr>
                <w:rFonts w:ascii="宋体" w:hAnsi="宋体"/>
                <w:color w:val="auto"/>
                <w:szCs w:val="21"/>
                <w:highlight w:val="none"/>
              </w:rPr>
            </w:pPr>
          </w:p>
        </w:tc>
        <w:tc>
          <w:tcPr>
            <w:tcW w:w="893" w:type="dxa"/>
            <w:noWrap w:val="0"/>
            <w:vAlign w:val="top"/>
          </w:tcPr>
          <w:p w14:paraId="691370BA">
            <w:pPr>
              <w:spacing w:line="440" w:lineRule="exact"/>
              <w:jc w:val="center"/>
              <w:rPr>
                <w:rFonts w:ascii="宋体" w:hAnsi="宋体"/>
                <w:color w:val="auto"/>
                <w:szCs w:val="21"/>
                <w:highlight w:val="none"/>
              </w:rPr>
            </w:pPr>
          </w:p>
        </w:tc>
        <w:tc>
          <w:tcPr>
            <w:tcW w:w="1080" w:type="dxa"/>
            <w:noWrap w:val="0"/>
            <w:vAlign w:val="top"/>
          </w:tcPr>
          <w:p w14:paraId="01054F54">
            <w:pPr>
              <w:spacing w:line="440" w:lineRule="exact"/>
              <w:jc w:val="center"/>
              <w:rPr>
                <w:rFonts w:ascii="宋体" w:hAnsi="宋体"/>
                <w:color w:val="auto"/>
                <w:szCs w:val="21"/>
                <w:highlight w:val="none"/>
              </w:rPr>
            </w:pPr>
          </w:p>
        </w:tc>
        <w:tc>
          <w:tcPr>
            <w:tcW w:w="933" w:type="dxa"/>
            <w:noWrap w:val="0"/>
            <w:vAlign w:val="top"/>
          </w:tcPr>
          <w:p w14:paraId="0505BDD8">
            <w:pPr>
              <w:spacing w:line="440" w:lineRule="exact"/>
              <w:jc w:val="center"/>
              <w:rPr>
                <w:rFonts w:ascii="宋体" w:hAnsi="宋体"/>
                <w:color w:val="auto"/>
                <w:szCs w:val="21"/>
                <w:highlight w:val="none"/>
              </w:rPr>
            </w:pPr>
          </w:p>
        </w:tc>
        <w:tc>
          <w:tcPr>
            <w:tcW w:w="1430" w:type="dxa"/>
            <w:noWrap w:val="0"/>
            <w:vAlign w:val="top"/>
          </w:tcPr>
          <w:p w14:paraId="4B513C7E">
            <w:pPr>
              <w:spacing w:line="440" w:lineRule="exact"/>
              <w:jc w:val="center"/>
              <w:rPr>
                <w:rFonts w:ascii="宋体" w:hAnsi="宋体"/>
                <w:color w:val="auto"/>
                <w:szCs w:val="21"/>
                <w:highlight w:val="none"/>
              </w:rPr>
            </w:pPr>
          </w:p>
        </w:tc>
        <w:tc>
          <w:tcPr>
            <w:tcW w:w="742" w:type="dxa"/>
            <w:noWrap w:val="0"/>
            <w:vAlign w:val="top"/>
          </w:tcPr>
          <w:p w14:paraId="3860F782">
            <w:pPr>
              <w:spacing w:line="440" w:lineRule="exact"/>
              <w:jc w:val="center"/>
              <w:rPr>
                <w:rFonts w:ascii="宋体" w:hAnsi="宋体"/>
                <w:color w:val="auto"/>
                <w:szCs w:val="21"/>
                <w:highlight w:val="none"/>
              </w:rPr>
            </w:pPr>
          </w:p>
        </w:tc>
      </w:tr>
    </w:tbl>
    <w:p w14:paraId="28AEDCD8">
      <w:pPr>
        <w:spacing w:line="440" w:lineRule="exact"/>
        <w:jc w:val="left"/>
        <w:rPr>
          <w:rFonts w:ascii="宋体" w:hAnsi="宋体" w:cs="宋体"/>
          <w:color w:val="auto"/>
          <w:sz w:val="24"/>
          <w:szCs w:val="21"/>
          <w:highlight w:val="none"/>
        </w:rPr>
      </w:pPr>
      <w:r>
        <w:rPr>
          <w:rFonts w:hint="eastAsia" w:ascii="宋体" w:hAnsi="宋体" w:cs="宋体"/>
          <w:color w:val="auto"/>
          <w:sz w:val="24"/>
          <w:szCs w:val="21"/>
          <w:highlight w:val="none"/>
        </w:rPr>
        <w:t>注：</w:t>
      </w:r>
    </w:p>
    <w:p w14:paraId="762C3761">
      <w:pPr>
        <w:spacing w:line="440" w:lineRule="exact"/>
        <w:jc w:val="left"/>
        <w:rPr>
          <w:rFonts w:hint="eastAsia" w:ascii="宋体" w:hAnsi="宋体" w:eastAsia="宋体" w:cs="宋体"/>
          <w:color w:val="auto"/>
          <w:sz w:val="24"/>
          <w:szCs w:val="21"/>
          <w:highlight w:val="none"/>
        </w:rPr>
      </w:pPr>
      <w:r>
        <w:rPr>
          <w:rFonts w:hint="eastAsia" w:ascii="宋体" w:hAnsi="宋体" w:cs="宋体"/>
          <w:color w:val="auto"/>
          <w:sz w:val="24"/>
          <w:szCs w:val="21"/>
          <w:highlight w:val="none"/>
        </w:rPr>
        <w:t>（1）本工程一旦我单位中标，将配备上述项目管理人员。上述填报内容真实，如不真实，将按照有关规定接</w:t>
      </w:r>
      <w:r>
        <w:rPr>
          <w:rFonts w:hint="eastAsia" w:ascii="宋体" w:hAnsi="宋体" w:eastAsia="宋体" w:cs="宋体"/>
          <w:color w:val="auto"/>
          <w:sz w:val="24"/>
          <w:szCs w:val="21"/>
          <w:highlight w:val="none"/>
        </w:rPr>
        <w:t>受处理；</w:t>
      </w:r>
    </w:p>
    <w:p w14:paraId="6E7AEBFF">
      <w:pPr>
        <w:spacing w:line="440" w:lineRule="exact"/>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（2）项目管理机构人员证件附于表后；</w:t>
      </w:r>
    </w:p>
    <w:p w14:paraId="6EBE2DBD">
      <w:pPr>
        <w:spacing w:line="440" w:lineRule="exact"/>
        <w:jc w:val="left"/>
        <w:rPr>
          <w:rFonts w:ascii="宋体" w:hAnsi="宋体"/>
          <w:color w:val="auto"/>
          <w:sz w:val="24"/>
          <w:szCs w:val="21"/>
          <w:highlight w:val="none"/>
        </w:rPr>
      </w:pPr>
      <w:r>
        <w:rPr>
          <w:rFonts w:hint="eastAsia" w:ascii="宋体" w:hAnsi="宋体" w:eastAsia="宋体" w:cs="宋体"/>
          <w:color w:val="auto"/>
          <w:sz w:val="24"/>
          <w:szCs w:val="21"/>
          <w:highlight w:val="none"/>
        </w:rPr>
        <w:t>（3）项目经理无在建工程承诺函（格式自拟）。</w:t>
      </w:r>
    </w:p>
    <w:p w14:paraId="0F3880D8">
      <w:pPr>
        <w:spacing w:line="440" w:lineRule="exact"/>
        <w:jc w:val="left"/>
        <w:rPr>
          <w:rFonts w:ascii="宋体" w:hAnsi="宋体"/>
          <w:color w:val="auto"/>
          <w:sz w:val="24"/>
          <w:szCs w:val="21"/>
          <w:highlight w:val="none"/>
        </w:rPr>
      </w:pPr>
    </w:p>
    <w:p w14:paraId="03C44F3A">
      <w:pPr>
        <w:widowControl/>
        <w:jc w:val="center"/>
        <w:outlineLvl w:val="2"/>
        <w:rPr>
          <w:rFonts w:ascii="Times New Roman" w:hAnsi="Times New Roman" w:eastAsia="Times New Roman"/>
          <w:color w:val="auto"/>
          <w:kern w:val="0"/>
          <w:sz w:val="24"/>
          <w:szCs w:val="24"/>
          <w:highlight w:val="none"/>
          <w:lang w:eastAsia="en-US"/>
        </w:rPr>
      </w:pPr>
      <w:r>
        <w:rPr>
          <w:rFonts w:ascii="Times New Roman" w:hAnsi="Times New Roman" w:eastAsia="Times New Roman"/>
          <w:color w:val="auto"/>
          <w:kern w:val="0"/>
          <w:sz w:val="24"/>
          <w:szCs w:val="24"/>
          <w:highlight w:val="none"/>
          <w:lang w:eastAsia="en-US"/>
        </w:rPr>
        <w:br w:type="page"/>
      </w:r>
      <w:bookmarkStart w:id="155" w:name="_Toc27036"/>
    </w:p>
    <w:p w14:paraId="1F90E129">
      <w:pPr>
        <w:widowControl/>
        <w:jc w:val="center"/>
        <w:outlineLvl w:val="2"/>
        <w:rPr>
          <w:rFonts w:ascii="黑体" w:hAnsi="黑体" w:eastAsia="黑体" w:cs="黑体"/>
          <w:b/>
          <w:color w:val="auto"/>
          <w:kern w:val="0"/>
          <w:sz w:val="28"/>
          <w:szCs w:val="24"/>
          <w:highlight w:val="none"/>
          <w:lang w:eastAsia="en-US"/>
        </w:rPr>
      </w:pPr>
      <w:r>
        <w:rPr>
          <w:rFonts w:hint="eastAsia" w:ascii="Cambria" w:hAnsi="Cambria" w:eastAsia="宋体" w:cs="Times New Roman"/>
          <w:b/>
          <w:bCs/>
          <w:color w:val="auto"/>
          <w:kern w:val="44"/>
          <w:sz w:val="28"/>
          <w:szCs w:val="28"/>
          <w:highlight w:val="none"/>
          <w:lang w:val="en-US" w:eastAsia="zh-CN" w:bidi="ar-SA"/>
        </w:rPr>
        <w:t>（二）</w:t>
      </w:r>
      <w:r>
        <w:rPr>
          <w:rFonts w:hint="eastAsia" w:ascii="Cambria" w:hAnsi="Cambria" w:eastAsia="宋体" w:cs="Times New Roman"/>
          <w:b/>
          <w:bCs/>
          <w:color w:val="auto"/>
          <w:kern w:val="44"/>
          <w:sz w:val="28"/>
          <w:szCs w:val="28"/>
          <w:highlight w:val="none"/>
          <w:lang w:val="en-US" w:eastAsia="en-US" w:bidi="ar-SA"/>
        </w:rPr>
        <w:t>项目经理简历表</w:t>
      </w:r>
      <w:bookmarkEnd w:id="155"/>
    </w:p>
    <w:p w14:paraId="07A444CF">
      <w:pPr>
        <w:spacing w:line="4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项目经理应附建造师执业资格证书、注册证书、安全生产考核合格证书、身份证、职称证、学历证、养老保险</w:t>
      </w:r>
      <w:r>
        <w:rPr>
          <w:rFonts w:hint="eastAsia" w:ascii="宋体" w:hAnsi="宋体"/>
          <w:color w:val="auto"/>
          <w:sz w:val="24"/>
          <w:szCs w:val="21"/>
          <w:highlight w:val="none"/>
          <w:lang w:val="en-US" w:eastAsia="zh-CN"/>
        </w:rPr>
        <w:t>扫描件</w:t>
      </w:r>
      <w:r>
        <w:rPr>
          <w:rFonts w:hint="eastAsia" w:ascii="宋体" w:hAnsi="宋体"/>
          <w:color w:val="auto"/>
          <w:sz w:val="24"/>
          <w:szCs w:val="21"/>
          <w:highlight w:val="none"/>
        </w:rPr>
        <w:t>及未担任其他在施建设工程项目项目经理的承诺书，管理过的项目业绩须附合同协议书和竣工验收备案登记表</w:t>
      </w:r>
      <w:r>
        <w:rPr>
          <w:rFonts w:hint="eastAsia" w:ascii="宋体" w:hAnsi="宋体"/>
          <w:color w:val="auto"/>
          <w:sz w:val="24"/>
          <w:szCs w:val="21"/>
          <w:highlight w:val="none"/>
          <w:lang w:val="en-US" w:eastAsia="zh-CN"/>
        </w:rPr>
        <w:t>扫描件</w:t>
      </w:r>
      <w:r>
        <w:rPr>
          <w:rFonts w:hint="eastAsia" w:ascii="宋体" w:hAnsi="宋体"/>
          <w:color w:val="auto"/>
          <w:sz w:val="24"/>
          <w:szCs w:val="21"/>
          <w:highlight w:val="none"/>
        </w:rPr>
        <w:t>。类似项目限于以项目经理身份参与的项目。</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57"/>
        <w:gridCol w:w="1035"/>
        <w:gridCol w:w="627"/>
        <w:gridCol w:w="507"/>
        <w:gridCol w:w="768"/>
        <w:gridCol w:w="507"/>
        <w:gridCol w:w="1739"/>
        <w:gridCol w:w="2230"/>
      </w:tblGrid>
      <w:tr w14:paraId="4824B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599" w:type="dxa"/>
            <w:gridSpan w:val="2"/>
            <w:noWrap w:val="0"/>
            <w:vAlign w:val="center"/>
          </w:tcPr>
          <w:p w14:paraId="1140D941">
            <w:pPr>
              <w:widowControl w:val="0"/>
              <w:jc w:val="center"/>
              <w:rPr>
                <w:rFonts w:ascii="宋体" w:hAnsi="宋体" w:eastAsia="宋体"/>
                <w:color w:val="auto"/>
                <w:kern w:val="2"/>
                <w:sz w:val="24"/>
                <w:szCs w:val="24"/>
                <w:highlight w:val="none"/>
                <w:lang w:val="en-US" w:eastAsia="zh-CN" w:bidi="ar-SA"/>
              </w:rPr>
            </w:pPr>
            <w:r>
              <w:rPr>
                <w:rFonts w:hint="eastAsia" w:ascii="宋体" w:hAnsi="宋体" w:eastAsia="宋体"/>
                <w:color w:val="auto"/>
                <w:kern w:val="2"/>
                <w:sz w:val="24"/>
                <w:szCs w:val="24"/>
                <w:highlight w:val="none"/>
                <w:lang w:val="en-US" w:eastAsia="zh-CN" w:bidi="ar-SA"/>
              </w:rPr>
              <w:t>姓  名</w:t>
            </w:r>
          </w:p>
        </w:tc>
        <w:tc>
          <w:tcPr>
            <w:tcW w:w="1035" w:type="dxa"/>
            <w:noWrap w:val="0"/>
            <w:vAlign w:val="center"/>
          </w:tcPr>
          <w:p w14:paraId="335BCE88">
            <w:pPr>
              <w:widowControl w:val="0"/>
              <w:jc w:val="center"/>
              <w:rPr>
                <w:rFonts w:ascii="宋体" w:hAnsi="宋体" w:eastAsia="宋体"/>
                <w:color w:val="auto"/>
                <w:kern w:val="2"/>
                <w:sz w:val="24"/>
                <w:szCs w:val="24"/>
                <w:highlight w:val="none"/>
                <w:lang w:val="en-US" w:eastAsia="zh-CN" w:bidi="ar-SA"/>
              </w:rPr>
            </w:pPr>
          </w:p>
        </w:tc>
        <w:tc>
          <w:tcPr>
            <w:tcW w:w="1134" w:type="dxa"/>
            <w:gridSpan w:val="2"/>
            <w:noWrap w:val="0"/>
            <w:vAlign w:val="center"/>
          </w:tcPr>
          <w:p w14:paraId="2EF79BFF">
            <w:pPr>
              <w:widowControl w:val="0"/>
              <w:jc w:val="center"/>
              <w:rPr>
                <w:rFonts w:ascii="宋体" w:hAnsi="宋体" w:eastAsia="宋体"/>
                <w:color w:val="auto"/>
                <w:kern w:val="2"/>
                <w:sz w:val="24"/>
                <w:szCs w:val="24"/>
                <w:highlight w:val="none"/>
                <w:lang w:val="en-US" w:eastAsia="zh-CN" w:bidi="ar-SA"/>
              </w:rPr>
            </w:pPr>
            <w:r>
              <w:rPr>
                <w:rFonts w:hint="eastAsia" w:ascii="宋体" w:hAnsi="宋体" w:eastAsia="宋体"/>
                <w:color w:val="auto"/>
                <w:kern w:val="2"/>
                <w:sz w:val="24"/>
                <w:szCs w:val="24"/>
                <w:highlight w:val="none"/>
                <w:lang w:val="en-US" w:eastAsia="zh-CN" w:bidi="ar-SA"/>
              </w:rPr>
              <w:t>年  龄</w:t>
            </w:r>
          </w:p>
        </w:tc>
        <w:tc>
          <w:tcPr>
            <w:tcW w:w="1275" w:type="dxa"/>
            <w:gridSpan w:val="2"/>
            <w:noWrap w:val="0"/>
            <w:vAlign w:val="center"/>
          </w:tcPr>
          <w:p w14:paraId="3EADFFFC">
            <w:pPr>
              <w:widowControl w:val="0"/>
              <w:jc w:val="center"/>
              <w:rPr>
                <w:rFonts w:ascii="宋体" w:hAnsi="宋体" w:eastAsia="宋体"/>
                <w:color w:val="auto"/>
                <w:kern w:val="2"/>
                <w:sz w:val="24"/>
                <w:szCs w:val="24"/>
                <w:highlight w:val="none"/>
                <w:lang w:val="en-US" w:eastAsia="zh-CN" w:bidi="ar-SA"/>
              </w:rPr>
            </w:pPr>
          </w:p>
        </w:tc>
        <w:tc>
          <w:tcPr>
            <w:tcW w:w="1739" w:type="dxa"/>
            <w:noWrap w:val="0"/>
            <w:vAlign w:val="center"/>
          </w:tcPr>
          <w:p w14:paraId="3417607F">
            <w:pPr>
              <w:widowControl w:val="0"/>
              <w:jc w:val="center"/>
              <w:rPr>
                <w:rFonts w:ascii="宋体" w:hAnsi="宋体" w:eastAsia="宋体"/>
                <w:color w:val="auto"/>
                <w:kern w:val="2"/>
                <w:sz w:val="24"/>
                <w:szCs w:val="24"/>
                <w:highlight w:val="none"/>
                <w:lang w:val="en-US" w:eastAsia="zh-CN" w:bidi="ar-SA"/>
              </w:rPr>
            </w:pPr>
            <w:r>
              <w:rPr>
                <w:rFonts w:hint="eastAsia" w:ascii="宋体" w:hAnsi="宋体" w:eastAsia="宋体"/>
                <w:color w:val="auto"/>
                <w:kern w:val="2"/>
                <w:sz w:val="24"/>
                <w:szCs w:val="24"/>
                <w:highlight w:val="none"/>
                <w:lang w:val="en-US" w:eastAsia="zh-CN" w:bidi="ar-SA"/>
              </w:rPr>
              <w:t>学历</w:t>
            </w:r>
          </w:p>
        </w:tc>
        <w:tc>
          <w:tcPr>
            <w:tcW w:w="2230" w:type="dxa"/>
            <w:noWrap w:val="0"/>
            <w:vAlign w:val="center"/>
          </w:tcPr>
          <w:p w14:paraId="0DF04353">
            <w:pPr>
              <w:widowControl w:val="0"/>
              <w:jc w:val="center"/>
              <w:rPr>
                <w:rFonts w:ascii="宋体" w:hAnsi="宋体" w:eastAsia="宋体"/>
                <w:color w:val="auto"/>
                <w:kern w:val="2"/>
                <w:sz w:val="24"/>
                <w:szCs w:val="24"/>
                <w:highlight w:val="none"/>
                <w:lang w:val="en-US" w:eastAsia="zh-CN" w:bidi="ar-SA"/>
              </w:rPr>
            </w:pPr>
          </w:p>
        </w:tc>
      </w:tr>
      <w:tr w14:paraId="55085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99" w:type="dxa"/>
            <w:gridSpan w:val="2"/>
            <w:noWrap w:val="0"/>
            <w:vAlign w:val="center"/>
          </w:tcPr>
          <w:p w14:paraId="79829E84">
            <w:pPr>
              <w:widowControl w:val="0"/>
              <w:jc w:val="center"/>
              <w:rPr>
                <w:rFonts w:ascii="宋体" w:hAnsi="宋体" w:eastAsia="宋体"/>
                <w:color w:val="auto"/>
                <w:kern w:val="2"/>
                <w:sz w:val="24"/>
                <w:szCs w:val="24"/>
                <w:highlight w:val="none"/>
                <w:lang w:val="en-US" w:eastAsia="zh-CN" w:bidi="ar-SA"/>
              </w:rPr>
            </w:pPr>
            <w:r>
              <w:rPr>
                <w:rFonts w:hint="eastAsia" w:ascii="宋体" w:hAnsi="宋体" w:eastAsia="宋体"/>
                <w:color w:val="auto"/>
                <w:kern w:val="2"/>
                <w:sz w:val="24"/>
                <w:szCs w:val="24"/>
                <w:highlight w:val="none"/>
                <w:lang w:val="en-US" w:eastAsia="zh-CN" w:bidi="ar-SA"/>
              </w:rPr>
              <w:t>职  称</w:t>
            </w:r>
          </w:p>
        </w:tc>
        <w:tc>
          <w:tcPr>
            <w:tcW w:w="1035" w:type="dxa"/>
            <w:noWrap w:val="0"/>
            <w:vAlign w:val="center"/>
          </w:tcPr>
          <w:p w14:paraId="5D45F220">
            <w:pPr>
              <w:widowControl w:val="0"/>
              <w:jc w:val="center"/>
              <w:rPr>
                <w:rFonts w:ascii="宋体" w:hAnsi="宋体" w:eastAsia="宋体"/>
                <w:color w:val="auto"/>
                <w:kern w:val="2"/>
                <w:sz w:val="24"/>
                <w:szCs w:val="24"/>
                <w:highlight w:val="none"/>
                <w:lang w:val="en-US" w:eastAsia="zh-CN" w:bidi="ar-SA"/>
              </w:rPr>
            </w:pPr>
          </w:p>
        </w:tc>
        <w:tc>
          <w:tcPr>
            <w:tcW w:w="1134" w:type="dxa"/>
            <w:gridSpan w:val="2"/>
            <w:noWrap w:val="0"/>
            <w:vAlign w:val="center"/>
          </w:tcPr>
          <w:p w14:paraId="0ADD0965">
            <w:pPr>
              <w:widowControl w:val="0"/>
              <w:jc w:val="center"/>
              <w:rPr>
                <w:rFonts w:ascii="宋体" w:hAnsi="宋体" w:eastAsia="宋体"/>
                <w:color w:val="auto"/>
                <w:kern w:val="2"/>
                <w:sz w:val="24"/>
                <w:szCs w:val="24"/>
                <w:highlight w:val="none"/>
                <w:lang w:val="en-US" w:eastAsia="zh-CN" w:bidi="ar-SA"/>
              </w:rPr>
            </w:pPr>
            <w:r>
              <w:rPr>
                <w:rFonts w:hint="eastAsia" w:ascii="宋体" w:hAnsi="宋体" w:eastAsia="宋体"/>
                <w:color w:val="auto"/>
                <w:kern w:val="2"/>
                <w:sz w:val="24"/>
                <w:szCs w:val="24"/>
                <w:highlight w:val="none"/>
                <w:lang w:val="en-US" w:eastAsia="zh-CN" w:bidi="ar-SA"/>
              </w:rPr>
              <w:t>职  务</w:t>
            </w:r>
          </w:p>
        </w:tc>
        <w:tc>
          <w:tcPr>
            <w:tcW w:w="1275" w:type="dxa"/>
            <w:gridSpan w:val="2"/>
            <w:noWrap w:val="0"/>
            <w:vAlign w:val="center"/>
          </w:tcPr>
          <w:p w14:paraId="5493EE01">
            <w:pPr>
              <w:widowControl w:val="0"/>
              <w:jc w:val="center"/>
              <w:rPr>
                <w:rFonts w:ascii="宋体" w:hAnsi="宋体" w:eastAsia="宋体"/>
                <w:color w:val="auto"/>
                <w:kern w:val="2"/>
                <w:sz w:val="24"/>
                <w:szCs w:val="24"/>
                <w:highlight w:val="none"/>
                <w:lang w:val="en-US" w:eastAsia="zh-CN" w:bidi="ar-SA"/>
              </w:rPr>
            </w:pPr>
          </w:p>
        </w:tc>
        <w:tc>
          <w:tcPr>
            <w:tcW w:w="1739" w:type="dxa"/>
            <w:noWrap w:val="0"/>
            <w:vAlign w:val="center"/>
          </w:tcPr>
          <w:p w14:paraId="23A42654">
            <w:pPr>
              <w:widowControl w:val="0"/>
              <w:jc w:val="center"/>
              <w:rPr>
                <w:rFonts w:hint="eastAsia" w:ascii="宋体" w:hAnsi="宋体" w:eastAsia="宋体"/>
                <w:color w:val="auto"/>
                <w:kern w:val="2"/>
                <w:sz w:val="24"/>
                <w:szCs w:val="24"/>
                <w:highlight w:val="none"/>
                <w:lang w:val="en-US" w:eastAsia="zh-CN" w:bidi="ar-SA"/>
              </w:rPr>
            </w:pPr>
            <w:r>
              <w:rPr>
                <w:rFonts w:hint="eastAsia" w:ascii="宋体" w:hAnsi="宋体" w:eastAsia="宋体"/>
                <w:color w:val="auto"/>
                <w:kern w:val="2"/>
                <w:sz w:val="24"/>
                <w:szCs w:val="24"/>
                <w:highlight w:val="none"/>
                <w:lang w:val="en-US" w:eastAsia="zh-CN" w:bidi="ar-SA"/>
              </w:rPr>
              <w:t>拟在本工程</w:t>
            </w:r>
          </w:p>
          <w:p w14:paraId="380125B0">
            <w:pPr>
              <w:widowControl w:val="0"/>
              <w:jc w:val="center"/>
              <w:rPr>
                <w:rFonts w:ascii="宋体" w:hAnsi="宋体" w:eastAsia="宋体"/>
                <w:color w:val="auto"/>
                <w:kern w:val="2"/>
                <w:sz w:val="24"/>
                <w:szCs w:val="24"/>
                <w:highlight w:val="none"/>
                <w:lang w:val="en-US" w:eastAsia="zh-CN" w:bidi="ar-SA"/>
              </w:rPr>
            </w:pPr>
            <w:r>
              <w:rPr>
                <w:rFonts w:hint="eastAsia" w:ascii="宋体" w:hAnsi="宋体" w:eastAsia="宋体"/>
                <w:color w:val="auto"/>
                <w:kern w:val="2"/>
                <w:sz w:val="24"/>
                <w:szCs w:val="24"/>
                <w:highlight w:val="none"/>
                <w:lang w:val="en-US" w:eastAsia="zh-CN" w:bidi="ar-SA"/>
              </w:rPr>
              <w:t>任职</w:t>
            </w:r>
          </w:p>
        </w:tc>
        <w:tc>
          <w:tcPr>
            <w:tcW w:w="2230" w:type="dxa"/>
            <w:noWrap w:val="0"/>
            <w:vAlign w:val="center"/>
          </w:tcPr>
          <w:p w14:paraId="54FF4BE6">
            <w:pPr>
              <w:widowControl w:val="0"/>
              <w:jc w:val="center"/>
              <w:rPr>
                <w:rFonts w:ascii="宋体" w:hAnsi="宋体" w:eastAsia="宋体"/>
                <w:color w:val="auto"/>
                <w:kern w:val="2"/>
                <w:sz w:val="24"/>
                <w:szCs w:val="24"/>
                <w:highlight w:val="none"/>
                <w:lang w:val="en-US" w:eastAsia="zh-CN" w:bidi="ar-SA"/>
              </w:rPr>
            </w:pPr>
            <w:r>
              <w:rPr>
                <w:rFonts w:hint="eastAsia" w:ascii="宋体" w:hAnsi="宋体" w:eastAsia="宋体"/>
                <w:color w:val="auto"/>
                <w:kern w:val="2"/>
                <w:sz w:val="24"/>
                <w:szCs w:val="24"/>
                <w:highlight w:val="none"/>
                <w:lang w:val="en-US" w:eastAsia="zh-CN" w:bidi="ar-SA"/>
              </w:rPr>
              <w:t>项目经理</w:t>
            </w:r>
          </w:p>
        </w:tc>
      </w:tr>
      <w:tr w14:paraId="3FF22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3261" w:type="dxa"/>
            <w:gridSpan w:val="4"/>
            <w:noWrap w:val="0"/>
            <w:vAlign w:val="center"/>
          </w:tcPr>
          <w:p w14:paraId="2491DA36">
            <w:pPr>
              <w:widowControl w:val="0"/>
              <w:jc w:val="center"/>
              <w:rPr>
                <w:rFonts w:ascii="宋体" w:hAnsi="宋体" w:eastAsia="宋体"/>
                <w:color w:val="auto"/>
                <w:kern w:val="2"/>
                <w:sz w:val="24"/>
                <w:szCs w:val="24"/>
                <w:highlight w:val="none"/>
                <w:lang w:val="en-US" w:eastAsia="zh-CN" w:bidi="ar-SA"/>
              </w:rPr>
            </w:pPr>
            <w:r>
              <w:rPr>
                <w:rFonts w:hint="eastAsia" w:ascii="宋体" w:hAnsi="宋体" w:eastAsia="宋体"/>
                <w:color w:val="auto"/>
                <w:kern w:val="2"/>
                <w:sz w:val="24"/>
                <w:szCs w:val="24"/>
                <w:highlight w:val="none"/>
                <w:lang w:val="en-US" w:eastAsia="zh-CN" w:bidi="ar-SA"/>
              </w:rPr>
              <w:t>注册建造师执业资格等级</w:t>
            </w:r>
          </w:p>
        </w:tc>
        <w:tc>
          <w:tcPr>
            <w:tcW w:w="1782" w:type="dxa"/>
            <w:gridSpan w:val="3"/>
            <w:noWrap w:val="0"/>
            <w:vAlign w:val="center"/>
          </w:tcPr>
          <w:p w14:paraId="40669896">
            <w:pPr>
              <w:widowControl w:val="0"/>
              <w:jc w:val="center"/>
              <w:rPr>
                <w:rFonts w:ascii="宋体" w:hAnsi="宋体" w:eastAsia="宋体"/>
                <w:color w:val="auto"/>
                <w:kern w:val="2"/>
                <w:sz w:val="24"/>
                <w:szCs w:val="24"/>
                <w:highlight w:val="none"/>
                <w:lang w:val="en-US" w:eastAsia="zh-CN" w:bidi="ar-SA"/>
              </w:rPr>
            </w:pPr>
            <w:r>
              <w:rPr>
                <w:rFonts w:hint="eastAsia" w:ascii="宋体" w:hAnsi="宋体" w:eastAsia="宋体"/>
                <w:color w:val="auto"/>
                <w:kern w:val="2"/>
                <w:sz w:val="24"/>
                <w:szCs w:val="24"/>
                <w:highlight w:val="none"/>
                <w:lang w:val="en-US" w:eastAsia="zh-CN" w:bidi="ar-SA"/>
              </w:rPr>
              <w:t xml:space="preserve">       级</w:t>
            </w:r>
          </w:p>
        </w:tc>
        <w:tc>
          <w:tcPr>
            <w:tcW w:w="1739" w:type="dxa"/>
            <w:noWrap w:val="0"/>
            <w:vAlign w:val="center"/>
          </w:tcPr>
          <w:p w14:paraId="4FCD2361">
            <w:pPr>
              <w:widowControl w:val="0"/>
              <w:jc w:val="center"/>
              <w:rPr>
                <w:rFonts w:ascii="宋体" w:hAnsi="宋体" w:eastAsia="宋体"/>
                <w:color w:val="auto"/>
                <w:kern w:val="2"/>
                <w:sz w:val="24"/>
                <w:szCs w:val="24"/>
                <w:highlight w:val="none"/>
                <w:lang w:val="en-US" w:eastAsia="zh-CN" w:bidi="ar-SA"/>
              </w:rPr>
            </w:pPr>
            <w:r>
              <w:rPr>
                <w:rFonts w:hint="eastAsia" w:ascii="宋体" w:hAnsi="宋体" w:eastAsia="宋体"/>
                <w:color w:val="auto"/>
                <w:kern w:val="2"/>
                <w:sz w:val="24"/>
                <w:szCs w:val="24"/>
                <w:highlight w:val="none"/>
                <w:lang w:val="en-US" w:eastAsia="zh-CN" w:bidi="ar-SA"/>
              </w:rPr>
              <w:t>建造师专业</w:t>
            </w:r>
          </w:p>
        </w:tc>
        <w:tc>
          <w:tcPr>
            <w:tcW w:w="2230" w:type="dxa"/>
            <w:noWrap w:val="0"/>
            <w:vAlign w:val="center"/>
          </w:tcPr>
          <w:p w14:paraId="16173C73">
            <w:pPr>
              <w:widowControl w:val="0"/>
              <w:jc w:val="center"/>
              <w:rPr>
                <w:rFonts w:ascii="宋体" w:hAnsi="宋体" w:eastAsia="宋体"/>
                <w:color w:val="auto"/>
                <w:kern w:val="2"/>
                <w:sz w:val="24"/>
                <w:szCs w:val="24"/>
                <w:highlight w:val="none"/>
                <w:lang w:val="en-US" w:eastAsia="zh-CN" w:bidi="ar-SA"/>
              </w:rPr>
            </w:pPr>
          </w:p>
        </w:tc>
      </w:tr>
      <w:tr w14:paraId="71DB7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261" w:type="dxa"/>
            <w:gridSpan w:val="4"/>
            <w:noWrap w:val="0"/>
            <w:vAlign w:val="center"/>
          </w:tcPr>
          <w:p w14:paraId="3E1E69C1">
            <w:pPr>
              <w:widowControl w:val="0"/>
              <w:jc w:val="center"/>
              <w:rPr>
                <w:rFonts w:ascii="宋体" w:hAnsi="宋体" w:eastAsia="宋体"/>
                <w:color w:val="auto"/>
                <w:kern w:val="2"/>
                <w:sz w:val="24"/>
                <w:szCs w:val="24"/>
                <w:highlight w:val="none"/>
                <w:lang w:val="en-US" w:eastAsia="zh-CN" w:bidi="ar-SA"/>
              </w:rPr>
            </w:pPr>
            <w:r>
              <w:rPr>
                <w:rFonts w:hint="eastAsia" w:ascii="宋体" w:hAnsi="宋体" w:eastAsia="宋体"/>
                <w:color w:val="auto"/>
                <w:kern w:val="2"/>
                <w:sz w:val="24"/>
                <w:szCs w:val="24"/>
                <w:highlight w:val="none"/>
                <w:lang w:val="en-US" w:eastAsia="zh-CN" w:bidi="ar-SA"/>
              </w:rPr>
              <w:t>安全生产考核合格证书</w:t>
            </w:r>
          </w:p>
        </w:tc>
        <w:tc>
          <w:tcPr>
            <w:tcW w:w="5751" w:type="dxa"/>
            <w:gridSpan w:val="5"/>
            <w:noWrap w:val="0"/>
            <w:vAlign w:val="center"/>
          </w:tcPr>
          <w:p w14:paraId="05F46298">
            <w:pPr>
              <w:widowControl w:val="0"/>
              <w:jc w:val="center"/>
              <w:rPr>
                <w:rFonts w:ascii="宋体" w:hAnsi="宋体" w:eastAsia="宋体"/>
                <w:color w:val="auto"/>
                <w:kern w:val="2"/>
                <w:sz w:val="24"/>
                <w:szCs w:val="24"/>
                <w:highlight w:val="none"/>
                <w:lang w:val="en-US" w:eastAsia="zh-CN" w:bidi="ar-SA"/>
              </w:rPr>
            </w:pPr>
          </w:p>
        </w:tc>
      </w:tr>
      <w:tr w14:paraId="3DE71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542" w:type="dxa"/>
            <w:noWrap w:val="0"/>
            <w:vAlign w:val="center"/>
          </w:tcPr>
          <w:p w14:paraId="0D763645">
            <w:pPr>
              <w:widowControl w:val="0"/>
              <w:jc w:val="center"/>
              <w:rPr>
                <w:rFonts w:ascii="宋体" w:hAnsi="宋体" w:eastAsia="宋体"/>
                <w:color w:val="auto"/>
                <w:kern w:val="2"/>
                <w:sz w:val="24"/>
                <w:szCs w:val="24"/>
                <w:highlight w:val="none"/>
                <w:lang w:val="en-US" w:eastAsia="zh-CN" w:bidi="ar-SA"/>
              </w:rPr>
            </w:pPr>
            <w:r>
              <w:rPr>
                <w:rFonts w:hint="eastAsia" w:ascii="宋体" w:hAnsi="宋体" w:eastAsia="宋体"/>
                <w:color w:val="auto"/>
                <w:kern w:val="2"/>
                <w:sz w:val="24"/>
                <w:szCs w:val="24"/>
                <w:highlight w:val="none"/>
                <w:lang w:val="en-US" w:eastAsia="zh-CN" w:bidi="ar-SA"/>
              </w:rPr>
              <w:t>毕业学校</w:t>
            </w:r>
          </w:p>
        </w:tc>
        <w:tc>
          <w:tcPr>
            <w:tcW w:w="7470" w:type="dxa"/>
            <w:gridSpan w:val="8"/>
            <w:noWrap w:val="0"/>
            <w:vAlign w:val="center"/>
          </w:tcPr>
          <w:p w14:paraId="438B60EC">
            <w:pPr>
              <w:widowControl w:val="0"/>
              <w:jc w:val="center"/>
              <w:rPr>
                <w:rFonts w:ascii="宋体" w:hAnsi="宋体" w:eastAsia="宋体"/>
                <w:color w:val="auto"/>
                <w:kern w:val="2"/>
                <w:sz w:val="24"/>
                <w:szCs w:val="24"/>
                <w:highlight w:val="none"/>
                <w:lang w:val="en-US" w:eastAsia="zh-CN" w:bidi="ar-SA"/>
              </w:rPr>
            </w:pPr>
            <w:r>
              <w:rPr>
                <w:rFonts w:hint="eastAsia" w:ascii="宋体" w:hAnsi="宋体" w:eastAsia="宋体"/>
                <w:color w:val="auto"/>
                <w:kern w:val="2"/>
                <w:sz w:val="24"/>
                <w:szCs w:val="24"/>
                <w:highlight w:val="none"/>
                <w:lang w:val="en-US" w:eastAsia="zh-CN" w:bidi="ar-SA"/>
              </w:rPr>
              <w:t>年毕业于                  学校            专业</w:t>
            </w:r>
          </w:p>
        </w:tc>
      </w:tr>
      <w:tr w14:paraId="5656A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012" w:type="dxa"/>
            <w:gridSpan w:val="9"/>
            <w:noWrap w:val="0"/>
            <w:vAlign w:val="center"/>
          </w:tcPr>
          <w:p w14:paraId="7A8E2859">
            <w:pPr>
              <w:widowControl w:val="0"/>
              <w:jc w:val="center"/>
              <w:rPr>
                <w:rFonts w:ascii="宋体" w:hAnsi="宋体" w:eastAsia="宋体"/>
                <w:color w:val="auto"/>
                <w:kern w:val="2"/>
                <w:sz w:val="24"/>
                <w:szCs w:val="24"/>
                <w:highlight w:val="none"/>
                <w:lang w:val="en-US" w:eastAsia="zh-CN" w:bidi="ar-SA"/>
              </w:rPr>
            </w:pPr>
            <w:r>
              <w:rPr>
                <w:rFonts w:hint="eastAsia" w:ascii="宋体" w:hAnsi="宋体" w:eastAsia="宋体"/>
                <w:color w:val="auto"/>
                <w:kern w:val="2"/>
                <w:sz w:val="24"/>
                <w:szCs w:val="24"/>
                <w:highlight w:val="none"/>
                <w:lang w:val="en-US" w:eastAsia="zh-CN" w:bidi="ar-SA"/>
              </w:rPr>
              <w:t>主要工作经历</w:t>
            </w:r>
          </w:p>
        </w:tc>
      </w:tr>
      <w:tr w14:paraId="7E627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2" w:type="dxa"/>
            <w:noWrap w:val="0"/>
            <w:vAlign w:val="center"/>
          </w:tcPr>
          <w:p w14:paraId="2BCF2A75">
            <w:pPr>
              <w:widowControl w:val="0"/>
              <w:jc w:val="center"/>
              <w:rPr>
                <w:rFonts w:ascii="宋体" w:hAnsi="宋体" w:eastAsia="宋体"/>
                <w:color w:val="auto"/>
                <w:kern w:val="2"/>
                <w:sz w:val="24"/>
                <w:szCs w:val="24"/>
                <w:highlight w:val="none"/>
                <w:lang w:val="en-US" w:eastAsia="zh-CN" w:bidi="ar-SA"/>
              </w:rPr>
            </w:pPr>
            <w:r>
              <w:rPr>
                <w:rFonts w:hint="eastAsia" w:ascii="宋体" w:hAnsi="宋体" w:eastAsia="宋体"/>
                <w:color w:val="auto"/>
                <w:kern w:val="2"/>
                <w:sz w:val="24"/>
                <w:szCs w:val="24"/>
                <w:highlight w:val="none"/>
                <w:lang w:val="en-US" w:eastAsia="zh-CN" w:bidi="ar-SA"/>
              </w:rPr>
              <w:t>时  间</w:t>
            </w:r>
          </w:p>
        </w:tc>
        <w:tc>
          <w:tcPr>
            <w:tcW w:w="2994" w:type="dxa"/>
            <w:gridSpan w:val="5"/>
            <w:noWrap w:val="0"/>
            <w:vAlign w:val="center"/>
          </w:tcPr>
          <w:p w14:paraId="404651A1">
            <w:pPr>
              <w:widowControl w:val="0"/>
              <w:jc w:val="center"/>
              <w:rPr>
                <w:rFonts w:ascii="宋体" w:hAnsi="宋体" w:eastAsia="宋体"/>
                <w:color w:val="auto"/>
                <w:kern w:val="2"/>
                <w:sz w:val="24"/>
                <w:szCs w:val="24"/>
                <w:highlight w:val="none"/>
                <w:lang w:val="en-US" w:eastAsia="zh-CN" w:bidi="ar-SA"/>
              </w:rPr>
            </w:pPr>
            <w:r>
              <w:rPr>
                <w:rFonts w:hint="eastAsia" w:ascii="宋体" w:hAnsi="宋体" w:eastAsia="宋体"/>
                <w:color w:val="auto"/>
                <w:kern w:val="2"/>
                <w:sz w:val="24"/>
                <w:szCs w:val="24"/>
                <w:highlight w:val="none"/>
                <w:lang w:val="en-US" w:eastAsia="zh-CN" w:bidi="ar-SA"/>
              </w:rPr>
              <w:t>参加过的类似项目名称</w:t>
            </w:r>
          </w:p>
        </w:tc>
        <w:tc>
          <w:tcPr>
            <w:tcW w:w="2246" w:type="dxa"/>
            <w:gridSpan w:val="2"/>
            <w:noWrap w:val="0"/>
            <w:vAlign w:val="center"/>
          </w:tcPr>
          <w:p w14:paraId="00724220">
            <w:pPr>
              <w:widowControl w:val="0"/>
              <w:jc w:val="center"/>
              <w:rPr>
                <w:rFonts w:ascii="宋体" w:hAnsi="宋体" w:eastAsia="宋体"/>
                <w:color w:val="auto"/>
                <w:kern w:val="2"/>
                <w:sz w:val="24"/>
                <w:szCs w:val="24"/>
                <w:highlight w:val="none"/>
                <w:lang w:val="en-US" w:eastAsia="zh-CN" w:bidi="ar-SA"/>
              </w:rPr>
            </w:pPr>
            <w:r>
              <w:rPr>
                <w:rFonts w:hint="eastAsia" w:ascii="宋体" w:hAnsi="宋体" w:eastAsia="宋体"/>
                <w:color w:val="auto"/>
                <w:kern w:val="2"/>
                <w:sz w:val="24"/>
                <w:szCs w:val="24"/>
                <w:highlight w:val="none"/>
                <w:lang w:val="en-US" w:eastAsia="zh-CN" w:bidi="ar-SA"/>
              </w:rPr>
              <w:t>工程概况说明</w:t>
            </w:r>
          </w:p>
        </w:tc>
        <w:tc>
          <w:tcPr>
            <w:tcW w:w="2230" w:type="dxa"/>
            <w:noWrap w:val="0"/>
            <w:vAlign w:val="center"/>
          </w:tcPr>
          <w:p w14:paraId="39AD033C">
            <w:pPr>
              <w:widowControl w:val="0"/>
              <w:jc w:val="center"/>
              <w:rPr>
                <w:rFonts w:ascii="宋体" w:hAnsi="宋体" w:eastAsia="宋体"/>
                <w:color w:val="auto"/>
                <w:kern w:val="2"/>
                <w:sz w:val="24"/>
                <w:szCs w:val="24"/>
                <w:highlight w:val="none"/>
                <w:lang w:val="en-US" w:eastAsia="zh-CN" w:bidi="ar-SA"/>
              </w:rPr>
            </w:pPr>
            <w:r>
              <w:rPr>
                <w:rFonts w:hint="eastAsia" w:ascii="宋体" w:hAnsi="宋体" w:eastAsia="宋体"/>
                <w:color w:val="auto"/>
                <w:kern w:val="2"/>
                <w:sz w:val="24"/>
                <w:szCs w:val="24"/>
                <w:highlight w:val="none"/>
                <w:lang w:val="en-US" w:eastAsia="zh-CN" w:bidi="ar-SA"/>
              </w:rPr>
              <w:t>发包人及联系电话</w:t>
            </w:r>
          </w:p>
        </w:tc>
      </w:tr>
      <w:tr w14:paraId="6A59E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2" w:type="dxa"/>
            <w:noWrap w:val="0"/>
            <w:vAlign w:val="center"/>
          </w:tcPr>
          <w:p w14:paraId="0149D3DE">
            <w:pPr>
              <w:widowControl w:val="0"/>
              <w:jc w:val="center"/>
              <w:rPr>
                <w:rFonts w:ascii="宋体" w:hAnsi="宋体" w:eastAsia="宋体"/>
                <w:color w:val="auto"/>
                <w:kern w:val="2"/>
                <w:sz w:val="24"/>
                <w:szCs w:val="24"/>
                <w:highlight w:val="none"/>
                <w:lang w:val="en-US" w:eastAsia="zh-CN" w:bidi="ar-SA"/>
              </w:rPr>
            </w:pPr>
          </w:p>
        </w:tc>
        <w:tc>
          <w:tcPr>
            <w:tcW w:w="2994" w:type="dxa"/>
            <w:gridSpan w:val="5"/>
            <w:noWrap w:val="0"/>
            <w:vAlign w:val="center"/>
          </w:tcPr>
          <w:p w14:paraId="39469C44">
            <w:pPr>
              <w:widowControl w:val="0"/>
              <w:jc w:val="center"/>
              <w:rPr>
                <w:rFonts w:ascii="宋体" w:hAnsi="宋体" w:eastAsia="宋体"/>
                <w:color w:val="auto"/>
                <w:kern w:val="2"/>
                <w:sz w:val="24"/>
                <w:szCs w:val="24"/>
                <w:highlight w:val="none"/>
                <w:lang w:val="en-US" w:eastAsia="zh-CN" w:bidi="ar-SA"/>
              </w:rPr>
            </w:pPr>
          </w:p>
        </w:tc>
        <w:tc>
          <w:tcPr>
            <w:tcW w:w="2246" w:type="dxa"/>
            <w:gridSpan w:val="2"/>
            <w:noWrap w:val="0"/>
            <w:vAlign w:val="center"/>
          </w:tcPr>
          <w:p w14:paraId="16DBEB2E">
            <w:pPr>
              <w:widowControl w:val="0"/>
              <w:jc w:val="center"/>
              <w:rPr>
                <w:rFonts w:ascii="宋体" w:hAnsi="宋体" w:eastAsia="宋体"/>
                <w:color w:val="auto"/>
                <w:kern w:val="2"/>
                <w:sz w:val="24"/>
                <w:szCs w:val="24"/>
                <w:highlight w:val="none"/>
                <w:lang w:val="en-US" w:eastAsia="zh-CN" w:bidi="ar-SA"/>
              </w:rPr>
            </w:pPr>
          </w:p>
        </w:tc>
        <w:tc>
          <w:tcPr>
            <w:tcW w:w="2230" w:type="dxa"/>
            <w:noWrap w:val="0"/>
            <w:vAlign w:val="center"/>
          </w:tcPr>
          <w:p w14:paraId="2B0846C5">
            <w:pPr>
              <w:widowControl w:val="0"/>
              <w:jc w:val="center"/>
              <w:rPr>
                <w:rFonts w:ascii="宋体" w:hAnsi="宋体" w:eastAsia="宋体"/>
                <w:color w:val="auto"/>
                <w:kern w:val="2"/>
                <w:sz w:val="24"/>
                <w:szCs w:val="24"/>
                <w:highlight w:val="none"/>
                <w:lang w:val="en-US" w:eastAsia="zh-CN" w:bidi="ar-SA"/>
              </w:rPr>
            </w:pPr>
          </w:p>
        </w:tc>
      </w:tr>
      <w:tr w14:paraId="3F1D5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2" w:type="dxa"/>
            <w:noWrap w:val="0"/>
            <w:vAlign w:val="center"/>
          </w:tcPr>
          <w:p w14:paraId="2D8F45C1">
            <w:pPr>
              <w:widowControl w:val="0"/>
              <w:jc w:val="center"/>
              <w:rPr>
                <w:rFonts w:ascii="宋体" w:hAnsi="宋体" w:eastAsia="宋体"/>
                <w:color w:val="auto"/>
                <w:kern w:val="2"/>
                <w:sz w:val="24"/>
                <w:szCs w:val="24"/>
                <w:highlight w:val="none"/>
                <w:lang w:val="en-US" w:eastAsia="zh-CN" w:bidi="ar-SA"/>
              </w:rPr>
            </w:pPr>
          </w:p>
        </w:tc>
        <w:tc>
          <w:tcPr>
            <w:tcW w:w="2994" w:type="dxa"/>
            <w:gridSpan w:val="5"/>
            <w:noWrap w:val="0"/>
            <w:vAlign w:val="center"/>
          </w:tcPr>
          <w:p w14:paraId="775871AF">
            <w:pPr>
              <w:widowControl w:val="0"/>
              <w:jc w:val="center"/>
              <w:rPr>
                <w:rFonts w:ascii="宋体" w:hAnsi="宋体" w:eastAsia="宋体"/>
                <w:color w:val="auto"/>
                <w:kern w:val="2"/>
                <w:sz w:val="24"/>
                <w:szCs w:val="24"/>
                <w:highlight w:val="none"/>
                <w:lang w:val="en-US" w:eastAsia="zh-CN" w:bidi="ar-SA"/>
              </w:rPr>
            </w:pPr>
          </w:p>
        </w:tc>
        <w:tc>
          <w:tcPr>
            <w:tcW w:w="2246" w:type="dxa"/>
            <w:gridSpan w:val="2"/>
            <w:noWrap w:val="0"/>
            <w:vAlign w:val="center"/>
          </w:tcPr>
          <w:p w14:paraId="7F27CE59">
            <w:pPr>
              <w:widowControl w:val="0"/>
              <w:jc w:val="center"/>
              <w:rPr>
                <w:rFonts w:ascii="宋体" w:hAnsi="宋体" w:eastAsia="宋体"/>
                <w:color w:val="auto"/>
                <w:kern w:val="2"/>
                <w:sz w:val="24"/>
                <w:szCs w:val="24"/>
                <w:highlight w:val="none"/>
                <w:lang w:val="en-US" w:eastAsia="zh-CN" w:bidi="ar-SA"/>
              </w:rPr>
            </w:pPr>
          </w:p>
        </w:tc>
        <w:tc>
          <w:tcPr>
            <w:tcW w:w="2230" w:type="dxa"/>
            <w:noWrap w:val="0"/>
            <w:vAlign w:val="center"/>
          </w:tcPr>
          <w:p w14:paraId="1E38392D">
            <w:pPr>
              <w:widowControl w:val="0"/>
              <w:jc w:val="center"/>
              <w:rPr>
                <w:rFonts w:ascii="宋体" w:hAnsi="宋体" w:eastAsia="宋体"/>
                <w:color w:val="auto"/>
                <w:kern w:val="2"/>
                <w:sz w:val="24"/>
                <w:szCs w:val="24"/>
                <w:highlight w:val="none"/>
                <w:lang w:val="en-US" w:eastAsia="zh-CN" w:bidi="ar-SA"/>
              </w:rPr>
            </w:pPr>
          </w:p>
        </w:tc>
      </w:tr>
      <w:tr w14:paraId="0BA25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2" w:type="dxa"/>
            <w:noWrap w:val="0"/>
            <w:vAlign w:val="center"/>
          </w:tcPr>
          <w:p w14:paraId="5C5C44D8">
            <w:pPr>
              <w:widowControl w:val="0"/>
              <w:jc w:val="center"/>
              <w:rPr>
                <w:rFonts w:ascii="宋体" w:hAnsi="宋体" w:eastAsia="宋体"/>
                <w:color w:val="auto"/>
                <w:kern w:val="2"/>
                <w:sz w:val="24"/>
                <w:szCs w:val="24"/>
                <w:highlight w:val="none"/>
                <w:lang w:val="en-US" w:eastAsia="zh-CN" w:bidi="ar-SA"/>
              </w:rPr>
            </w:pPr>
          </w:p>
        </w:tc>
        <w:tc>
          <w:tcPr>
            <w:tcW w:w="2994" w:type="dxa"/>
            <w:gridSpan w:val="5"/>
            <w:noWrap w:val="0"/>
            <w:vAlign w:val="center"/>
          </w:tcPr>
          <w:p w14:paraId="4E39ADBC">
            <w:pPr>
              <w:widowControl w:val="0"/>
              <w:jc w:val="center"/>
              <w:rPr>
                <w:rFonts w:ascii="宋体" w:hAnsi="宋体" w:eastAsia="宋体"/>
                <w:color w:val="auto"/>
                <w:kern w:val="2"/>
                <w:sz w:val="24"/>
                <w:szCs w:val="24"/>
                <w:highlight w:val="none"/>
                <w:lang w:val="en-US" w:eastAsia="zh-CN" w:bidi="ar-SA"/>
              </w:rPr>
            </w:pPr>
          </w:p>
        </w:tc>
        <w:tc>
          <w:tcPr>
            <w:tcW w:w="2246" w:type="dxa"/>
            <w:gridSpan w:val="2"/>
            <w:noWrap w:val="0"/>
            <w:vAlign w:val="center"/>
          </w:tcPr>
          <w:p w14:paraId="37BB368A">
            <w:pPr>
              <w:widowControl w:val="0"/>
              <w:jc w:val="center"/>
              <w:rPr>
                <w:rFonts w:ascii="宋体" w:hAnsi="宋体" w:eastAsia="宋体"/>
                <w:color w:val="auto"/>
                <w:kern w:val="2"/>
                <w:sz w:val="24"/>
                <w:szCs w:val="24"/>
                <w:highlight w:val="none"/>
                <w:lang w:val="en-US" w:eastAsia="zh-CN" w:bidi="ar-SA"/>
              </w:rPr>
            </w:pPr>
          </w:p>
        </w:tc>
        <w:tc>
          <w:tcPr>
            <w:tcW w:w="2230" w:type="dxa"/>
            <w:noWrap w:val="0"/>
            <w:vAlign w:val="center"/>
          </w:tcPr>
          <w:p w14:paraId="68B3CABB">
            <w:pPr>
              <w:widowControl w:val="0"/>
              <w:jc w:val="center"/>
              <w:rPr>
                <w:rFonts w:ascii="宋体" w:hAnsi="宋体" w:eastAsia="宋体"/>
                <w:color w:val="auto"/>
                <w:kern w:val="2"/>
                <w:sz w:val="24"/>
                <w:szCs w:val="24"/>
                <w:highlight w:val="none"/>
                <w:lang w:val="en-US" w:eastAsia="zh-CN" w:bidi="ar-SA"/>
              </w:rPr>
            </w:pPr>
          </w:p>
        </w:tc>
      </w:tr>
      <w:tr w14:paraId="0058C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2" w:type="dxa"/>
            <w:noWrap w:val="0"/>
            <w:vAlign w:val="center"/>
          </w:tcPr>
          <w:p w14:paraId="4B5AD95C">
            <w:pPr>
              <w:widowControl w:val="0"/>
              <w:jc w:val="center"/>
              <w:rPr>
                <w:rFonts w:ascii="宋体" w:hAnsi="宋体" w:eastAsia="宋体"/>
                <w:color w:val="auto"/>
                <w:kern w:val="2"/>
                <w:sz w:val="24"/>
                <w:szCs w:val="24"/>
                <w:highlight w:val="none"/>
                <w:lang w:val="en-US" w:eastAsia="zh-CN" w:bidi="ar-SA"/>
              </w:rPr>
            </w:pPr>
          </w:p>
        </w:tc>
        <w:tc>
          <w:tcPr>
            <w:tcW w:w="2994" w:type="dxa"/>
            <w:gridSpan w:val="5"/>
            <w:noWrap w:val="0"/>
            <w:vAlign w:val="center"/>
          </w:tcPr>
          <w:p w14:paraId="0638B0DB">
            <w:pPr>
              <w:widowControl w:val="0"/>
              <w:jc w:val="center"/>
              <w:rPr>
                <w:rFonts w:ascii="宋体" w:hAnsi="宋体" w:eastAsia="宋体"/>
                <w:color w:val="auto"/>
                <w:kern w:val="2"/>
                <w:sz w:val="24"/>
                <w:szCs w:val="24"/>
                <w:highlight w:val="none"/>
                <w:lang w:val="en-US" w:eastAsia="zh-CN" w:bidi="ar-SA"/>
              </w:rPr>
            </w:pPr>
          </w:p>
        </w:tc>
        <w:tc>
          <w:tcPr>
            <w:tcW w:w="2246" w:type="dxa"/>
            <w:gridSpan w:val="2"/>
            <w:noWrap w:val="0"/>
            <w:vAlign w:val="center"/>
          </w:tcPr>
          <w:p w14:paraId="14B8A5CC">
            <w:pPr>
              <w:widowControl w:val="0"/>
              <w:jc w:val="center"/>
              <w:rPr>
                <w:rFonts w:ascii="宋体" w:hAnsi="宋体" w:eastAsia="宋体"/>
                <w:color w:val="auto"/>
                <w:kern w:val="2"/>
                <w:sz w:val="24"/>
                <w:szCs w:val="24"/>
                <w:highlight w:val="none"/>
                <w:lang w:val="en-US" w:eastAsia="zh-CN" w:bidi="ar-SA"/>
              </w:rPr>
            </w:pPr>
          </w:p>
        </w:tc>
        <w:tc>
          <w:tcPr>
            <w:tcW w:w="2230" w:type="dxa"/>
            <w:noWrap w:val="0"/>
            <w:vAlign w:val="center"/>
          </w:tcPr>
          <w:p w14:paraId="5A067176">
            <w:pPr>
              <w:widowControl w:val="0"/>
              <w:jc w:val="center"/>
              <w:rPr>
                <w:rFonts w:ascii="宋体" w:hAnsi="宋体" w:eastAsia="宋体"/>
                <w:color w:val="auto"/>
                <w:kern w:val="2"/>
                <w:sz w:val="24"/>
                <w:szCs w:val="24"/>
                <w:highlight w:val="none"/>
                <w:lang w:val="en-US" w:eastAsia="zh-CN" w:bidi="ar-SA"/>
              </w:rPr>
            </w:pPr>
          </w:p>
        </w:tc>
      </w:tr>
      <w:tr w14:paraId="62DED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2" w:type="dxa"/>
            <w:noWrap w:val="0"/>
            <w:vAlign w:val="center"/>
          </w:tcPr>
          <w:p w14:paraId="211D9AFA">
            <w:pPr>
              <w:widowControl w:val="0"/>
              <w:jc w:val="center"/>
              <w:rPr>
                <w:rFonts w:ascii="宋体" w:hAnsi="宋体" w:eastAsia="宋体"/>
                <w:color w:val="auto"/>
                <w:kern w:val="2"/>
                <w:sz w:val="21"/>
                <w:szCs w:val="21"/>
                <w:highlight w:val="none"/>
                <w:lang w:val="en-US" w:eastAsia="zh-CN" w:bidi="ar-SA"/>
              </w:rPr>
            </w:pPr>
          </w:p>
        </w:tc>
        <w:tc>
          <w:tcPr>
            <w:tcW w:w="2994" w:type="dxa"/>
            <w:gridSpan w:val="5"/>
            <w:noWrap w:val="0"/>
            <w:vAlign w:val="center"/>
          </w:tcPr>
          <w:p w14:paraId="2D29843C">
            <w:pPr>
              <w:widowControl w:val="0"/>
              <w:jc w:val="center"/>
              <w:rPr>
                <w:rFonts w:ascii="宋体" w:hAnsi="宋体" w:eastAsia="宋体"/>
                <w:color w:val="auto"/>
                <w:kern w:val="2"/>
                <w:sz w:val="21"/>
                <w:szCs w:val="21"/>
                <w:highlight w:val="none"/>
                <w:lang w:val="en-US" w:eastAsia="zh-CN" w:bidi="ar-SA"/>
              </w:rPr>
            </w:pPr>
          </w:p>
        </w:tc>
        <w:tc>
          <w:tcPr>
            <w:tcW w:w="2246" w:type="dxa"/>
            <w:gridSpan w:val="2"/>
            <w:noWrap w:val="0"/>
            <w:vAlign w:val="center"/>
          </w:tcPr>
          <w:p w14:paraId="0592A5AB">
            <w:pPr>
              <w:widowControl w:val="0"/>
              <w:jc w:val="center"/>
              <w:rPr>
                <w:rFonts w:ascii="宋体" w:hAnsi="宋体" w:eastAsia="宋体"/>
                <w:color w:val="auto"/>
                <w:kern w:val="2"/>
                <w:sz w:val="21"/>
                <w:szCs w:val="21"/>
                <w:highlight w:val="none"/>
                <w:lang w:val="en-US" w:eastAsia="zh-CN" w:bidi="ar-SA"/>
              </w:rPr>
            </w:pPr>
          </w:p>
        </w:tc>
        <w:tc>
          <w:tcPr>
            <w:tcW w:w="2230" w:type="dxa"/>
            <w:noWrap w:val="0"/>
            <w:vAlign w:val="center"/>
          </w:tcPr>
          <w:p w14:paraId="75266F0E">
            <w:pPr>
              <w:widowControl w:val="0"/>
              <w:jc w:val="center"/>
              <w:rPr>
                <w:rFonts w:ascii="宋体" w:hAnsi="宋体" w:eastAsia="宋体"/>
                <w:color w:val="auto"/>
                <w:kern w:val="2"/>
                <w:sz w:val="21"/>
                <w:szCs w:val="21"/>
                <w:highlight w:val="none"/>
                <w:lang w:val="en-US" w:eastAsia="zh-CN" w:bidi="ar-SA"/>
              </w:rPr>
            </w:pPr>
          </w:p>
        </w:tc>
      </w:tr>
      <w:tr w14:paraId="18EFF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2" w:type="dxa"/>
            <w:noWrap w:val="0"/>
            <w:vAlign w:val="center"/>
          </w:tcPr>
          <w:p w14:paraId="09AF1B9D">
            <w:pPr>
              <w:widowControl w:val="0"/>
              <w:jc w:val="center"/>
              <w:rPr>
                <w:rFonts w:ascii="宋体" w:hAnsi="宋体" w:eastAsia="宋体"/>
                <w:color w:val="auto"/>
                <w:kern w:val="2"/>
                <w:sz w:val="21"/>
                <w:szCs w:val="21"/>
                <w:highlight w:val="none"/>
                <w:lang w:val="en-US" w:eastAsia="zh-CN" w:bidi="ar-SA"/>
              </w:rPr>
            </w:pPr>
          </w:p>
        </w:tc>
        <w:tc>
          <w:tcPr>
            <w:tcW w:w="2994" w:type="dxa"/>
            <w:gridSpan w:val="5"/>
            <w:noWrap w:val="0"/>
            <w:vAlign w:val="center"/>
          </w:tcPr>
          <w:p w14:paraId="565F3DB4">
            <w:pPr>
              <w:widowControl w:val="0"/>
              <w:jc w:val="center"/>
              <w:rPr>
                <w:rFonts w:ascii="宋体" w:hAnsi="宋体" w:eastAsia="宋体"/>
                <w:color w:val="auto"/>
                <w:kern w:val="2"/>
                <w:sz w:val="21"/>
                <w:szCs w:val="21"/>
                <w:highlight w:val="none"/>
                <w:lang w:val="en-US" w:eastAsia="zh-CN" w:bidi="ar-SA"/>
              </w:rPr>
            </w:pPr>
          </w:p>
        </w:tc>
        <w:tc>
          <w:tcPr>
            <w:tcW w:w="2246" w:type="dxa"/>
            <w:gridSpan w:val="2"/>
            <w:noWrap w:val="0"/>
            <w:vAlign w:val="center"/>
          </w:tcPr>
          <w:p w14:paraId="571B2DA6">
            <w:pPr>
              <w:widowControl w:val="0"/>
              <w:jc w:val="center"/>
              <w:rPr>
                <w:rFonts w:ascii="宋体" w:hAnsi="宋体" w:eastAsia="宋体"/>
                <w:color w:val="auto"/>
                <w:kern w:val="2"/>
                <w:sz w:val="21"/>
                <w:szCs w:val="21"/>
                <w:highlight w:val="none"/>
                <w:lang w:val="en-US" w:eastAsia="zh-CN" w:bidi="ar-SA"/>
              </w:rPr>
            </w:pPr>
          </w:p>
        </w:tc>
        <w:tc>
          <w:tcPr>
            <w:tcW w:w="2230" w:type="dxa"/>
            <w:noWrap w:val="0"/>
            <w:vAlign w:val="center"/>
          </w:tcPr>
          <w:p w14:paraId="06649B67">
            <w:pPr>
              <w:widowControl w:val="0"/>
              <w:jc w:val="center"/>
              <w:rPr>
                <w:rFonts w:ascii="宋体" w:hAnsi="宋体" w:eastAsia="宋体"/>
                <w:color w:val="auto"/>
                <w:kern w:val="2"/>
                <w:sz w:val="21"/>
                <w:szCs w:val="21"/>
                <w:highlight w:val="none"/>
                <w:lang w:val="en-US" w:eastAsia="zh-CN" w:bidi="ar-SA"/>
              </w:rPr>
            </w:pPr>
          </w:p>
        </w:tc>
      </w:tr>
      <w:tr w14:paraId="542F7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2" w:type="dxa"/>
            <w:noWrap w:val="0"/>
            <w:vAlign w:val="center"/>
          </w:tcPr>
          <w:p w14:paraId="5AD8860B">
            <w:pPr>
              <w:widowControl w:val="0"/>
              <w:jc w:val="center"/>
              <w:rPr>
                <w:rFonts w:ascii="宋体" w:hAnsi="宋体" w:eastAsia="宋体"/>
                <w:color w:val="auto"/>
                <w:kern w:val="2"/>
                <w:sz w:val="21"/>
                <w:szCs w:val="21"/>
                <w:highlight w:val="none"/>
                <w:lang w:val="en-US" w:eastAsia="zh-CN" w:bidi="ar-SA"/>
              </w:rPr>
            </w:pPr>
          </w:p>
        </w:tc>
        <w:tc>
          <w:tcPr>
            <w:tcW w:w="2994" w:type="dxa"/>
            <w:gridSpan w:val="5"/>
            <w:noWrap w:val="0"/>
            <w:vAlign w:val="center"/>
          </w:tcPr>
          <w:p w14:paraId="41094BEC">
            <w:pPr>
              <w:widowControl w:val="0"/>
              <w:jc w:val="center"/>
              <w:rPr>
                <w:rFonts w:ascii="宋体" w:hAnsi="宋体" w:eastAsia="宋体"/>
                <w:color w:val="auto"/>
                <w:kern w:val="2"/>
                <w:sz w:val="21"/>
                <w:szCs w:val="21"/>
                <w:highlight w:val="none"/>
                <w:lang w:val="en-US" w:eastAsia="zh-CN" w:bidi="ar-SA"/>
              </w:rPr>
            </w:pPr>
          </w:p>
        </w:tc>
        <w:tc>
          <w:tcPr>
            <w:tcW w:w="2246" w:type="dxa"/>
            <w:gridSpan w:val="2"/>
            <w:noWrap w:val="0"/>
            <w:vAlign w:val="center"/>
          </w:tcPr>
          <w:p w14:paraId="25706269">
            <w:pPr>
              <w:widowControl w:val="0"/>
              <w:jc w:val="center"/>
              <w:rPr>
                <w:rFonts w:ascii="宋体" w:hAnsi="宋体" w:eastAsia="宋体"/>
                <w:color w:val="auto"/>
                <w:kern w:val="2"/>
                <w:sz w:val="21"/>
                <w:szCs w:val="21"/>
                <w:highlight w:val="none"/>
                <w:lang w:val="en-US" w:eastAsia="zh-CN" w:bidi="ar-SA"/>
              </w:rPr>
            </w:pPr>
          </w:p>
        </w:tc>
        <w:tc>
          <w:tcPr>
            <w:tcW w:w="2230" w:type="dxa"/>
            <w:noWrap w:val="0"/>
            <w:vAlign w:val="center"/>
          </w:tcPr>
          <w:p w14:paraId="42C7ACA3">
            <w:pPr>
              <w:widowControl w:val="0"/>
              <w:jc w:val="center"/>
              <w:rPr>
                <w:rFonts w:ascii="宋体" w:hAnsi="宋体" w:eastAsia="宋体"/>
                <w:color w:val="auto"/>
                <w:kern w:val="2"/>
                <w:sz w:val="21"/>
                <w:szCs w:val="21"/>
                <w:highlight w:val="none"/>
                <w:lang w:val="en-US" w:eastAsia="zh-CN" w:bidi="ar-SA"/>
              </w:rPr>
            </w:pPr>
          </w:p>
        </w:tc>
      </w:tr>
    </w:tbl>
    <w:p w14:paraId="0CFC4662">
      <w:pPr>
        <w:widowControl/>
        <w:numPr>
          <w:ilvl w:val="0"/>
          <w:numId w:val="7"/>
        </w:numPr>
        <w:jc w:val="center"/>
        <w:outlineLvl w:val="2"/>
        <w:rPr>
          <w:rFonts w:hint="eastAsia" w:ascii="Cambria" w:hAnsi="Cambria" w:eastAsia="宋体" w:cs="Times New Roman"/>
          <w:b/>
          <w:bCs/>
          <w:color w:val="auto"/>
          <w:kern w:val="44"/>
          <w:sz w:val="28"/>
          <w:szCs w:val="28"/>
          <w:highlight w:val="none"/>
          <w:lang w:val="en-US" w:eastAsia="en-US" w:bidi="ar-SA"/>
        </w:rPr>
      </w:pPr>
      <w:r>
        <w:rPr>
          <w:rFonts w:ascii="Times New Roman" w:hAnsi="Times New Roman" w:eastAsia="Times New Roman"/>
          <w:color w:val="auto"/>
          <w:kern w:val="0"/>
          <w:sz w:val="24"/>
          <w:szCs w:val="24"/>
          <w:highlight w:val="none"/>
          <w:lang w:eastAsia="en-US"/>
        </w:rPr>
        <w:br w:type="page"/>
      </w:r>
      <w:bookmarkStart w:id="156" w:name="_Toc21781"/>
      <w:r>
        <w:rPr>
          <w:rFonts w:hint="eastAsia" w:ascii="Cambria" w:hAnsi="Cambria" w:eastAsia="宋体" w:cs="Times New Roman"/>
          <w:b/>
          <w:bCs/>
          <w:color w:val="auto"/>
          <w:kern w:val="44"/>
          <w:sz w:val="28"/>
          <w:szCs w:val="28"/>
          <w:highlight w:val="none"/>
          <w:lang w:val="en-US" w:eastAsia="en-US" w:bidi="ar-SA"/>
        </w:rPr>
        <w:t>主要项目管理人员简历表</w:t>
      </w:r>
      <w:bookmarkEnd w:id="156"/>
    </w:p>
    <w:p w14:paraId="20692269">
      <w:pPr>
        <w:rPr>
          <w:rFonts w:ascii="宋体" w:hAnsi="宋体"/>
          <w:color w:val="auto"/>
          <w:sz w:val="24"/>
          <w:szCs w:val="21"/>
          <w:highlight w:val="none"/>
        </w:rPr>
      </w:pPr>
    </w:p>
    <w:tbl>
      <w:tblPr>
        <w:tblStyle w:val="31"/>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418"/>
        <w:gridCol w:w="3064"/>
        <w:gridCol w:w="1776"/>
        <w:gridCol w:w="2296"/>
      </w:tblGrid>
      <w:tr w14:paraId="72D40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657" w:type="dxa"/>
            <w:gridSpan w:val="5"/>
            <w:noWrap w:val="0"/>
            <w:vAlign w:val="center"/>
          </w:tcPr>
          <w:p w14:paraId="500445C2">
            <w:pPr>
              <w:spacing w:line="440" w:lineRule="exact"/>
              <w:rPr>
                <w:rFonts w:hint="eastAsia" w:ascii="宋体" w:hAnsi="宋体" w:eastAsia="宋体"/>
                <w:color w:val="auto"/>
                <w:sz w:val="24"/>
                <w:szCs w:val="21"/>
                <w:highlight w:val="none"/>
                <w:lang w:eastAsia="zh-CN"/>
              </w:rPr>
            </w:pPr>
            <w:r>
              <w:rPr>
                <w:rFonts w:hint="eastAsia" w:ascii="宋体" w:hAnsi="宋体"/>
                <w:color w:val="auto"/>
                <w:sz w:val="24"/>
                <w:szCs w:val="21"/>
                <w:highlight w:val="none"/>
              </w:rPr>
              <w:t>岗位名称</w:t>
            </w:r>
            <w:r>
              <w:rPr>
                <w:rFonts w:hint="eastAsia" w:ascii="宋体" w:hAnsi="宋体"/>
                <w:color w:val="auto"/>
                <w:sz w:val="24"/>
                <w:szCs w:val="21"/>
                <w:highlight w:val="none"/>
                <w:lang w:eastAsia="zh-CN"/>
              </w:rPr>
              <w:t>：</w:t>
            </w:r>
          </w:p>
        </w:tc>
      </w:tr>
      <w:tr w14:paraId="3BFD0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521" w:type="dxa"/>
            <w:gridSpan w:val="2"/>
            <w:noWrap w:val="0"/>
            <w:vAlign w:val="center"/>
          </w:tcPr>
          <w:p w14:paraId="468591A8">
            <w:pPr>
              <w:spacing w:line="440" w:lineRule="exact"/>
              <w:jc w:val="center"/>
              <w:rPr>
                <w:rFonts w:ascii="宋体" w:hAnsi="宋体"/>
                <w:color w:val="auto"/>
                <w:sz w:val="24"/>
                <w:szCs w:val="21"/>
                <w:highlight w:val="none"/>
              </w:rPr>
            </w:pPr>
            <w:r>
              <w:rPr>
                <w:rFonts w:hint="eastAsia" w:ascii="宋体" w:hAnsi="宋体"/>
                <w:color w:val="auto"/>
                <w:sz w:val="24"/>
                <w:szCs w:val="21"/>
                <w:highlight w:val="none"/>
              </w:rPr>
              <w:t>姓名</w:t>
            </w:r>
          </w:p>
        </w:tc>
        <w:tc>
          <w:tcPr>
            <w:tcW w:w="3064" w:type="dxa"/>
            <w:noWrap w:val="0"/>
            <w:vAlign w:val="center"/>
          </w:tcPr>
          <w:p w14:paraId="3DE74535">
            <w:pPr>
              <w:spacing w:line="440" w:lineRule="exact"/>
              <w:rPr>
                <w:rFonts w:ascii="宋体" w:hAnsi="宋体"/>
                <w:color w:val="auto"/>
                <w:sz w:val="24"/>
                <w:szCs w:val="21"/>
                <w:highlight w:val="none"/>
              </w:rPr>
            </w:pPr>
          </w:p>
        </w:tc>
        <w:tc>
          <w:tcPr>
            <w:tcW w:w="1776" w:type="dxa"/>
            <w:noWrap w:val="0"/>
            <w:vAlign w:val="center"/>
          </w:tcPr>
          <w:p w14:paraId="79687DB3">
            <w:pPr>
              <w:spacing w:line="440" w:lineRule="exact"/>
              <w:jc w:val="center"/>
              <w:rPr>
                <w:rFonts w:ascii="宋体" w:hAnsi="宋体"/>
                <w:color w:val="auto"/>
                <w:sz w:val="24"/>
                <w:szCs w:val="21"/>
                <w:highlight w:val="none"/>
              </w:rPr>
            </w:pPr>
            <w:r>
              <w:rPr>
                <w:rFonts w:hint="eastAsia" w:ascii="宋体" w:hAnsi="宋体"/>
                <w:color w:val="auto"/>
                <w:sz w:val="24"/>
                <w:szCs w:val="21"/>
                <w:highlight w:val="none"/>
              </w:rPr>
              <w:t>年龄</w:t>
            </w:r>
          </w:p>
        </w:tc>
        <w:tc>
          <w:tcPr>
            <w:tcW w:w="2296" w:type="dxa"/>
            <w:noWrap w:val="0"/>
            <w:vAlign w:val="center"/>
          </w:tcPr>
          <w:p w14:paraId="50ABC3A9">
            <w:pPr>
              <w:spacing w:line="440" w:lineRule="exact"/>
              <w:rPr>
                <w:rFonts w:ascii="宋体" w:hAnsi="宋体"/>
                <w:color w:val="auto"/>
                <w:sz w:val="24"/>
                <w:szCs w:val="21"/>
                <w:highlight w:val="none"/>
              </w:rPr>
            </w:pPr>
          </w:p>
        </w:tc>
      </w:tr>
      <w:tr w14:paraId="3A3A0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521" w:type="dxa"/>
            <w:gridSpan w:val="2"/>
            <w:noWrap w:val="0"/>
            <w:vAlign w:val="top"/>
          </w:tcPr>
          <w:p w14:paraId="31181E4D">
            <w:pPr>
              <w:spacing w:line="440" w:lineRule="exact"/>
              <w:jc w:val="center"/>
              <w:rPr>
                <w:rFonts w:ascii="宋体" w:hAnsi="宋体"/>
                <w:color w:val="auto"/>
                <w:sz w:val="24"/>
                <w:szCs w:val="21"/>
                <w:highlight w:val="none"/>
              </w:rPr>
            </w:pPr>
            <w:r>
              <w:rPr>
                <w:rFonts w:hint="eastAsia" w:ascii="宋体" w:hAnsi="宋体"/>
                <w:color w:val="auto"/>
                <w:sz w:val="24"/>
                <w:szCs w:val="21"/>
                <w:highlight w:val="none"/>
              </w:rPr>
              <w:t>性别</w:t>
            </w:r>
          </w:p>
        </w:tc>
        <w:tc>
          <w:tcPr>
            <w:tcW w:w="3064" w:type="dxa"/>
            <w:noWrap w:val="0"/>
            <w:vAlign w:val="top"/>
          </w:tcPr>
          <w:p w14:paraId="1526458E">
            <w:pPr>
              <w:spacing w:line="440" w:lineRule="exact"/>
              <w:rPr>
                <w:rFonts w:ascii="宋体" w:hAnsi="宋体"/>
                <w:color w:val="auto"/>
                <w:sz w:val="24"/>
                <w:szCs w:val="21"/>
                <w:highlight w:val="none"/>
              </w:rPr>
            </w:pPr>
          </w:p>
        </w:tc>
        <w:tc>
          <w:tcPr>
            <w:tcW w:w="1776" w:type="dxa"/>
            <w:noWrap w:val="0"/>
            <w:vAlign w:val="top"/>
          </w:tcPr>
          <w:p w14:paraId="0709C148">
            <w:pPr>
              <w:spacing w:line="440" w:lineRule="exact"/>
              <w:jc w:val="center"/>
              <w:rPr>
                <w:rFonts w:ascii="宋体" w:hAnsi="宋体"/>
                <w:color w:val="auto"/>
                <w:sz w:val="24"/>
                <w:szCs w:val="21"/>
                <w:highlight w:val="none"/>
              </w:rPr>
            </w:pPr>
            <w:r>
              <w:rPr>
                <w:rFonts w:hint="eastAsia" w:ascii="宋体" w:hAnsi="宋体"/>
                <w:color w:val="auto"/>
                <w:sz w:val="24"/>
                <w:szCs w:val="21"/>
                <w:highlight w:val="none"/>
              </w:rPr>
              <w:t>毕业学校</w:t>
            </w:r>
          </w:p>
        </w:tc>
        <w:tc>
          <w:tcPr>
            <w:tcW w:w="2296" w:type="dxa"/>
            <w:noWrap w:val="0"/>
            <w:vAlign w:val="top"/>
          </w:tcPr>
          <w:p w14:paraId="1F2CCF1D">
            <w:pPr>
              <w:spacing w:line="440" w:lineRule="exact"/>
              <w:rPr>
                <w:rFonts w:ascii="宋体" w:hAnsi="宋体"/>
                <w:color w:val="auto"/>
                <w:sz w:val="24"/>
                <w:szCs w:val="21"/>
                <w:highlight w:val="none"/>
              </w:rPr>
            </w:pPr>
          </w:p>
        </w:tc>
      </w:tr>
      <w:tr w14:paraId="48C2A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521" w:type="dxa"/>
            <w:gridSpan w:val="2"/>
            <w:noWrap w:val="0"/>
            <w:vAlign w:val="top"/>
          </w:tcPr>
          <w:p w14:paraId="57D1825C">
            <w:pPr>
              <w:spacing w:line="440" w:lineRule="exact"/>
              <w:jc w:val="center"/>
              <w:rPr>
                <w:rFonts w:ascii="宋体" w:hAnsi="宋体"/>
                <w:color w:val="auto"/>
                <w:sz w:val="24"/>
                <w:szCs w:val="21"/>
                <w:highlight w:val="none"/>
              </w:rPr>
            </w:pPr>
            <w:r>
              <w:rPr>
                <w:rFonts w:hint="eastAsia" w:ascii="宋体" w:hAnsi="宋体"/>
                <w:color w:val="auto"/>
                <w:sz w:val="24"/>
                <w:szCs w:val="21"/>
                <w:highlight w:val="none"/>
              </w:rPr>
              <w:t>学历和专业</w:t>
            </w:r>
          </w:p>
        </w:tc>
        <w:tc>
          <w:tcPr>
            <w:tcW w:w="3064" w:type="dxa"/>
            <w:noWrap w:val="0"/>
            <w:vAlign w:val="top"/>
          </w:tcPr>
          <w:p w14:paraId="39317DC0">
            <w:pPr>
              <w:spacing w:line="440" w:lineRule="exact"/>
              <w:rPr>
                <w:rFonts w:ascii="宋体" w:hAnsi="宋体"/>
                <w:color w:val="auto"/>
                <w:sz w:val="24"/>
                <w:szCs w:val="21"/>
                <w:highlight w:val="none"/>
              </w:rPr>
            </w:pPr>
          </w:p>
        </w:tc>
        <w:tc>
          <w:tcPr>
            <w:tcW w:w="1776" w:type="dxa"/>
            <w:noWrap w:val="0"/>
            <w:vAlign w:val="top"/>
          </w:tcPr>
          <w:p w14:paraId="228B3718">
            <w:pPr>
              <w:spacing w:line="440" w:lineRule="exact"/>
              <w:jc w:val="center"/>
              <w:rPr>
                <w:rFonts w:ascii="宋体" w:hAnsi="宋体"/>
                <w:color w:val="auto"/>
                <w:sz w:val="24"/>
                <w:szCs w:val="21"/>
                <w:highlight w:val="none"/>
              </w:rPr>
            </w:pPr>
            <w:r>
              <w:rPr>
                <w:rFonts w:hint="eastAsia" w:ascii="宋体" w:hAnsi="宋体"/>
                <w:color w:val="auto"/>
                <w:sz w:val="24"/>
                <w:szCs w:val="21"/>
                <w:highlight w:val="none"/>
              </w:rPr>
              <w:t>毕业时间</w:t>
            </w:r>
          </w:p>
        </w:tc>
        <w:tc>
          <w:tcPr>
            <w:tcW w:w="2296" w:type="dxa"/>
            <w:noWrap w:val="0"/>
            <w:vAlign w:val="top"/>
          </w:tcPr>
          <w:p w14:paraId="3BC717F4">
            <w:pPr>
              <w:spacing w:line="440" w:lineRule="exact"/>
              <w:rPr>
                <w:rFonts w:ascii="宋体" w:hAnsi="宋体"/>
                <w:color w:val="auto"/>
                <w:sz w:val="24"/>
                <w:szCs w:val="21"/>
                <w:highlight w:val="none"/>
              </w:rPr>
            </w:pPr>
          </w:p>
        </w:tc>
      </w:tr>
      <w:tr w14:paraId="09E39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521" w:type="dxa"/>
            <w:gridSpan w:val="2"/>
            <w:noWrap w:val="0"/>
            <w:vAlign w:val="top"/>
          </w:tcPr>
          <w:p w14:paraId="5A3F05FC">
            <w:pPr>
              <w:spacing w:line="440" w:lineRule="exact"/>
              <w:jc w:val="center"/>
              <w:rPr>
                <w:rFonts w:ascii="宋体" w:hAnsi="宋体"/>
                <w:color w:val="auto"/>
                <w:sz w:val="24"/>
                <w:szCs w:val="21"/>
                <w:highlight w:val="none"/>
              </w:rPr>
            </w:pPr>
            <w:r>
              <w:rPr>
                <w:rFonts w:hint="eastAsia" w:ascii="宋体" w:hAnsi="宋体"/>
                <w:color w:val="auto"/>
                <w:sz w:val="24"/>
                <w:szCs w:val="21"/>
                <w:highlight w:val="none"/>
              </w:rPr>
              <w:t>拥有的执业资格</w:t>
            </w:r>
          </w:p>
        </w:tc>
        <w:tc>
          <w:tcPr>
            <w:tcW w:w="3064" w:type="dxa"/>
            <w:noWrap w:val="0"/>
            <w:vAlign w:val="top"/>
          </w:tcPr>
          <w:p w14:paraId="125AE6CC">
            <w:pPr>
              <w:spacing w:line="440" w:lineRule="exact"/>
              <w:rPr>
                <w:rFonts w:ascii="宋体" w:hAnsi="宋体"/>
                <w:color w:val="auto"/>
                <w:sz w:val="24"/>
                <w:szCs w:val="21"/>
                <w:highlight w:val="none"/>
              </w:rPr>
            </w:pPr>
          </w:p>
        </w:tc>
        <w:tc>
          <w:tcPr>
            <w:tcW w:w="1776" w:type="dxa"/>
            <w:noWrap w:val="0"/>
            <w:vAlign w:val="top"/>
          </w:tcPr>
          <w:p w14:paraId="0C61C058">
            <w:pPr>
              <w:spacing w:line="440" w:lineRule="exact"/>
              <w:jc w:val="center"/>
              <w:rPr>
                <w:rFonts w:ascii="宋体" w:hAnsi="宋体"/>
                <w:color w:val="auto"/>
                <w:sz w:val="24"/>
                <w:szCs w:val="21"/>
                <w:highlight w:val="none"/>
              </w:rPr>
            </w:pPr>
            <w:r>
              <w:rPr>
                <w:rFonts w:hint="eastAsia" w:ascii="宋体" w:hAnsi="宋体"/>
                <w:color w:val="auto"/>
                <w:sz w:val="24"/>
                <w:szCs w:val="21"/>
                <w:highlight w:val="none"/>
              </w:rPr>
              <w:t>专业职称</w:t>
            </w:r>
          </w:p>
        </w:tc>
        <w:tc>
          <w:tcPr>
            <w:tcW w:w="2296" w:type="dxa"/>
            <w:noWrap w:val="0"/>
            <w:vAlign w:val="top"/>
          </w:tcPr>
          <w:p w14:paraId="1F7E243F">
            <w:pPr>
              <w:spacing w:line="440" w:lineRule="exact"/>
              <w:rPr>
                <w:rFonts w:ascii="宋体" w:hAnsi="宋体"/>
                <w:color w:val="auto"/>
                <w:sz w:val="24"/>
                <w:szCs w:val="21"/>
                <w:highlight w:val="none"/>
              </w:rPr>
            </w:pPr>
          </w:p>
        </w:tc>
      </w:tr>
      <w:tr w14:paraId="424E8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521" w:type="dxa"/>
            <w:gridSpan w:val="2"/>
            <w:noWrap w:val="0"/>
            <w:vAlign w:val="center"/>
          </w:tcPr>
          <w:p w14:paraId="608B8CDC">
            <w:pPr>
              <w:spacing w:line="440" w:lineRule="exact"/>
              <w:jc w:val="center"/>
              <w:rPr>
                <w:rFonts w:ascii="宋体" w:hAnsi="宋体"/>
                <w:color w:val="auto"/>
                <w:sz w:val="24"/>
                <w:szCs w:val="21"/>
                <w:highlight w:val="none"/>
              </w:rPr>
            </w:pPr>
            <w:r>
              <w:rPr>
                <w:rFonts w:hint="eastAsia" w:ascii="宋体" w:hAnsi="宋体"/>
                <w:color w:val="auto"/>
                <w:sz w:val="24"/>
                <w:szCs w:val="21"/>
                <w:highlight w:val="none"/>
              </w:rPr>
              <w:t>执业资格证书编号</w:t>
            </w:r>
          </w:p>
        </w:tc>
        <w:tc>
          <w:tcPr>
            <w:tcW w:w="3064" w:type="dxa"/>
            <w:noWrap w:val="0"/>
            <w:vAlign w:val="center"/>
          </w:tcPr>
          <w:p w14:paraId="1C6F3B50">
            <w:pPr>
              <w:spacing w:line="440" w:lineRule="exact"/>
              <w:rPr>
                <w:rFonts w:ascii="宋体" w:hAnsi="宋体"/>
                <w:color w:val="auto"/>
                <w:sz w:val="24"/>
                <w:szCs w:val="21"/>
                <w:highlight w:val="none"/>
              </w:rPr>
            </w:pPr>
          </w:p>
        </w:tc>
        <w:tc>
          <w:tcPr>
            <w:tcW w:w="1776" w:type="dxa"/>
            <w:noWrap w:val="0"/>
            <w:vAlign w:val="center"/>
          </w:tcPr>
          <w:p w14:paraId="6423CAD9">
            <w:pPr>
              <w:spacing w:line="440" w:lineRule="exact"/>
              <w:jc w:val="center"/>
              <w:rPr>
                <w:rFonts w:ascii="宋体" w:hAnsi="宋体"/>
                <w:color w:val="auto"/>
                <w:sz w:val="24"/>
                <w:szCs w:val="21"/>
                <w:highlight w:val="none"/>
              </w:rPr>
            </w:pPr>
            <w:r>
              <w:rPr>
                <w:rFonts w:hint="eastAsia" w:ascii="宋体" w:hAnsi="宋体"/>
                <w:color w:val="auto"/>
                <w:sz w:val="24"/>
                <w:szCs w:val="21"/>
                <w:highlight w:val="none"/>
              </w:rPr>
              <w:t>工作年限</w:t>
            </w:r>
          </w:p>
        </w:tc>
        <w:tc>
          <w:tcPr>
            <w:tcW w:w="2296" w:type="dxa"/>
            <w:noWrap w:val="0"/>
            <w:vAlign w:val="center"/>
          </w:tcPr>
          <w:p w14:paraId="0C4C8189">
            <w:pPr>
              <w:spacing w:line="440" w:lineRule="exact"/>
              <w:rPr>
                <w:rFonts w:ascii="宋体" w:hAnsi="宋体"/>
                <w:color w:val="auto"/>
                <w:sz w:val="24"/>
                <w:szCs w:val="21"/>
                <w:highlight w:val="none"/>
              </w:rPr>
            </w:pPr>
          </w:p>
        </w:tc>
      </w:tr>
      <w:tr w14:paraId="65414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1103" w:type="dxa"/>
            <w:noWrap w:val="0"/>
            <w:vAlign w:val="center"/>
          </w:tcPr>
          <w:p w14:paraId="4A93868A">
            <w:pPr>
              <w:spacing w:line="440" w:lineRule="exact"/>
              <w:rPr>
                <w:rFonts w:ascii="宋体" w:hAnsi="宋体"/>
                <w:color w:val="auto"/>
                <w:sz w:val="24"/>
                <w:szCs w:val="21"/>
                <w:highlight w:val="none"/>
              </w:rPr>
            </w:pPr>
          </w:p>
          <w:p w14:paraId="26486AD3">
            <w:pPr>
              <w:spacing w:line="440" w:lineRule="exact"/>
              <w:rPr>
                <w:rFonts w:ascii="宋体" w:hAnsi="宋体"/>
                <w:color w:val="auto"/>
                <w:sz w:val="24"/>
                <w:szCs w:val="21"/>
                <w:highlight w:val="none"/>
              </w:rPr>
            </w:pPr>
            <w:r>
              <w:rPr>
                <w:rFonts w:hint="eastAsia" w:ascii="宋体" w:hAnsi="宋体"/>
                <w:color w:val="auto"/>
                <w:sz w:val="24"/>
                <w:szCs w:val="21"/>
                <w:highlight w:val="none"/>
              </w:rPr>
              <w:t>主要工作业绩及担任的主要工作</w:t>
            </w:r>
          </w:p>
          <w:p w14:paraId="2BEFF6AD">
            <w:pPr>
              <w:spacing w:line="440" w:lineRule="exact"/>
              <w:rPr>
                <w:rFonts w:ascii="宋体" w:hAnsi="宋体"/>
                <w:color w:val="auto"/>
                <w:sz w:val="24"/>
                <w:szCs w:val="21"/>
                <w:highlight w:val="none"/>
              </w:rPr>
            </w:pPr>
          </w:p>
        </w:tc>
        <w:tc>
          <w:tcPr>
            <w:tcW w:w="8554" w:type="dxa"/>
            <w:gridSpan w:val="4"/>
            <w:noWrap w:val="0"/>
            <w:vAlign w:val="center"/>
          </w:tcPr>
          <w:p w14:paraId="4BBD9793">
            <w:pPr>
              <w:widowControl/>
              <w:jc w:val="left"/>
              <w:rPr>
                <w:rFonts w:ascii="宋体" w:hAnsi="宋体"/>
                <w:color w:val="auto"/>
                <w:sz w:val="24"/>
                <w:szCs w:val="21"/>
                <w:highlight w:val="none"/>
              </w:rPr>
            </w:pPr>
          </w:p>
          <w:p w14:paraId="3441C772">
            <w:pPr>
              <w:widowControl/>
              <w:jc w:val="left"/>
              <w:rPr>
                <w:rFonts w:ascii="宋体" w:hAnsi="宋体"/>
                <w:color w:val="auto"/>
                <w:sz w:val="24"/>
                <w:szCs w:val="21"/>
                <w:highlight w:val="none"/>
              </w:rPr>
            </w:pPr>
          </w:p>
          <w:p w14:paraId="7BBF34B9">
            <w:pPr>
              <w:widowControl/>
              <w:jc w:val="left"/>
              <w:rPr>
                <w:rFonts w:ascii="宋体" w:hAnsi="宋体"/>
                <w:color w:val="auto"/>
                <w:sz w:val="24"/>
                <w:szCs w:val="21"/>
                <w:highlight w:val="none"/>
              </w:rPr>
            </w:pPr>
          </w:p>
          <w:p w14:paraId="1F03845A">
            <w:pPr>
              <w:widowControl/>
              <w:jc w:val="left"/>
              <w:rPr>
                <w:rFonts w:ascii="宋体" w:hAnsi="宋体"/>
                <w:color w:val="auto"/>
                <w:sz w:val="24"/>
                <w:szCs w:val="21"/>
                <w:highlight w:val="none"/>
              </w:rPr>
            </w:pPr>
          </w:p>
          <w:p w14:paraId="65849AB8">
            <w:pPr>
              <w:widowControl/>
              <w:jc w:val="left"/>
              <w:rPr>
                <w:rFonts w:ascii="宋体" w:hAnsi="宋体"/>
                <w:color w:val="auto"/>
                <w:sz w:val="24"/>
                <w:szCs w:val="21"/>
                <w:highlight w:val="none"/>
              </w:rPr>
            </w:pPr>
          </w:p>
          <w:p w14:paraId="31A40332">
            <w:pPr>
              <w:widowControl/>
              <w:jc w:val="left"/>
              <w:rPr>
                <w:rFonts w:ascii="宋体" w:hAnsi="宋体"/>
                <w:color w:val="auto"/>
                <w:sz w:val="24"/>
                <w:szCs w:val="21"/>
                <w:highlight w:val="none"/>
              </w:rPr>
            </w:pPr>
          </w:p>
          <w:p w14:paraId="7460442C">
            <w:pPr>
              <w:widowControl/>
              <w:jc w:val="left"/>
              <w:rPr>
                <w:rFonts w:ascii="宋体" w:hAnsi="宋体"/>
                <w:color w:val="auto"/>
                <w:sz w:val="24"/>
                <w:szCs w:val="21"/>
                <w:highlight w:val="none"/>
              </w:rPr>
            </w:pPr>
          </w:p>
          <w:p w14:paraId="21A63322">
            <w:pPr>
              <w:widowControl/>
              <w:jc w:val="left"/>
              <w:rPr>
                <w:rFonts w:ascii="宋体" w:hAnsi="宋体"/>
                <w:color w:val="auto"/>
                <w:sz w:val="24"/>
                <w:szCs w:val="21"/>
                <w:highlight w:val="none"/>
              </w:rPr>
            </w:pPr>
          </w:p>
          <w:p w14:paraId="21C99989">
            <w:pPr>
              <w:widowControl/>
              <w:jc w:val="left"/>
              <w:rPr>
                <w:rFonts w:ascii="宋体" w:hAnsi="宋体"/>
                <w:color w:val="auto"/>
                <w:sz w:val="24"/>
                <w:szCs w:val="21"/>
                <w:highlight w:val="none"/>
              </w:rPr>
            </w:pPr>
          </w:p>
          <w:p w14:paraId="4EB80454">
            <w:pPr>
              <w:widowControl/>
              <w:jc w:val="left"/>
              <w:rPr>
                <w:rFonts w:ascii="宋体" w:hAnsi="宋体"/>
                <w:color w:val="auto"/>
                <w:sz w:val="24"/>
                <w:szCs w:val="21"/>
                <w:highlight w:val="none"/>
              </w:rPr>
            </w:pPr>
          </w:p>
          <w:p w14:paraId="50F71474">
            <w:pPr>
              <w:spacing w:line="440" w:lineRule="exact"/>
              <w:rPr>
                <w:rFonts w:ascii="宋体" w:hAnsi="宋体"/>
                <w:color w:val="auto"/>
                <w:sz w:val="24"/>
                <w:szCs w:val="21"/>
                <w:highlight w:val="none"/>
              </w:rPr>
            </w:pPr>
          </w:p>
          <w:p w14:paraId="03B01055">
            <w:pPr>
              <w:spacing w:line="440" w:lineRule="exact"/>
              <w:rPr>
                <w:rFonts w:ascii="宋体" w:hAnsi="宋体"/>
                <w:color w:val="auto"/>
                <w:sz w:val="24"/>
                <w:szCs w:val="21"/>
                <w:highlight w:val="none"/>
              </w:rPr>
            </w:pPr>
          </w:p>
          <w:p w14:paraId="20102C00">
            <w:pPr>
              <w:spacing w:line="440" w:lineRule="exact"/>
              <w:rPr>
                <w:rFonts w:ascii="宋体" w:hAnsi="宋体"/>
                <w:color w:val="auto"/>
                <w:sz w:val="24"/>
                <w:szCs w:val="21"/>
                <w:highlight w:val="none"/>
              </w:rPr>
            </w:pPr>
          </w:p>
          <w:p w14:paraId="649F7EA0">
            <w:pPr>
              <w:spacing w:line="440" w:lineRule="exact"/>
              <w:rPr>
                <w:rFonts w:ascii="宋体" w:hAnsi="宋体"/>
                <w:color w:val="auto"/>
                <w:sz w:val="24"/>
                <w:szCs w:val="21"/>
                <w:highlight w:val="none"/>
              </w:rPr>
            </w:pPr>
          </w:p>
          <w:p w14:paraId="27A8BD7E">
            <w:pPr>
              <w:spacing w:line="440" w:lineRule="exact"/>
              <w:rPr>
                <w:rFonts w:ascii="宋体" w:hAnsi="宋体"/>
                <w:color w:val="auto"/>
                <w:sz w:val="24"/>
                <w:szCs w:val="21"/>
                <w:highlight w:val="none"/>
              </w:rPr>
            </w:pPr>
          </w:p>
          <w:p w14:paraId="7075B0BA">
            <w:pPr>
              <w:spacing w:line="440" w:lineRule="exact"/>
              <w:rPr>
                <w:rFonts w:ascii="宋体" w:hAnsi="宋体"/>
                <w:color w:val="auto"/>
                <w:sz w:val="24"/>
                <w:szCs w:val="21"/>
                <w:highlight w:val="none"/>
              </w:rPr>
            </w:pPr>
          </w:p>
          <w:p w14:paraId="4F80CD3C">
            <w:pPr>
              <w:spacing w:line="440" w:lineRule="exact"/>
              <w:rPr>
                <w:rFonts w:ascii="宋体" w:hAnsi="宋体"/>
                <w:color w:val="auto"/>
                <w:sz w:val="24"/>
                <w:szCs w:val="21"/>
                <w:highlight w:val="none"/>
              </w:rPr>
            </w:pPr>
          </w:p>
          <w:p w14:paraId="57C7A3EB">
            <w:pPr>
              <w:spacing w:line="440" w:lineRule="exact"/>
              <w:rPr>
                <w:rFonts w:ascii="宋体" w:hAnsi="宋体"/>
                <w:color w:val="auto"/>
                <w:sz w:val="24"/>
                <w:szCs w:val="21"/>
                <w:highlight w:val="none"/>
              </w:rPr>
            </w:pPr>
          </w:p>
        </w:tc>
      </w:tr>
    </w:tbl>
    <w:p w14:paraId="23A7E208">
      <w:pPr>
        <w:spacing w:line="420" w:lineRule="exact"/>
        <w:ind w:firstLine="480" w:firstLineChars="200"/>
        <w:rPr>
          <w:color w:val="auto"/>
          <w:highlight w:val="none"/>
          <w:lang w:eastAsia="en-US"/>
        </w:rPr>
      </w:pPr>
      <w:r>
        <w:rPr>
          <w:rFonts w:hint="eastAsia" w:ascii="宋体" w:hAnsi="宋体"/>
          <w:color w:val="auto"/>
          <w:sz w:val="24"/>
          <w:szCs w:val="21"/>
          <w:highlight w:val="none"/>
          <w:lang w:val="en-US" w:eastAsia="zh-CN"/>
        </w:rPr>
        <w:t>注：</w:t>
      </w:r>
      <w:r>
        <w:rPr>
          <w:rFonts w:hint="eastAsia" w:ascii="宋体" w:hAnsi="宋体"/>
          <w:color w:val="auto"/>
          <w:sz w:val="24"/>
          <w:szCs w:val="21"/>
          <w:highlight w:val="none"/>
        </w:rPr>
        <w:t>应附</w:t>
      </w:r>
      <w:r>
        <w:rPr>
          <w:rFonts w:hint="eastAsia" w:ascii="宋体" w:hAnsi="宋体"/>
          <w:color w:val="auto"/>
          <w:sz w:val="24"/>
          <w:szCs w:val="21"/>
          <w:highlight w:val="none"/>
          <w:lang w:val="en-US" w:eastAsia="zh-CN"/>
        </w:rPr>
        <w:t>岗位</w:t>
      </w:r>
      <w:r>
        <w:rPr>
          <w:rFonts w:hint="eastAsia" w:ascii="宋体" w:hAnsi="宋体"/>
          <w:color w:val="auto"/>
          <w:sz w:val="24"/>
          <w:szCs w:val="21"/>
          <w:highlight w:val="none"/>
        </w:rPr>
        <w:t>资格证书、身份证、职称证、学历证、养老保险</w:t>
      </w:r>
      <w:r>
        <w:rPr>
          <w:rFonts w:hint="eastAsia" w:ascii="宋体" w:hAnsi="宋体"/>
          <w:color w:val="auto"/>
          <w:sz w:val="24"/>
          <w:szCs w:val="21"/>
          <w:highlight w:val="none"/>
          <w:lang w:val="en-US" w:eastAsia="zh-CN"/>
        </w:rPr>
        <w:t>扫描件</w:t>
      </w:r>
      <w:r>
        <w:rPr>
          <w:rFonts w:hint="eastAsia" w:ascii="宋体" w:hAnsi="宋体"/>
          <w:color w:val="auto"/>
          <w:sz w:val="24"/>
          <w:szCs w:val="21"/>
          <w:highlight w:val="none"/>
        </w:rPr>
        <w:t>，专职安全生产管理人员应附安全生产考核合格证书。</w:t>
      </w:r>
    </w:p>
    <w:p w14:paraId="047B4937">
      <w:pPr>
        <w:pStyle w:val="3"/>
        <w:rPr>
          <w:rFonts w:hint="eastAsia"/>
          <w:color w:val="auto"/>
          <w:highlight w:val="none"/>
        </w:rPr>
      </w:pPr>
    </w:p>
    <w:sectPr>
      <w:headerReference r:id="rId3" w:type="default"/>
      <w:footerReference r:id="rId4" w:type="default"/>
      <w:footerReference r:id="rId5" w:type="even"/>
      <w:pgSz w:w="11906" w:h="16838"/>
      <w:pgMar w:top="1701"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
    <w:altName w:val="Times New Roman"/>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7CCAA">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5115898">
                          <w:pPr>
                            <w:pStyle w:val="20"/>
                            <w:rPr>
                              <w:rStyle w:val="35"/>
                            </w:rPr>
                          </w:pPr>
                          <w:r>
                            <w:fldChar w:fldCharType="begin"/>
                          </w:r>
                          <w:r>
                            <w:rPr>
                              <w:rStyle w:val="35"/>
                            </w:rPr>
                            <w:instrText xml:space="preserve">PAGE  </w:instrText>
                          </w:r>
                          <w:r>
                            <w:fldChar w:fldCharType="separate"/>
                          </w:r>
                          <w:r>
                            <w:rPr>
                              <w:rStyle w:val="35"/>
                            </w:rPr>
                            <w:t>72</w:t>
                          </w:r>
                          <w: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ny/KJucB&#10;AADJAwAADgAAAAAAAAABACAAAAAiAQAAZHJzL2Uyb0RvYy54bWxQSwUGAAAAAAYABgBZAQAAewUA&#10;AAAA&#10;">
              <v:fill on="f" focussize="0,0"/>
              <v:stroke on="f" weight="1.25pt"/>
              <v:imagedata o:title=""/>
              <o:lock v:ext="edit" aspectratio="f"/>
              <v:textbox inset="0mm,0mm,0mm,0mm" style="mso-fit-shape-to-text:t;">
                <w:txbxContent>
                  <w:p w14:paraId="45115898">
                    <w:pPr>
                      <w:pStyle w:val="20"/>
                      <w:rPr>
                        <w:rStyle w:val="35"/>
                      </w:rPr>
                    </w:pPr>
                    <w:r>
                      <w:fldChar w:fldCharType="begin"/>
                    </w:r>
                    <w:r>
                      <w:rPr>
                        <w:rStyle w:val="35"/>
                      </w:rPr>
                      <w:instrText xml:space="preserve">PAGE  </w:instrText>
                    </w:r>
                    <w:r>
                      <w:fldChar w:fldCharType="separate"/>
                    </w:r>
                    <w:r>
                      <w:rPr>
                        <w:rStyle w:val="35"/>
                      </w:rPr>
                      <w:t>72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238C3">
    <w:pPr>
      <w:pStyle w:val="20"/>
      <w:framePr w:wrap="around" w:vAnchor="text" w:hAnchor="margin" w:xAlign="center" w:y="1"/>
      <w:rPr>
        <w:rStyle w:val="35"/>
      </w:rPr>
    </w:pPr>
    <w:r>
      <w:fldChar w:fldCharType="begin"/>
    </w:r>
    <w:r>
      <w:rPr>
        <w:rStyle w:val="35"/>
      </w:rPr>
      <w:instrText xml:space="preserve">PAGE  </w:instrText>
    </w:r>
    <w:r>
      <w:fldChar w:fldCharType="separate"/>
    </w:r>
    <w:r>
      <w:rPr>
        <w:rStyle w:val="35"/>
      </w:rPr>
      <w:t>22</w:t>
    </w:r>
    <w:r>
      <w:fldChar w:fldCharType="end"/>
    </w:r>
  </w:p>
  <w:p w14:paraId="18183273">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694D0">
    <w:pPr>
      <w:pStyle w:val="22"/>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1CDD02"/>
    <w:multiLevelType w:val="singleLevel"/>
    <w:tmpl w:val="C51CDD02"/>
    <w:lvl w:ilvl="0" w:tentative="0">
      <w:start w:val="1"/>
      <w:numFmt w:val="decimal"/>
      <w:suff w:val="nothing"/>
      <w:lvlText w:val="（%1）"/>
      <w:lvlJc w:val="left"/>
    </w:lvl>
  </w:abstractNum>
  <w:abstractNum w:abstractNumId="1">
    <w:nsid w:val="C5282D84"/>
    <w:multiLevelType w:val="singleLevel"/>
    <w:tmpl w:val="C5282D84"/>
    <w:lvl w:ilvl="0" w:tentative="0">
      <w:start w:val="2"/>
      <w:numFmt w:val="chineseCounting"/>
      <w:suff w:val="space"/>
      <w:lvlText w:val="第%1章"/>
      <w:lvlJc w:val="left"/>
      <w:rPr>
        <w:rFonts w:hint="eastAsia"/>
      </w:rPr>
    </w:lvl>
  </w:abstractNum>
  <w:abstractNum w:abstractNumId="2">
    <w:nsid w:val="00000024"/>
    <w:multiLevelType w:val="multilevel"/>
    <w:tmpl w:val="00000024"/>
    <w:lvl w:ilvl="0" w:tentative="0">
      <w:start w:val="1"/>
      <w:numFmt w:val="decimal"/>
      <w:pStyle w:val="7"/>
      <w:lvlText w:val="%1."/>
      <w:lvlJc w:val="left"/>
      <w:pPr>
        <w:tabs>
          <w:tab w:val="left" w:pos="360"/>
        </w:tabs>
        <w:ind w:left="360" w:hanging="360"/>
      </w:pPr>
      <w:rPr>
        <w:rFonts w:hint="default" w:ascii="宋体" w:hAnsi="宋体" w:eastAsia="宋体"/>
        <w:b w:val="0"/>
      </w:rPr>
    </w:lvl>
    <w:lvl w:ilvl="1" w:tentative="0">
      <w:start w:val="1"/>
      <w:numFmt w:val="decimal"/>
      <w:lvlText w:val="6.%2"/>
      <w:lvlJc w:val="left"/>
      <w:pPr>
        <w:tabs>
          <w:tab w:val="left" w:pos="992"/>
        </w:tabs>
        <w:ind w:left="992" w:hanging="567"/>
      </w:pPr>
      <w:rPr>
        <w:rFonts w:hint="eastAsia" w:ascii="宋体" w:hAnsi="宋体" w:eastAsia="宋体"/>
        <w:color w:val="auto"/>
      </w:rPr>
    </w:lvl>
    <w:lvl w:ilvl="2" w:tentative="0">
      <w:start w:val="1"/>
      <w:numFmt w:val="decimal"/>
      <w:lvlText w:val="%1.%2.%3"/>
      <w:lvlJc w:val="left"/>
      <w:pPr>
        <w:tabs>
          <w:tab w:val="left" w:pos="1418"/>
        </w:tabs>
        <w:ind w:left="1418" w:hanging="567"/>
      </w:pPr>
      <w:rPr>
        <w:rFonts w:hint="eastAsia"/>
        <w:color w:val="auto"/>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3">
    <w:nsid w:val="046E2D7F"/>
    <w:multiLevelType w:val="multilevel"/>
    <w:tmpl w:val="046E2D7F"/>
    <w:lvl w:ilvl="0" w:tentative="0">
      <w:start w:val="3"/>
      <w:numFmt w:val="decimal"/>
      <w:pStyle w:val="50"/>
      <w:lvlText w:val="%1、"/>
      <w:lvlJc w:val="left"/>
      <w:pPr>
        <w:tabs>
          <w:tab w:val="left" w:pos="1170"/>
        </w:tabs>
        <w:ind w:left="1170" w:hanging="720"/>
      </w:pPr>
      <w:rPr>
        <w:rFonts w:hint="default"/>
      </w:rPr>
    </w:lvl>
    <w:lvl w:ilvl="1" w:tentative="0">
      <w:start w:val="1"/>
      <w:numFmt w:val="lowerLetter"/>
      <w:lvlText w:val="%2)"/>
      <w:lvlJc w:val="left"/>
      <w:pPr>
        <w:tabs>
          <w:tab w:val="left" w:pos="1290"/>
        </w:tabs>
        <w:ind w:left="1290" w:hanging="420"/>
      </w:pPr>
    </w:lvl>
    <w:lvl w:ilvl="2" w:tentative="0">
      <w:start w:val="1"/>
      <w:numFmt w:val="lowerRoman"/>
      <w:lvlText w:val="%3."/>
      <w:lvlJc w:val="right"/>
      <w:pPr>
        <w:tabs>
          <w:tab w:val="left" w:pos="1710"/>
        </w:tabs>
        <w:ind w:left="1710" w:hanging="420"/>
      </w:pPr>
    </w:lvl>
    <w:lvl w:ilvl="3" w:tentative="0">
      <w:start w:val="1"/>
      <w:numFmt w:val="decimal"/>
      <w:lvlText w:val="%4."/>
      <w:lvlJc w:val="left"/>
      <w:pPr>
        <w:tabs>
          <w:tab w:val="left" w:pos="2130"/>
        </w:tabs>
        <w:ind w:left="2130" w:hanging="420"/>
      </w:pPr>
    </w:lvl>
    <w:lvl w:ilvl="4" w:tentative="0">
      <w:start w:val="1"/>
      <w:numFmt w:val="lowerLetter"/>
      <w:lvlText w:val="%5)"/>
      <w:lvlJc w:val="left"/>
      <w:pPr>
        <w:tabs>
          <w:tab w:val="left" w:pos="2550"/>
        </w:tabs>
        <w:ind w:left="2550" w:hanging="420"/>
      </w:pPr>
    </w:lvl>
    <w:lvl w:ilvl="5" w:tentative="0">
      <w:start w:val="1"/>
      <w:numFmt w:val="lowerRoman"/>
      <w:lvlText w:val="%6."/>
      <w:lvlJc w:val="right"/>
      <w:pPr>
        <w:tabs>
          <w:tab w:val="left" w:pos="2970"/>
        </w:tabs>
        <w:ind w:left="2970" w:hanging="420"/>
      </w:pPr>
    </w:lvl>
    <w:lvl w:ilvl="6" w:tentative="0">
      <w:start w:val="1"/>
      <w:numFmt w:val="decimal"/>
      <w:lvlText w:val="%7."/>
      <w:lvlJc w:val="left"/>
      <w:pPr>
        <w:tabs>
          <w:tab w:val="left" w:pos="3390"/>
        </w:tabs>
        <w:ind w:left="3390" w:hanging="420"/>
      </w:pPr>
    </w:lvl>
    <w:lvl w:ilvl="7" w:tentative="0">
      <w:start w:val="1"/>
      <w:numFmt w:val="lowerLetter"/>
      <w:lvlText w:val="%8)"/>
      <w:lvlJc w:val="left"/>
      <w:pPr>
        <w:tabs>
          <w:tab w:val="left" w:pos="3810"/>
        </w:tabs>
        <w:ind w:left="3810" w:hanging="420"/>
      </w:pPr>
    </w:lvl>
    <w:lvl w:ilvl="8" w:tentative="0">
      <w:start w:val="1"/>
      <w:numFmt w:val="lowerRoman"/>
      <w:lvlText w:val="%9."/>
      <w:lvlJc w:val="right"/>
      <w:pPr>
        <w:tabs>
          <w:tab w:val="left" w:pos="4230"/>
        </w:tabs>
        <w:ind w:left="4230" w:hanging="420"/>
      </w:pPr>
    </w:lvl>
  </w:abstractNum>
  <w:abstractNum w:abstractNumId="4">
    <w:nsid w:val="4024E2B5"/>
    <w:multiLevelType w:val="singleLevel"/>
    <w:tmpl w:val="4024E2B5"/>
    <w:lvl w:ilvl="0" w:tentative="0">
      <w:start w:val="3"/>
      <w:numFmt w:val="chineseCounting"/>
      <w:suff w:val="nothing"/>
      <w:lvlText w:val="（%1）"/>
      <w:lvlJc w:val="left"/>
      <w:rPr>
        <w:rFonts w:hint="eastAsia"/>
      </w:rPr>
    </w:lvl>
  </w:abstractNum>
  <w:abstractNum w:abstractNumId="5">
    <w:nsid w:val="420C153B"/>
    <w:multiLevelType w:val="multilevel"/>
    <w:tmpl w:val="420C153B"/>
    <w:lvl w:ilvl="0" w:tentative="0">
      <w:start w:val="1"/>
      <w:numFmt w:val="decimal"/>
      <w:pStyle w:val="4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50E267D7"/>
    <w:multiLevelType w:val="singleLevel"/>
    <w:tmpl w:val="50E267D7"/>
    <w:lvl w:ilvl="0" w:tentative="0">
      <w:start w:val="1"/>
      <w:numFmt w:val="decimal"/>
      <w:lvlText w:val="%1."/>
      <w:lvlJc w:val="left"/>
      <w:pPr>
        <w:tabs>
          <w:tab w:val="left" w:pos="312"/>
        </w:tabs>
      </w:pPr>
    </w:lvl>
  </w:abstractNum>
  <w:num w:numId="1">
    <w:abstractNumId w:val="2"/>
  </w:num>
  <w:num w:numId="2">
    <w:abstractNumId w:val="5"/>
  </w:num>
  <w:num w:numId="3">
    <w:abstractNumId w:val="3"/>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YjdjNWJjYzk0NGI0MTkyNGVkODVkN2FmNzNhNDUifQ=="/>
  </w:docVars>
  <w:rsids>
    <w:rsidRoot w:val="00172A27"/>
    <w:rsid w:val="000E0E08"/>
    <w:rsid w:val="00155619"/>
    <w:rsid w:val="00172A27"/>
    <w:rsid w:val="001C2354"/>
    <w:rsid w:val="001C5838"/>
    <w:rsid w:val="001F79E1"/>
    <w:rsid w:val="0021665A"/>
    <w:rsid w:val="00271461"/>
    <w:rsid w:val="002F0178"/>
    <w:rsid w:val="003025C5"/>
    <w:rsid w:val="00372A77"/>
    <w:rsid w:val="00372F90"/>
    <w:rsid w:val="004A5327"/>
    <w:rsid w:val="00556473"/>
    <w:rsid w:val="005856B9"/>
    <w:rsid w:val="005C40F9"/>
    <w:rsid w:val="005D2354"/>
    <w:rsid w:val="0063622E"/>
    <w:rsid w:val="00655363"/>
    <w:rsid w:val="00735171"/>
    <w:rsid w:val="00744E6C"/>
    <w:rsid w:val="00787C2B"/>
    <w:rsid w:val="00905172"/>
    <w:rsid w:val="00A450FF"/>
    <w:rsid w:val="00BF2B89"/>
    <w:rsid w:val="00C13BE0"/>
    <w:rsid w:val="00C75220"/>
    <w:rsid w:val="00CA63D1"/>
    <w:rsid w:val="00D00038"/>
    <w:rsid w:val="00D10B9E"/>
    <w:rsid w:val="00DE0A4C"/>
    <w:rsid w:val="00E07240"/>
    <w:rsid w:val="00EE418A"/>
    <w:rsid w:val="00EE5DDC"/>
    <w:rsid w:val="00EF37E8"/>
    <w:rsid w:val="00F33B20"/>
    <w:rsid w:val="00F54475"/>
    <w:rsid w:val="00F85B0B"/>
    <w:rsid w:val="00F85EB2"/>
    <w:rsid w:val="00FC356B"/>
    <w:rsid w:val="00FD777F"/>
    <w:rsid w:val="017D5894"/>
    <w:rsid w:val="018C47B0"/>
    <w:rsid w:val="01B400AD"/>
    <w:rsid w:val="021A2642"/>
    <w:rsid w:val="02840270"/>
    <w:rsid w:val="02CB2268"/>
    <w:rsid w:val="02CC42EB"/>
    <w:rsid w:val="03010450"/>
    <w:rsid w:val="03036481"/>
    <w:rsid w:val="032A36C8"/>
    <w:rsid w:val="03647119"/>
    <w:rsid w:val="0373742A"/>
    <w:rsid w:val="03E24543"/>
    <w:rsid w:val="03E5503B"/>
    <w:rsid w:val="044F5AED"/>
    <w:rsid w:val="04F02BDE"/>
    <w:rsid w:val="054F6C10"/>
    <w:rsid w:val="05576625"/>
    <w:rsid w:val="057F71C9"/>
    <w:rsid w:val="059C1BC7"/>
    <w:rsid w:val="05FE4B7D"/>
    <w:rsid w:val="06245734"/>
    <w:rsid w:val="062D5FEE"/>
    <w:rsid w:val="069049B8"/>
    <w:rsid w:val="06935BA7"/>
    <w:rsid w:val="069F5282"/>
    <w:rsid w:val="06A42205"/>
    <w:rsid w:val="06AB3A89"/>
    <w:rsid w:val="06D45DD6"/>
    <w:rsid w:val="07307E77"/>
    <w:rsid w:val="074449BC"/>
    <w:rsid w:val="076E113B"/>
    <w:rsid w:val="079005A0"/>
    <w:rsid w:val="07AC4B13"/>
    <w:rsid w:val="07D2185E"/>
    <w:rsid w:val="08046698"/>
    <w:rsid w:val="08053EFD"/>
    <w:rsid w:val="081F4263"/>
    <w:rsid w:val="08451740"/>
    <w:rsid w:val="085D5EB1"/>
    <w:rsid w:val="08647A7B"/>
    <w:rsid w:val="088B556C"/>
    <w:rsid w:val="08A404FB"/>
    <w:rsid w:val="08D61475"/>
    <w:rsid w:val="08E02485"/>
    <w:rsid w:val="08FB24E9"/>
    <w:rsid w:val="09305B6C"/>
    <w:rsid w:val="094F50FA"/>
    <w:rsid w:val="097217D3"/>
    <w:rsid w:val="098C5D95"/>
    <w:rsid w:val="09A97E66"/>
    <w:rsid w:val="0A1558FF"/>
    <w:rsid w:val="0A3A2074"/>
    <w:rsid w:val="0A47555B"/>
    <w:rsid w:val="0A6B304D"/>
    <w:rsid w:val="0ABB19B3"/>
    <w:rsid w:val="0ACD28E0"/>
    <w:rsid w:val="0ACE7FBF"/>
    <w:rsid w:val="0ACF113B"/>
    <w:rsid w:val="0AD0794C"/>
    <w:rsid w:val="0AE0788C"/>
    <w:rsid w:val="0AEB2A1D"/>
    <w:rsid w:val="0B2174B0"/>
    <w:rsid w:val="0B36617C"/>
    <w:rsid w:val="0B686CF8"/>
    <w:rsid w:val="0B801062"/>
    <w:rsid w:val="0BB74DD4"/>
    <w:rsid w:val="0BBE4AB4"/>
    <w:rsid w:val="0C2B56C5"/>
    <w:rsid w:val="0C5E2C52"/>
    <w:rsid w:val="0C6D2071"/>
    <w:rsid w:val="0C6E05B4"/>
    <w:rsid w:val="0C6E3E7F"/>
    <w:rsid w:val="0C7B5776"/>
    <w:rsid w:val="0CA20003"/>
    <w:rsid w:val="0CAC2B9A"/>
    <w:rsid w:val="0CF13B49"/>
    <w:rsid w:val="0CFA3EF2"/>
    <w:rsid w:val="0D047C99"/>
    <w:rsid w:val="0D076022"/>
    <w:rsid w:val="0D0F5B7A"/>
    <w:rsid w:val="0D126698"/>
    <w:rsid w:val="0D1412B7"/>
    <w:rsid w:val="0D1F20E2"/>
    <w:rsid w:val="0D2841C5"/>
    <w:rsid w:val="0D2D30AD"/>
    <w:rsid w:val="0D4F2C3C"/>
    <w:rsid w:val="0DA91BC0"/>
    <w:rsid w:val="0E08136F"/>
    <w:rsid w:val="0E2C2F8C"/>
    <w:rsid w:val="0E356BBF"/>
    <w:rsid w:val="0E43150B"/>
    <w:rsid w:val="0E62761C"/>
    <w:rsid w:val="0E8C4A31"/>
    <w:rsid w:val="0E8D4171"/>
    <w:rsid w:val="0E956B1B"/>
    <w:rsid w:val="0E9E6512"/>
    <w:rsid w:val="0EA05995"/>
    <w:rsid w:val="0EA41ABA"/>
    <w:rsid w:val="0EBC288C"/>
    <w:rsid w:val="0F0F0D85"/>
    <w:rsid w:val="0F6901C8"/>
    <w:rsid w:val="0F7B24F3"/>
    <w:rsid w:val="0F9136CD"/>
    <w:rsid w:val="0FD61361"/>
    <w:rsid w:val="101E3DAE"/>
    <w:rsid w:val="104043CA"/>
    <w:rsid w:val="104F6AFE"/>
    <w:rsid w:val="107D4817"/>
    <w:rsid w:val="10804334"/>
    <w:rsid w:val="10B57571"/>
    <w:rsid w:val="11257567"/>
    <w:rsid w:val="112D790F"/>
    <w:rsid w:val="116C37E2"/>
    <w:rsid w:val="11BF3B95"/>
    <w:rsid w:val="12085097"/>
    <w:rsid w:val="12106378"/>
    <w:rsid w:val="121C2E6D"/>
    <w:rsid w:val="124D0A04"/>
    <w:rsid w:val="12591991"/>
    <w:rsid w:val="127212F9"/>
    <w:rsid w:val="12840A4C"/>
    <w:rsid w:val="129025FD"/>
    <w:rsid w:val="129923C2"/>
    <w:rsid w:val="12F42088"/>
    <w:rsid w:val="12F4774C"/>
    <w:rsid w:val="130B3DAA"/>
    <w:rsid w:val="131C20FB"/>
    <w:rsid w:val="1340403C"/>
    <w:rsid w:val="137B4287"/>
    <w:rsid w:val="13B33653"/>
    <w:rsid w:val="13C2397B"/>
    <w:rsid w:val="13EE27EF"/>
    <w:rsid w:val="140E1078"/>
    <w:rsid w:val="141E3804"/>
    <w:rsid w:val="142147DA"/>
    <w:rsid w:val="14393F00"/>
    <w:rsid w:val="1474515F"/>
    <w:rsid w:val="14D6523E"/>
    <w:rsid w:val="150A2690"/>
    <w:rsid w:val="150F67BF"/>
    <w:rsid w:val="15440D1F"/>
    <w:rsid w:val="154716B1"/>
    <w:rsid w:val="15636BDD"/>
    <w:rsid w:val="15844850"/>
    <w:rsid w:val="159E329B"/>
    <w:rsid w:val="15C30F5D"/>
    <w:rsid w:val="15CF1FAE"/>
    <w:rsid w:val="15EA55DE"/>
    <w:rsid w:val="15F17EA4"/>
    <w:rsid w:val="15F7298F"/>
    <w:rsid w:val="16172C93"/>
    <w:rsid w:val="163559AE"/>
    <w:rsid w:val="163D4BC8"/>
    <w:rsid w:val="1666131E"/>
    <w:rsid w:val="16A2150D"/>
    <w:rsid w:val="16B26575"/>
    <w:rsid w:val="16D2144F"/>
    <w:rsid w:val="16E93363"/>
    <w:rsid w:val="16EB2510"/>
    <w:rsid w:val="16F325C5"/>
    <w:rsid w:val="171A0164"/>
    <w:rsid w:val="172B6DB1"/>
    <w:rsid w:val="17325EF0"/>
    <w:rsid w:val="176953C3"/>
    <w:rsid w:val="17827870"/>
    <w:rsid w:val="1794670D"/>
    <w:rsid w:val="17A11F25"/>
    <w:rsid w:val="17D41D2E"/>
    <w:rsid w:val="17F26C4F"/>
    <w:rsid w:val="185049B4"/>
    <w:rsid w:val="185D55C0"/>
    <w:rsid w:val="18673E19"/>
    <w:rsid w:val="18A450B7"/>
    <w:rsid w:val="18B3377B"/>
    <w:rsid w:val="18DB7583"/>
    <w:rsid w:val="18DF5267"/>
    <w:rsid w:val="18F711F5"/>
    <w:rsid w:val="19D41982"/>
    <w:rsid w:val="19F67059"/>
    <w:rsid w:val="1A424B3D"/>
    <w:rsid w:val="1A552EF0"/>
    <w:rsid w:val="1A861337"/>
    <w:rsid w:val="1A9E33B7"/>
    <w:rsid w:val="1A9F0813"/>
    <w:rsid w:val="1AC1388F"/>
    <w:rsid w:val="1ADC2370"/>
    <w:rsid w:val="1B024789"/>
    <w:rsid w:val="1B053295"/>
    <w:rsid w:val="1B2929DC"/>
    <w:rsid w:val="1B3C333B"/>
    <w:rsid w:val="1B7725C5"/>
    <w:rsid w:val="1B9D6BC5"/>
    <w:rsid w:val="1BB74F44"/>
    <w:rsid w:val="1BF35E31"/>
    <w:rsid w:val="1C14304D"/>
    <w:rsid w:val="1C151D67"/>
    <w:rsid w:val="1C315AE3"/>
    <w:rsid w:val="1C7134B8"/>
    <w:rsid w:val="1C834A65"/>
    <w:rsid w:val="1C8F571A"/>
    <w:rsid w:val="1C9C5761"/>
    <w:rsid w:val="1CA06411"/>
    <w:rsid w:val="1D14783F"/>
    <w:rsid w:val="1D274763"/>
    <w:rsid w:val="1DBD4AAF"/>
    <w:rsid w:val="1DD82CDE"/>
    <w:rsid w:val="1E02388A"/>
    <w:rsid w:val="1E222EF4"/>
    <w:rsid w:val="1E334045"/>
    <w:rsid w:val="1E8927EE"/>
    <w:rsid w:val="1EA2141D"/>
    <w:rsid w:val="1EBD7778"/>
    <w:rsid w:val="1F026502"/>
    <w:rsid w:val="1F1C3BAF"/>
    <w:rsid w:val="1F405CA6"/>
    <w:rsid w:val="1F5129C4"/>
    <w:rsid w:val="1F7C58E9"/>
    <w:rsid w:val="1FBD02D4"/>
    <w:rsid w:val="1FD4326D"/>
    <w:rsid w:val="1FF24910"/>
    <w:rsid w:val="20090A33"/>
    <w:rsid w:val="205F798A"/>
    <w:rsid w:val="208A5506"/>
    <w:rsid w:val="209B21F6"/>
    <w:rsid w:val="20B23E05"/>
    <w:rsid w:val="20BE1603"/>
    <w:rsid w:val="20D30DB8"/>
    <w:rsid w:val="20F81719"/>
    <w:rsid w:val="211114DB"/>
    <w:rsid w:val="215B5A00"/>
    <w:rsid w:val="21E662D0"/>
    <w:rsid w:val="220D6AC6"/>
    <w:rsid w:val="220E2CF0"/>
    <w:rsid w:val="220F6312"/>
    <w:rsid w:val="22590868"/>
    <w:rsid w:val="22616D0D"/>
    <w:rsid w:val="226506AB"/>
    <w:rsid w:val="22BB40ED"/>
    <w:rsid w:val="22C510EA"/>
    <w:rsid w:val="22CD4CEA"/>
    <w:rsid w:val="22D362BB"/>
    <w:rsid w:val="231E74ED"/>
    <w:rsid w:val="23530CCB"/>
    <w:rsid w:val="23717628"/>
    <w:rsid w:val="237A043D"/>
    <w:rsid w:val="23C1627F"/>
    <w:rsid w:val="23C27E3A"/>
    <w:rsid w:val="23D26F32"/>
    <w:rsid w:val="23E20307"/>
    <w:rsid w:val="23EA0B1B"/>
    <w:rsid w:val="23F45331"/>
    <w:rsid w:val="24115083"/>
    <w:rsid w:val="243454F7"/>
    <w:rsid w:val="243D56CF"/>
    <w:rsid w:val="24BE44C7"/>
    <w:rsid w:val="24D06CF2"/>
    <w:rsid w:val="252B21D0"/>
    <w:rsid w:val="256F0552"/>
    <w:rsid w:val="258230C2"/>
    <w:rsid w:val="25B311EB"/>
    <w:rsid w:val="25BF7042"/>
    <w:rsid w:val="25C66622"/>
    <w:rsid w:val="25DB1A25"/>
    <w:rsid w:val="25E65925"/>
    <w:rsid w:val="25EC303D"/>
    <w:rsid w:val="26414B37"/>
    <w:rsid w:val="2693295B"/>
    <w:rsid w:val="26B402C7"/>
    <w:rsid w:val="26FE037B"/>
    <w:rsid w:val="27045EDC"/>
    <w:rsid w:val="27193993"/>
    <w:rsid w:val="27205733"/>
    <w:rsid w:val="27746AD6"/>
    <w:rsid w:val="277E27A6"/>
    <w:rsid w:val="277F7641"/>
    <w:rsid w:val="27B03A1B"/>
    <w:rsid w:val="27E41C3C"/>
    <w:rsid w:val="27EC4DDD"/>
    <w:rsid w:val="28160AA9"/>
    <w:rsid w:val="281D44F4"/>
    <w:rsid w:val="28726E69"/>
    <w:rsid w:val="28DC72B9"/>
    <w:rsid w:val="29643817"/>
    <w:rsid w:val="29717FC5"/>
    <w:rsid w:val="29A542E4"/>
    <w:rsid w:val="29BA39C9"/>
    <w:rsid w:val="29E2615B"/>
    <w:rsid w:val="29EB07D8"/>
    <w:rsid w:val="2A054A96"/>
    <w:rsid w:val="2A066B9C"/>
    <w:rsid w:val="2A067048"/>
    <w:rsid w:val="2A341177"/>
    <w:rsid w:val="2A5218FD"/>
    <w:rsid w:val="2AE337D3"/>
    <w:rsid w:val="2B440EAC"/>
    <w:rsid w:val="2B943A19"/>
    <w:rsid w:val="2B9C4A30"/>
    <w:rsid w:val="2C0A7E44"/>
    <w:rsid w:val="2C3438FC"/>
    <w:rsid w:val="2C53296B"/>
    <w:rsid w:val="2C7B3E28"/>
    <w:rsid w:val="2C7D639B"/>
    <w:rsid w:val="2C813436"/>
    <w:rsid w:val="2CB50070"/>
    <w:rsid w:val="2CBE4572"/>
    <w:rsid w:val="2CFE1A5A"/>
    <w:rsid w:val="2D304E35"/>
    <w:rsid w:val="2D455F9C"/>
    <w:rsid w:val="2D74711E"/>
    <w:rsid w:val="2D921B52"/>
    <w:rsid w:val="2DA134D1"/>
    <w:rsid w:val="2DA77776"/>
    <w:rsid w:val="2DCB7BFB"/>
    <w:rsid w:val="2DCF6BB5"/>
    <w:rsid w:val="2DDF0916"/>
    <w:rsid w:val="2DDF5351"/>
    <w:rsid w:val="2DE55AB4"/>
    <w:rsid w:val="2DF96FF8"/>
    <w:rsid w:val="2E3F11F2"/>
    <w:rsid w:val="2E4E18AB"/>
    <w:rsid w:val="2E4F5A09"/>
    <w:rsid w:val="2E561C2A"/>
    <w:rsid w:val="2E6F68D1"/>
    <w:rsid w:val="2E824BBB"/>
    <w:rsid w:val="2E934CA9"/>
    <w:rsid w:val="2EFF5429"/>
    <w:rsid w:val="2F470353"/>
    <w:rsid w:val="2F7A151E"/>
    <w:rsid w:val="2FB432C0"/>
    <w:rsid w:val="2FC80E23"/>
    <w:rsid w:val="2FCC0489"/>
    <w:rsid w:val="2FCD3987"/>
    <w:rsid w:val="2FD10510"/>
    <w:rsid w:val="2FD80F0E"/>
    <w:rsid w:val="2FDF7015"/>
    <w:rsid w:val="30506B74"/>
    <w:rsid w:val="30675A9C"/>
    <w:rsid w:val="308807F9"/>
    <w:rsid w:val="30E27814"/>
    <w:rsid w:val="313875B4"/>
    <w:rsid w:val="31672B4C"/>
    <w:rsid w:val="31926DF6"/>
    <w:rsid w:val="31AC18B2"/>
    <w:rsid w:val="31C205E6"/>
    <w:rsid w:val="31C82FCF"/>
    <w:rsid w:val="31DF116B"/>
    <w:rsid w:val="32070B68"/>
    <w:rsid w:val="32185788"/>
    <w:rsid w:val="3234761C"/>
    <w:rsid w:val="324F033D"/>
    <w:rsid w:val="325D3E6B"/>
    <w:rsid w:val="3281224F"/>
    <w:rsid w:val="32951856"/>
    <w:rsid w:val="3299637A"/>
    <w:rsid w:val="32B35F36"/>
    <w:rsid w:val="32CB13F8"/>
    <w:rsid w:val="32E03B66"/>
    <w:rsid w:val="32F23D0A"/>
    <w:rsid w:val="32F522F5"/>
    <w:rsid w:val="331103CC"/>
    <w:rsid w:val="331C1EFD"/>
    <w:rsid w:val="335E305A"/>
    <w:rsid w:val="33DB5AFF"/>
    <w:rsid w:val="33DC5263"/>
    <w:rsid w:val="33F507CE"/>
    <w:rsid w:val="342709B9"/>
    <w:rsid w:val="342F346E"/>
    <w:rsid w:val="349E2C90"/>
    <w:rsid w:val="34AE4E61"/>
    <w:rsid w:val="34BA30BB"/>
    <w:rsid w:val="35057941"/>
    <w:rsid w:val="350C46FB"/>
    <w:rsid w:val="352E0148"/>
    <w:rsid w:val="353B63E4"/>
    <w:rsid w:val="35456445"/>
    <w:rsid w:val="35845BB2"/>
    <w:rsid w:val="359130B6"/>
    <w:rsid w:val="35C6307B"/>
    <w:rsid w:val="35E846EC"/>
    <w:rsid w:val="369332D6"/>
    <w:rsid w:val="36B94AA6"/>
    <w:rsid w:val="36BC3D8B"/>
    <w:rsid w:val="36BD0003"/>
    <w:rsid w:val="36DB06DF"/>
    <w:rsid w:val="370C39F6"/>
    <w:rsid w:val="371E0B4E"/>
    <w:rsid w:val="37541B70"/>
    <w:rsid w:val="37597386"/>
    <w:rsid w:val="37795AA0"/>
    <w:rsid w:val="37920008"/>
    <w:rsid w:val="37A20C8C"/>
    <w:rsid w:val="37B00EE0"/>
    <w:rsid w:val="37C13AA8"/>
    <w:rsid w:val="37D5480C"/>
    <w:rsid w:val="38160499"/>
    <w:rsid w:val="385628CC"/>
    <w:rsid w:val="38643535"/>
    <w:rsid w:val="38BD382A"/>
    <w:rsid w:val="38C0721C"/>
    <w:rsid w:val="38E726E0"/>
    <w:rsid w:val="390019C7"/>
    <w:rsid w:val="390962FB"/>
    <w:rsid w:val="397054E2"/>
    <w:rsid w:val="397A3409"/>
    <w:rsid w:val="397E6E3B"/>
    <w:rsid w:val="39A8471A"/>
    <w:rsid w:val="39AB2B8B"/>
    <w:rsid w:val="39BF365D"/>
    <w:rsid w:val="39F364AE"/>
    <w:rsid w:val="3A125510"/>
    <w:rsid w:val="3A160B95"/>
    <w:rsid w:val="3A18254A"/>
    <w:rsid w:val="3A425496"/>
    <w:rsid w:val="3A4D6E69"/>
    <w:rsid w:val="3A4F75EF"/>
    <w:rsid w:val="3A537D73"/>
    <w:rsid w:val="3A7D599F"/>
    <w:rsid w:val="3A843F8B"/>
    <w:rsid w:val="3A89118D"/>
    <w:rsid w:val="3A8B0EFD"/>
    <w:rsid w:val="3A992100"/>
    <w:rsid w:val="3AB6112C"/>
    <w:rsid w:val="3AC727C9"/>
    <w:rsid w:val="3AD611D0"/>
    <w:rsid w:val="3B396910"/>
    <w:rsid w:val="3B52429F"/>
    <w:rsid w:val="3B566F51"/>
    <w:rsid w:val="3B77509E"/>
    <w:rsid w:val="3B887E69"/>
    <w:rsid w:val="3B8E6E59"/>
    <w:rsid w:val="3BA65DEC"/>
    <w:rsid w:val="3BBD3DCD"/>
    <w:rsid w:val="3BBF5B96"/>
    <w:rsid w:val="3BE74978"/>
    <w:rsid w:val="3C880E85"/>
    <w:rsid w:val="3CBC7E10"/>
    <w:rsid w:val="3CDA1EE4"/>
    <w:rsid w:val="3CDC2292"/>
    <w:rsid w:val="3D05582A"/>
    <w:rsid w:val="3D261061"/>
    <w:rsid w:val="3D29211F"/>
    <w:rsid w:val="3D4662D9"/>
    <w:rsid w:val="3D5440BC"/>
    <w:rsid w:val="3D6B6B23"/>
    <w:rsid w:val="3D9A2417"/>
    <w:rsid w:val="3DB5026E"/>
    <w:rsid w:val="3DD12874"/>
    <w:rsid w:val="3DD64167"/>
    <w:rsid w:val="3DDD1B67"/>
    <w:rsid w:val="3DEE4511"/>
    <w:rsid w:val="3DF00289"/>
    <w:rsid w:val="3E01673E"/>
    <w:rsid w:val="3E1453F5"/>
    <w:rsid w:val="3E277EE2"/>
    <w:rsid w:val="3E4D00CB"/>
    <w:rsid w:val="3E8872F6"/>
    <w:rsid w:val="3EC35BBC"/>
    <w:rsid w:val="3ED137EE"/>
    <w:rsid w:val="3F2C52F0"/>
    <w:rsid w:val="3F6978AA"/>
    <w:rsid w:val="3F913467"/>
    <w:rsid w:val="40090159"/>
    <w:rsid w:val="40807087"/>
    <w:rsid w:val="409346DF"/>
    <w:rsid w:val="40A32121"/>
    <w:rsid w:val="40DF7875"/>
    <w:rsid w:val="40E55DD6"/>
    <w:rsid w:val="4103390E"/>
    <w:rsid w:val="4163623E"/>
    <w:rsid w:val="416656FB"/>
    <w:rsid w:val="41FA1ACA"/>
    <w:rsid w:val="42157B5E"/>
    <w:rsid w:val="42380B97"/>
    <w:rsid w:val="424203E8"/>
    <w:rsid w:val="42507548"/>
    <w:rsid w:val="42B47119"/>
    <w:rsid w:val="42BD2E06"/>
    <w:rsid w:val="42D72D40"/>
    <w:rsid w:val="42E570DE"/>
    <w:rsid w:val="43285C89"/>
    <w:rsid w:val="43302100"/>
    <w:rsid w:val="437E3311"/>
    <w:rsid w:val="438D2298"/>
    <w:rsid w:val="43BD65BA"/>
    <w:rsid w:val="43BF1E31"/>
    <w:rsid w:val="43D9356D"/>
    <w:rsid w:val="43E63682"/>
    <w:rsid w:val="44065017"/>
    <w:rsid w:val="44211954"/>
    <w:rsid w:val="44214728"/>
    <w:rsid w:val="4427252A"/>
    <w:rsid w:val="44380293"/>
    <w:rsid w:val="44405A11"/>
    <w:rsid w:val="44670B79"/>
    <w:rsid w:val="4469269E"/>
    <w:rsid w:val="448D3902"/>
    <w:rsid w:val="44A95CEC"/>
    <w:rsid w:val="44C8330E"/>
    <w:rsid w:val="44D437D2"/>
    <w:rsid w:val="44EB1363"/>
    <w:rsid w:val="450B7F44"/>
    <w:rsid w:val="45433394"/>
    <w:rsid w:val="455E45F3"/>
    <w:rsid w:val="457C705B"/>
    <w:rsid w:val="45922701"/>
    <w:rsid w:val="459B4162"/>
    <w:rsid w:val="45B63B66"/>
    <w:rsid w:val="45DB039B"/>
    <w:rsid w:val="45FB27BA"/>
    <w:rsid w:val="463217E8"/>
    <w:rsid w:val="46335317"/>
    <w:rsid w:val="464E1EBB"/>
    <w:rsid w:val="46530AF0"/>
    <w:rsid w:val="46554267"/>
    <w:rsid w:val="46AF70F5"/>
    <w:rsid w:val="473236C0"/>
    <w:rsid w:val="475C70F4"/>
    <w:rsid w:val="47726DDC"/>
    <w:rsid w:val="4781776C"/>
    <w:rsid w:val="47BF736E"/>
    <w:rsid w:val="47E769C5"/>
    <w:rsid w:val="47E904B8"/>
    <w:rsid w:val="48397FC7"/>
    <w:rsid w:val="483E597A"/>
    <w:rsid w:val="488162EB"/>
    <w:rsid w:val="48AC4395"/>
    <w:rsid w:val="49750B99"/>
    <w:rsid w:val="497A330E"/>
    <w:rsid w:val="498F6E65"/>
    <w:rsid w:val="49BC5E8E"/>
    <w:rsid w:val="49D27F33"/>
    <w:rsid w:val="49D448E3"/>
    <w:rsid w:val="49DF1831"/>
    <w:rsid w:val="4A251698"/>
    <w:rsid w:val="4A315EB1"/>
    <w:rsid w:val="4A3576EB"/>
    <w:rsid w:val="4AC24D5B"/>
    <w:rsid w:val="4AE42F23"/>
    <w:rsid w:val="4AF00461"/>
    <w:rsid w:val="4B1A0571"/>
    <w:rsid w:val="4B1A069C"/>
    <w:rsid w:val="4B266B94"/>
    <w:rsid w:val="4B654FB6"/>
    <w:rsid w:val="4B6A5B83"/>
    <w:rsid w:val="4B716D5D"/>
    <w:rsid w:val="4B954B24"/>
    <w:rsid w:val="4BDA1FB9"/>
    <w:rsid w:val="4C3E6663"/>
    <w:rsid w:val="4CB74895"/>
    <w:rsid w:val="4CDD1CD9"/>
    <w:rsid w:val="4CE1778C"/>
    <w:rsid w:val="4D133390"/>
    <w:rsid w:val="4D255CC4"/>
    <w:rsid w:val="4D4A249F"/>
    <w:rsid w:val="4D9000BE"/>
    <w:rsid w:val="4DA4784B"/>
    <w:rsid w:val="4DBC76C0"/>
    <w:rsid w:val="4DCB520D"/>
    <w:rsid w:val="4DCE5B71"/>
    <w:rsid w:val="4DDA670D"/>
    <w:rsid w:val="4E471638"/>
    <w:rsid w:val="4E5B5AFC"/>
    <w:rsid w:val="4E643E7E"/>
    <w:rsid w:val="4E915170"/>
    <w:rsid w:val="4EC07803"/>
    <w:rsid w:val="4ECA0682"/>
    <w:rsid w:val="4ECD4BAC"/>
    <w:rsid w:val="4ED2754D"/>
    <w:rsid w:val="4EEF0B69"/>
    <w:rsid w:val="4F4837B7"/>
    <w:rsid w:val="4F601C3B"/>
    <w:rsid w:val="4F6835FE"/>
    <w:rsid w:val="4FB90871"/>
    <w:rsid w:val="4FD806DC"/>
    <w:rsid w:val="50455914"/>
    <w:rsid w:val="50EF1340"/>
    <w:rsid w:val="514D29C2"/>
    <w:rsid w:val="51782A54"/>
    <w:rsid w:val="51F842B8"/>
    <w:rsid w:val="52082FA5"/>
    <w:rsid w:val="521C110E"/>
    <w:rsid w:val="52410C5B"/>
    <w:rsid w:val="524F2DD5"/>
    <w:rsid w:val="52A1643C"/>
    <w:rsid w:val="52F727E4"/>
    <w:rsid w:val="532277F3"/>
    <w:rsid w:val="53464982"/>
    <w:rsid w:val="5366147A"/>
    <w:rsid w:val="53AA14DC"/>
    <w:rsid w:val="53AD5667"/>
    <w:rsid w:val="53B13B7E"/>
    <w:rsid w:val="53F464BD"/>
    <w:rsid w:val="540F68E3"/>
    <w:rsid w:val="543A0277"/>
    <w:rsid w:val="544E58B1"/>
    <w:rsid w:val="54AB64BD"/>
    <w:rsid w:val="54DB5F6B"/>
    <w:rsid w:val="55150BCD"/>
    <w:rsid w:val="553E7A7D"/>
    <w:rsid w:val="554D2A45"/>
    <w:rsid w:val="55563985"/>
    <w:rsid w:val="55A54502"/>
    <w:rsid w:val="55C909CB"/>
    <w:rsid w:val="55F2591C"/>
    <w:rsid w:val="55F34016"/>
    <w:rsid w:val="562F5193"/>
    <w:rsid w:val="563244E2"/>
    <w:rsid w:val="565E12D9"/>
    <w:rsid w:val="56751B7C"/>
    <w:rsid w:val="56FE536D"/>
    <w:rsid w:val="57055F55"/>
    <w:rsid w:val="57260F75"/>
    <w:rsid w:val="57571199"/>
    <w:rsid w:val="57986CC2"/>
    <w:rsid w:val="57A852D8"/>
    <w:rsid w:val="57D83FAF"/>
    <w:rsid w:val="57E64CF0"/>
    <w:rsid w:val="57EE7073"/>
    <w:rsid w:val="57FD3876"/>
    <w:rsid w:val="587618AC"/>
    <w:rsid w:val="58AF7D45"/>
    <w:rsid w:val="58B175AE"/>
    <w:rsid w:val="58BB180B"/>
    <w:rsid w:val="58E45B6A"/>
    <w:rsid w:val="59267F48"/>
    <w:rsid w:val="592A7F03"/>
    <w:rsid w:val="593327A4"/>
    <w:rsid w:val="598D0C2A"/>
    <w:rsid w:val="59933EE6"/>
    <w:rsid w:val="59973179"/>
    <w:rsid w:val="59B14918"/>
    <w:rsid w:val="59D8488B"/>
    <w:rsid w:val="59DA3905"/>
    <w:rsid w:val="59DD4501"/>
    <w:rsid w:val="5A5D2BCB"/>
    <w:rsid w:val="5A641AC6"/>
    <w:rsid w:val="5AA77AC9"/>
    <w:rsid w:val="5AE658B8"/>
    <w:rsid w:val="5AFF2506"/>
    <w:rsid w:val="5B012003"/>
    <w:rsid w:val="5B0D5B7E"/>
    <w:rsid w:val="5B1C4E82"/>
    <w:rsid w:val="5B3539CB"/>
    <w:rsid w:val="5BAC158E"/>
    <w:rsid w:val="5BB572F4"/>
    <w:rsid w:val="5BD743DE"/>
    <w:rsid w:val="5C0F5E89"/>
    <w:rsid w:val="5C124ABF"/>
    <w:rsid w:val="5C194129"/>
    <w:rsid w:val="5C1C3400"/>
    <w:rsid w:val="5C2804AD"/>
    <w:rsid w:val="5C3C6CB8"/>
    <w:rsid w:val="5CA23634"/>
    <w:rsid w:val="5CA478F0"/>
    <w:rsid w:val="5CD408BA"/>
    <w:rsid w:val="5CD76BD9"/>
    <w:rsid w:val="5CE639D8"/>
    <w:rsid w:val="5D327B1E"/>
    <w:rsid w:val="5D942587"/>
    <w:rsid w:val="5DB021F7"/>
    <w:rsid w:val="5DDA619B"/>
    <w:rsid w:val="5E00477C"/>
    <w:rsid w:val="5E113AEE"/>
    <w:rsid w:val="5E32072B"/>
    <w:rsid w:val="5E435D88"/>
    <w:rsid w:val="5E6B6BB8"/>
    <w:rsid w:val="5E8343A9"/>
    <w:rsid w:val="5E943373"/>
    <w:rsid w:val="5EDA20E9"/>
    <w:rsid w:val="5F241E95"/>
    <w:rsid w:val="5F585836"/>
    <w:rsid w:val="5F686815"/>
    <w:rsid w:val="5FF65310"/>
    <w:rsid w:val="60177C29"/>
    <w:rsid w:val="60211151"/>
    <w:rsid w:val="60246991"/>
    <w:rsid w:val="609B4D2A"/>
    <w:rsid w:val="60C223EF"/>
    <w:rsid w:val="60DD4BA5"/>
    <w:rsid w:val="60F92651"/>
    <w:rsid w:val="612727C6"/>
    <w:rsid w:val="613F0A5C"/>
    <w:rsid w:val="614A0876"/>
    <w:rsid w:val="61587C61"/>
    <w:rsid w:val="61A032E4"/>
    <w:rsid w:val="61B01958"/>
    <w:rsid w:val="61C05174"/>
    <w:rsid w:val="61C3168D"/>
    <w:rsid w:val="61DB4182"/>
    <w:rsid w:val="61E92CCA"/>
    <w:rsid w:val="62281F4B"/>
    <w:rsid w:val="62342D75"/>
    <w:rsid w:val="625A1317"/>
    <w:rsid w:val="62821504"/>
    <w:rsid w:val="62D3757E"/>
    <w:rsid w:val="62E93FA4"/>
    <w:rsid w:val="631D7E23"/>
    <w:rsid w:val="633A7FA4"/>
    <w:rsid w:val="634520EC"/>
    <w:rsid w:val="636A4689"/>
    <w:rsid w:val="63952BB5"/>
    <w:rsid w:val="639916D3"/>
    <w:rsid w:val="63FD6F73"/>
    <w:rsid w:val="6423627E"/>
    <w:rsid w:val="6424218B"/>
    <w:rsid w:val="642D103F"/>
    <w:rsid w:val="6440051E"/>
    <w:rsid w:val="64480A16"/>
    <w:rsid w:val="644903C3"/>
    <w:rsid w:val="6463533F"/>
    <w:rsid w:val="64A26BBA"/>
    <w:rsid w:val="64A70DF2"/>
    <w:rsid w:val="64AE6553"/>
    <w:rsid w:val="64B06C0B"/>
    <w:rsid w:val="64E77440"/>
    <w:rsid w:val="64F502BB"/>
    <w:rsid w:val="651F1583"/>
    <w:rsid w:val="656960A7"/>
    <w:rsid w:val="656B40A0"/>
    <w:rsid w:val="656E0E00"/>
    <w:rsid w:val="65CE23AE"/>
    <w:rsid w:val="65FA5DBC"/>
    <w:rsid w:val="65FD4038"/>
    <w:rsid w:val="662207D5"/>
    <w:rsid w:val="6636323C"/>
    <w:rsid w:val="66435C4A"/>
    <w:rsid w:val="66860D55"/>
    <w:rsid w:val="66A6332B"/>
    <w:rsid w:val="66B17B4D"/>
    <w:rsid w:val="66E35E10"/>
    <w:rsid w:val="66E856F1"/>
    <w:rsid w:val="66FA167E"/>
    <w:rsid w:val="67727D2C"/>
    <w:rsid w:val="67CD6582"/>
    <w:rsid w:val="67D91902"/>
    <w:rsid w:val="67E078DF"/>
    <w:rsid w:val="67FD2842"/>
    <w:rsid w:val="67FF2D16"/>
    <w:rsid w:val="680352E0"/>
    <w:rsid w:val="682069FD"/>
    <w:rsid w:val="683F0AC4"/>
    <w:rsid w:val="68776E8D"/>
    <w:rsid w:val="688A2124"/>
    <w:rsid w:val="68B74EC8"/>
    <w:rsid w:val="69113E5F"/>
    <w:rsid w:val="691722BE"/>
    <w:rsid w:val="69282628"/>
    <w:rsid w:val="693E5A9D"/>
    <w:rsid w:val="69530E9A"/>
    <w:rsid w:val="69801C11"/>
    <w:rsid w:val="69CB06BF"/>
    <w:rsid w:val="6A0D5B9B"/>
    <w:rsid w:val="6A13774D"/>
    <w:rsid w:val="6A415844"/>
    <w:rsid w:val="6A5E1C04"/>
    <w:rsid w:val="6A605EE2"/>
    <w:rsid w:val="6A8E7313"/>
    <w:rsid w:val="6A906F95"/>
    <w:rsid w:val="6AA21D1D"/>
    <w:rsid w:val="6ABD6813"/>
    <w:rsid w:val="6ACE3652"/>
    <w:rsid w:val="6ACE5484"/>
    <w:rsid w:val="6AEE0DD2"/>
    <w:rsid w:val="6B064398"/>
    <w:rsid w:val="6B4B624F"/>
    <w:rsid w:val="6B8644F3"/>
    <w:rsid w:val="6B9648E2"/>
    <w:rsid w:val="6B97389C"/>
    <w:rsid w:val="6BA37E39"/>
    <w:rsid w:val="6BB04D51"/>
    <w:rsid w:val="6BCA3EE2"/>
    <w:rsid w:val="6BD83F86"/>
    <w:rsid w:val="6BDD524C"/>
    <w:rsid w:val="6C2F6ED2"/>
    <w:rsid w:val="6C4F42F8"/>
    <w:rsid w:val="6C4F730A"/>
    <w:rsid w:val="6C74101A"/>
    <w:rsid w:val="6C78486E"/>
    <w:rsid w:val="6C804E3A"/>
    <w:rsid w:val="6C88654F"/>
    <w:rsid w:val="6CA9178D"/>
    <w:rsid w:val="6CB73CF7"/>
    <w:rsid w:val="6CBB4B08"/>
    <w:rsid w:val="6CCB5899"/>
    <w:rsid w:val="6CD02EB0"/>
    <w:rsid w:val="6D47008B"/>
    <w:rsid w:val="6DA077C1"/>
    <w:rsid w:val="6DCD0837"/>
    <w:rsid w:val="6E565636"/>
    <w:rsid w:val="6E700D11"/>
    <w:rsid w:val="6E873A42"/>
    <w:rsid w:val="6EE132C7"/>
    <w:rsid w:val="6EF17222"/>
    <w:rsid w:val="6F0068EF"/>
    <w:rsid w:val="6F050D2E"/>
    <w:rsid w:val="6F145A74"/>
    <w:rsid w:val="6F2E5B23"/>
    <w:rsid w:val="6F6C44E9"/>
    <w:rsid w:val="6F7E0BD0"/>
    <w:rsid w:val="6F8E5A21"/>
    <w:rsid w:val="6F936F0B"/>
    <w:rsid w:val="6FD607DD"/>
    <w:rsid w:val="6FEF578F"/>
    <w:rsid w:val="701B08E6"/>
    <w:rsid w:val="7026168C"/>
    <w:rsid w:val="70380997"/>
    <w:rsid w:val="706B361B"/>
    <w:rsid w:val="70786DFB"/>
    <w:rsid w:val="70E15E3F"/>
    <w:rsid w:val="7190518B"/>
    <w:rsid w:val="71B07212"/>
    <w:rsid w:val="71D965E2"/>
    <w:rsid w:val="71DF0BB3"/>
    <w:rsid w:val="720A29C0"/>
    <w:rsid w:val="72693674"/>
    <w:rsid w:val="726F778B"/>
    <w:rsid w:val="729B6B8D"/>
    <w:rsid w:val="72DC479F"/>
    <w:rsid w:val="73043725"/>
    <w:rsid w:val="73052279"/>
    <w:rsid w:val="731C71CE"/>
    <w:rsid w:val="73395D1E"/>
    <w:rsid w:val="733E7ADA"/>
    <w:rsid w:val="734839D0"/>
    <w:rsid w:val="73580BCD"/>
    <w:rsid w:val="73780A17"/>
    <w:rsid w:val="739A384D"/>
    <w:rsid w:val="73A66EC1"/>
    <w:rsid w:val="73C7188E"/>
    <w:rsid w:val="73CB43D1"/>
    <w:rsid w:val="7402791D"/>
    <w:rsid w:val="74063D9D"/>
    <w:rsid w:val="743A7C47"/>
    <w:rsid w:val="74C70889"/>
    <w:rsid w:val="74CC659F"/>
    <w:rsid w:val="74CF33B1"/>
    <w:rsid w:val="74EF22B9"/>
    <w:rsid w:val="74FF23F9"/>
    <w:rsid w:val="7503065E"/>
    <w:rsid w:val="751A73BE"/>
    <w:rsid w:val="754B0D09"/>
    <w:rsid w:val="75556648"/>
    <w:rsid w:val="7581026A"/>
    <w:rsid w:val="75A77531"/>
    <w:rsid w:val="75D91027"/>
    <w:rsid w:val="76651C0D"/>
    <w:rsid w:val="767A306F"/>
    <w:rsid w:val="768272AF"/>
    <w:rsid w:val="769E2951"/>
    <w:rsid w:val="76D82401"/>
    <w:rsid w:val="76F53AEF"/>
    <w:rsid w:val="77023642"/>
    <w:rsid w:val="774372B0"/>
    <w:rsid w:val="77495D38"/>
    <w:rsid w:val="77624E21"/>
    <w:rsid w:val="77B85D22"/>
    <w:rsid w:val="77F10179"/>
    <w:rsid w:val="77FC0FFD"/>
    <w:rsid w:val="78212EB3"/>
    <w:rsid w:val="782A4759"/>
    <w:rsid w:val="782B3649"/>
    <w:rsid w:val="784329C7"/>
    <w:rsid w:val="78886D34"/>
    <w:rsid w:val="788F1479"/>
    <w:rsid w:val="78BD1FA7"/>
    <w:rsid w:val="78EA354B"/>
    <w:rsid w:val="78FA2DA2"/>
    <w:rsid w:val="78FD04CC"/>
    <w:rsid w:val="79181E66"/>
    <w:rsid w:val="79215E55"/>
    <w:rsid w:val="79703A50"/>
    <w:rsid w:val="798475D4"/>
    <w:rsid w:val="79D36A58"/>
    <w:rsid w:val="79EF5B06"/>
    <w:rsid w:val="7A11408C"/>
    <w:rsid w:val="7A117F7C"/>
    <w:rsid w:val="7A2807F1"/>
    <w:rsid w:val="7A2939B4"/>
    <w:rsid w:val="7A455D6A"/>
    <w:rsid w:val="7A9D7A99"/>
    <w:rsid w:val="7AD51075"/>
    <w:rsid w:val="7ADA7AB6"/>
    <w:rsid w:val="7B5266EC"/>
    <w:rsid w:val="7B566704"/>
    <w:rsid w:val="7B760503"/>
    <w:rsid w:val="7B8E4B24"/>
    <w:rsid w:val="7B8F3F36"/>
    <w:rsid w:val="7BEE018A"/>
    <w:rsid w:val="7BF22EBA"/>
    <w:rsid w:val="7C0A3D07"/>
    <w:rsid w:val="7C2D409B"/>
    <w:rsid w:val="7C4C454C"/>
    <w:rsid w:val="7C513D15"/>
    <w:rsid w:val="7C5905B6"/>
    <w:rsid w:val="7C9A6AEA"/>
    <w:rsid w:val="7CB36D3E"/>
    <w:rsid w:val="7CC60768"/>
    <w:rsid w:val="7CE432B0"/>
    <w:rsid w:val="7CF27FB9"/>
    <w:rsid w:val="7CFF1C02"/>
    <w:rsid w:val="7D220CC3"/>
    <w:rsid w:val="7D4551F4"/>
    <w:rsid w:val="7D667D5C"/>
    <w:rsid w:val="7DBE7C49"/>
    <w:rsid w:val="7DE33CE3"/>
    <w:rsid w:val="7DF82BBE"/>
    <w:rsid w:val="7E024676"/>
    <w:rsid w:val="7E15087E"/>
    <w:rsid w:val="7E163059"/>
    <w:rsid w:val="7E4A543B"/>
    <w:rsid w:val="7E6D2DC5"/>
    <w:rsid w:val="7E82481C"/>
    <w:rsid w:val="7E9628ED"/>
    <w:rsid w:val="7EA97FD5"/>
    <w:rsid w:val="7EB03964"/>
    <w:rsid w:val="7EB4661A"/>
    <w:rsid w:val="7EBD21E5"/>
    <w:rsid w:val="7EBF5512"/>
    <w:rsid w:val="7EFD16EC"/>
    <w:rsid w:val="7F10538E"/>
    <w:rsid w:val="7F1B1084"/>
    <w:rsid w:val="7F6D64CE"/>
    <w:rsid w:val="7FA3761A"/>
    <w:rsid w:val="7FB94E9E"/>
    <w:rsid w:val="7FFE6B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qFormat="1"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qFormat="1" w:uiPriority="0" w:semiHidden="0" w:name="toc 2"/>
    <w:lsdException w:qFormat="1"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3"/>
    <w:qFormat/>
    <w:uiPriority w:val="0"/>
    <w:pPr>
      <w:keepNext/>
      <w:outlineLvl w:val="0"/>
    </w:pPr>
    <w:rPr>
      <w:rFonts w:ascii="宋体" w:hAnsi="宋体" w:cs="宋体"/>
      <w:b/>
      <w:sz w:val="52"/>
      <w:szCs w:val="24"/>
    </w:rPr>
  </w:style>
  <w:style w:type="paragraph" w:styleId="3">
    <w:name w:val="heading 2"/>
    <w:basedOn w:val="1"/>
    <w:next w:val="1"/>
    <w:link w:val="58"/>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416" w:lineRule="auto"/>
      <w:outlineLvl w:val="2"/>
    </w:pPr>
    <w:rPr>
      <w:b/>
      <w:bCs/>
      <w:sz w:val="32"/>
      <w:szCs w:val="32"/>
    </w:rPr>
  </w:style>
  <w:style w:type="paragraph" w:styleId="5">
    <w:name w:val="heading 4"/>
    <w:basedOn w:val="1"/>
    <w:next w:val="1"/>
    <w:qFormat/>
    <w:uiPriority w:val="0"/>
    <w:pPr>
      <w:keepNext/>
      <w:keepLines/>
      <w:spacing w:line="376" w:lineRule="auto"/>
      <w:outlineLvl w:val="3"/>
    </w:pPr>
    <w:rPr>
      <w:rFonts w:ascii="Arial" w:hAnsi="Arial" w:eastAsia="黑体"/>
      <w:b/>
      <w:bCs/>
      <w:sz w:val="28"/>
      <w:szCs w:val="28"/>
    </w:rPr>
  </w:style>
  <w:style w:type="paragraph" w:styleId="6">
    <w:name w:val="heading 7"/>
    <w:basedOn w:val="1"/>
    <w:next w:val="1"/>
    <w:link w:val="64"/>
    <w:qFormat/>
    <w:uiPriority w:val="0"/>
    <w:pPr>
      <w:keepNext/>
      <w:keepLines/>
      <w:spacing w:line="320" w:lineRule="auto"/>
      <w:outlineLvl w:val="6"/>
    </w:pPr>
    <w:rPr>
      <w:b/>
      <w:bCs/>
      <w:sz w:val="24"/>
      <w:szCs w:val="24"/>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7">
    <w:name w:val="List Number"/>
    <w:basedOn w:val="1"/>
    <w:qFormat/>
    <w:uiPriority w:val="0"/>
    <w:pPr>
      <w:widowControl/>
      <w:numPr>
        <w:ilvl w:val="0"/>
        <w:numId w:val="1"/>
      </w:numPr>
      <w:tabs>
        <w:tab w:val="left" w:pos="454"/>
        <w:tab w:val="left" w:pos="720"/>
        <w:tab w:val="clear" w:pos="360"/>
      </w:tabs>
      <w:spacing w:afterLines="50"/>
      <w:ind w:left="454" w:hanging="284"/>
      <w:jc w:val="left"/>
    </w:pPr>
    <w:rPr>
      <w:kern w:val="0"/>
      <w:sz w:val="24"/>
    </w:rPr>
  </w:style>
  <w:style w:type="paragraph" w:styleId="8">
    <w:name w:val="Normal Indent"/>
    <w:basedOn w:val="1"/>
    <w:next w:val="1"/>
    <w:link w:val="57"/>
    <w:qFormat/>
    <w:uiPriority w:val="0"/>
    <w:pPr>
      <w:ind w:firstLine="420" w:firstLineChars="200"/>
    </w:pPr>
  </w:style>
  <w:style w:type="paragraph" w:styleId="9">
    <w:name w:val="caption"/>
    <w:basedOn w:val="1"/>
    <w:next w:val="1"/>
    <w:qFormat/>
    <w:uiPriority w:val="0"/>
    <w:rPr>
      <w:rFonts w:ascii="Arial" w:hAnsi="Arial" w:eastAsia="黑体" w:cs="Arial"/>
      <w:sz w:val="20"/>
    </w:rPr>
  </w:style>
  <w:style w:type="paragraph" w:styleId="10">
    <w:name w:val="annotation text"/>
    <w:basedOn w:val="1"/>
    <w:semiHidden/>
    <w:qFormat/>
    <w:uiPriority w:val="0"/>
    <w:pPr>
      <w:jc w:val="left"/>
    </w:pPr>
  </w:style>
  <w:style w:type="paragraph" w:styleId="11">
    <w:name w:val="index 6"/>
    <w:basedOn w:val="1"/>
    <w:next w:val="1"/>
    <w:qFormat/>
    <w:uiPriority w:val="99"/>
    <w:pPr>
      <w:ind w:left="2100"/>
    </w:pPr>
  </w:style>
  <w:style w:type="paragraph" w:styleId="12">
    <w:name w:val="Body Text"/>
    <w:basedOn w:val="1"/>
    <w:next w:val="13"/>
    <w:link w:val="61"/>
    <w:semiHidden/>
    <w:qFormat/>
    <w:uiPriority w:val="0"/>
    <w:pPr>
      <w:autoSpaceDE w:val="0"/>
      <w:autoSpaceDN w:val="0"/>
      <w:adjustRightInd w:val="0"/>
      <w:spacing w:line="320" w:lineRule="atLeast"/>
      <w:ind w:firstLine="357"/>
      <w:textAlignment w:val="baseline"/>
    </w:pPr>
    <w:rPr>
      <w:sz w:val="18"/>
    </w:rPr>
  </w:style>
  <w:style w:type="paragraph" w:customStyle="1" w:styleId="13">
    <w:name w:val="正文0"/>
    <w:qFormat/>
    <w:uiPriority w:val="99"/>
    <w:pPr>
      <w:widowControl w:val="0"/>
      <w:jc w:val="both"/>
    </w:pPr>
    <w:rPr>
      <w:rFonts w:ascii="Times New Roman" w:hAnsi="Times New Roman" w:eastAsia="宋体" w:cs="Times New Roman"/>
      <w:kern w:val="2"/>
      <w:sz w:val="21"/>
      <w:lang w:val="en-US" w:eastAsia="zh-CN" w:bidi="ar-SA"/>
    </w:rPr>
  </w:style>
  <w:style w:type="paragraph" w:styleId="14">
    <w:name w:val="Body Text Indent"/>
    <w:basedOn w:val="1"/>
    <w:next w:val="5"/>
    <w:qFormat/>
    <w:uiPriority w:val="0"/>
    <w:pPr>
      <w:ind w:left="420" w:leftChars="200"/>
    </w:pPr>
  </w:style>
  <w:style w:type="paragraph" w:styleId="15">
    <w:name w:val="toc 3"/>
    <w:basedOn w:val="1"/>
    <w:next w:val="1"/>
    <w:unhideWhenUsed/>
    <w:qFormat/>
    <w:uiPriority w:val="0"/>
    <w:pPr>
      <w:autoSpaceDE w:val="0"/>
      <w:autoSpaceDN w:val="0"/>
      <w:adjustRightInd w:val="0"/>
      <w:spacing w:line="312" w:lineRule="atLeast"/>
      <w:ind w:left="840" w:leftChars="400"/>
      <w:textAlignment w:val="baseline"/>
    </w:pPr>
    <w:rPr>
      <w:kern w:val="0"/>
    </w:rPr>
  </w:style>
  <w:style w:type="paragraph" w:styleId="16">
    <w:name w:val="Plain Text"/>
    <w:basedOn w:val="1"/>
    <w:link w:val="55"/>
    <w:qFormat/>
    <w:uiPriority w:val="0"/>
    <w:rPr>
      <w:rFonts w:ascii="宋体" w:hAnsi="Courier New"/>
    </w:rPr>
  </w:style>
  <w:style w:type="paragraph" w:styleId="17">
    <w:name w:val="Date"/>
    <w:basedOn w:val="1"/>
    <w:next w:val="1"/>
    <w:qFormat/>
    <w:uiPriority w:val="0"/>
    <w:pPr>
      <w:ind w:left="100"/>
    </w:pPr>
    <w:rPr>
      <w:sz w:val="28"/>
    </w:rPr>
  </w:style>
  <w:style w:type="paragraph" w:styleId="18">
    <w:name w:val="Body Text Indent 2"/>
    <w:basedOn w:val="1"/>
    <w:qFormat/>
    <w:uiPriority w:val="0"/>
    <w:pPr>
      <w:ind w:firstLine="480"/>
    </w:pPr>
    <w:rPr>
      <w:rFonts w:ascii="宋体" w:hAnsi="宋体"/>
      <w:sz w:val="30"/>
      <w:szCs w:val="24"/>
    </w:rPr>
  </w:style>
  <w:style w:type="paragraph" w:styleId="19">
    <w:name w:val="Balloon Text"/>
    <w:basedOn w:val="1"/>
    <w:semiHidden/>
    <w:qFormat/>
    <w:uiPriority w:val="0"/>
    <w:rPr>
      <w:sz w:val="18"/>
      <w:szCs w:val="18"/>
    </w:rPr>
  </w:style>
  <w:style w:type="paragraph" w:styleId="20">
    <w:name w:val="footer"/>
    <w:basedOn w:val="1"/>
    <w:link w:val="62"/>
    <w:qFormat/>
    <w:uiPriority w:val="0"/>
    <w:pPr>
      <w:tabs>
        <w:tab w:val="center" w:pos="4153"/>
        <w:tab w:val="right" w:pos="8306"/>
      </w:tabs>
      <w:snapToGrid w:val="0"/>
      <w:jc w:val="left"/>
    </w:pPr>
    <w:rPr>
      <w:sz w:val="18"/>
    </w:rPr>
  </w:style>
  <w:style w:type="paragraph" w:styleId="21">
    <w:name w:val="envelope return"/>
    <w:basedOn w:val="1"/>
    <w:qFormat/>
    <w:uiPriority w:val="0"/>
    <w:pPr>
      <w:snapToGrid w:val="0"/>
    </w:pPr>
    <w:rPr>
      <w:rFonts w:ascii="Arial" w:hAnsi="Arial"/>
    </w:rPr>
  </w:style>
  <w:style w:type="paragraph" w:styleId="22">
    <w:name w:val="header"/>
    <w:basedOn w:val="1"/>
    <w:link w:val="65"/>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0"/>
    <w:pPr>
      <w:autoSpaceDE w:val="0"/>
      <w:autoSpaceDN w:val="0"/>
      <w:adjustRightInd w:val="0"/>
      <w:spacing w:line="312" w:lineRule="atLeast"/>
      <w:textAlignment w:val="baseline"/>
    </w:pPr>
    <w:rPr>
      <w:kern w:val="0"/>
    </w:rPr>
  </w:style>
  <w:style w:type="paragraph" w:styleId="24">
    <w:name w:val="List"/>
    <w:basedOn w:val="1"/>
    <w:semiHidden/>
    <w:qFormat/>
    <w:uiPriority w:val="0"/>
    <w:pPr>
      <w:autoSpaceDE w:val="0"/>
      <w:autoSpaceDN w:val="0"/>
      <w:adjustRightInd w:val="0"/>
      <w:ind w:left="420" w:hanging="420"/>
      <w:textAlignment w:val="baseline"/>
    </w:pPr>
  </w:style>
  <w:style w:type="paragraph" w:styleId="25">
    <w:name w:val="toc 2"/>
    <w:basedOn w:val="1"/>
    <w:next w:val="1"/>
    <w:unhideWhenUsed/>
    <w:qFormat/>
    <w:uiPriority w:val="0"/>
    <w:pPr>
      <w:autoSpaceDE w:val="0"/>
      <w:autoSpaceDN w:val="0"/>
      <w:adjustRightInd w:val="0"/>
      <w:spacing w:line="312" w:lineRule="atLeast"/>
      <w:ind w:left="420" w:leftChars="200"/>
      <w:textAlignment w:val="baseline"/>
    </w:pPr>
    <w:rPr>
      <w:kern w:val="0"/>
    </w:rPr>
  </w:style>
  <w:style w:type="paragraph" w:styleId="26">
    <w:name w:val="HTML Preformatted"/>
    <w:basedOn w:val="1"/>
    <w:qFormat/>
    <w:uiPriority w:val="0"/>
    <w:rPr>
      <w:rFonts w:ascii="Courier New" w:hAnsi="Courier New"/>
      <w:sz w:val="20"/>
    </w:rPr>
  </w:style>
  <w:style w:type="paragraph" w:styleId="27">
    <w:name w:val="Normal (Web)"/>
    <w:basedOn w:val="1"/>
    <w:next w:val="1"/>
    <w:qFormat/>
    <w:uiPriority w:val="0"/>
    <w:pPr>
      <w:widowControl/>
      <w:spacing w:beforeAutospacing="1" w:afterAutospacing="1"/>
      <w:jc w:val="left"/>
    </w:pPr>
    <w:rPr>
      <w:rFonts w:ascii="宋体" w:hAnsi="宋体" w:cs="宋体"/>
      <w:kern w:val="0"/>
      <w:sz w:val="24"/>
      <w:szCs w:val="24"/>
    </w:rPr>
  </w:style>
  <w:style w:type="paragraph" w:styleId="28">
    <w:name w:val="annotation subject"/>
    <w:basedOn w:val="10"/>
    <w:next w:val="10"/>
    <w:semiHidden/>
    <w:qFormat/>
    <w:uiPriority w:val="0"/>
    <w:rPr>
      <w:b/>
      <w:bCs/>
    </w:rPr>
  </w:style>
  <w:style w:type="paragraph" w:styleId="29">
    <w:name w:val="Body Text First Indent"/>
    <w:basedOn w:val="12"/>
    <w:next w:val="1"/>
    <w:link w:val="56"/>
    <w:unhideWhenUsed/>
    <w:qFormat/>
    <w:uiPriority w:val="0"/>
    <w:pPr>
      <w:spacing w:line="312" w:lineRule="atLeast"/>
      <w:ind w:firstLine="420" w:firstLineChars="100"/>
    </w:pPr>
    <w:rPr>
      <w:sz w:val="21"/>
    </w:rPr>
  </w:style>
  <w:style w:type="paragraph" w:styleId="30">
    <w:name w:val="Body Text First Indent 2"/>
    <w:basedOn w:val="14"/>
    <w:qFormat/>
    <w:uiPriority w:val="0"/>
    <w:pPr>
      <w:ind w:firstLine="420" w:firstLineChars="200"/>
    </w:pPr>
    <w:rPr>
      <w:rFonts w:eastAsia="宋?"/>
      <w:sz w:val="32"/>
      <w:szCs w:val="32"/>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basedOn w:val="33"/>
    <w:qFormat/>
    <w:uiPriority w:val="0"/>
    <w:rPr>
      <w:b/>
    </w:rPr>
  </w:style>
  <w:style w:type="character" w:styleId="35">
    <w:name w:val="page number"/>
    <w:basedOn w:val="33"/>
    <w:qFormat/>
    <w:uiPriority w:val="0"/>
  </w:style>
  <w:style w:type="character" w:styleId="36">
    <w:name w:val="Hyperlink"/>
    <w:basedOn w:val="33"/>
    <w:qFormat/>
    <w:uiPriority w:val="0"/>
    <w:rPr>
      <w:color w:val="0000FF"/>
      <w:u w:val="single"/>
    </w:rPr>
  </w:style>
  <w:style w:type="character" w:styleId="37">
    <w:name w:val="annotation reference"/>
    <w:basedOn w:val="33"/>
    <w:semiHidden/>
    <w:qFormat/>
    <w:uiPriority w:val="0"/>
    <w:rPr>
      <w:sz w:val="21"/>
      <w:szCs w:val="21"/>
    </w:rPr>
  </w:style>
  <w:style w:type="character" w:styleId="38">
    <w:name w:val="HTML Sample"/>
    <w:basedOn w:val="33"/>
    <w:qFormat/>
    <w:uiPriority w:val="0"/>
    <w:rPr>
      <w:rFonts w:ascii="Courier New" w:hAnsi="Courier New" w:eastAsia="宋体" w:cs="Times New Roman"/>
    </w:rPr>
  </w:style>
  <w:style w:type="paragraph" w:customStyle="1" w:styleId="39">
    <w:name w:val="目录 53"/>
    <w:basedOn w:val="1"/>
    <w:next w:val="1"/>
    <w:qFormat/>
    <w:uiPriority w:val="0"/>
    <w:pPr>
      <w:ind w:left="840"/>
    </w:pPr>
    <w:rPr>
      <w:rFonts w:ascii="Times New Roman"/>
      <w:sz w:val="18"/>
    </w:rPr>
  </w:style>
  <w:style w:type="paragraph" w:customStyle="1" w:styleId="40">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41">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42">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3">
    <w:name w:val="标准中文版式_正文"/>
    <w:basedOn w:val="1"/>
    <w:qFormat/>
    <w:uiPriority w:val="0"/>
    <w:pPr>
      <w:spacing w:line="360" w:lineRule="auto"/>
      <w:ind w:firstLine="200" w:firstLineChars="200"/>
    </w:pPr>
    <w:rPr>
      <w:rFonts w:ascii="Arial" w:hAnsi="Arial"/>
      <w:sz w:val="24"/>
    </w:rPr>
  </w:style>
  <w:style w:type="paragraph" w:customStyle="1" w:styleId="44">
    <w:name w:val="样式 样式 样式 首行缩进 + 首行缩进:  2 字符 + 首行缩进:  2 字符 + 首行缩进:  2 字符"/>
    <w:basedOn w:val="1"/>
    <w:qFormat/>
    <w:uiPriority w:val="0"/>
    <w:pPr>
      <w:snapToGrid w:val="0"/>
      <w:spacing w:line="360" w:lineRule="auto"/>
      <w:ind w:left="-180" w:leftChars="-75" w:firstLine="536" w:firstLineChars="182"/>
    </w:pPr>
    <w:rPr>
      <w:rFonts w:ascii="宋体" w:hAnsi="宋体" w:cs="宋体"/>
      <w:spacing w:val="-6"/>
      <w:sz w:val="24"/>
      <w:szCs w:val="24"/>
    </w:rPr>
  </w:style>
  <w:style w:type="paragraph" w:customStyle="1" w:styleId="45">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6">
    <w:name w:val="样式 样式 样式 左侧:  2 字符1 + 首行缩进:  2 字符1 + 首行缩进:  2 字符"/>
    <w:basedOn w:val="1"/>
    <w:qFormat/>
    <w:uiPriority w:val="0"/>
    <w:pPr>
      <w:widowControl/>
      <w:spacing w:line="440" w:lineRule="atLeast"/>
      <w:ind w:firstLine="480"/>
    </w:pPr>
    <w:rPr>
      <w:rFonts w:hint="eastAsia"/>
      <w:sz w:val="24"/>
    </w:rPr>
  </w:style>
  <w:style w:type="paragraph" w:customStyle="1" w:styleId="47">
    <w:name w:val="图1"/>
    <w:basedOn w:val="1"/>
    <w:next w:val="1"/>
    <w:qFormat/>
    <w:uiPriority w:val="0"/>
    <w:pPr>
      <w:numPr>
        <w:ilvl w:val="0"/>
        <w:numId w:val="2"/>
      </w:numPr>
      <w:tabs>
        <w:tab w:val="left" w:pos="777"/>
        <w:tab w:val="clear" w:pos="709"/>
      </w:tabs>
      <w:spacing w:beforeLines="50" w:afterLines="100" w:line="360" w:lineRule="auto"/>
      <w:ind w:left="2210" w:hanging="748"/>
      <w:jc w:val="center"/>
    </w:pPr>
    <w:rPr>
      <w:kern w:val="0"/>
      <w:sz w:val="24"/>
      <w:szCs w:val="24"/>
    </w:rPr>
  </w:style>
  <w:style w:type="paragraph" w:customStyle="1" w:styleId="48">
    <w:name w:val="正文（首行缩进2字符）"/>
    <w:basedOn w:val="1"/>
    <w:link w:val="59"/>
    <w:qFormat/>
    <w:uiPriority w:val="0"/>
    <w:pPr>
      <w:spacing w:line="360" w:lineRule="auto"/>
      <w:ind w:firstLine="480" w:firstLineChars="200"/>
    </w:pPr>
    <w:rPr>
      <w:sz w:val="24"/>
    </w:rPr>
  </w:style>
  <w:style w:type="paragraph" w:customStyle="1" w:styleId="49">
    <w:name w:val="xl30"/>
    <w:basedOn w:val="1"/>
    <w:qFormat/>
    <w:uiPriority w:val="0"/>
    <w:pPr>
      <w:widowControl/>
      <w:pBdr>
        <w:left w:val="single" w:color="auto" w:sz="4" w:space="0"/>
        <w:bottom w:val="single" w:color="auto" w:sz="4" w:space="0"/>
        <w:right w:val="single" w:color="auto" w:sz="4" w:space="0"/>
      </w:pBdr>
      <w:spacing w:beforeAutospacing="1" w:afterAutospacing="1"/>
      <w:jc w:val="center"/>
    </w:pPr>
    <w:rPr>
      <w:rFonts w:ascii="Arial Unicode MS" w:hAnsi="Arial Unicode MS"/>
      <w:kern w:val="0"/>
      <w:sz w:val="20"/>
    </w:rPr>
  </w:style>
  <w:style w:type="paragraph" w:customStyle="1" w:styleId="50">
    <w:name w:val="样式1"/>
    <w:basedOn w:val="1"/>
    <w:qFormat/>
    <w:uiPriority w:val="0"/>
    <w:pPr>
      <w:numPr>
        <w:ilvl w:val="0"/>
        <w:numId w:val="3"/>
      </w:numPr>
      <w:adjustRightInd w:val="0"/>
      <w:textAlignment w:val="baseline"/>
    </w:pPr>
    <w:rPr>
      <w:rFonts w:ascii="宋体" w:hAnsi="宋体"/>
      <w:kern w:val="0"/>
      <w:szCs w:val="21"/>
    </w:rPr>
  </w:style>
  <w:style w:type="paragraph" w:customStyle="1" w:styleId="51">
    <w:name w:val="列出段落1"/>
    <w:basedOn w:val="1"/>
    <w:qFormat/>
    <w:uiPriority w:val="0"/>
    <w:pPr>
      <w:ind w:firstLine="420" w:firstLineChars="200"/>
    </w:pPr>
    <w:rPr>
      <w:rFonts w:ascii="Calibri" w:hAnsi="Calibri"/>
      <w:szCs w:val="22"/>
    </w:rPr>
  </w:style>
  <w:style w:type="paragraph" w:customStyle="1" w:styleId="52">
    <w:name w:val="TOC 标题1"/>
    <w:basedOn w:val="2"/>
    <w:next w:val="1"/>
    <w:qFormat/>
    <w:uiPriority w:val="0"/>
    <w:pPr>
      <w:keepLines/>
      <w:widowControl/>
      <w:spacing w:line="276" w:lineRule="auto"/>
      <w:jc w:val="left"/>
      <w:outlineLvl w:val="9"/>
    </w:pPr>
    <w:rPr>
      <w:rFonts w:ascii="Cambria" w:hAnsi="Cambria" w:cs="Times New Roman"/>
      <w:bCs/>
      <w:color w:val="365F91"/>
      <w:kern w:val="0"/>
      <w:sz w:val="28"/>
      <w:szCs w:val="28"/>
    </w:rPr>
  </w:style>
  <w:style w:type="character" w:customStyle="1" w:styleId="53">
    <w:name w:val="Char Char4"/>
    <w:basedOn w:val="33"/>
    <w:qFormat/>
    <w:uiPriority w:val="0"/>
    <w:rPr>
      <w:rFonts w:eastAsia="宋体"/>
      <w:kern w:val="2"/>
      <w:sz w:val="18"/>
      <w:lang w:val="en-US" w:eastAsia="zh-CN" w:bidi="ar-SA"/>
    </w:rPr>
  </w:style>
  <w:style w:type="character" w:customStyle="1" w:styleId="54">
    <w:name w:val="超链接1"/>
    <w:qFormat/>
    <w:uiPriority w:val="0"/>
    <w:rPr>
      <w:color w:val="0000FF"/>
      <w:sz w:val="20"/>
      <w:u w:val="single"/>
    </w:rPr>
  </w:style>
  <w:style w:type="character" w:customStyle="1" w:styleId="55">
    <w:name w:val="纯文本 Char"/>
    <w:basedOn w:val="33"/>
    <w:link w:val="16"/>
    <w:qFormat/>
    <w:uiPriority w:val="0"/>
    <w:rPr>
      <w:rFonts w:ascii="宋体" w:hAnsi="Courier New" w:eastAsia="宋体"/>
      <w:kern w:val="2"/>
      <w:sz w:val="21"/>
      <w:lang w:val="en-US" w:eastAsia="zh-CN" w:bidi="ar-SA"/>
    </w:rPr>
  </w:style>
  <w:style w:type="character" w:customStyle="1" w:styleId="56">
    <w:name w:val="正文首行缩进 Char"/>
    <w:link w:val="29"/>
    <w:semiHidden/>
    <w:qFormat/>
    <w:uiPriority w:val="0"/>
    <w:rPr>
      <w:rFonts w:eastAsia="宋体"/>
      <w:kern w:val="2"/>
      <w:sz w:val="21"/>
      <w:lang w:val="en-US" w:eastAsia="zh-CN" w:bidi="ar-SA"/>
    </w:rPr>
  </w:style>
  <w:style w:type="character" w:customStyle="1" w:styleId="57">
    <w:name w:val="正文缩进 Char"/>
    <w:link w:val="8"/>
    <w:qFormat/>
    <w:uiPriority w:val="0"/>
    <w:rPr>
      <w:rFonts w:eastAsia="宋体"/>
      <w:kern w:val="2"/>
      <w:sz w:val="21"/>
      <w:lang w:val="en-US" w:eastAsia="zh-CN" w:bidi="ar-SA"/>
    </w:rPr>
  </w:style>
  <w:style w:type="character" w:customStyle="1" w:styleId="58">
    <w:name w:val="标题 2 Char"/>
    <w:link w:val="3"/>
    <w:semiHidden/>
    <w:qFormat/>
    <w:uiPriority w:val="0"/>
    <w:rPr>
      <w:rFonts w:ascii="Arial" w:hAnsi="Arial" w:eastAsia="黑体"/>
      <w:b/>
      <w:bCs/>
      <w:kern w:val="2"/>
      <w:sz w:val="32"/>
      <w:szCs w:val="32"/>
      <w:lang w:val="en-US" w:eastAsia="zh-CN" w:bidi="ar-SA"/>
    </w:rPr>
  </w:style>
  <w:style w:type="character" w:customStyle="1" w:styleId="59">
    <w:name w:val="正文（首行缩进2字符） Char"/>
    <w:link w:val="48"/>
    <w:qFormat/>
    <w:uiPriority w:val="0"/>
    <w:rPr>
      <w:rFonts w:eastAsia="宋体"/>
      <w:kern w:val="2"/>
      <w:sz w:val="24"/>
      <w:lang w:bidi="ar-SA"/>
    </w:rPr>
  </w:style>
  <w:style w:type="character" w:customStyle="1" w:styleId="60">
    <w:name w:val="1page sec3 Char"/>
    <w:basedOn w:val="33"/>
    <w:semiHidden/>
    <w:qFormat/>
    <w:uiPriority w:val="0"/>
    <w:rPr>
      <w:rFonts w:eastAsia="宋体"/>
      <w:kern w:val="2"/>
      <w:sz w:val="18"/>
      <w:szCs w:val="18"/>
      <w:lang w:val="en-US" w:eastAsia="zh-CN" w:bidi="ar-SA"/>
    </w:rPr>
  </w:style>
  <w:style w:type="character" w:customStyle="1" w:styleId="61">
    <w:name w:val="正文文本 Char"/>
    <w:basedOn w:val="33"/>
    <w:link w:val="12"/>
    <w:qFormat/>
    <w:uiPriority w:val="0"/>
    <w:rPr>
      <w:rFonts w:eastAsia="宋体"/>
      <w:kern w:val="2"/>
      <w:sz w:val="18"/>
      <w:lang w:val="en-US" w:eastAsia="zh-CN" w:bidi="ar-SA"/>
    </w:rPr>
  </w:style>
  <w:style w:type="character" w:customStyle="1" w:styleId="62">
    <w:name w:val="页脚 Char"/>
    <w:link w:val="20"/>
    <w:qFormat/>
    <w:locked/>
    <w:uiPriority w:val="0"/>
    <w:rPr>
      <w:rFonts w:eastAsia="宋体"/>
      <w:kern w:val="2"/>
      <w:sz w:val="18"/>
      <w:lang w:val="en-US" w:eastAsia="zh-CN" w:bidi="ar-SA"/>
    </w:rPr>
  </w:style>
  <w:style w:type="character" w:customStyle="1" w:styleId="63">
    <w:name w:val="标题 1 Char"/>
    <w:basedOn w:val="33"/>
    <w:link w:val="2"/>
    <w:qFormat/>
    <w:locked/>
    <w:uiPriority w:val="0"/>
    <w:rPr>
      <w:rFonts w:ascii="宋体" w:hAnsi="宋体" w:eastAsia="宋体" w:cs="宋体"/>
      <w:b/>
      <w:kern w:val="2"/>
      <w:sz w:val="52"/>
      <w:szCs w:val="24"/>
      <w:lang w:val="en-US" w:eastAsia="zh-CN" w:bidi="ar-SA"/>
    </w:rPr>
  </w:style>
  <w:style w:type="character" w:customStyle="1" w:styleId="64">
    <w:name w:val="标题 7 Char"/>
    <w:link w:val="6"/>
    <w:qFormat/>
    <w:uiPriority w:val="0"/>
    <w:rPr>
      <w:rFonts w:eastAsia="宋体"/>
      <w:b/>
      <w:bCs/>
      <w:kern w:val="2"/>
      <w:sz w:val="24"/>
      <w:szCs w:val="24"/>
      <w:lang w:val="en-US" w:eastAsia="zh-CN" w:bidi="ar-SA"/>
    </w:rPr>
  </w:style>
  <w:style w:type="character" w:customStyle="1" w:styleId="65">
    <w:name w:val="页眉 Char"/>
    <w:link w:val="22"/>
    <w:qFormat/>
    <w:uiPriority w:val="0"/>
    <w:rPr>
      <w:rFonts w:eastAsia="宋体"/>
      <w:kern w:val="2"/>
      <w:sz w:val="18"/>
      <w:szCs w:val="18"/>
      <w:lang w:val="en-US" w:eastAsia="zh-CN" w:bidi="ar-SA"/>
    </w:rPr>
  </w:style>
  <w:style w:type="paragraph" w:customStyle="1" w:styleId="66">
    <w:name w:val="UserStyle_146"/>
    <w:basedOn w:val="1"/>
    <w:qFormat/>
    <w:uiPriority w:val="0"/>
    <w:pPr>
      <w:jc w:val="left"/>
    </w:pPr>
    <w:rPr>
      <w:rFonts w:ascii="宋体" w:hAnsi="宋体"/>
      <w:kern w:val="0"/>
      <w:sz w:val="22"/>
      <w:lang w:eastAsia="en-US"/>
    </w:rPr>
  </w:style>
  <w:style w:type="character" w:customStyle="1" w:styleId="67">
    <w:name w:val="font41"/>
    <w:basedOn w:val="33"/>
    <w:qFormat/>
    <w:uiPriority w:val="0"/>
    <w:rPr>
      <w:rFonts w:hint="eastAsia" w:ascii="宋体" w:hAnsi="宋体" w:eastAsia="宋体" w:cs="宋体"/>
      <w:color w:val="000000"/>
      <w:sz w:val="32"/>
      <w:szCs w:val="32"/>
      <w:u w:val="single"/>
    </w:rPr>
  </w:style>
  <w:style w:type="character" w:customStyle="1" w:styleId="68">
    <w:name w:val="font11"/>
    <w:basedOn w:val="33"/>
    <w:qFormat/>
    <w:uiPriority w:val="0"/>
    <w:rPr>
      <w:rFonts w:hint="eastAsia" w:ascii="宋体" w:hAnsi="宋体" w:eastAsia="宋体" w:cs="宋体"/>
      <w:color w:val="000000"/>
      <w:sz w:val="32"/>
      <w:szCs w:val="32"/>
      <w:u w:val="none"/>
    </w:rPr>
  </w:style>
  <w:style w:type="character" w:customStyle="1" w:styleId="69">
    <w:name w:val="font31"/>
    <w:basedOn w:val="33"/>
    <w:qFormat/>
    <w:uiPriority w:val="0"/>
    <w:rPr>
      <w:rFonts w:hint="eastAsia" w:ascii="宋体" w:hAnsi="宋体" w:eastAsia="宋体" w:cs="宋体"/>
      <w:color w:val="000000"/>
      <w:sz w:val="32"/>
      <w:szCs w:val="32"/>
      <w:u w:val="single"/>
    </w:rPr>
  </w:style>
  <w:style w:type="paragraph" w:customStyle="1" w:styleId="70">
    <w:name w:val="?y??"/>
    <w:qFormat/>
    <w:uiPriority w:val="0"/>
    <w:pPr>
      <w:widowControl w:val="0"/>
      <w:overflowPunct w:val="0"/>
      <w:autoSpaceDE w:val="0"/>
      <w:autoSpaceDN w:val="0"/>
      <w:adjustRightInd w:val="0"/>
      <w:spacing w:line="357" w:lineRule="atLeast"/>
      <w:jc w:val="both"/>
      <w:textAlignment w:val="baseline"/>
    </w:pPr>
    <w:rPr>
      <w:rFonts w:ascii="Times New Roman" w:hAnsi="Times New Roman" w:eastAsia="宋体" w:cs="Times New Roman"/>
      <w:color w:val="000000"/>
      <w:sz w:val="21"/>
      <w:lang w:val="en-US" w:eastAsia="zh-CN" w:bidi="ar-SA"/>
    </w:rPr>
  </w:style>
  <w:style w:type="paragraph" w:customStyle="1" w:styleId="71">
    <w:name w:val="Table Text"/>
    <w:basedOn w:val="1"/>
    <w:semiHidden/>
    <w:qFormat/>
    <w:uiPriority w:val="0"/>
    <w:rPr>
      <w:rFonts w:ascii="宋体" w:hAnsi="宋体" w:eastAsia="宋体" w:cs="宋体"/>
      <w:sz w:val="20"/>
      <w:szCs w:val="20"/>
      <w:lang w:val="en-US" w:eastAsia="en-US" w:bidi="ar-SA"/>
    </w:rPr>
  </w:style>
  <w:style w:type="table" w:customStyle="1" w:styleId="72">
    <w:name w:val="Table Normal"/>
    <w:semiHidden/>
    <w:unhideWhenUsed/>
    <w:qFormat/>
    <w:uiPriority w:val="0"/>
    <w:tblPr>
      <w:tblCellMar>
        <w:top w:w="0" w:type="dxa"/>
        <w:left w:w="0" w:type="dxa"/>
        <w:bottom w:w="0" w:type="dxa"/>
        <w:right w:w="0" w:type="dxa"/>
      </w:tblCellMar>
    </w:tblPr>
  </w:style>
  <w:style w:type="paragraph" w:customStyle="1" w:styleId="73">
    <w:name w:val="WPSOffice手动目录 1"/>
    <w:qFormat/>
    <w:uiPriority w:val="0"/>
    <w:rPr>
      <w:rFonts w:ascii="Times New Roman" w:hAnsi="Times New Roman" w:eastAsia="宋体" w:cs="Times New Roman"/>
      <w:lang w:val="en-US" w:eastAsia="zh-CN" w:bidi="ar-SA"/>
    </w:rPr>
  </w:style>
  <w:style w:type="paragraph" w:customStyle="1" w:styleId="74">
    <w:name w:val="Normal"/>
    <w:qFormat/>
    <w:uiPriority w:val="0"/>
    <w:rPr>
      <w:rFonts w:ascii="Times New Roman" w:hAnsi="Times New Roman" w:eastAsia="Times New Roman" w:cs="Times New Roman"/>
      <w:sz w:val="24"/>
      <w:szCs w:val="24"/>
      <w:lang w:val="en-US" w:eastAsia="zh-CN" w:bidi="ar-SA"/>
    </w:rPr>
  </w:style>
  <w:style w:type="character" w:customStyle="1" w:styleId="75">
    <w:name w:val="NormalCharacter"/>
    <w:basedOn w:val="33"/>
    <w:semiHidden/>
    <w:qFormat/>
    <w:uiPriority w:val="0"/>
    <w:rPr>
      <w:kern w:val="2"/>
      <w:sz w:val="21"/>
      <w:szCs w:val="22"/>
      <w:lang w:val="en-US" w:eastAsia="zh-CN" w:bidi="ar-SA"/>
    </w:rPr>
  </w:style>
  <w:style w:type="paragraph" w:customStyle="1" w:styleId="76">
    <w:name w:val="正文1"/>
    <w:basedOn w:val="1"/>
    <w:qFormat/>
    <w:uiPriority w:val="0"/>
    <w:pPr>
      <w:spacing w:after="120" w:line="360" w:lineRule="auto"/>
      <w:ind w:firstLine="425"/>
    </w:pPr>
    <w:rPr>
      <w:rFonts w:ascii="Arial" w:hAnsi="Arial"/>
      <w:spacing w:val="8"/>
      <w:sz w:val="24"/>
      <w:szCs w:val="20"/>
    </w:rPr>
  </w:style>
  <w:style w:type="paragraph" w:customStyle="1" w:styleId="77">
    <w:name w:val="正文文字缩进"/>
    <w:basedOn w:val="1"/>
    <w:next w:val="1"/>
    <w:qFormat/>
    <w:uiPriority w:val="0"/>
    <w:pPr>
      <w:spacing w:line="400" w:lineRule="atLeast"/>
      <w:ind w:left="210" w:firstLine="210"/>
      <w:jc w:val="both"/>
    </w:pPr>
    <w:rPr>
      <w:rFonts w:ascii="宋体" w:eastAsia="宋体"/>
      <w:color w:val="000000"/>
      <w:sz w:val="21"/>
    </w:rPr>
  </w:style>
  <w:style w:type="paragraph" w:customStyle="1" w:styleId="78">
    <w:name w:val="BodyText1I2"/>
    <w:basedOn w:val="79"/>
    <w:qFormat/>
    <w:uiPriority w:val="0"/>
    <w:pPr>
      <w:spacing w:after="120"/>
      <w:ind w:left="420" w:leftChars="200" w:firstLine="420" w:firstLineChars="200"/>
      <w:jc w:val="both"/>
      <w:textAlignment w:val="baseline"/>
    </w:pPr>
    <w:rPr>
      <w:rFonts w:ascii="Times New Roman" w:hAnsi="Times New Roman" w:eastAsia="宋?"/>
      <w:sz w:val="32"/>
      <w:szCs w:val="32"/>
    </w:rPr>
  </w:style>
  <w:style w:type="paragraph" w:customStyle="1" w:styleId="79">
    <w:name w:val="BodyTextIndent"/>
    <w:basedOn w:val="1"/>
    <w:qFormat/>
    <w:uiPriority w:val="0"/>
    <w:pPr>
      <w:spacing w:after="120"/>
      <w:ind w:left="420" w:leftChars="200"/>
      <w:jc w:val="both"/>
      <w:textAlignment w:val="baseline"/>
    </w:pPr>
  </w:style>
  <w:style w:type="paragraph" w:customStyle="1" w:styleId="80">
    <w:name w:val="正文_0_0_0"/>
    <w:qFormat/>
    <w:uiPriority w:val="0"/>
    <w:pPr>
      <w:widowControl w:val="0"/>
      <w:jc w:val="both"/>
    </w:pPr>
    <w:rPr>
      <w:rFonts w:ascii="Times New Roman" w:hAnsi="Times New Roman" w:eastAsia="宋体" w:cs="Times New Roman"/>
      <w:kern w:val="2"/>
      <w:sz w:val="28"/>
      <w:szCs w:val="22"/>
      <w:lang w:val="en-US" w:eastAsia="zh-CN" w:bidi="ar-SA"/>
    </w:rPr>
  </w:style>
  <w:style w:type="character" w:customStyle="1" w:styleId="81">
    <w:name w:val="10"/>
    <w:qFormat/>
    <w:uiPriority w:val="0"/>
    <w:rPr>
      <w:rFonts w:ascii="Times New Roman" w:hAnsi="Times New Roman" w:cs="Times New Roman"/>
    </w:rPr>
  </w:style>
  <w:style w:type="paragraph" w:customStyle="1" w:styleId="82">
    <w:name w:val="正文_0"/>
    <w:next w:val="8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正文缩进_0"/>
    <w:basedOn w:val="82"/>
    <w:next w:val="82"/>
    <w:qFormat/>
    <w:uiPriority w:val="0"/>
    <w:pPr>
      <w:adjustRightInd w:val="0"/>
      <w:spacing w:line="360" w:lineRule="atLeast"/>
      <w:ind w:firstLine="482"/>
      <w:textAlignment w:val="baseline"/>
    </w:pPr>
    <w:rPr>
      <w:kern w:val="0"/>
      <w:sz w:val="24"/>
      <w:szCs w:val="20"/>
    </w:rPr>
  </w:style>
  <w:style w:type="paragraph" w:customStyle="1" w:styleId="84">
    <w:name w:val="样式 标题 2 + Times New Roman 四号 非加粗 段前: 5 磅 段后: 0 磅 行距: 固定值 20..."/>
    <w:basedOn w:val="3"/>
    <w:qFormat/>
    <w:uiPriority w:val="0"/>
    <w:pPr>
      <w:keepNext/>
      <w:keepLines/>
      <w:numPr>
        <w:ilvl w:val="1"/>
        <w:numId w:val="0"/>
      </w:numPr>
      <w:spacing w:before="100" w:after="0" w:line="400" w:lineRule="exact"/>
      <w:jc w:val="both"/>
    </w:pPr>
    <w:rPr>
      <w:rFonts w:ascii="Times New Roman" w:hAnsi="Times New Roman" w:eastAsia="黑体" w:cs="宋体"/>
      <w:b w:val="0"/>
      <w:sz w:val="28"/>
    </w:rPr>
  </w:style>
  <w:style w:type="paragraph" w:customStyle="1" w:styleId="85">
    <w:name w:val="标题 3_0"/>
    <w:basedOn w:val="80"/>
    <w:next w:val="80"/>
    <w:qFormat/>
    <w:uiPriority w:val="0"/>
    <w:pPr>
      <w:adjustRightInd w:val="0"/>
      <w:snapToGrid w:val="0"/>
      <w:spacing w:line="500" w:lineRule="exact"/>
      <w:ind w:left="0" w:firstLine="0"/>
      <w:jc w:val="center"/>
      <w:outlineLvl w:val="2"/>
    </w:pPr>
    <w:rPr>
      <w:rFonts w:ascii="宋体" w:hAnsi="宋体" w:eastAsia="宋体"/>
      <w:b/>
      <w:sz w:val="32"/>
      <w:szCs w:val="32"/>
    </w:rPr>
  </w:style>
  <w:style w:type="paragraph" w:customStyle="1" w:styleId="86">
    <w:name w:val="正文文本_0_0"/>
    <w:basedOn w:val="80"/>
    <w:qFormat/>
    <w:uiPriority w:val="0"/>
    <w:rPr>
      <w:rFonts w:eastAsia="黑体"/>
      <w:sz w:val="36"/>
    </w:rPr>
  </w:style>
  <w:style w:type="paragraph" w:customStyle="1" w:styleId="87">
    <w:name w:val="正文_0_0"/>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88">
    <w:name w:val="正文缩进4"/>
    <w:basedOn w:val="1"/>
    <w:next w:val="1"/>
    <w:qFormat/>
    <w:uiPriority w:val="0"/>
    <w:pPr>
      <w:widowControl w:val="0"/>
      <w:autoSpaceDE/>
      <w:autoSpaceDN/>
      <w:spacing w:before="0" w:after="0" w:line="240" w:lineRule="auto"/>
      <w:ind w:left="0" w:firstLine="420"/>
      <w:jc w:val="both"/>
    </w:pPr>
    <w:rPr>
      <w:rFonts w:ascii="Times New Roman" w:eastAsia="宋体"/>
      <w:sz w:val="21"/>
    </w:rPr>
  </w:style>
  <w:style w:type="paragraph" w:customStyle="1" w:styleId="89">
    <w:name w:val="标题 3_0_0"/>
    <w:basedOn w:val="80"/>
    <w:next w:val="80"/>
    <w:qFormat/>
    <w:uiPriority w:val="0"/>
    <w:pPr>
      <w:keepNext/>
      <w:keepLines/>
      <w:spacing w:before="120" w:after="120" w:line="360" w:lineRule="auto"/>
      <w:jc w:val="center"/>
      <w:outlineLvl w:val="2"/>
    </w:pPr>
    <w:rPr>
      <w:rFonts w:ascii="宋体" w:hAnsi="宋体"/>
      <w:b/>
      <w:bCs/>
      <w:kern w:val="0"/>
      <w:sz w:val="36"/>
      <w:szCs w:val="18"/>
    </w:rPr>
  </w:style>
  <w:style w:type="paragraph" w:customStyle="1" w:styleId="90">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Normal_5"/>
    <w:qFormat/>
    <w:uiPriority w:val="0"/>
    <w:rPr>
      <w:rFonts w:ascii="黑体" w:hAnsi="黑体" w:eastAsia="黑体" w:cs="Times New Roman"/>
      <w:b/>
      <w:sz w:val="32"/>
      <w:szCs w:val="24"/>
      <w:lang w:val="en-US" w:eastAsia="zh-CN" w:bidi="ar-SA"/>
    </w:rPr>
  </w:style>
  <w:style w:type="paragraph" w:customStyle="1" w:styleId="92">
    <w:name w:val="正文_6"/>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61</Pages>
  <Words>20964</Words>
  <Characters>22144</Characters>
  <Lines>345</Lines>
  <Paragraphs>97</Paragraphs>
  <TotalTime>3</TotalTime>
  <ScaleCrop>false</ScaleCrop>
  <LinksUpToDate>false</LinksUpToDate>
  <CharactersWithSpaces>22206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2016-12-21T01:46:00Z</dcterms:created>
  <dc:creator>User</dc:creator>
  <cp:lastModifiedBy>Administrator</cp:lastModifiedBy>
  <cp:lastPrinted>2020-11-10T10:45:00Z</cp:lastPrinted>
  <dcterms:modified xsi:type="dcterms:W3CDTF">2025-07-14T11:05:53Z</dcterms:modified>
  <dc:title>阿克苏市某单位平安城市附属技防设施项目(竞争性谈判)</dc:title>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0C0C58D12A084758BC847E952D336EC4_13</vt:lpwstr>
  </property>
  <property fmtid="{D5CDD505-2E9C-101B-9397-08002B2CF9AE}" pid="4" name="KSOTemplateDocerSaveRecord">
    <vt:lpwstr>eyJoZGlkIjoiMGRhOWI0YzkzODA4ODY4NDBmMDBkNWY3MTkyNGMxNDMiLCJ1c2VySWQiOiIyMTkxOTYzNzIifQ==</vt:lpwstr>
  </property>
</Properties>
</file>